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463" w:right="21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60"/>
          </w:cols>
          <w:pgMar w:left="240" w:top="463"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type w:val="continuous"/>
        </w:sect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4200" w:type="dxa"/>
            <w:vAlign w:val="bottom"/>
            <w:gridSpan w:val="3"/>
          </w:tcPr>
          <w:p>
            <w:pPr>
              <w:jc w:val="center"/>
              <w:ind w:left="57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right"/>
              <w:ind w:right="1899"/>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380" w:type="dxa"/>
            <w:vAlign w:val="bottom"/>
          </w:tcPr>
          <w:p>
            <w:pPr>
              <w:spacing w:after="0"/>
              <w:rPr>
                <w:sz w:val="12"/>
                <w:szCs w:val="12"/>
                <w:color w:val="auto"/>
              </w:rPr>
            </w:pPr>
          </w:p>
        </w:tc>
        <w:tc>
          <w:tcPr>
            <w:tcW w:w="4200" w:type="dxa"/>
            <w:vAlign w:val="bottom"/>
            <w:gridSpan w:val="3"/>
          </w:tcPr>
          <w:p>
            <w:pPr>
              <w:jc w:val="center"/>
              <w:ind w:left="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jc w:val="center"/>
              <w:ind w:right="14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 w:type="dxa"/>
            <w:vAlign w:val="bottom"/>
          </w:tcPr>
          <w:p>
            <w:pPr>
              <w:spacing w:after="0"/>
              <w:rPr>
                <w:sz w:val="16"/>
                <w:szCs w:val="16"/>
                <w:color w:val="auto"/>
              </w:rPr>
            </w:pPr>
          </w:p>
        </w:tc>
        <w:tc>
          <w:tcPr>
            <w:tcW w:w="42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jc w:val="center"/>
              <w:ind w:right="1459"/>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380" w:type="dxa"/>
            <w:vAlign w:val="bottom"/>
          </w:tcPr>
          <w:p>
            <w:pPr>
              <w:spacing w:after="0"/>
              <w:rPr>
                <w:sz w:val="24"/>
                <w:szCs w:val="24"/>
                <w:color w:val="auto"/>
              </w:rPr>
            </w:pPr>
          </w:p>
        </w:tc>
        <w:tc>
          <w:tcPr>
            <w:tcW w:w="4200" w:type="dxa"/>
            <w:vAlign w:val="bottom"/>
            <w:gridSpan w:val="3"/>
          </w:tcPr>
          <w:p>
            <w:pPr>
              <w:jc w:val="center"/>
              <w:ind w:left="579"/>
              <w:spacing w:after="0"/>
              <w:rPr>
                <w:sz w:val="20"/>
                <w:szCs w:val="20"/>
                <w:color w:val="auto"/>
              </w:rPr>
            </w:pPr>
            <w:r>
              <w:rPr>
                <w:rFonts w:ascii="Arial" w:cs="Arial" w:eastAsia="Arial" w:hAnsi="Arial"/>
                <w:sz w:val="18"/>
                <w:szCs w:val="18"/>
                <w:b w:val="1"/>
                <w:bCs w:val="1"/>
                <w:color w:val="auto"/>
                <w:w w:val="89"/>
              </w:rPr>
              <w:t>4275 Executive Square, Suite 300</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4200" w:type="dxa"/>
            <w:vAlign w:val="bottom"/>
            <w:gridSpan w:val="3"/>
          </w:tcPr>
          <w:p>
            <w:pPr>
              <w:jc w:val="center"/>
              <w:ind w:left="579"/>
              <w:spacing w:after="0"/>
              <w:rPr>
                <w:sz w:val="20"/>
                <w:szCs w:val="20"/>
                <w:color w:val="auto"/>
              </w:rPr>
            </w:pPr>
            <w:r>
              <w:rPr>
                <w:rFonts w:ascii="Arial" w:cs="Arial" w:eastAsia="Arial" w:hAnsi="Arial"/>
                <w:sz w:val="18"/>
                <w:szCs w:val="18"/>
                <w:b w:val="1"/>
                <w:bCs w:val="1"/>
                <w:color w:val="auto"/>
                <w:w w:val="95"/>
              </w:rPr>
              <w:t>La Jolla, CA</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right"/>
              <w:ind w:right="2119"/>
              <w:spacing w:after="0"/>
              <w:rPr>
                <w:sz w:val="20"/>
                <w:szCs w:val="20"/>
                <w:color w:val="auto"/>
              </w:rPr>
            </w:pPr>
            <w:r>
              <w:rPr>
                <w:rFonts w:ascii="Arial" w:cs="Arial" w:eastAsia="Arial" w:hAnsi="Arial"/>
                <w:sz w:val="18"/>
                <w:szCs w:val="18"/>
                <w:b w:val="1"/>
                <w:bCs w:val="1"/>
                <w:color w:val="auto"/>
              </w:rPr>
              <w:t>92037</w:t>
            </w:r>
          </w:p>
        </w:tc>
      </w:tr>
      <w:tr>
        <w:trPr>
          <w:trHeight w:val="186"/>
        </w:trPr>
        <w:tc>
          <w:tcPr>
            <w:tcW w:w="380" w:type="dxa"/>
            <w:vAlign w:val="bottom"/>
          </w:tcPr>
          <w:p>
            <w:pPr>
              <w:spacing w:after="0"/>
              <w:rPr>
                <w:sz w:val="16"/>
                <w:szCs w:val="16"/>
                <w:color w:val="auto"/>
              </w:rPr>
            </w:pPr>
          </w:p>
        </w:tc>
        <w:tc>
          <w:tcPr>
            <w:tcW w:w="42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4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300" w:type="dxa"/>
            <w:vAlign w:val="bottom"/>
          </w:tcPr>
          <w:p>
            <w:pPr>
              <w:spacing w:after="0"/>
              <w:rPr>
                <w:sz w:val="18"/>
                <w:szCs w:val="18"/>
                <w:color w:val="auto"/>
              </w:rPr>
            </w:pPr>
          </w:p>
        </w:tc>
      </w:tr>
      <w:tr>
        <w:trPr>
          <w:trHeight w:val="425"/>
        </w:trPr>
        <w:tc>
          <w:tcPr>
            <w:tcW w:w="458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200" w:type="dxa"/>
            <w:vAlign w:val="bottom"/>
            <w:gridSpan w:val="3"/>
          </w:tcPr>
          <w:p>
            <w:pPr>
              <w:jc w:val="center"/>
              <w:ind w:right="919"/>
              <w:spacing w:after="0"/>
              <w:rPr>
                <w:sz w:val="20"/>
                <w:szCs w:val="20"/>
                <w:color w:val="auto"/>
              </w:rPr>
            </w:pPr>
            <w:r>
              <w:rPr>
                <w:rFonts w:ascii="Arial" w:cs="Arial" w:eastAsia="Arial" w:hAnsi="Arial"/>
                <w:sz w:val="14"/>
                <w:szCs w:val="14"/>
                <w:b w:val="1"/>
                <w:bCs w:val="1"/>
                <w:color w:val="auto"/>
                <w:w w:val="93"/>
              </w:rPr>
              <w:t>Common Stock, $0.001 par value</w:t>
            </w:r>
          </w:p>
        </w:tc>
        <w:tc>
          <w:tcPr>
            <w:tcW w:w="3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MNOV</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195"/>
        </w:trPr>
        <w:tc>
          <w:tcPr>
            <w:tcW w:w="38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(Title of each class)</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699"/>
              <w:spacing w:after="0" w:line="195" w:lineRule="exact"/>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(Name of each exchange on which</w:t>
            </w:r>
          </w:p>
        </w:tc>
      </w:tr>
      <w:tr>
        <w:trPr>
          <w:trHeight w:val="230"/>
        </w:trPr>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4" w:lineRule="exact"/>
        <w:rPr>
          <w:sz w:val="24"/>
          <w:szCs w:val="24"/>
          <w:color w:val="auto"/>
        </w:rPr>
      </w:pPr>
    </w:p>
    <w:p>
      <w:pPr>
        <w:ind w:right="32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8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jc w:val="both"/>
        <w:ind w:right="46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r>
      <w:tr>
        <w:trPr>
          <w:trHeight w:val="405"/>
        </w:trPr>
        <w:tc>
          <w:tcPr>
            <w:tcW w:w="2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20" w:type="dxa"/>
            <w:vAlign w:val="bottom"/>
          </w:tcPr>
          <w:p>
            <w:pPr>
              <w:ind w:left="25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r>
      <w:tr>
        <w:trPr>
          <w:trHeight w:val="103"/>
        </w:trPr>
        <w:tc>
          <w:tcPr>
            <w:tcW w:w="20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45" w:lineRule="exact"/>
        <w:rPr>
          <w:sz w:val="20"/>
          <w:szCs w:val="20"/>
          <w:color w:val="auto"/>
        </w:rPr>
      </w:pPr>
    </w:p>
    <w:p>
      <w:pPr>
        <w:spacing w:after="0" w:line="184" w:lineRule="exact"/>
        <w:tabs>
          <w:tab w:leader="none" w:pos="842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60"/>
          </w:cols>
          <w:pgMar w:left="240" w:top="346" w:right="399" w:bottom="1440" w:gutter="0" w:footer="0" w:header="0"/>
        </w:sect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0"/>
          <w:szCs w:val="20"/>
          <w:color w:val="auto"/>
        </w:rPr>
      </w:pPr>
    </w:p>
    <w:p>
      <w:pPr>
        <w:sectPr>
          <w:pgSz w:w="11900" w:h="16838" w:orient="portrait"/>
          <w:cols w:equalWidth="0" w:num="4">
            <w:col w:w="7880" w:space="160"/>
            <w:col w:w="240" w:space="80"/>
            <w:col w:w="140" w:space="180"/>
            <w:col w:w="2580"/>
          </w:cols>
          <w:pgMar w:left="240" w:top="346" w:right="39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As of July 24, 2019, the registrant had 43,248,948 shares of Common Stock ($0.001 par value) outstanding.</w:t>
      </w:r>
    </w:p>
    <w:p>
      <w:pPr>
        <w:sectPr>
          <w:pgSz w:w="11900" w:h="16838" w:orient="portrait"/>
          <w:cols w:equalWidth="0" w:num="1">
            <w:col w:w="11260"/>
          </w:cols>
          <w:pgMar w:left="240" w:top="34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6" w:right="3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7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22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21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21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80" w:type="dxa"/>
            <w:vAlign w:val="bottom"/>
          </w:tcPr>
          <w:p>
            <w:pPr>
              <w:jc w:val="center"/>
              <w:ind w:left="26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480" w:type="dxa"/>
            <w:vAlign w:val="bottom"/>
          </w:tcPr>
          <w:p>
            <w:pPr>
              <w:jc w:val="center"/>
              <w:ind w:left="261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48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1"/>
        </w:trPr>
        <w:tc>
          <w:tcPr>
            <w:tcW w:w="11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1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61,737,842</w:t>
            </w:r>
          </w:p>
        </w:tc>
        <w:tc>
          <w:tcPr>
            <w:tcW w:w="1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62,313,418</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512,614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444,942</w:t>
            </w:r>
          </w:p>
        </w:tc>
        <w:tc>
          <w:tcPr>
            <w:tcW w:w="80" w:type="dxa"/>
            <w:vAlign w:val="bottom"/>
            <w:tcBorders>
              <w:bottom w:val="single" w:sz="8" w:color="CFF0FC"/>
            </w:tcBorders>
          </w:tcPr>
          <w:p>
            <w:pPr>
              <w:spacing w:after="0"/>
              <w:rPr>
                <w:sz w:val="19"/>
                <w:szCs w:val="19"/>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62,250,456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62,758,360</w:t>
            </w:r>
          </w:p>
        </w:tc>
        <w:tc>
          <w:tcPr>
            <w:tcW w:w="8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53,134</w:t>
            </w: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456,072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4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77,151,695</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gridSpan w:val="2"/>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77,222,692</w:t>
            </w:r>
          </w:p>
        </w:tc>
        <w:tc>
          <w:tcPr>
            <w:tcW w:w="80" w:type="dxa"/>
            <w:vAlign w:val="bottom"/>
            <w:tcBorders>
              <w:bottom w:val="single" w:sz="8" w:color="CFF0FC"/>
            </w:tcBorders>
          </w:tcPr>
          <w:p>
            <w:pPr>
              <w:spacing w:after="0"/>
              <w:rPr>
                <w:sz w:val="22"/>
                <w:szCs w:val="22"/>
                <w:color w:val="auto"/>
              </w:rPr>
            </w:pPr>
          </w:p>
        </w:tc>
      </w:tr>
      <w:tr>
        <w:trPr>
          <w:trHeight w:val="21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328,161</w:t>
            </w:r>
          </w:p>
        </w:tc>
        <w:tc>
          <w:tcPr>
            <w:tcW w:w="1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616,753</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1,461,696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1,575,161</w:t>
            </w:r>
          </w:p>
        </w:tc>
        <w:tc>
          <w:tcPr>
            <w:tcW w:w="80" w:type="dxa"/>
            <w:vAlign w:val="bottom"/>
            <w:tcBorders>
              <w:bottom w:val="single" w:sz="8" w:color="CFF0FC"/>
            </w:tcBorders>
          </w:tcPr>
          <w:p>
            <w:pPr>
              <w:spacing w:after="0"/>
              <w:rPr>
                <w:sz w:val="19"/>
                <w:szCs w:val="19"/>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1,789,857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2,191,914</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284,273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27,211</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3,970,085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4,115,080</w:t>
            </w:r>
          </w:p>
        </w:tc>
        <w:tc>
          <w:tcPr>
            <w:tcW w:w="80" w:type="dxa"/>
            <w:vAlign w:val="bottom"/>
            <w:shd w:val="clear" w:color="auto" w:fill="CFF0FC"/>
          </w:tcPr>
          <w:p>
            <w:pPr>
              <w:spacing w:after="0"/>
              <w:rPr>
                <w:sz w:val="19"/>
                <w:szCs w:val="19"/>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600" w:type="dxa"/>
            <w:vAlign w:val="bottom"/>
            <w:gridSpan w:val="2"/>
          </w:tcPr>
          <w:p>
            <w:pPr>
              <w:ind w:left="380"/>
              <w:spacing w:after="0"/>
              <w:rPr>
                <w:sz w:val="20"/>
                <w:szCs w:val="20"/>
                <w:color w:val="auto"/>
              </w:rPr>
            </w:pPr>
            <w:r>
              <w:rPr>
                <w:rFonts w:ascii="Arial" w:cs="Arial" w:eastAsia="Arial" w:hAnsi="Arial"/>
                <w:sz w:val="18"/>
                <w:szCs w:val="18"/>
                <w:color w:val="auto"/>
                <w:w w:val="91"/>
              </w:rPr>
              <w:t>Common stock, $0.001 par value; 100,000,000 shares authorized at June 30, 2019 and December</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2"/>
          </w:tcPr>
          <w:p>
            <w:pPr>
              <w:ind w:left="380"/>
              <w:spacing w:after="0"/>
              <w:rPr>
                <w:sz w:val="20"/>
                <w:szCs w:val="20"/>
                <w:color w:val="auto"/>
              </w:rPr>
            </w:pPr>
            <w:r>
              <w:rPr>
                <w:rFonts w:ascii="Arial" w:cs="Arial" w:eastAsia="Arial" w:hAnsi="Arial"/>
                <w:sz w:val="18"/>
                <w:szCs w:val="18"/>
                <w:color w:val="auto"/>
                <w:w w:val="99"/>
              </w:rPr>
              <w:t>31, 2018; 43,099,161 and 42,081,306 shares issued and outstanding at June 30, 2019 and</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00" w:type="dxa"/>
            <w:vAlign w:val="bottom"/>
            <w:gridSpan w:val="2"/>
          </w:tcPr>
          <w:p>
            <w:pPr>
              <w:ind w:left="380"/>
              <w:spacing w:after="0"/>
              <w:rPr>
                <w:sz w:val="20"/>
                <w:szCs w:val="20"/>
                <w:color w:val="auto"/>
              </w:rPr>
            </w:pPr>
            <w:r>
              <w:rPr>
                <w:rFonts w:ascii="Arial" w:cs="Arial" w:eastAsia="Arial" w:hAnsi="Arial"/>
                <w:sz w:val="18"/>
                <w:szCs w:val="18"/>
                <w:color w:val="auto"/>
              </w:rPr>
              <w:t>December 31, 2018, respectively</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43,099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42,081</w:t>
            </w:r>
          </w:p>
        </w:tc>
        <w:tc>
          <w:tcPr>
            <w:tcW w:w="80" w:type="dxa"/>
            <w:vAlign w:val="bottom"/>
          </w:tcPr>
          <w:p>
            <w:pPr>
              <w:spacing w:after="0"/>
              <w:rPr>
                <w:sz w:val="20"/>
                <w:szCs w:val="20"/>
                <w:color w:val="auto"/>
              </w:rPr>
            </w:pPr>
          </w:p>
        </w:tc>
      </w:tr>
      <w:tr>
        <w:trPr>
          <w:trHeight w:val="230"/>
        </w:trPr>
        <w:tc>
          <w:tcPr>
            <w:tcW w:w="7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437,940,440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429,289,968</w:t>
            </w:r>
          </w:p>
        </w:tc>
        <w:tc>
          <w:tcPr>
            <w:tcW w:w="80" w:type="dxa"/>
            <w:vAlign w:val="bottom"/>
            <w:shd w:val="clear" w:color="auto" w:fill="CFF0FC"/>
          </w:tcPr>
          <w:p>
            <w:pPr>
              <w:spacing w:after="0"/>
              <w:rPr>
                <w:sz w:val="19"/>
                <w:szCs w:val="19"/>
                <w:color w:val="auto"/>
              </w:rPr>
            </w:pPr>
          </w:p>
        </w:tc>
      </w:tr>
      <w:tr>
        <w:trPr>
          <w:trHeight w:val="230"/>
        </w:trPr>
        <w:tc>
          <w:tcPr>
            <w:tcW w:w="760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(91,576)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(93,150)</w:t>
            </w:r>
          </w:p>
        </w:tc>
      </w:tr>
      <w:tr>
        <w:trPr>
          <w:trHeight w:val="230"/>
        </w:trPr>
        <w:tc>
          <w:tcPr>
            <w:tcW w:w="7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(364,710,353)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(356,131,287)</w:t>
            </w:r>
          </w:p>
        </w:tc>
      </w:tr>
      <w:tr>
        <w:trPr>
          <w:trHeight w:val="223"/>
        </w:trPr>
        <w:tc>
          <w:tcPr>
            <w:tcW w:w="7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73,181,610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73,107,612</w:t>
            </w:r>
          </w:p>
        </w:tc>
        <w:tc>
          <w:tcPr>
            <w:tcW w:w="8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77,151,695</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77,222,692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1,465,512</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1,379,454</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3,099,390</w:t>
            </w:r>
          </w:p>
        </w:tc>
        <w:tc>
          <w:tcPr>
            <w:tcW w:w="24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3,041,300</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2,716,509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2,020,828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6,061,990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5,025,563</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3,400,282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9,161,380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8,066,863</w:t>
            </w:r>
          </w:p>
        </w:tc>
        <w:tc>
          <w:tcPr>
            <w:tcW w:w="10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(4,182,021)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(3,400,282)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(9,161,380)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(8,066,863)</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307,574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250,231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611,819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381,576</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(7,429)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(29,505)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(1,903)</w:t>
            </w:r>
          </w:p>
        </w:tc>
      </w:tr>
      <w:tr>
        <w:trPr>
          <w:trHeight w:val="26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(3,881,876</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(3,144,139</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(8,579,066</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(7,687,190</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8"/>
                <w:szCs w:val="18"/>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43,069,007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41,557,644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42,770,117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40,351,585</w:t>
            </w: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5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(3,881,876)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(3,144,139)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(8,579,066)</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(7,687,190)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(3,148,154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(8,577,492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(7,685,373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3"/>
              </w:rPr>
              <w:t>Six Months Ended June 30, 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2018</w:t>
            </w:r>
          </w:p>
        </w:tc>
        <w:tc>
          <w:tcPr>
            <w:tcW w:w="12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42,081,306</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429,289,968</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(93,150)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(356,131,287)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73,107,612</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2,699,500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2,699,500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0"/>
              </w:rPr>
              <w:t>Issuance of shares under an employee stock purchase</w:t>
            </w:r>
          </w:p>
        </w:tc>
        <w:tc>
          <w:tcPr>
            <w:tcW w:w="13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16,901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plan (ESPP)</w:t>
            </w:r>
          </w:p>
        </w:tc>
        <w:tc>
          <w:tcPr>
            <w:tcW w:w="136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16,903</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1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(8,532)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977,454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3,919,757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3,920,735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(4,697,190)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(4,697,190)</w:t>
            </w: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March 31, 2019</w:t>
            </w:r>
          </w:p>
        </w:tc>
        <w:tc>
          <w:tcPr>
            <w:tcW w:w="1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43,061,161</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43,061</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435,917,594</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(94,931)</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(360,828,477)</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75,037,247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1,842,514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1,842,514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38,000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180,370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(3,881,876)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(3,881,876)</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2019</w:t>
            </w:r>
          </w:p>
        </w:tc>
        <w:tc>
          <w:tcPr>
            <w:tcW w:w="13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43,099,161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gridSpan w:val="2"/>
            <w:shd w:val="clear" w:color="auto" w:fill="CFF0FC"/>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43,099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437,940,440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(91,576)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(364,710,353)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gridSpan w:val="2"/>
            <w:shd w:val="clear" w:color="auto" w:fill="CFF0FC"/>
          </w:tcPr>
          <w:p>
            <w:pPr>
              <w:jc w:val="right"/>
              <w:ind w:right="5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73,181,610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3"/>
              </w:rPr>
              <w:t>Six Months Ended June 30, 2018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100" w:type="dxa"/>
            <w:vAlign w:val="bottom"/>
            <w:vMerge w:val="restart"/>
          </w:tcPr>
          <w:p>
            <w:pPr>
              <w:ind w:left="260"/>
              <w:spacing w:after="0"/>
              <w:rPr>
                <w:sz w:val="20"/>
                <w:szCs w:val="20"/>
                <w:color w:val="auto"/>
              </w:rPr>
            </w:pPr>
            <w:r>
              <w:rPr>
                <w:rFonts w:ascii="Arial" w:cs="Arial" w:eastAsia="Arial" w:hAnsi="Arial"/>
                <w:sz w:val="14"/>
                <w:szCs w:val="14"/>
                <w:color w:val="auto"/>
              </w:rPr>
              <w:t>Balance at December 31, 2017</w:t>
            </w:r>
          </w:p>
        </w:tc>
        <w:tc>
          <w:tcPr>
            <w:tcW w:w="120" w:type="dxa"/>
            <w:vAlign w:val="bottom"/>
          </w:tcPr>
          <w:p>
            <w:pPr>
              <w:spacing w:after="0"/>
              <w:rPr>
                <w:sz w:val="13"/>
                <w:szCs w:val="13"/>
                <w:color w:val="auto"/>
              </w:rPr>
            </w:pPr>
          </w:p>
        </w:tc>
        <w:tc>
          <w:tcPr>
            <w:tcW w:w="136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36,452,893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36,453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380,156,510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(94,623)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(341,456,200)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38,642,140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2,530,425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2,530,425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w w:val="90"/>
              </w:rPr>
              <w:t>Issuance of shares under an employee stock purchase</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plan (ESPP)</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4,861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net of offering costs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4,545,928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38,494,817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38,499,363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125,391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407,071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407,196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(4,543,051)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(4,543,051)</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2018</w:t>
            </w:r>
          </w:p>
        </w:tc>
        <w:tc>
          <w:tcPr>
            <w:tcW w:w="12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41,129,073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41,129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421,616,720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(88,791)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(345,999,251)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75,569,807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823,212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823,212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(18,462)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(18,462)</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warrants</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2,361,750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(3,144,139)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(3,144,139)</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(4,015)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2018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41,879,073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gridSpan w:val="2"/>
            <w:shd w:val="clear" w:color="auto" w:fill="CFF0FC"/>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41,879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424,783,220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(349,143,390)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gridSpan w:val="2"/>
            <w:shd w:val="clear" w:color="auto" w:fill="CFF0FC"/>
          </w:tcPr>
          <w:p>
            <w:pPr>
              <w:jc w:val="right"/>
              <w:ind w:right="5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75,588,903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3820"/>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(8,579,066)</w:t>
            </w:r>
          </w:p>
        </w:tc>
        <w:tc>
          <w:tcPr>
            <w:tcW w:w="62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(7,687,190)</w:t>
            </w: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4,542,014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3,353,637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joint venture investment</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(508,053)</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(104,307)</w:t>
            </w: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(148,832)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(1,290,513)</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(4,681,600)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(5,734,761)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dissolution of joint venture</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4,092,573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41,250,597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41,278,499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36,171,035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27,991,743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61,737,842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64,162,778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2018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2018 has been derived from the audited financial statements at that date, but does not include all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80" w:firstLine="605"/>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$1.4 million and $1.3 million for the three months ended June 30, 2019 and 2018, respectively. Research and development costs totaled $2.9 million for each of the six months ended June 30, 2019 and 2018, respectively.</w:t>
      </w:r>
    </w:p>
    <w:p>
      <w:pPr>
        <w:spacing w:after="0" w:line="79" w:lineRule="exact"/>
        <w:rPr>
          <w:sz w:val="20"/>
          <w:szCs w:val="20"/>
          <w:color w:val="auto"/>
        </w:rPr>
      </w:pPr>
    </w:p>
    <w:p>
      <w:pPr>
        <w:ind w:right="220" w:firstLine="605"/>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June 30, 2019 and 2018, respectively and $0.2 million and $0.1 million for the six months ended June 30, 2019 and 2018,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11"/>
        <w:spacing w:after="0" w:line="264" w:lineRule="auto"/>
        <w:rPr>
          <w:sz w:val="20"/>
          <w:szCs w:val="20"/>
          <w:color w:val="auto"/>
        </w:rPr>
      </w:pPr>
      <w:r>
        <w:rPr>
          <w:rFonts w:ascii="Arial" w:cs="Arial" w:eastAsia="Arial" w:hAnsi="Arial"/>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 ROU asset and a lease liability on the balance sheet for all leases with terms longer than 12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right="40"/>
        <w:spacing w:after="0" w:line="288" w:lineRule="auto"/>
        <w:rPr>
          <w:sz w:val="20"/>
          <w:szCs w:val="20"/>
          <w:color w:val="auto"/>
        </w:rPr>
      </w:pPr>
      <w:r>
        <w:rPr>
          <w:rFonts w:ascii="Arial" w:cs="Arial" w:eastAsia="Arial" w:hAnsi="Arial"/>
          <w:sz w:val="16"/>
          <w:szCs w:val="16"/>
          <w:color w:val="auto"/>
        </w:rPr>
        <w:t>months. The new standard is effective for fiscal years beginning after December 15, 2018 and interim periods within those fiscal years with early adoption permitted. The Company adopted ASU 2016-02 in the first quarter of 2019 utilizing the modified retrospective transition method through a cumulative-effect adjustment at the beginning of the first quarter of 2019.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The Company did not elect to apply the hindsight practical expedient when determining lease term and assessing impairment of right-of-use assets. The Company elected to not recognize right-of-use assets and lease liabilities for leases with a term of 12 months or less and to not separate non-lease components from lease. The adoption of ASU 2016-02 on January 1, 2019 resulted in the recognition of right-of-use assets of approximately $0.4 million, lease liabilities for operating leases of approximately $0.4 million and a zero cumulative-effect adjustment to accumulated deficit, with no material impact to its consolidated statements of operations. See Note 4 for further information regarding the impact of the adoption of ASU 2016-02 on the Company's financial statements.</w:t>
      </w:r>
    </w:p>
    <w:p>
      <w:pPr>
        <w:spacing w:after="0" w:line="169" w:lineRule="exact"/>
        <w:rPr>
          <w:sz w:val="20"/>
          <w:szCs w:val="20"/>
          <w:color w:val="auto"/>
        </w:rPr>
      </w:pPr>
    </w:p>
    <w:p>
      <w:pPr>
        <w:ind w:right="40" w:firstLine="471"/>
        <w:spacing w:after="0" w:line="272" w:lineRule="auto"/>
        <w:rPr>
          <w:sz w:val="20"/>
          <w:szCs w:val="20"/>
          <w:color w:val="auto"/>
        </w:rPr>
      </w:pPr>
      <w:r>
        <w:rPr>
          <w:rFonts w:ascii="Arial" w:cs="Arial" w:eastAsia="Arial" w:hAnsi="Arial"/>
          <w:sz w:val="17"/>
          <w:szCs w:val="17"/>
          <w:color w:val="auto"/>
        </w:rPr>
        <w:t xml:space="preserve">In August 2018, the FASB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is effective for fiscal years beginning after December 15, 2019 and interim periods within that fiscal year with early adoption permitted. The Company does not expect the standard to have a material impact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20" w:firstLine="678"/>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678"/>
        <w:spacing w:after="0" w:line="270"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June 30, 2019. The amount received from Kissei and allocated, net of the amount recorded as revenue, is included on the balance sheet as long-term deferred revenue and will be recognized as revenue as the remaining performance obligation is satisfied. No revenue was recognized for the three and six months ended June 30, 2019 and 2018 in connection with the collaboration agreement with Kissei.</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96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1" w:name="page12"/>
    <w:bookmarkEnd w:id="11"/>
    <w:p>
      <w:pPr>
        <w:ind w:right="12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$685,259 and $677,594 measured at fair value as of June 30, 2019 and December 31, 2018, respectively, are classified within Level 1 of the fair value hierarchy.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 Leases</w:t>
      </w:r>
    </w:p>
    <w:p>
      <w:pPr>
        <w:spacing w:after="0" w:line="229" w:lineRule="exact"/>
        <w:rPr>
          <w:sz w:val="20"/>
          <w:szCs w:val="20"/>
          <w:color w:val="auto"/>
        </w:rPr>
      </w:pPr>
    </w:p>
    <w:p>
      <w:pPr>
        <w:jc w:val="both"/>
        <w:ind w:right="20" w:firstLine="476"/>
        <w:spacing w:after="0" w:line="270"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is for a term of four years and one month with a term date of December 31, 2021. The Company’s lease in Tokyo, Japan was renewed in May 2019 and has a term of two years with an auto-renewal, two-year extension. The real estate operating leases are included in "Other non-current assets" on the Company's balance sheet and represents the Company’s right to use the underlying assets for the lease term. The Company’s obligation to make lease payments are included in "Accrued expenses and other liabilities" and "Other non-current liabilities" on the Company's balance sheet. Operating lease right-of-use assets and liabilities commencing after January 1, 2019 are recognized at commencement date based on the present value of lease payments over the lease term. As of June 30, 2019, total right-of-use assets and operating lease liabilities were approximately $0.5 million each. Operating lease expense is recognized on a straight-line basis over the lease term and is included in general and administrative expenses. The Company’s finance lease was deemed immaterial to the consolidated financial statements.</w:t>
      </w:r>
    </w:p>
    <w:p>
      <w:pPr>
        <w:spacing w:after="0" w:line="182" w:lineRule="exact"/>
        <w:rPr>
          <w:sz w:val="20"/>
          <w:szCs w:val="20"/>
          <w:color w:val="auto"/>
        </w:rPr>
      </w:pPr>
    </w:p>
    <w:p>
      <w:pPr>
        <w:jc w:val="both"/>
        <w:ind w:right="20" w:firstLine="476"/>
        <w:spacing w:after="0" w:line="277" w:lineRule="auto"/>
        <w:rPr>
          <w:sz w:val="20"/>
          <w:szCs w:val="20"/>
          <w:color w:val="auto"/>
        </w:rPr>
      </w:pPr>
      <w:r>
        <w:rPr>
          <w:rFonts w:ascii="Arial" w:cs="Arial" w:eastAsia="Arial" w:hAnsi="Arial"/>
          <w:sz w:val="18"/>
          <w:szCs w:val="18"/>
          <w:color w:val="auto"/>
        </w:rPr>
        <w:t>Because the rate implicit in each lease is not readily determinable, the Company uses its incremental borrowing rate to determine the present value of the lease payments.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 2019</w:t>
            </w:r>
          </w:p>
        </w:tc>
      </w:tr>
      <w:tr>
        <w:trPr>
          <w:trHeight w:val="156"/>
        </w:trPr>
        <w:tc>
          <w:tcPr>
            <w:tcW w:w="7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56,681</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109,136</w:t>
            </w:r>
          </w:p>
        </w:tc>
        <w:tc>
          <w:tcPr>
            <w:tcW w:w="120" w:type="dxa"/>
            <w:vAlign w:val="bottom"/>
            <w:shd w:val="clear" w:color="auto" w:fill="CFF0FC"/>
          </w:tcPr>
          <w:p>
            <w:pPr>
              <w:spacing w:after="0"/>
              <w:rPr>
                <w:sz w:val="21"/>
                <w:szCs w:val="2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Operating lease costs</w:t>
            </w: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108,022</w:t>
            </w:r>
          </w:p>
        </w:tc>
        <w:tc>
          <w:tcPr>
            <w:tcW w:w="120" w:type="dxa"/>
            <w:vAlign w:val="bottom"/>
          </w:tcPr>
          <w:p>
            <w:pPr>
              <w:spacing w:after="0"/>
              <w:rPr>
                <w:sz w:val="19"/>
                <w:szCs w:val="19"/>
                <w:color w:val="auto"/>
              </w:rPr>
            </w:pPr>
          </w:p>
        </w:tc>
      </w:tr>
      <w:tr>
        <w:trPr>
          <w:trHeight w:val="24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153,125</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502,729</w:t>
            </w:r>
          </w:p>
        </w:tc>
        <w:tc>
          <w:tcPr>
            <w:tcW w:w="120" w:type="dxa"/>
            <w:vAlign w:val="bottom"/>
            <w:shd w:val="clear" w:color="auto" w:fill="CFF0FC"/>
          </w:tcPr>
          <w:p>
            <w:pPr>
              <w:spacing w:after="0"/>
              <w:rPr>
                <w:sz w:val="21"/>
                <w:szCs w:val="21"/>
                <w:color w:val="auto"/>
              </w:rPr>
            </w:pPr>
          </w:p>
        </w:tc>
      </w:tr>
      <w:tr>
        <w:trPr>
          <w:trHeight w:val="446"/>
        </w:trPr>
        <w:tc>
          <w:tcPr>
            <w:tcW w:w="794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2019 were as follows: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110,718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226,477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223"/>
        </w:trPr>
        <w:tc>
          <w:tcPr>
            <w:tcW w:w="7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520,520</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(51,760)</w:t>
            </w:r>
          </w:p>
        </w:tc>
      </w:tr>
      <w:tr>
        <w:trPr>
          <w:trHeight w:val="223"/>
        </w:trPr>
        <w:tc>
          <w:tcPr>
            <w:tcW w:w="7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468,760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557" w:right="2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232" w:hanging="1232"/>
        <w:spacing w:after="0"/>
        <w:tabs>
          <w:tab w:leader="none" w:pos="1232" w:val="left"/>
        </w:tabs>
        <w:numPr>
          <w:ilvl w:val="0"/>
          <w:numId w:val="5"/>
        </w:numPr>
        <w:rPr>
          <w:rFonts w:ascii="Arial" w:cs="Arial" w:eastAsia="Arial" w:hAnsi="Arial"/>
          <w:sz w:val="16"/>
          <w:szCs w:val="16"/>
          <w:color w:val="auto"/>
        </w:rPr>
      </w:pPr>
      <w:r>
        <w:rPr>
          <w:rFonts w:ascii="Arial" w:cs="Arial" w:eastAsia="Arial" w:hAnsi="Arial"/>
          <w:sz w:val="16"/>
          <w:szCs w:val="16"/>
          <w:color w:val="auto"/>
        </w:rPr>
        <w:t>189,965</w:t>
      </w:r>
    </w:p>
    <w:p>
      <w:pPr>
        <w:spacing w:after="0" w:line="46" w:lineRule="exact"/>
        <w:rPr>
          <w:rFonts w:ascii="Arial" w:cs="Arial" w:eastAsia="Arial" w:hAnsi="Arial"/>
          <w:sz w:val="16"/>
          <w:szCs w:val="16"/>
          <w:color w:val="auto"/>
        </w:rPr>
      </w:pPr>
    </w:p>
    <w:p>
      <w:pPr>
        <w:ind w:left="1232"/>
        <w:spacing w:after="0"/>
        <w:rPr>
          <w:rFonts w:ascii="Arial" w:cs="Arial" w:eastAsia="Arial" w:hAnsi="Arial"/>
          <w:sz w:val="16"/>
          <w:szCs w:val="16"/>
          <w:color w:val="auto"/>
        </w:rPr>
      </w:pPr>
      <w:r>
        <w:rPr>
          <w:rFonts w:ascii="Arial" w:cs="Arial" w:eastAsia="Arial" w:hAnsi="Arial"/>
          <w:sz w:val="16"/>
          <w:szCs w:val="16"/>
          <w:color w:val="auto"/>
        </w:rPr>
        <w:t>278,795</w:t>
      </w:r>
    </w:p>
    <w:p>
      <w:pPr>
        <w:spacing w:after="0" w:line="58" w:lineRule="exact"/>
        <w:rPr>
          <w:sz w:val="20"/>
          <w:szCs w:val="20"/>
          <w:color w:val="auto"/>
        </w:rPr>
      </w:pPr>
    </w:p>
    <w:p>
      <w:pPr>
        <w:ind w:left="1232" w:hanging="1232"/>
        <w:spacing w:after="0"/>
        <w:tabs>
          <w:tab w:leader="none" w:pos="1232" w:val="left"/>
        </w:tabs>
        <w:numPr>
          <w:ilvl w:val="0"/>
          <w:numId w:val="6"/>
        </w:numPr>
        <w:rPr>
          <w:rFonts w:ascii="Arial" w:cs="Arial" w:eastAsia="Arial" w:hAnsi="Arial"/>
          <w:sz w:val="16"/>
          <w:szCs w:val="16"/>
          <w:color w:val="auto"/>
        </w:rPr>
      </w:pPr>
      <w:r>
        <w:rPr>
          <w:rFonts w:ascii="Arial" w:cs="Arial" w:eastAsia="Arial" w:hAnsi="Arial"/>
          <w:sz w:val="16"/>
          <w:szCs w:val="16"/>
          <w:color w:val="auto"/>
        </w:rPr>
        <w:t>468,760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166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688" w:space="720"/>
            <w:col w:w="2032"/>
          </w:cols>
          <w:pgMar w:left="240" w:top="557" w:right="219" w:bottom="1440" w:gutter="0" w:footer="0" w:header="0"/>
          <w:type w:val="continuous"/>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4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2.32</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Discount rate</w:t>
            </w:r>
          </w:p>
        </w:tc>
        <w:tc>
          <w:tcPr>
            <w:tcW w:w="45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2018, the total estimated future annual minimum lease payments under the Company’s non-cancelable building and copier leases for the years ending after December 31, 2018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2780"/>
              <w:spacing w:after="0"/>
              <w:rPr>
                <w:sz w:val="20"/>
                <w:szCs w:val="20"/>
                <w:color w:val="auto"/>
              </w:rPr>
            </w:pPr>
            <w:r>
              <w:rPr>
                <w:rFonts w:ascii="Arial" w:cs="Arial" w:eastAsia="Arial" w:hAnsi="Arial"/>
                <w:sz w:val="18"/>
                <w:szCs w:val="18"/>
                <w:b w:val="1"/>
                <w:bCs w:val="1"/>
                <w:color w:val="auto"/>
              </w:rPr>
              <w:t>Years ending December 31:</w:t>
            </w: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14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182,847</w:t>
            </w:r>
          </w:p>
        </w:tc>
        <w:tc>
          <w:tcPr>
            <w:tcW w:w="80" w:type="dxa"/>
            <w:vAlign w:val="bottom"/>
            <w:shd w:val="clear" w:color="auto" w:fill="CFF0FC"/>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2020</w:t>
            </w: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144,234</w:t>
            </w: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149,951</w:t>
            </w:r>
          </w:p>
        </w:tc>
        <w:tc>
          <w:tcPr>
            <w:tcW w:w="80" w:type="dxa"/>
            <w:vAlign w:val="bottom"/>
            <w:shd w:val="clear" w:color="auto" w:fill="CFF0FC"/>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FF0FC"/>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Total minimum payments</w:t>
            </w:r>
          </w:p>
        </w:tc>
        <w:tc>
          <w:tcPr>
            <w:tcW w:w="148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479,968</w:t>
            </w: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80" w:type="dxa"/>
            <w:vAlign w:val="bottom"/>
            <w:vMerge w:val="restart"/>
          </w:tcPr>
          <w:p>
            <w:pPr>
              <w:jc w:val="right"/>
              <w:ind w:right="85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(2004 Plan). A total of 7,200,000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2019, 2,262,592 shares remain available for future grants under the 2013 Plan.</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June 30, 2019 and in 2018,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2019 is as follows:</w:t>
      </w:r>
    </w:p>
    <w:p>
      <w:pPr>
        <w:spacing w:after="0" w:line="21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1,337,000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(1,015,454)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6,826,193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2019</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5,594,193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During the six months ended June 30, 2019 and 2018, 1,015,454 and 125,391 options were exercised, from which the Company received gross proceeds of $4.1 million and $0.4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For the six months ended June 30, 2019, an aggregate of 2,401 shares were issued under the ESPP. As of June 30, 2019, there were 204,477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The following table summarizes stock-based compensation expenses for the three and six months ended June 30, 2019 and 2018,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39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540,591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230,511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1,333,648</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968,025</w:t>
            </w:r>
          </w:p>
        </w:tc>
        <w:tc>
          <w:tcPr>
            <w:tcW w:w="6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1,301,923</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592,701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3,208,366</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2,385,612</w:t>
            </w:r>
          </w:p>
        </w:tc>
        <w:tc>
          <w:tcPr>
            <w:tcW w:w="6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1,842,514</w:t>
            </w: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823,212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4,542,014</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3,353,637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six months ended June 30, 2019 and 2018, and to estimate the fair value of performance-based stock options as of June 30, 2019 and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Six months ended</w:t>
            </w:r>
          </w:p>
        </w:tc>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660" w:type="dxa"/>
            <w:vAlign w:val="bottom"/>
          </w:tcPr>
          <w:p>
            <w:pPr>
              <w:spacing w:after="0"/>
              <w:rPr>
                <w:sz w:val="14"/>
                <w:szCs w:val="14"/>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1.76-2.19%</w:t>
            </w:r>
          </w:p>
        </w:tc>
        <w:tc>
          <w:tcPr>
            <w:tcW w:w="26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2.73-2.77%</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61.9-62.58%</w:t>
            </w:r>
          </w:p>
        </w:tc>
        <w:tc>
          <w:tcPr>
            <w:tcW w:w="260" w:type="dxa"/>
            <w:vAlign w:val="bottom"/>
            <w:shd w:val="clear" w:color="auto" w:fill="CFF0FC"/>
          </w:tcPr>
          <w:p>
            <w:pPr>
              <w:spacing w:after="0"/>
              <w:rPr>
                <w:sz w:val="19"/>
                <w:szCs w:val="19"/>
                <w:color w:val="auto"/>
              </w:rPr>
            </w:pP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59.76-66.70%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5.0-5.3</w:t>
            </w:r>
          </w:p>
        </w:tc>
        <w:tc>
          <w:tcPr>
            <w:tcW w:w="260" w:type="dxa"/>
            <w:vAlign w:val="bottom"/>
            <w:shd w:val="clear" w:color="auto" w:fill="CFF0FC"/>
          </w:tcPr>
          <w:p>
            <w:pPr>
              <w:spacing w:after="0"/>
              <w:rPr>
                <w:sz w:val="19"/>
                <w:szCs w:val="19"/>
                <w:color w:val="auto"/>
              </w:rPr>
            </w:pP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5.0-5.3</w:t>
            </w:r>
          </w:p>
        </w:tc>
        <w:tc>
          <w:tcPr>
            <w:tcW w:w="100" w:type="dxa"/>
            <w:vAlign w:val="bottom"/>
            <w:shd w:val="clear" w:color="auto" w:fill="CFF0FC"/>
          </w:tcPr>
          <w:p>
            <w:pPr>
              <w:spacing w:after="0"/>
              <w:rPr>
                <w:sz w:val="19"/>
                <w:szCs w:val="19"/>
                <w:color w:val="auto"/>
              </w:rPr>
            </w:pPr>
          </w:p>
        </w:tc>
      </w:tr>
      <w:tr>
        <w:trPr>
          <w:trHeight w:val="473"/>
        </w:trPr>
        <w:tc>
          <w:tcPr>
            <w:tcW w:w="566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2.46%</w:t>
            </w:r>
          </w:p>
        </w:tc>
        <w:tc>
          <w:tcPr>
            <w:tcW w:w="260" w:type="dxa"/>
            <w:vAlign w:val="bottom"/>
            <w:shd w:val="clear" w:color="auto" w:fill="CFF0FC"/>
          </w:tcPr>
          <w:p>
            <w:pPr>
              <w:spacing w:after="0"/>
              <w:rPr>
                <w:sz w:val="19"/>
                <w:szCs w:val="19"/>
                <w:color w:val="auto"/>
              </w:rPr>
            </w:pP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1.92%</w:t>
            </w:r>
          </w:p>
        </w:tc>
        <w:tc>
          <w:tcPr>
            <w:tcW w:w="10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72.50%</w:t>
            </w:r>
          </w:p>
        </w:tc>
        <w:tc>
          <w:tcPr>
            <w:tcW w:w="26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76.8%</w:t>
            </w:r>
          </w:p>
        </w:tc>
        <w:tc>
          <w:tcPr>
            <w:tcW w:w="10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00" w:type="dxa"/>
            <w:vAlign w:val="bottom"/>
          </w:tcPr>
          <w:p>
            <w:pPr>
              <w:jc w:val="right"/>
              <w:ind w:right="1094"/>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2700" w:type="dxa"/>
            <w:vAlign w:val="bottom"/>
          </w:tcPr>
          <w:p>
            <w:pPr>
              <w:jc w:val="right"/>
              <w:ind w:right="11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ind w:right="600" w:firstLine="518"/>
        <w:spacing w:after="0" w:line="258" w:lineRule="auto"/>
        <w:rPr>
          <w:sz w:val="20"/>
          <w:szCs w:val="20"/>
          <w:color w:val="auto"/>
        </w:rPr>
      </w:pPr>
      <w:r>
        <w:rPr>
          <w:rFonts w:ascii="Arial" w:cs="Arial" w:eastAsia="Arial" w:hAnsi="Arial"/>
          <w:sz w:val="18"/>
          <w:szCs w:val="18"/>
          <w:color w:val="auto"/>
        </w:rPr>
        <w:t>As of June 30, 2019, there was $3.6 million of unamortized compensation cost related to unvested stock option awards which is expected to be recognized over a remaining weighted-average vesting period of 0.56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“ATM Agreement”) with MLV &amp; Co. LLC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192"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shares of common stock were sold under this agreement in the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jc w:val="both"/>
        <w:ind w:right="600" w:firstLine="761"/>
        <w:spacing w:after="0" w:line="342" w:lineRule="auto"/>
        <w:rPr>
          <w:sz w:val="20"/>
          <w:szCs w:val="20"/>
          <w:color w:val="auto"/>
        </w:rPr>
      </w:pPr>
      <w:r>
        <w:rPr>
          <w:rFonts w:ascii="Arial" w:cs="Arial" w:eastAsia="Arial" w:hAnsi="Arial"/>
          <w:sz w:val="16"/>
          <w:szCs w:val="16"/>
          <w:color w:val="auto"/>
        </w:rPr>
        <w:t>During the six months ended June 30, 2018, warrants to purchase 750,000 shares of the Company’s common stock were exercised for gross proceeds of $2.4 million. Upon exercise of the 750,000 warrants, there were no more warrants outstanding to purchase the Company’s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8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Potentially dilutive outstanding securities excluded from diluted net loss per common share due to their anti-dilutive effect totaled 6,826,193 shares and 6,609,647 shares as of June 30, 2019 and 2018,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w:t>
      </w:r>
    </w:p>
    <w:p>
      <w:pPr>
        <w:spacing w:after="0" w:line="117"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On July 2, 2019, the Company sold 149,787 shares of common stock under the ATM Agreement at a weighted average price of $9.63 per share for net proceeds of $1.4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2018 included in our Annual Report on Form 10-K filed with the Securities and Exchange Commission, or SEC, on February 13, 2019. Past operating results are not necessarily indicative of results that may occur in future periods.</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93"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2019, we had an accumulated deficit of $364.7 million and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w:t>
      </w:r>
    </w:p>
    <w:p>
      <w:pPr>
        <w:spacing w:after="0" w:line="39" w:lineRule="exact"/>
        <w:rPr>
          <w:sz w:val="20"/>
          <w:szCs w:val="20"/>
          <w:color w:val="auto"/>
        </w:rPr>
      </w:pPr>
    </w:p>
    <w:p>
      <w:pPr>
        <w:ind w:right="20" w:firstLine="464"/>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4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ind w:left="1040" w:right="7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400"/>
        <w:spacing w:after="0" w:line="259"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which could support further clinical development and product commercialization.</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second study has not begun as of June 30, 2019. We expect that the study will be completed after 2019. The amount received from Kissei and allocated, net of the amount recorded as revenue, is included on the balance sheet as long-term deferred revenue and will be recognized as revenue as the remaining performance obligation is satisfied. No revenue was recognized in the three and six months ended June 30, 2019 and 2018, in connection with the collaboration agreement with Kissei.</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2019 as our development programs progress.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130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MN-221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MN-001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FF0FC"/>
            </w:tcBorders>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such as in-process research and development (“IPR&amp;D”) are not amortized but are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t>subject to annual impairment tests. The amounts and useful lives assigned to intangible assets that have finite useful lives require the use of estimates and the exercise of judgment. These judgments can significantly affect our net operating results. As of June 30, 2019, goodwill and IPR&amp;D, were $9.6 million and $4.8 million, respectively.</w:t>
      </w:r>
    </w:p>
    <w:p>
      <w:pPr>
        <w:spacing w:after="0" w:line="181" w:lineRule="exact"/>
        <w:rPr>
          <w:sz w:val="20"/>
          <w:szCs w:val="20"/>
          <w:color w:val="auto"/>
        </w:rPr>
      </w:pPr>
    </w:p>
    <w:p>
      <w:pPr>
        <w:jc w:val="both"/>
        <w:ind w:right="52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jc w:val="both"/>
        <w:ind w:right="40" w:firstLine="761"/>
        <w:spacing w:after="0" w:line="264" w:lineRule="auto"/>
        <w:rPr>
          <w:sz w:val="20"/>
          <w:szCs w:val="20"/>
          <w:color w:val="auto"/>
        </w:rPr>
      </w:pPr>
      <w:r>
        <w:rPr>
          <w:rFonts w:ascii="Arial" w:cs="Arial" w:eastAsia="Arial" w:hAnsi="Arial"/>
          <w:sz w:val="18"/>
          <w:szCs w:val="18"/>
          <w:color w:val="auto"/>
        </w:rPr>
        <w:t>Research, development and patents expenses were $1.5 million and $1.4 million for the three months ended June 30, 2019 and 2018, respectively. The increase of $0.1 million was due to higher stock compensation expense for performance-based stock options, offset by lower clinical trial expenses in the three months ended June 30, 2019, compared to the same period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auto"/>
        </w:rPr>
        <w:t>General and administrative expenses were $2.7 million and $2.0 million for the three months ended June 30, 2019 and 2018, respectively. The increase of $0.7 million was primarily due to higher stock compensation expense for performance-based stock options for the three months ended June 30, 2019 compared to the same period in 2018.</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117" w:lineRule="exact"/>
        <w:rPr>
          <w:sz w:val="20"/>
          <w:szCs w:val="20"/>
          <w:color w:val="auto"/>
        </w:rPr>
      </w:pPr>
    </w:p>
    <w:p>
      <w:pPr>
        <w:jc w:val="both"/>
        <w:ind w:right="60" w:firstLine="605"/>
        <w:spacing w:after="0" w:line="264" w:lineRule="auto"/>
        <w:rPr>
          <w:sz w:val="20"/>
          <w:szCs w:val="20"/>
          <w:color w:val="auto"/>
        </w:rPr>
      </w:pPr>
      <w:r>
        <w:rPr>
          <w:rFonts w:ascii="Arial" w:cs="Arial" w:eastAsia="Arial" w:hAnsi="Arial"/>
          <w:sz w:val="18"/>
          <w:szCs w:val="18"/>
          <w:color w:val="auto"/>
        </w:rPr>
        <w:t>Research, development and patents expenses were $ 3.1 million and $3.0 million for the six months ended June 30, 2019 and 2018, respectively. The increase of $0.1 million was due to higher stock compensation expense for performance-based stock options, offset by lower clinical trial expenses in the six months ended June 30, 2019, compared to the same period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General and administrative expenses were $6.1 million and $5.0 million for the six months ended June 30, 2019 and 2018, respectively. The increase of $1.1 million was primarily due to higher stock compensation expense for performance-based stock options for the six months ended June 30, 2019 compared to the same period in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2019 was $4.7 million compared to $5.7 million during the same period in 2018. Net cash used in operating activities primarily reflects the net loss and changes in operating assets and liabilities for those periods, which was partially offset by non-cash stock-based compensation expense.</w:t>
      </w:r>
    </w:p>
    <w:p>
      <w:pPr>
        <w:spacing w:after="0" w:line="73"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Net cash used in investing activities was $4,013 during the six months ended June 30, 2019. Net cash provided by investing activities was $0.6 million during the six months ended June 30, 2018, primarily due to the Company’s liquidation of its joint venture company, Zhejiang Sunmy Bio-Medical Co., Ltd.</w:t>
      </w:r>
    </w:p>
    <w:p>
      <w:pPr>
        <w:spacing w:after="0" w:line="16"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Net cash provided by financing activities was $4.1 million during the six months ended June 30, 2019 compared to $41.3 million during the same period in 2018. Net cash provided by financing activities during the six months ended June 30, 2019 is primarily due to the exercise of 1,015,454 options to purchase common stock for cash proceeds of $4.1 million. Net cash provided by financing activities during the six months ended June 30, 2018 is primarily due to the public offering of 4,545,928 shares of common stock for net proceeds of $38.5 million and cash proceeds of $2.4 million from the exercise of warrants to purchase 750,000 shares of common stock. Cash proceeds from financing activities are used for working capital and general corporate purposes.</w:t>
      </w:r>
    </w:p>
    <w:p>
      <w:pPr>
        <w:spacing w:after="0" w:line="158"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On May 22, 2015, we entered into an at-the-market issuance sales agreement (the “ATM Agreement”) with MLV &amp; Co. LLC (MLV), pursuant to which we may sell common stock through MLV from time to time up to an aggregate offering price of $30.0 million. Sales of our common stock through MLV, if any, will be made by any method that is deemed to be an “at-the-market” equity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9" w:name="page20"/>
    <w:bookmarkEnd w:id="19"/>
    <w:p>
      <w:pPr>
        <w:spacing w:after="0" w:line="293" w:lineRule="auto"/>
        <w:rPr>
          <w:sz w:val="20"/>
          <w:szCs w:val="20"/>
          <w:color w:val="auto"/>
        </w:rPr>
      </w:pPr>
      <w:r>
        <w:rPr>
          <w:rFonts w:ascii="Arial" w:cs="Arial" w:eastAsia="Arial" w:hAnsi="Arial"/>
          <w:sz w:val="16"/>
          <w:szCs w:val="16"/>
          <w:color w:val="auto"/>
        </w:rPr>
        <w:t>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amended the ATM agreement to also include FBR Capital Markets &amp; Co. as a sales agent.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this agreement in the six months ended June 30, 2019 and 2018.</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As of June 30, 2019, we had available cash and cash equivalents of $61.7 million and working capital of $60.5 million. As of the date of this report, we believe we have working capital sufficient to fund operations at least through December 31, 2020. However, we cannot provide assurance that these capital resources will be sufficient to conduct all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June 30, 2019,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3"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Cash and cash equivalents as of June 30, 2019 were $61.7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2019.</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June 30, 2019.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2018.</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420" w:type="dxa"/>
            <w:vAlign w:val="bottom"/>
            <w:gridSpan w:val="11"/>
          </w:tcPr>
          <w:p>
            <w:pPr>
              <w:ind w:left="5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40" w:type="dxa"/>
            <w:vAlign w:val="bottom"/>
            <w:gridSpan w:val="7"/>
            <w:vMerge w:val="restart"/>
          </w:tcPr>
          <w:p>
            <w:pPr>
              <w:ind w:left="2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440" w:type="dxa"/>
            <w:vAlign w:val="bottom"/>
            <w:tcBorders>
              <w:top w:val="single" w:sz="8" w:color="auto"/>
              <w:bottom w:val="single" w:sz="8" w:color="0000EE"/>
            </w:tcBorders>
            <w:gridSpan w:val="8"/>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Restated Certificate of Incorporation of the Registrant, as amended (incorporated by reference to Exhibit 3.1 of the Registrant’s Quarterly Report</w:t>
              </w:r>
            </w:hyperlink>
          </w:p>
        </w:tc>
        <w:tc>
          <w:tcPr>
            <w:tcW w:w="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2"/>
            <w:vMerge w:val="restart"/>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on Form 10-Q filed August 9, 2012).</w:t>
              </w:r>
            </w:hyperlink>
          </w:p>
        </w:tc>
        <w:tc>
          <w:tcPr>
            <w:tcW w:w="794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gridSpan w:val="2"/>
            <w:vMerge w:val="continue"/>
          </w:tcPr>
          <w:p>
            <w:pPr>
              <w:spacing w:after="0"/>
              <w:rPr>
                <w:sz w:val="5"/>
                <w:szCs w:val="5"/>
                <w:color w:val="auto"/>
              </w:rPr>
            </w:pPr>
          </w:p>
        </w:tc>
        <w:tc>
          <w:tcPr>
            <w:tcW w:w="79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40" w:type="dxa"/>
            <w:vAlign w:val="bottom"/>
            <w:tcBorders>
              <w:bottom w:val="single" w:sz="8" w:color="0000EE"/>
            </w:tcBorders>
            <w:gridSpan w:val="7"/>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Amended and Restated Bylaws of the Registrant (incorporated by reference to Exhibit 3.1 of the Registrant’s Current Report on Form 8-K filed</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April 25, 2019).</w:t>
              </w:r>
            </w:hyperlink>
          </w:p>
        </w:tc>
        <w:tc>
          <w:tcPr>
            <w:tcW w:w="94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94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right="100" w:hanging="812"/>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the MediciNova, Inc. Quarterly Report on Form 10-Q for the quarter ended June 30, 2019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July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3"/>
          <w:szCs w:val="13"/>
          <w:color w:val="auto"/>
        </w:rPr>
        <w:t>ARLA</w:t>
      </w:r>
      <w:r>
        <w:rPr>
          <w:rFonts w:ascii="Arial" w:cs="Arial" w:eastAsia="Arial" w:hAnsi="Arial"/>
          <w:sz w:val="18"/>
          <w:szCs w:val="18"/>
          <w:color w:val="auto"/>
        </w:rPr>
        <w:t xml:space="preserve"> R</w:t>
      </w:r>
      <w:r>
        <w:rPr>
          <w:rFonts w:ascii="Arial" w:cs="Arial" w:eastAsia="Arial" w:hAnsi="Arial"/>
          <w:sz w:val="13"/>
          <w:szCs w:val="13"/>
          <w:color w:val="auto"/>
        </w:rPr>
        <w:t>EYES</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240" w:top="337" w:right="8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25, 2019</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Carla Reyes,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25, 2019</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25, 2019</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2019, as filed with the Securities and Exchange Commission on the date hereof (the “Report”), I, Carla Reyes,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25, 2019</w:t>
      </w:r>
    </w:p>
    <w:p>
      <w:pPr>
        <w:spacing w:after="0" w:line="252" w:lineRule="exact"/>
        <w:rPr>
          <w:sz w:val="20"/>
          <w:szCs w:val="20"/>
          <w:color w:val="auto"/>
        </w:rPr>
      </w:pPr>
    </w:p>
    <w:p>
      <w:pPr>
        <w:ind w:left="6860"/>
        <w:spacing w:after="0"/>
        <w:tabs>
          <w:tab w:leader="none" w:pos="8740" w:val="left"/>
          <w:tab w:leader="none" w:pos="9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2" Type="http://schemas.openxmlformats.org/officeDocument/2006/relationships/hyperlink" Target="http://www.sec.gov/Archives/edgar/data/1226616/000119312512347932/d344794dex31.htm" TargetMode="External"/><Relationship Id="rId43"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2019-12-28T10:04:00Z</dcterms:created>
  <dcterms:modified xsi:type="dcterms:W3CDTF">2019-12-28T10:04:00Z</dcterms:modified>
</cp:coreProperties>
</file>