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60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QUARTERLY PERIOD ENDED June 30, 2021</w:t>
      </w:r>
    </w:p>
    <w:p>
      <w:pPr>
        <w:spacing w:after="0" w:line="9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31" w:right="339" w:bottom="1440" w:gutter="0" w:footer="0" w:header="0"/>
        </w:sectPr>
      </w:pPr>
    </w:p>
    <w:p>
      <w:pPr>
        <w:spacing w:after="0" w:line="9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2" w:lineRule="exact"/>
        <w:rPr>
          <w:sz w:val="24"/>
          <w:szCs w:val="24"/>
          <w:color w:val="auto"/>
        </w:rPr>
      </w:pPr>
    </w:p>
    <w:p>
      <w:pPr>
        <w:sectPr>
          <w:pgSz w:w="11900" w:h="16838" w:orient="portrait"/>
          <w:cols w:equalWidth="0" w:num="2">
            <w:col w:w="6300" w:space="720"/>
            <w:col w:w="4220"/>
          </w:cols>
          <w:pgMar w:left="320" w:top="43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MEDICINOVA,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240"/>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4540" w:type="dxa"/>
            <w:vAlign w:val="bottom"/>
            <w:gridSpan w:val="3"/>
          </w:tcPr>
          <w:p>
            <w:pPr>
              <w:jc w:val="center"/>
              <w:ind w:left="9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89"/>
              </w:rPr>
              <w:t>4275 Executive Square, Suite 300</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3"/>
              </w:rPr>
              <w:t>La Jolla, CA</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440"/>
              <w:spacing w:after="0"/>
              <w:rPr>
                <w:sz w:val="20"/>
                <w:szCs w:val="20"/>
                <w:color w:val="auto"/>
              </w:rPr>
            </w:pPr>
            <w:r>
              <w:rPr>
                <w:rFonts w:ascii="Arial" w:cs="Arial" w:eastAsia="Arial" w:hAnsi="Arial"/>
                <w:sz w:val="18"/>
                <w:szCs w:val="18"/>
                <w:b w:val="1"/>
                <w:bCs w:val="1"/>
                <w:color w:val="auto"/>
              </w:rPr>
              <w:t>92037</w:t>
            </w:r>
          </w:p>
        </w:tc>
      </w:tr>
      <w:tr>
        <w:trPr>
          <w:trHeight w:val="186"/>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3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120" w:type="dxa"/>
            <w:vAlign w:val="bottom"/>
          </w:tcPr>
          <w:p>
            <w:pPr>
              <w:jc w:val="center"/>
              <w:ind w:right="85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10"/>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460" w:type="dxa"/>
            <w:vAlign w:val="bottom"/>
          </w:tcPr>
          <w:p>
            <w:pPr>
              <w:spacing w:after="0"/>
              <w:rPr>
                <w:sz w:val="18"/>
                <w:szCs w:val="18"/>
                <w:color w:val="auto"/>
              </w:rPr>
            </w:pPr>
          </w:p>
        </w:tc>
      </w:tr>
      <w:tr>
        <w:trPr>
          <w:trHeight w:val="343"/>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4540" w:type="dxa"/>
            <w:vAlign w:val="bottom"/>
            <w:gridSpan w:val="3"/>
          </w:tcPr>
          <w:p>
            <w:pPr>
              <w:jc w:val="center"/>
              <w:ind w:right="1079"/>
              <w:spacing w:after="0"/>
              <w:rPr>
                <w:sz w:val="20"/>
                <w:szCs w:val="20"/>
                <w:color w:val="auto"/>
              </w:rPr>
            </w:pPr>
            <w:r>
              <w:rPr>
                <w:rFonts w:ascii="Arial" w:cs="Arial" w:eastAsia="Arial" w:hAnsi="Arial"/>
                <w:sz w:val="14"/>
                <w:szCs w:val="14"/>
                <w:b w:val="1"/>
                <w:bCs w:val="1"/>
                <w:color w:val="auto"/>
                <w:w w:val="92"/>
              </w:rPr>
              <w:t>Common Stock, $0.001 par value</w:t>
            </w:r>
          </w:p>
        </w:tc>
        <w:tc>
          <w:tcPr>
            <w:tcW w:w="32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MNOV</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859"/>
              <w:spacing w:after="0"/>
              <w:rPr>
                <w:sz w:val="20"/>
                <w:szCs w:val="20"/>
                <w:color w:val="auto"/>
              </w:rPr>
            </w:pPr>
            <w:r>
              <w:rPr>
                <w:rFonts w:ascii="Arial" w:cs="Arial" w:eastAsia="Arial" w:hAnsi="Arial"/>
                <w:sz w:val="18"/>
                <w:szCs w:val="18"/>
                <w:color w:val="auto"/>
                <w:w w:val="93"/>
              </w:rPr>
              <w:t>(Trading symbol(s))</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88" w:lineRule="exact"/>
        <w:rPr>
          <w:sz w:val="24"/>
          <w:szCs w:val="24"/>
          <w:color w:val="auto"/>
        </w:rPr>
      </w:pPr>
    </w:p>
    <w:p>
      <w:pPr>
        <w:jc w:val="both"/>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 w:lineRule="exact"/>
        <w:rPr>
          <w:sz w:val="24"/>
          <w:szCs w:val="24"/>
          <w:color w:val="auto"/>
        </w:rPr>
      </w:pPr>
    </w:p>
    <w:p>
      <w:pPr>
        <w:ind w:right="220" w:firstLine="51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5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55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85"/>
        </w:trPr>
        <w:tc>
          <w:tcPr>
            <w:tcW w:w="10820" w:type="dxa"/>
            <w:vAlign w:val="bottom"/>
            <w:gridSpan w:val="3"/>
          </w:tcPr>
          <w:p>
            <w:pPr>
              <w:spacing w:after="0"/>
              <w:rPr>
                <w:sz w:val="20"/>
                <w:szCs w:val="20"/>
                <w:color w:val="auto"/>
              </w:rPr>
            </w:pPr>
            <w:r>
              <w:rPr>
                <w:rFonts w:ascii="Arial" w:cs="Arial" w:eastAsia="Arial" w:hAnsi="Arial"/>
                <w:sz w:val="14"/>
                <w:szCs w:val="14"/>
                <w:color w:val="auto"/>
                <w:w w:val="95"/>
              </w:rPr>
              <w:t>If an emerging growth company, indicate by check mark if the registrant has elected not to use the extended transition period for complying with any new or revised financial accounting</w:t>
            </w:r>
          </w:p>
        </w:tc>
        <w:tc>
          <w:tcPr>
            <w:tcW w:w="420" w:type="dxa"/>
            <w:vAlign w:val="bottom"/>
          </w:tcPr>
          <w:p>
            <w:pPr>
              <w:spacing w:after="0"/>
              <w:rPr>
                <w:sz w:val="16"/>
                <w:szCs w:val="16"/>
                <w:color w:val="auto"/>
              </w:rPr>
            </w:pPr>
          </w:p>
        </w:tc>
      </w:tr>
      <w:tr>
        <w:trPr>
          <w:trHeight w:val="226"/>
        </w:trPr>
        <w:tc>
          <w:tcPr>
            <w:tcW w:w="76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tc>
        <w:tc>
          <w:tcPr>
            <w:tcW w:w="3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1"/>
        </w:trPr>
        <w:tc>
          <w:tcPr>
            <w:tcW w:w="7680" w:type="dxa"/>
            <w:vAlign w:val="bottom"/>
            <w:gridSpan w:val="2"/>
          </w:tcPr>
          <w:p>
            <w:pPr>
              <w:ind w:left="52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1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420" w:type="dxa"/>
            <w:vAlign w:val="bottom"/>
          </w:tcPr>
          <w:p>
            <w:pPr>
              <w:spacing w:after="0"/>
              <w:rPr>
                <w:sz w:val="21"/>
                <w:szCs w:val="21"/>
                <w:color w:val="auto"/>
              </w:rPr>
            </w:pPr>
          </w:p>
        </w:tc>
      </w:tr>
      <w:tr>
        <w:trPr>
          <w:trHeight w:val="214"/>
        </w:trPr>
        <w:tc>
          <w:tcPr>
            <w:tcW w:w="7680" w:type="dxa"/>
            <w:vAlign w:val="bottom"/>
            <w:gridSpan w:val="2"/>
          </w:tcPr>
          <w:p>
            <w:pPr>
              <w:ind w:left="520"/>
              <w:spacing w:after="0"/>
              <w:rPr>
                <w:sz w:val="20"/>
                <w:szCs w:val="20"/>
                <w:color w:val="auto"/>
              </w:rPr>
            </w:pPr>
            <w:r>
              <w:rPr>
                <w:rFonts w:ascii="Arial" w:cs="Arial" w:eastAsia="Arial" w:hAnsi="Arial"/>
                <w:sz w:val="14"/>
                <w:szCs w:val="14"/>
                <w:color w:val="auto"/>
              </w:rPr>
              <w:t>As of August 9, 2021, the registrant had 48,968,246 shares of Common Stock ($0.001 par value) outstanding.</w:t>
            </w:r>
          </w:p>
        </w:tc>
        <w:tc>
          <w:tcPr>
            <w:tcW w:w="3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556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7"/>
        </w:trPr>
        <w:tc>
          <w:tcPr>
            <w:tcW w:w="2120" w:type="dxa"/>
            <w:vAlign w:val="bottom"/>
            <w:tcBorders>
              <w:bottom w:val="single" w:sz="8" w:color="9A9A9A"/>
            </w:tcBorders>
          </w:tcPr>
          <w:p>
            <w:pPr>
              <w:spacing w:after="0"/>
              <w:rPr>
                <w:sz w:val="18"/>
                <w:szCs w:val="18"/>
                <w:color w:val="auto"/>
              </w:rPr>
            </w:pPr>
          </w:p>
        </w:tc>
        <w:tc>
          <w:tcPr>
            <w:tcW w:w="556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300" w:right="22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or any other public health crisis, could adversely affect our business, results of operations and financial condition;</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300" w:right="16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62" w:lineRule="exact"/>
        <w:rPr>
          <w:rFonts w:ascii="Arial" w:cs="Arial" w:eastAsia="Arial" w:hAnsi="Arial"/>
          <w:sz w:val="18"/>
          <w:szCs w:val="18"/>
          <w:color w:val="auto"/>
        </w:rPr>
      </w:pPr>
    </w:p>
    <w:p>
      <w:pPr>
        <w:ind w:left="1300" w:right="4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300" w:right="2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2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rPr>
              <w:t>MEDICINOVA, INC.</w:t>
            </w:r>
          </w:p>
        </w:tc>
        <w:tc>
          <w:tcPr>
            <w:tcW w:w="1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20" w:type="dxa"/>
            <w:vAlign w:val="bottom"/>
            <w:gridSpan w:val="4"/>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05"/>
        </w:trPr>
        <w:tc>
          <w:tcPr>
            <w:tcW w:w="101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892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2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25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PART II. OTHER INFORMATION</w:t>
              </w:r>
            </w:hyperlink>
          </w:p>
        </w:tc>
        <w:tc>
          <w:tcPr>
            <w:tcW w:w="754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RISK FACTORS</w:t>
              </w:r>
            </w:hyperlink>
          </w:p>
        </w:tc>
        <w:tc>
          <w:tcPr>
            <w:tcW w:w="620" w:type="dxa"/>
            <w:vAlign w:val="bottom"/>
            <w:tcBorders>
              <w:top w:val="single" w:sz="8" w:color="0000EE"/>
            </w:tcBorders>
            <w:gridSpan w:val="3"/>
          </w:tcPr>
          <w:p>
            <w:pPr>
              <w:spacing w:after="0"/>
              <w:rPr>
                <w:sz w:val="18"/>
                <w:szCs w:val="18"/>
                <w:color w:val="auto"/>
              </w:rPr>
            </w:pPr>
          </w:p>
        </w:tc>
        <w:tc>
          <w:tcPr>
            <w:tcW w:w="7040" w:type="dxa"/>
            <w:vAlign w:val="bottom"/>
            <w:gridSpan w:val="8"/>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UNREGISTERED SALES OF EQUITY SECURITIES AND USE OF PROCEEDS</w:t>
              </w:r>
            </w:hyperlink>
          </w:p>
        </w:tc>
        <w:tc>
          <w:tcPr>
            <w:tcW w:w="2840" w:type="dxa"/>
            <w:vAlign w:val="bottom"/>
            <w:gridSpan w:val="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DEFAULTS UPON SENIOR SECURITIES</w:t>
              </w:r>
            </w:hyperlink>
          </w:p>
        </w:tc>
        <w:tc>
          <w:tcPr>
            <w:tcW w:w="5720" w:type="dxa"/>
            <w:vAlign w:val="bottom"/>
            <w:gridSpan w:val="4"/>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892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OTHER INFORMATION</w:t>
              </w:r>
            </w:hyperlink>
          </w:p>
        </w:tc>
        <w:tc>
          <w:tcPr>
            <w:tcW w:w="540" w:type="dxa"/>
            <w:vAlign w:val="bottom"/>
            <w:tcBorders>
              <w:top w:val="single" w:sz="8" w:color="0000EE"/>
            </w:tcBorders>
          </w:tcPr>
          <w:p>
            <w:pPr>
              <w:spacing w:after="0"/>
              <w:rPr>
                <w:sz w:val="18"/>
                <w:szCs w:val="18"/>
                <w:color w:val="auto"/>
              </w:rPr>
            </w:pPr>
          </w:p>
        </w:tc>
        <w:tc>
          <w:tcPr>
            <w:tcW w:w="6480" w:type="dxa"/>
            <w:vAlign w:val="bottom"/>
            <w:gridSpan w:val="6"/>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892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4"/>
        </w:trPr>
        <w:tc>
          <w:tcPr>
            <w:tcW w:w="120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220" w:type="dxa"/>
            <w:vAlign w:val="bottom"/>
          </w:tcPr>
          <w:p>
            <w:pPr>
              <w:jc w:val="center"/>
              <w:ind w:left="27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220" w:type="dxa"/>
            <w:vAlign w:val="bottom"/>
          </w:tcPr>
          <w:p>
            <w:pPr>
              <w:jc w:val="center"/>
              <w:ind w:left="2710"/>
              <w:spacing w:after="0"/>
              <w:rPr>
                <w:sz w:val="20"/>
                <w:szCs w:val="20"/>
                <w:color w:val="auto"/>
              </w:rPr>
            </w:pPr>
            <w:r>
              <w:rPr>
                <w:rFonts w:ascii="Arial" w:cs="Arial" w:eastAsia="Arial" w:hAnsi="Arial"/>
                <w:sz w:val="18"/>
                <w:szCs w:val="18"/>
                <w:b w:val="1"/>
                <w:bCs w:val="1"/>
                <w:color w:val="auto"/>
              </w:rPr>
              <w:t>MEDICINOVA, INC.</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740" w:type="dxa"/>
            <w:vAlign w:val="bottom"/>
            <w:gridSpan w:val="3"/>
          </w:tcPr>
          <w:p>
            <w:pPr>
              <w:jc w:val="center"/>
              <w:ind w:left="21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0"/>
        </w:trPr>
        <w:tc>
          <w:tcPr>
            <w:tcW w:w="11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1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252"/>
              <w:spacing w:after="0" w:line="155"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77,792,263</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8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1,117,443</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680,171</w:t>
            </w:r>
          </w:p>
        </w:tc>
        <w:tc>
          <w:tcPr>
            <w:tcW w:w="80" w:type="dxa"/>
            <w:vAlign w:val="bottom"/>
            <w:tcBorders>
              <w:bottom w:val="single" w:sz="8" w:color="CFF0FC"/>
            </w:tcBorders>
          </w:tcPr>
          <w:p>
            <w:pPr>
              <w:spacing w:after="0"/>
              <w:rPr>
                <w:sz w:val="19"/>
                <w:szCs w:val="19"/>
                <w:color w:val="auto"/>
              </w:rPr>
            </w:pPr>
          </w:p>
        </w:tc>
      </w:tr>
      <w:tr>
        <w:trPr>
          <w:trHeight w:val="223"/>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78,909,706</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60,716,934</w:t>
            </w: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68,574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55,700</w:t>
            </w:r>
          </w:p>
        </w:tc>
        <w:tc>
          <w:tcPr>
            <w:tcW w:w="80" w:type="dxa"/>
            <w:vAlign w:val="bottom"/>
          </w:tcPr>
          <w:p>
            <w:pPr>
              <w:spacing w:after="0"/>
              <w:rPr>
                <w:sz w:val="19"/>
                <w:szCs w:val="19"/>
                <w:color w:val="auto"/>
              </w:rPr>
            </w:pPr>
          </w:p>
        </w:tc>
      </w:tr>
      <w:tr>
        <w:trPr>
          <w:trHeight w:val="229"/>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305,328</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246,236</w:t>
            </w:r>
          </w:p>
        </w:tc>
        <w:tc>
          <w:tcPr>
            <w:tcW w:w="8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2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93,683,848</w:t>
            </w:r>
          </w:p>
        </w:tc>
        <w:tc>
          <w:tcPr>
            <w:tcW w:w="4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75,419,110</w:t>
            </w:r>
          </w:p>
        </w:tc>
        <w:tc>
          <w:tcPr>
            <w:tcW w:w="80" w:type="dxa"/>
            <w:vAlign w:val="bottom"/>
            <w:tcBorders>
              <w:bottom w:val="single" w:sz="8" w:color="CFF0FC"/>
            </w:tcBorders>
          </w:tcPr>
          <w:p>
            <w:pPr>
              <w:spacing w:after="0"/>
              <w:rPr>
                <w:sz w:val="22"/>
                <w:szCs w:val="22"/>
                <w:color w:val="auto"/>
              </w:rPr>
            </w:pPr>
          </w:p>
        </w:tc>
      </w:tr>
      <w:tr>
        <w:trPr>
          <w:trHeight w:val="21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607,155</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616,629</w:t>
            </w:r>
          </w:p>
        </w:tc>
        <w:tc>
          <w:tcPr>
            <w:tcW w:w="8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1,859,417</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1,577,321</w:t>
            </w:r>
          </w:p>
        </w:tc>
        <w:tc>
          <w:tcPr>
            <w:tcW w:w="80" w:type="dxa"/>
            <w:vAlign w:val="bottom"/>
            <w:tcBorders>
              <w:bottom w:val="single" w:sz="8" w:color="CFF0FC"/>
            </w:tcBorders>
          </w:tcPr>
          <w:p>
            <w:pPr>
              <w:spacing w:after="0"/>
              <w:rPr>
                <w:sz w:val="19"/>
                <w:szCs w:val="19"/>
                <w:color w:val="auto"/>
              </w:rPr>
            </w:pPr>
          </w:p>
        </w:tc>
      </w:tr>
      <w:tr>
        <w:trPr>
          <w:trHeight w:val="223"/>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2,466,572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2,193,950</w:t>
            </w:r>
          </w:p>
        </w:tc>
        <w:tc>
          <w:tcPr>
            <w:tcW w:w="80" w:type="dxa"/>
            <w:vAlign w:val="bottom"/>
            <w:shd w:val="clear" w:color="auto" w:fill="CFF0FC"/>
          </w:tcPr>
          <w:p>
            <w:pPr>
              <w:spacing w:after="0"/>
              <w:rPr>
                <w:sz w:val="19"/>
                <w:szCs w:val="19"/>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1,694,163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87,007</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4,449,534</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4,092,610</w:t>
            </w:r>
          </w:p>
        </w:tc>
        <w:tc>
          <w:tcPr>
            <w:tcW w:w="80" w:type="dxa"/>
            <w:vAlign w:val="bottom"/>
            <w:shd w:val="clear" w:color="auto" w:fill="CFF0FC"/>
          </w:tcPr>
          <w:p>
            <w:pPr>
              <w:spacing w:after="0"/>
              <w:rPr>
                <w:sz w:val="19"/>
                <w:szCs w:val="19"/>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Common stock, $0.001 par value; 100,000,000 shares authorized at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gridSpan w:val="2"/>
          </w:tcPr>
          <w:p>
            <w:pPr>
              <w:ind w:left="520"/>
              <w:spacing w:after="0"/>
              <w:rPr>
                <w:sz w:val="20"/>
                <w:szCs w:val="20"/>
                <w:color w:val="auto"/>
              </w:rPr>
            </w:pPr>
            <w:r>
              <w:rPr>
                <w:rFonts w:ascii="Arial" w:cs="Arial" w:eastAsia="Arial" w:hAnsi="Arial"/>
                <w:sz w:val="18"/>
                <w:szCs w:val="18"/>
                <w:color w:val="auto"/>
              </w:rPr>
              <w:t>June 30, 2021 and December 31, 2020; 48,924,163 and 45,024,560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gridSpan w:val="2"/>
          </w:tcPr>
          <w:p>
            <w:pPr>
              <w:ind w:left="520"/>
              <w:spacing w:after="0"/>
              <w:rPr>
                <w:sz w:val="20"/>
                <w:szCs w:val="20"/>
                <w:color w:val="auto"/>
              </w:rPr>
            </w:pPr>
            <w:r>
              <w:rPr>
                <w:rFonts w:ascii="Arial" w:cs="Arial" w:eastAsia="Arial" w:hAnsi="Arial"/>
                <w:sz w:val="18"/>
                <w:szCs w:val="18"/>
                <w:color w:val="auto"/>
              </w:rPr>
              <w:t>shares issued and outstanding at June 30, 2021 and December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40" w:type="dxa"/>
            <w:vAlign w:val="bottom"/>
            <w:gridSpan w:val="2"/>
          </w:tcPr>
          <w:p>
            <w:pPr>
              <w:ind w:left="520"/>
              <w:spacing w:after="0"/>
              <w:rPr>
                <w:sz w:val="20"/>
                <w:szCs w:val="20"/>
                <w:color w:val="auto"/>
              </w:rPr>
            </w:pPr>
            <w:r>
              <w:rPr>
                <w:rFonts w:ascii="Arial" w:cs="Arial" w:eastAsia="Arial" w:hAnsi="Arial"/>
                <w:sz w:val="18"/>
                <w:szCs w:val="18"/>
                <w:color w:val="auto"/>
              </w:rPr>
              <w:t>31, 2020, respectively</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48,924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45,025</w:t>
            </w:r>
          </w:p>
        </w:tc>
        <w:tc>
          <w:tcPr>
            <w:tcW w:w="80" w:type="dxa"/>
            <w:vAlign w:val="bottom"/>
          </w:tcPr>
          <w:p>
            <w:pPr>
              <w:spacing w:after="0"/>
              <w:rPr>
                <w:sz w:val="20"/>
                <w:szCs w:val="20"/>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476,677,849</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454,296,536</w:t>
            </w:r>
          </w:p>
        </w:tc>
        <w:tc>
          <w:tcPr>
            <w:tcW w:w="80" w:type="dxa"/>
            <w:vAlign w:val="bottom"/>
            <w:shd w:val="clear" w:color="auto" w:fill="CFF0FC"/>
          </w:tcPr>
          <w:p>
            <w:pPr>
              <w:spacing w:after="0"/>
              <w:rPr>
                <w:sz w:val="19"/>
                <w:szCs w:val="19"/>
                <w:color w:val="auto"/>
              </w:rPr>
            </w:pPr>
          </w:p>
        </w:tc>
      </w:tr>
      <w:tr>
        <w:trPr>
          <w:trHeight w:val="230"/>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(93,677)</w:t>
            </w: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(88,219)</w:t>
            </w: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(387,398,782)</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(382,926,842)</w:t>
            </w:r>
          </w:p>
        </w:tc>
      </w:tr>
      <w:tr>
        <w:trPr>
          <w:trHeight w:val="223"/>
        </w:trPr>
        <w:tc>
          <w:tcPr>
            <w:tcW w:w="7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89,234,314</w:t>
            </w:r>
          </w:p>
        </w:tc>
        <w:tc>
          <w:tcPr>
            <w:tcW w:w="4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71,326,500</w:t>
            </w:r>
          </w:p>
        </w:tc>
        <w:tc>
          <w:tcPr>
            <w:tcW w:w="80" w:type="dxa"/>
            <w:vAlign w:val="bottom"/>
            <w:tcBorders>
              <w:bottom w:val="single" w:sz="8" w:color="CFF0FC"/>
            </w:tcBorders>
          </w:tcPr>
          <w:p>
            <w:pPr>
              <w:spacing w:after="0"/>
              <w:rPr>
                <w:sz w:val="19"/>
                <w:szCs w:val="19"/>
                <w:color w:val="auto"/>
              </w:rPr>
            </w:pPr>
          </w:p>
        </w:tc>
      </w:tr>
      <w:tr>
        <w:trPr>
          <w:trHeight w:val="223"/>
        </w:trPr>
        <w:tc>
          <w:tcPr>
            <w:tcW w:w="73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93,683,848</w:t>
            </w: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75,419,110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7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2,527,123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2,199,036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4,672,397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1,782,390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2,311,330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3,838,645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3,985,084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4,309,513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4,510,366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8,511,042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7,434,865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Operating loss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(4,309,513)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(4,510,366)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(4,511,042)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(7,434,865)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expense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(8,966)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(4,554)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(31,904)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(4,284,141</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(4,451,229</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(4,471,940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(7,164,788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common</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48,798,417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44,091,568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48,170,351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44,020,429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(4,284,141)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(4,451,229)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(4,471,940)</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(7,164,788)</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(4,282,778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(4,451,224</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(4,477,398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(7,164,903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3"/>
              </w:rPr>
              <w:t>Six Months Ended June 30, 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45,024,560</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454,296,536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(382,926,842)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71,326,500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1,139,636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1,139,636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for option</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212,175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tcPr>
          <w:p>
            <w:pPr>
              <w:jc w:val="right"/>
              <w:spacing w:after="0"/>
              <w:rPr>
                <w:sz w:val="20"/>
                <w:szCs w:val="20"/>
                <w:color w:val="auto"/>
              </w:rPr>
            </w:pPr>
            <w:r>
              <w:rPr>
                <w:rFonts w:ascii="Arial" w:cs="Arial" w:eastAsia="Arial" w:hAnsi="Arial"/>
                <w:sz w:val="14"/>
                <w:szCs w:val="14"/>
                <w:color w:val="auto"/>
              </w:rPr>
              <w:t>1,424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a private</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placement transaction, net of issuance costs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3,656,307</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19,877,992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19,881,648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(187,799)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(187,799)</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(6,821)</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Balance at March 31,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48,768,541</w:t>
            </w:r>
          </w:p>
        </w:tc>
        <w:tc>
          <w:tcPr>
            <w:tcW w:w="2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48,769</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475,532,361</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(95,040)</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(383,114,641)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92,371,449</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for option</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exercises</w:t>
            </w:r>
          </w:p>
        </w:tc>
        <w:tc>
          <w:tcPr>
            <w:tcW w:w="1220" w:type="dxa"/>
            <w:vAlign w:val="bottom"/>
          </w:tcPr>
          <w:p>
            <w:pPr>
              <w:jc w:val="right"/>
              <w:spacing w:after="0"/>
              <w:rPr>
                <w:sz w:val="20"/>
                <w:szCs w:val="20"/>
                <w:color w:val="auto"/>
              </w:rPr>
            </w:pPr>
            <w:r>
              <w:rPr>
                <w:rFonts w:ascii="Arial" w:cs="Arial" w:eastAsia="Arial" w:hAnsi="Arial"/>
                <w:sz w:val="14"/>
                <w:szCs w:val="14"/>
                <w:color w:val="auto"/>
              </w:rPr>
              <w:t>155,622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389,583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389,738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(4,284,141)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(4,284,141)</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2021</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48,924,163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48,924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476,677,849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(93,677)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(387,398,782)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89,234,314</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3"/>
              </w:rPr>
              <w:t>Six Months Ended June 30,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43,908,065</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444,016,341</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(92,681)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(369,072,945)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74,894,623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596,378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at-the-market equity distribution</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68,952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412,623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(2,713,559)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(2,713,559)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2020</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43,978,996</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445,031,594</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(371,786,504)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73,196,268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1,147,154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1,147,154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143,863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438,118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438,262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market equity distribution and sales</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agreements, net of offering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140,719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762,342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(4,451,229)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(4,451,229)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2020</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44,263,578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44,264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447,379,208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(92,796)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(376,237,733)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71,092,943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77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(4,471,940)</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(7,164,788)</w:t>
            </w: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1,895,541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1,743,532</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12,607</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10,270</w:t>
            </w: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(510,456)</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w:t>
            </w: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Borders>
              <w:bottom w:val="single" w:sz="8" w:color="CFF0FC"/>
            </w:tcBorders>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347,232</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433,224</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(2,727,016)</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(4,969,179)</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(25,794)</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(2,604)</w:t>
            </w: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(25,794)</w:t>
            </w:r>
          </w:p>
        </w:tc>
        <w:tc>
          <w:tcPr>
            <w:tcW w:w="1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and exercise of common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20,601,929</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1,661,610</w:t>
            </w:r>
          </w:p>
        </w:tc>
        <w:tc>
          <w:tcPr>
            <w:tcW w:w="120" w:type="dxa"/>
            <w:vAlign w:val="bottom"/>
          </w:tcPr>
          <w:p>
            <w:pPr>
              <w:spacing w:after="0"/>
              <w:rPr>
                <w:sz w:val="20"/>
                <w:szCs w:val="20"/>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issuance costs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(118,368)</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(48,173)</w:t>
            </w:r>
          </w:p>
        </w:tc>
      </w:tr>
      <w:tr>
        <w:trPr>
          <w:trHeight w:val="229"/>
        </w:trPr>
        <w:tc>
          <w:tcPr>
            <w:tcW w:w="7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20,489,671</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1,619,691</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18,639</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17,755,500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(3,352,207)</w:t>
            </w: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60,036,763</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63,792,657</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77,792,263</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60,440,450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6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2020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2020 has been derived from the audited financial statements at that date but does not include all the information and footnotes required by GAAP for complete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consolidated financial statements include the accounts of MediciNova, Inc. and its wholly owned subsidiaries. All intercompany transactions and balances are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therapeutics for the treatment of serious diseases with unmet medical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and cash equivalents consist of cash and other highly liquid investments including money market accounts.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$2.3 million and $2.1 million for the three months ended June 30, 2021 and 2020, respectively, and $4.4 million and $3.3 million for the six months ended June 30, 2021 and 2020, respectively.</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 w:name="page9"/>
    <w:bookmarkEnd w:id="8"/>
    <w:p>
      <w:pPr>
        <w:ind w:right="40" w:firstLine="510"/>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$0.2 million and $0.1 million for the three months ended June 30, 2021 and 2020, respectively, and $0.3 million and $0.2 million for the six months ended June 30, 2021 and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the Company’s Business</w:t>
      </w:r>
    </w:p>
    <w:p>
      <w:pPr>
        <w:spacing w:after="0" w:line="117"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the Accounting for Income Taxes (“ASU 2019-12”). ASU 2019-12 simplifies the accounting for income taxes by removing certain exceptions to the general principles in Topic 740. ASU 2019-12 also improves the consistent application, and the simplification, of other areas of Topic 740 by clarifying and amending existing guidance. ASU 2019-12 is effective for fiscal years beginning after December 15, 2020, and interim periods within those fiscal years, with early adoption permitted. The Company adopted ASU 2019-12 on January 1, 2021 with no material impact on its consolidated financial statements and related disclosures.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June 2016, the FASB issued Accounting Standards Update (“ASU”) No. 2016-13, Financial Instruments— Credit Losses (Topic 326): Measurement of Credit Losses on Financial Instruments (“ASU 2016-13”). The ASU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 w:name="page10"/>
    <w:bookmarkEnd w:id="9"/>
    <w:p>
      <w:pPr>
        <w:ind w:firstLine="510"/>
        <w:spacing w:after="0" w:line="270"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ASU 2020-06 simplifies the accounting for convertible debt instruments 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June 30, 2021. The amount received from Kissei and allocated, net of the amount recorded as revenue, is included on the balance sheet as long-term deferred revenue and will be recognized as revenue as the remaining performance obligation is satisfied. No revenue was recognized for the three and six months ended June 30, 2021 and 2020 in connection with the collaboration agreement with Kissei.</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9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is responsible for the development of the product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of $4 million for the six months ended June 30, 2021.</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84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Cash equivalents, including money market accounts of $694,205 and $694,127 measured at fair value as of June 30, 2021 and December 31, 2020, respectively, are classified within Level 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2021, 1,838,385 shares remain available for future grants under the 2013 Plan.</w:t>
      </w:r>
    </w:p>
    <w:p>
      <w:pPr>
        <w:spacing w:after="0" w:line="16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three or four year period. The exercise price of all options granted through June 30, 2021 and in 2020, was equal to the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6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7,401,387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Borders>
              <w:top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1,315,000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(241,872)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Cancelled</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(256,250)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8,218,265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880"/>
              <w:spacing w:after="0"/>
              <w:rPr>
                <w:sz w:val="20"/>
                <w:szCs w:val="20"/>
                <w:color w:val="auto"/>
              </w:rPr>
            </w:pPr>
            <w:r>
              <w:rPr>
                <w:rFonts w:ascii="Arial" w:cs="Arial" w:eastAsia="Arial" w:hAnsi="Arial"/>
                <w:sz w:val="18"/>
                <w:szCs w:val="18"/>
                <w:color w:val="auto"/>
              </w:rPr>
              <w:t>Exercisable at June 30, 2021</w:t>
            </w: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6,871,932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80" w:type="dxa"/>
            <w:vAlign w:val="bottom"/>
            <w:vMerge w:val="restart"/>
          </w:tcPr>
          <w:p>
            <w:pPr>
              <w:jc w:val="right"/>
              <w:ind w:right="83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For the six months ended June 30, 2021, an aggregate of 1,424 shares were issued under the ESPP. As of June 30, 2021, there were 212,678 shares available for future issuance under the ESPP.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June 30, 2021 and 2020, respectively: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38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38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265,723</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349,294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658,965</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511,991</w:t>
            </w:r>
          </w:p>
        </w:tc>
        <w:tc>
          <w:tcPr>
            <w:tcW w:w="120" w:type="dxa"/>
            <w:vAlign w:val="bottom"/>
            <w:shd w:val="clear" w:color="auto" w:fill="CFF0FC"/>
          </w:tcPr>
          <w:p>
            <w:pPr>
              <w:spacing w:after="0"/>
              <w:rPr>
                <w:sz w:val="19"/>
                <w:szCs w:val="19"/>
                <w:color w:val="auto"/>
              </w:rPr>
            </w:pPr>
          </w:p>
        </w:tc>
      </w:tr>
      <w:tr>
        <w:trPr>
          <w:trHeight w:val="229"/>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490,182</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797,860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1,236,576</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1,231,541</w:t>
            </w:r>
          </w:p>
        </w:tc>
        <w:tc>
          <w:tcPr>
            <w:tcW w:w="120" w:type="dxa"/>
            <w:vAlign w:val="bottom"/>
            <w:tcBorders>
              <w:bottom w:val="single" w:sz="8" w:color="CFF0FC"/>
            </w:tcBorders>
          </w:tcPr>
          <w:p>
            <w:pPr>
              <w:spacing w:after="0"/>
              <w:rPr>
                <w:sz w:val="19"/>
                <w:szCs w:val="19"/>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755,905</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1,147,154</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1,895,541</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1,743,532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during the six months ended June 30, 2021 and 2020, and to estimate the fair value of performance-based stock options as of June 30, 2021 and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00" w:type="dxa"/>
            <w:vAlign w:val="bottom"/>
          </w:tcPr>
          <w:p>
            <w:pPr>
              <w:spacing w:after="0"/>
              <w:rPr>
                <w:sz w:val="14"/>
                <w:szCs w:val="14"/>
                <w:color w:val="auto"/>
              </w:rPr>
            </w:pPr>
          </w:p>
        </w:tc>
        <w:tc>
          <w:tcPr>
            <w:tcW w:w="2060" w:type="dxa"/>
            <w:vAlign w:val="bottom"/>
            <w:gridSpan w:val="2"/>
          </w:tcPr>
          <w:p>
            <w:pPr>
              <w:ind w:left="900"/>
              <w:spacing w:after="0"/>
              <w:rPr>
                <w:sz w:val="20"/>
                <w:szCs w:val="20"/>
                <w:color w:val="auto"/>
              </w:rPr>
            </w:pPr>
            <w:r>
              <w:rPr>
                <w:rFonts w:ascii="Arial" w:cs="Arial" w:eastAsia="Arial" w:hAnsi="Arial"/>
                <w:sz w:val="14"/>
                <w:szCs w:val="14"/>
                <w:b w:val="1"/>
                <w:bCs w:val="1"/>
                <w:color w:val="auto"/>
              </w:rPr>
              <w:t>June 30, 2021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3"/>
          </w:tcPr>
          <w:p>
            <w:pPr>
              <w:ind w:left="92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860" w:type="dxa"/>
            <w:vAlign w:val="bottom"/>
          </w:tcPr>
          <w:p>
            <w:pPr>
              <w:ind w:left="20"/>
              <w:spacing w:after="0"/>
              <w:rPr>
                <w:sz w:val="20"/>
                <w:szCs w:val="20"/>
                <w:color w:val="auto"/>
              </w:rPr>
            </w:pPr>
            <w:r>
              <w:rPr>
                <w:rFonts w:ascii="Arial" w:cs="Arial" w:eastAsia="Arial" w:hAnsi="Arial"/>
                <w:sz w:val="18"/>
                <w:szCs w:val="18"/>
                <w:color w:val="auto"/>
              </w:rPr>
              <w:t>- 0.87%</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0.29</w:t>
            </w:r>
          </w:p>
        </w:tc>
        <w:tc>
          <w:tcPr>
            <w:tcW w:w="1460" w:type="dxa"/>
            <w:vAlign w:val="bottom"/>
          </w:tcPr>
          <w:p>
            <w:pPr>
              <w:ind w:left="20"/>
              <w:spacing w:after="0"/>
              <w:rPr>
                <w:sz w:val="20"/>
                <w:szCs w:val="20"/>
                <w:color w:val="auto"/>
              </w:rPr>
            </w:pPr>
            <w:r>
              <w:rPr>
                <w:rFonts w:ascii="Arial" w:cs="Arial" w:eastAsia="Arial" w:hAnsi="Arial"/>
                <w:sz w:val="18"/>
                <w:szCs w:val="18"/>
                <w:color w:val="auto"/>
              </w:rPr>
              <w:t>- 1.68%</w:t>
            </w: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- 76.36%</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57.44</w:t>
            </w:r>
          </w:p>
        </w:tc>
        <w:tc>
          <w:tcPr>
            <w:tcW w:w="1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- 66.49%</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tcPr>
          <w:p>
            <w:pPr>
              <w:spacing w:after="0"/>
              <w:rPr>
                <w:sz w:val="19"/>
                <w:szCs w:val="19"/>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w w:val="84"/>
              </w:rPr>
              <w:t>0%</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w w:val="84"/>
              </w:rPr>
              <w:t>0%</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4.5 - 5.8</w:t>
            </w:r>
          </w:p>
        </w:tc>
        <w:tc>
          <w:tcPr>
            <w:tcW w:w="3480" w:type="dxa"/>
            <w:vAlign w:val="bottom"/>
            <w:gridSpan w:val="4"/>
            <w:shd w:val="clear" w:color="auto" w:fill="CFF0FC"/>
          </w:tcPr>
          <w:p>
            <w:pPr>
              <w:jc w:val="right"/>
              <w:ind w:right="950"/>
              <w:spacing w:after="0"/>
              <w:rPr>
                <w:sz w:val="20"/>
                <w:szCs w:val="20"/>
                <w:color w:val="auto"/>
              </w:rPr>
            </w:pPr>
            <w:r>
              <w:rPr>
                <w:rFonts w:ascii="Arial" w:cs="Arial" w:eastAsia="Arial" w:hAnsi="Arial"/>
                <w:sz w:val="18"/>
                <w:szCs w:val="18"/>
                <w:color w:val="auto"/>
              </w:rPr>
              <w:t>4.5 - 5.6</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As of June 30, 2021, there was $2.1 million of unamortized compensation cost related to unvested stock option awards which is expected to be recognized over a remaining weighted-average vesting period of 0.66 years, on a straight-line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 and Private Placement Transactions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ind w:firstLine="510"/>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Potentially dilutive outstanding stock options excluded from diluted net loss per common share due to their anti-dilutive effect totaled 8,218,265 shares and 7,609,387 shares for the three and six months ended June 30, 2021 and 2020,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13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July 20, 2021, the Company entered into a lease agreement (the “Lease”) with The Irvine Company LLC (the “Landlord”). The Lease is for the Company’s corporate headquarters. The term of the Lease is 60 months, from February 1, 2022 to January 31, 2027 and provides for monthly base rent starting at $14,464 with incremental increases for each calendar year thereafter.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2020 included in our Annual Report on Form 10-K filed with the Securities and Exchange Commission, or SEC, on February 19, 2021.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80"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June 30, 2021, from inception, our accumulated deficit was $387.4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20"/>
        <w:spacing w:after="0" w:line="254"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86" w:lineRule="exact"/>
        <w:rPr>
          <w:rFonts w:ascii="Arial" w:cs="Arial" w:eastAsia="Arial" w:hAnsi="Arial"/>
          <w:sz w:val="18"/>
          <w:szCs w:val="18"/>
          <w:color w:val="auto"/>
        </w:rPr>
      </w:pPr>
    </w:p>
    <w:p>
      <w:pPr>
        <w:ind w:left="1020" w:hanging="55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left="1000" w:right="4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2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published study of MN-166 (ibudilast) in an animal model of ARDS. During the pandemic, we have been able to continue with routine regulatory activities. For example, we successfully submitted an Investigational New Drug Application (IND) for MN-166 (ibudilast) for prevention of ARDS which was accepted and is now open with the U.S. Food and Drug Administration (FDA). We were also informed by the FDA that the proposed clinical investigation of MN-166 (ibudilast) for the prevention of ARDS in patients with COVID-19 may proceed.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We assessed the services in accordance with the authoritative guidance and concluded that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June 30, 2021.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in the three and six months ended June 30, 2021 and 2020, in connection with the collaboration agreement with Kissei.</w:t>
      </w:r>
    </w:p>
    <w:p>
      <w:pPr>
        <w:spacing w:after="0" w:line="3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December 2005, Avigen, Inc. and Genzyme Corporation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 The development milestones outlined in the Genzyme Agreement did not meet the definition of a substantive milestone obligation under authoritative guidance on revenue recognition for milestone payments, as Genzyme is responsible for the development of the products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of $4 million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2021 as our development programs progress.</w:t>
      </w:r>
    </w:p>
    <w:p>
      <w:pPr>
        <w:spacing w:after="0" w:line="18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5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ind w:left="380"/>
              <w:spacing w:after="0"/>
              <w:rPr>
                <w:sz w:val="20"/>
                <w:szCs w:val="20"/>
                <w:color w:val="auto"/>
              </w:rPr>
            </w:pPr>
            <w:r>
              <w:rPr>
                <w:rFonts w:ascii="Arial" w:cs="Arial" w:eastAsia="Arial" w:hAnsi="Arial"/>
                <w:sz w:val="18"/>
                <w:szCs w:val="18"/>
                <w:color w:val="auto"/>
              </w:rPr>
              <w:t>MN-221</w:t>
            </w:r>
          </w:p>
        </w:tc>
        <w:tc>
          <w:tcPr>
            <w:tcW w:w="1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MN-001</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and depreciation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Patent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10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70"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contained in our Annual Report on Form 10-K for the year ended December 31, 2020. There have not been any material changes to the critical accounting policies discussed therein during the six months ended June 30, 2021.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Research, development and patents expenses were $2.5 million and $2.2 million for the three months ended June 30, 2021 and 2020,</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respectively. The increase of $0.3 million was primarily due to higher clinical trial expenses from the ongoing clinical trial of MN-166 (ibudilast) in ALS.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General and administrative expenses were $1.8 million and $2.3 million for the three months ended June 30, 2021 and 2020, respectively. The decrease of $0.5 million was primarily due to lower stock compensation expense for performance-based stock options resulting from a decrease in our stock price and decreased consultant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Revenues were $4.0 million and $0.0 million for the six months ended June 30, 2021 and 2020, respectively. The increase of $4.0 million was due to the receipt of two milestone payments under the Genzyme Agreement.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Research, development and patents expenses were $4.7 million and $3.4 million for the six months ended June 30, 2021 and 2020, respectively. The increase of $1.3 million was primarily due to higher clinical trial expenses from the ongoing clinical trial of MN-166 (ibudilast) in ALS and higher stock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General and administrative expenses were $3.8 million and $4.0 million for the six months ended June 30, 2021 and 2020, respectively. The decrease of $0.2 million was primarily due to lower legal expenses.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Net cash used in operating activities during the six months ended June 30, 2021 was $2.7 million compared to $5.0 million during the same period in 2020. The $2.3 million change is primarily related to the decreased net loss and changes in operating assets and liabilities for those periods.</w:t>
      </w:r>
    </w:p>
    <w:p>
      <w:pPr>
        <w:spacing w:after="0" w:line="16"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Net cash provided by financing activities was $20.5 million during the six months ended June 30, 2021 compared to $1.6 million during the same period in 2020. Net cash provided by financing activities during the six months ended June 30, 2021 is primarily due to the sale of 3,656,307 shares of common stock under the Securities Purchase Agreement dated as of January 11, 2021 for net proceeds of $19.9 million. Net cash provided by financing activities during the six months ended June 30, 2020 is primarily due to the sale of 209,671 shares of common stock under the 2019 ATM Agreement for net proceeds of $1.2 million and cash proceeds of $0.4 million from the exercise of options to purchase 143,863 shares of common stock. Cash proceeds from financing activities are used for working capital and general corporate purposes.</w:t>
      </w:r>
    </w:p>
    <w:p>
      <w:pPr>
        <w:spacing w:after="0" w:line="1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August 23, 2019, we entered into an at the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of common stock were sold under the 2019 ATM Agreement in the three and six months ended June 30, 2021.</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17" w:name="page18"/>
    <w:bookmarkEnd w:id="17"/>
    <w:p>
      <w:pPr>
        <w:jc w:val="both"/>
        <w:ind w:right="80" w:firstLine="510"/>
        <w:spacing w:after="0" w:line="263" w:lineRule="auto"/>
        <w:rPr>
          <w:sz w:val="20"/>
          <w:szCs w:val="20"/>
          <w:color w:val="auto"/>
        </w:rPr>
      </w:pPr>
      <w:r>
        <w:rPr>
          <w:rFonts w:ascii="Arial" w:cs="Arial" w:eastAsia="Arial" w:hAnsi="Arial"/>
          <w:sz w:val="18"/>
          <w:szCs w:val="18"/>
          <w:color w:val="auto"/>
        </w:rPr>
        <w:t>As of June 30, 2021, we had available cash and cash equivalents of $77.8 million and working capital of $76.4 million. As of the date of this report, we believe we have working capital sufficient to fund operations at least through the end of 2022. However, we cannot provide assurance that these capital resources will be sufficient to conduct all our research and development programs as planned.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37"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There have been no material changes to our contractual obligations and commitments outside the ordinary course of business during the six months ended June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40" w:firstLine="510"/>
        <w:spacing w:after="0" w:line="296" w:lineRule="auto"/>
        <w:rPr>
          <w:sz w:val="20"/>
          <w:szCs w:val="20"/>
          <w:color w:val="auto"/>
        </w:rPr>
      </w:pPr>
      <w:r>
        <w:rPr>
          <w:rFonts w:ascii="Arial" w:cs="Arial" w:eastAsia="Arial" w:hAnsi="Arial"/>
          <w:sz w:val="16"/>
          <w:szCs w:val="16"/>
          <w:color w:val="auto"/>
        </w:rPr>
        <w:t>At June 30, 2021,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Cash and cash equivalents as of June 30, 2021 were $77.8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2021.</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665" w:right="7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June 30, 2021.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2020.</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5.</w:t>
            </w:r>
          </w:p>
        </w:tc>
        <w:tc>
          <w:tcPr>
            <w:tcW w:w="1020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040" w:type="dxa"/>
            <w:vAlign w:val="bottom"/>
            <w:gridSpan w:val="3"/>
          </w:tcPr>
          <w:p>
            <w:pPr>
              <w:ind w:left="520"/>
              <w:spacing w:after="0"/>
              <w:rPr>
                <w:sz w:val="20"/>
                <w:szCs w:val="20"/>
                <w:color w:val="auto"/>
              </w:rPr>
            </w:pPr>
            <w:r>
              <w:rPr>
                <w:rFonts w:ascii="Arial" w:cs="Arial" w:eastAsia="Arial" w:hAnsi="Arial"/>
                <w:sz w:val="18"/>
                <w:szCs w:val="18"/>
                <w:color w:val="auto"/>
              </w:rPr>
              <w:t>None</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6.</w:t>
            </w:r>
          </w:p>
        </w:tc>
        <w:tc>
          <w:tcPr>
            <w:tcW w:w="102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90"/>
        </w:trPr>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20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31.1</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31.2</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32.1</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ind w:right="540"/>
        <w:spacing w:after="0" w:line="277" w:lineRule="auto"/>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ind w:right="100"/>
        <w:spacing w:after="0" w:line="277" w:lineRule="auto"/>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Amended and Restated Bylaws of the Registrant (incorporated by reference to Exhibit 3.1 of the Registrant’s Current Report on Form 8-K filed</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April 25, 2019).</w:t>
        </w:r>
      </w:hyperlink>
    </w:p>
    <w:p>
      <w:pPr>
        <w:spacing w:after="0" w:line="76"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Certification of Principal Executive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Certification of Principal Financial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Principal Executive Officer pursuant to 18 U.S.C. Section 1350 (Section 906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Principal Financial Officer pursuant to 18 U.S.C. Section 1350 (Section 906 of the Sarbanes-Oxley Act of 2002).</w:t>
        </w:r>
      </w:hyperlink>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financial statements from the MediciNova, Inc. Quarterly Report on Form 10-Q for the quarter ended June 30, 2021 are formatted in Inline Extensible Business Reporting Language (iXBRL):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7" w:lineRule="exact"/>
        <w:rPr>
          <w:sz w:val="20"/>
          <w:szCs w:val="20"/>
          <w:color w:val="auto"/>
        </w:rPr>
      </w:pPr>
    </w:p>
    <w:p>
      <w:pPr>
        <w:sectPr>
          <w:pgSz w:w="11900" w:h="16838" w:orient="portrait"/>
          <w:cols w:equalWidth="0" w:num="2">
            <w:col w:w="500" w:space="300"/>
            <w:col w:w="10440"/>
          </w:cols>
          <w:pgMar w:left="320" w:top="337" w:right="339" w:bottom="1440" w:gutter="0" w:footer="0" w:header="0"/>
          <w:type w:val="continuous"/>
        </w:sectPr>
      </w:pPr>
    </w:p>
    <w:p>
      <w:pPr>
        <w:spacing w:after="0"/>
        <w:tabs>
          <w:tab w:leader="none" w:pos="780" w:val="left"/>
        </w:tabs>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16"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Yuichi Iwaki, M.D., Ph.D.</w:t>
      </w:r>
    </w:p>
    <w:p>
      <w:pPr>
        <w:jc w:val="center"/>
        <w:ind w:left="67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460"/>
        <w:spacing w:after="0"/>
        <w:tabs>
          <w:tab w:leader="none" w:pos="820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3"/>
          <w:szCs w:val="13"/>
          <w:color w:val="auto"/>
        </w:rPr>
        <w:t>OUGLAS</w:t>
      </w:r>
      <w:r>
        <w:rPr>
          <w:rFonts w:ascii="Arial" w:cs="Arial" w:eastAsia="Arial" w:hAnsi="Arial"/>
          <w:sz w:val="18"/>
          <w:szCs w:val="18"/>
          <w:color w:val="auto"/>
        </w:rPr>
        <w:t xml:space="preserve"> P</w:t>
      </w:r>
      <w:r>
        <w:rPr>
          <w:rFonts w:ascii="Arial" w:cs="Arial" w:eastAsia="Arial" w:hAnsi="Arial"/>
          <w:sz w:val="13"/>
          <w:szCs w:val="13"/>
          <w:color w:val="auto"/>
        </w:rPr>
        <w:t>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Douglas Paulin</w:t>
      </w:r>
    </w:p>
    <w:p>
      <w:pPr>
        <w:jc w:val="center"/>
        <w:ind w:left="67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320" w:top="553" w:right="7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Paulin,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tab/>
        <w:t>D</w:t>
      </w:r>
      <w:r>
        <w:rPr>
          <w:rFonts w:ascii="Arial" w:cs="Arial" w:eastAsia="Arial" w:hAnsi="Arial"/>
          <w:sz w:val="13"/>
          <w:szCs w:val="13"/>
          <w:color w:val="auto"/>
        </w:rPr>
        <w:t>OUGLAS</w:t>
      </w:r>
      <w:r>
        <w:rPr>
          <w:rFonts w:ascii="Arial" w:cs="Arial" w:eastAsia="Arial" w:hAnsi="Arial"/>
          <w:sz w:val="18"/>
          <w:szCs w:val="18"/>
          <w:color w:val="auto"/>
        </w:rPr>
        <w:t xml:space="preserve"> P</w:t>
      </w:r>
      <w:r>
        <w:rPr>
          <w:rFonts w:ascii="Arial" w:cs="Arial" w:eastAsia="Arial" w:hAnsi="Arial"/>
          <w:sz w:val="13"/>
          <w:szCs w:val="13"/>
          <w:color w:val="auto"/>
        </w:rPr>
        <w:t>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Douglas Paulin</w:t>
      </w:r>
    </w:p>
    <w:p>
      <w:pPr>
        <w:ind w:left="72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June 30, 2021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2021, as filed with the Securities and Exchange Commission on the date hereof (the “Report”), I, Douglas Paulin, as Chief Financial Officer of the Company, hereby certify, pursuant to 18 U.S.C. Section 1350, as adopted pursuant to Section 906 of the Sarbanes-Oxley Act of 2002, that to my knowledge:</w:t>
      </w:r>
    </w:p>
    <w:p>
      <w:pPr>
        <w:spacing w:after="0" w:line="41" w:lineRule="exact"/>
        <w:rPr>
          <w:sz w:val="20"/>
          <w:szCs w:val="20"/>
          <w:color w:val="auto"/>
        </w:rPr>
      </w:pPr>
    </w:p>
    <w:p>
      <w:pPr>
        <w:ind w:left="1180" w:hanging="17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ind w:left="6760"/>
        <w:spacing w:after="0"/>
        <w:tabs>
          <w:tab w:leader="none" w:pos="842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3"/>
          <w:szCs w:val="13"/>
          <w:color w:val="auto"/>
        </w:rPr>
        <w:t>OUGLAS</w:t>
      </w:r>
      <w:r>
        <w:rPr>
          <w:rFonts w:ascii="Arial" w:cs="Arial" w:eastAsia="Arial" w:hAnsi="Arial"/>
          <w:sz w:val="18"/>
          <w:szCs w:val="18"/>
          <w:color w:val="auto"/>
        </w:rPr>
        <w:t xml:space="preserve"> P</w:t>
      </w:r>
      <w:r>
        <w:rPr>
          <w:rFonts w:ascii="Arial" w:cs="Arial" w:eastAsia="Arial" w:hAnsi="Arial"/>
          <w:sz w:val="13"/>
          <w:szCs w:val="13"/>
          <w:color w:val="auto"/>
        </w:rPr>
        <w:t>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Douglas Paulin</w:t>
      </w:r>
    </w:p>
    <w:p>
      <w:pPr>
        <w:jc w:val="center"/>
        <w:ind w:left="72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6" Type="http://schemas.openxmlformats.org/officeDocument/2006/relationships/hyperlink" Target="http://www.sec.gov/Archives/edgar/data/1226616/000119312512347932/d344794dex31.htm" TargetMode="External"/><Relationship Id="rId37" Type="http://schemas.openxmlformats.org/officeDocument/2006/relationships/hyperlink" Target="http://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2021-08-12T15:53:19Z</dcterms:created>
  <dcterms:modified xsi:type="dcterms:W3CDTF">2021-08-12T15:53:19Z</dcterms:modified>
</cp:coreProperties>
</file>