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99060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118110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6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right="2380" w:hanging="452"/>
        <w:spacing w:after="0" w:line="328"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9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w:t>
            </w:r>
          </w:p>
        </w:tc>
        <w:tc>
          <w:tcPr>
            <w:tcW w:w="2240" w:type="dxa"/>
            <w:vAlign w:val="bottom"/>
          </w:tcPr>
          <w:p>
            <w:pPr>
              <w:spacing w:after="0"/>
              <w:rPr>
                <w:sz w:val="19"/>
                <w:szCs w:val="19"/>
                <w:color w:val="auto"/>
              </w:rPr>
            </w:pPr>
          </w:p>
        </w:tc>
      </w:tr>
      <w:tr>
        <w:trPr>
          <w:trHeight w:val="151"/>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2"/>
        </w:trPr>
        <w:tc>
          <w:tcPr>
            <w:tcW w:w="3060" w:type="dxa"/>
            <w:vAlign w:val="bottom"/>
          </w:tcPr>
          <w:p>
            <w:pPr>
              <w:spacing w:after="0"/>
              <w:rPr>
                <w:sz w:val="24"/>
                <w:szCs w:val="2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8"/>
                <w:szCs w:val="18"/>
                <w:b w:val="1"/>
                <w:bCs w:val="1"/>
                <w:color w:val="auto"/>
                <w:w w:val="87"/>
              </w:rPr>
              <w:t>Commission file number: 001-33185</w:t>
            </w:r>
          </w:p>
        </w:tc>
        <w:tc>
          <w:tcPr>
            <w:tcW w:w="2240" w:type="dxa"/>
            <w:vAlign w:val="bottom"/>
          </w:tcPr>
          <w:p>
            <w:pPr>
              <w:spacing w:after="0"/>
              <w:rPr>
                <w:sz w:val="24"/>
                <w:szCs w:val="24"/>
                <w:color w:val="auto"/>
              </w:rPr>
            </w:pPr>
          </w:p>
        </w:tc>
      </w:tr>
      <w:tr>
        <w:trPr>
          <w:trHeight w:val="421"/>
        </w:trPr>
        <w:tc>
          <w:tcPr>
            <w:tcW w:w="3060" w:type="dxa"/>
            <w:vAlign w:val="bottom"/>
          </w:tcPr>
          <w:p>
            <w:pPr>
              <w:spacing w:after="0"/>
              <w:rPr>
                <w:sz w:val="24"/>
                <w:szCs w:val="24"/>
                <w:color w:val="auto"/>
              </w:rPr>
            </w:pPr>
          </w:p>
        </w:tc>
        <w:tc>
          <w:tcPr>
            <w:tcW w:w="3960" w:type="dxa"/>
            <w:vAlign w:val="bottom"/>
            <w:gridSpan w:val="3"/>
          </w:tcPr>
          <w:p>
            <w:pPr>
              <w:jc w:val="center"/>
              <w:ind w:left="347"/>
              <w:spacing w:after="0"/>
              <w:rPr>
                <w:sz w:val="20"/>
                <w:szCs w:val="20"/>
                <w:color w:val="auto"/>
              </w:rPr>
            </w:pPr>
            <w:r>
              <w:rPr>
                <w:rFonts w:ascii="Arial" w:cs="Arial" w:eastAsia="Arial" w:hAnsi="Arial"/>
                <w:sz w:val="32"/>
                <w:szCs w:val="32"/>
                <w:b w:val="1"/>
                <w:bCs w:val="1"/>
                <w:color w:val="auto"/>
              </w:rPr>
              <w:t>MEDICINOVA, INC.</w:t>
            </w:r>
          </w:p>
        </w:tc>
        <w:tc>
          <w:tcPr>
            <w:tcW w:w="2240" w:type="dxa"/>
            <w:vAlign w:val="bottom"/>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40" w:type="dxa"/>
            <w:vAlign w:val="bottom"/>
          </w:tcPr>
          <w:p>
            <w:pPr>
              <w:spacing w:after="0"/>
              <w:rPr>
                <w:sz w:val="15"/>
                <w:szCs w:val="15"/>
                <w:color w:val="auto"/>
              </w:rPr>
            </w:pPr>
          </w:p>
        </w:tc>
      </w:tr>
      <w:tr>
        <w:trPr>
          <w:trHeight w:val="258"/>
        </w:trPr>
        <w:tc>
          <w:tcPr>
            <w:tcW w:w="3060" w:type="dxa"/>
            <w:vAlign w:val="bottom"/>
          </w:tcPr>
          <w:p>
            <w:pPr>
              <w:jc w:val="center"/>
              <w:ind w:left="1682"/>
              <w:spacing w:after="0"/>
              <w:rPr>
                <w:sz w:val="20"/>
                <w:szCs w:val="20"/>
                <w:color w:val="auto"/>
              </w:rPr>
            </w:pPr>
            <w:r>
              <w:rPr>
                <w:rFonts w:ascii="Arial" w:cs="Arial" w:eastAsia="Arial" w:hAnsi="Arial"/>
                <w:sz w:val="18"/>
                <w:szCs w:val="18"/>
                <w:b w:val="1"/>
                <w:bCs w:val="1"/>
                <w:color w:val="auto"/>
                <w:w w:val="88"/>
              </w:rPr>
              <w:t>Delaware</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40" w:type="dxa"/>
            <w:vAlign w:val="bottom"/>
          </w:tcPr>
          <w:p>
            <w:pPr>
              <w:jc w:val="right"/>
              <w:ind w:right="54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60" w:type="dxa"/>
            <w:vAlign w:val="bottom"/>
          </w:tcPr>
          <w:p>
            <w:pPr>
              <w:jc w:val="center"/>
              <w:ind w:left="1682"/>
              <w:spacing w:after="0"/>
              <w:rPr>
                <w:sz w:val="20"/>
                <w:szCs w:val="20"/>
                <w:color w:val="auto"/>
              </w:rPr>
            </w:pPr>
            <w:r>
              <w:rPr>
                <w:rFonts w:ascii="Arial" w:cs="Arial" w:eastAsia="Arial" w:hAnsi="Arial"/>
                <w:sz w:val="14"/>
                <w:szCs w:val="14"/>
                <w:b w:val="1"/>
                <w:bCs w:val="1"/>
                <w:color w:val="auto"/>
                <w:w w:val="90"/>
              </w:rPr>
              <w:t>or Organization)</w:t>
            </w:r>
          </w:p>
        </w:tc>
        <w:tc>
          <w:tcPr>
            <w:tcW w:w="1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2"/>
        </w:trPr>
        <w:tc>
          <w:tcPr>
            <w:tcW w:w="702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9"/>
              </w:rPr>
              <w:t>4350 La Jolla Village Drive, Suite 950, San Diego, CA</w:t>
            </w:r>
          </w:p>
        </w:tc>
        <w:tc>
          <w:tcPr>
            <w:tcW w:w="2240" w:type="dxa"/>
            <w:vAlign w:val="bottom"/>
          </w:tcPr>
          <w:p>
            <w:pPr>
              <w:jc w:val="right"/>
              <w:ind w:right="742"/>
              <w:spacing w:after="0"/>
              <w:rPr>
                <w:sz w:val="20"/>
                <w:szCs w:val="20"/>
                <w:color w:val="auto"/>
              </w:rPr>
            </w:pPr>
            <w:r>
              <w:rPr>
                <w:rFonts w:ascii="Arial" w:cs="Arial" w:eastAsia="Arial" w:hAnsi="Arial"/>
                <w:sz w:val="18"/>
                <w:szCs w:val="18"/>
                <w:b w:val="1"/>
                <w:bCs w:val="1"/>
                <w:color w:val="auto"/>
              </w:rPr>
              <w:t>92122</w:t>
            </w:r>
          </w:p>
        </w:tc>
      </w:tr>
      <w:tr>
        <w:trPr>
          <w:trHeight w:val="174"/>
        </w:trPr>
        <w:tc>
          <w:tcPr>
            <w:tcW w:w="70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060" w:type="dxa"/>
            <w:vAlign w:val="bottom"/>
          </w:tcPr>
          <w:p>
            <w:pPr>
              <w:spacing w:after="0"/>
              <w:rPr>
                <w:sz w:val="22"/>
                <w:szCs w:val="22"/>
                <w:color w:val="auto"/>
              </w:rPr>
            </w:pPr>
          </w:p>
        </w:tc>
        <w:tc>
          <w:tcPr>
            <w:tcW w:w="3380" w:type="dxa"/>
            <w:vAlign w:val="bottom"/>
            <w:gridSpan w:val="2"/>
          </w:tcPr>
          <w:p>
            <w:pPr>
              <w:jc w:val="center"/>
              <w:ind w:left="907"/>
              <w:spacing w:after="0"/>
              <w:rPr>
                <w:sz w:val="20"/>
                <w:szCs w:val="20"/>
                <w:color w:val="auto"/>
              </w:rPr>
            </w:pPr>
            <w:r>
              <w:rPr>
                <w:rFonts w:ascii="Arial" w:cs="Arial" w:eastAsia="Arial" w:hAnsi="Arial"/>
                <w:sz w:val="18"/>
                <w:szCs w:val="18"/>
                <w:b w:val="1"/>
                <w:bCs w:val="1"/>
                <w:color w:val="auto"/>
                <w:w w:val="89"/>
              </w:rPr>
              <w:t>(858) 373-1500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167"/>
        </w:trPr>
        <w:tc>
          <w:tcPr>
            <w:tcW w:w="3060" w:type="dxa"/>
            <w:vAlign w:val="bottom"/>
          </w:tcPr>
          <w:p>
            <w:pPr>
              <w:spacing w:after="0"/>
              <w:rPr>
                <w:sz w:val="14"/>
                <w:szCs w:val="1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4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95"/>
        </w:trPr>
        <w:tc>
          <w:tcPr>
            <w:tcW w:w="6820" w:type="dxa"/>
            <w:vAlign w:val="bottom"/>
            <w:gridSpan w:val="3"/>
          </w:tcPr>
          <w:p>
            <w:pPr>
              <w:jc w:val="center"/>
              <w:ind w:right="1932"/>
              <w:spacing w:after="0" w:line="195" w:lineRule="exact"/>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The NASDAQ Stock Market LLC</w:t>
            </w:r>
          </w:p>
        </w:tc>
      </w:tr>
      <w:tr>
        <w:trPr>
          <w:trHeight w:val="228"/>
        </w:trPr>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8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No</w:t>
            </w:r>
          </w:p>
        </w:tc>
        <w:tc>
          <w:tcPr>
            <w:tcW w:w="76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3980" w:val="left"/>
          <w:tab w:leader="none" w:pos="5920" w:val="left"/>
        </w:tabs>
        <w:rPr>
          <w:sz w:val="20"/>
          <w:szCs w:val="20"/>
          <w:color w:val="auto"/>
        </w:rPr>
      </w:pPr>
      <w:r>
        <w:rPr>
          <w:rFonts w:ascii="Arial" w:cs="Arial" w:eastAsia="Arial" w:hAnsi="Arial"/>
          <w:sz w:val="18"/>
          <w:szCs w:val="18"/>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$47,762,993 based on the closing price of the registrant’s common stock on the Nasdaq Global Market of $4.70 per share on June 30, 2008.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27, 2009 was 11,984,713.</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2009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40" w:type="dxa"/>
            <w:vAlign w:val="bottom"/>
            <w:gridSpan w:val="9"/>
          </w:tcPr>
          <w:p>
            <w:pPr>
              <w:jc w:val="center"/>
              <w:ind w:right="4220"/>
              <w:spacing w:after="0"/>
              <w:rPr>
                <w:sz w:val="20"/>
                <w:szCs w:val="20"/>
                <w:color w:val="auto"/>
              </w:rPr>
            </w:pPr>
            <w:r>
              <w:rPr>
                <w:rFonts w:ascii="Arial" w:cs="Arial" w:eastAsia="Arial" w:hAnsi="Arial"/>
                <w:sz w:val="18"/>
                <w:szCs w:val="18"/>
                <w:b w:val="1"/>
                <w:bCs w:val="1"/>
                <w:color w:val="auto"/>
              </w:rPr>
              <w:t>MEDICINOVA, INC.</w:t>
            </w:r>
          </w:p>
        </w:tc>
        <w:tc>
          <w:tcPr>
            <w:tcW w:w="380" w:type="dxa"/>
            <w:vAlign w:val="bottom"/>
          </w:tcPr>
          <w:p>
            <w:pPr>
              <w:spacing w:after="0"/>
              <w:rPr>
                <w:sz w:val="19"/>
                <w:szCs w:val="19"/>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10"/>
          </w:tcPr>
          <w:p>
            <w:pPr>
              <w:jc w:val="center"/>
              <w:ind w:right="3780"/>
              <w:spacing w:after="0"/>
              <w:rPr>
                <w:sz w:val="20"/>
                <w:szCs w:val="20"/>
                <w:color w:val="auto"/>
              </w:rPr>
            </w:pPr>
            <w:r>
              <w:rPr>
                <w:rFonts w:ascii="Arial" w:cs="Arial" w:eastAsia="Arial" w:hAnsi="Arial"/>
                <w:sz w:val="18"/>
                <w:szCs w:val="18"/>
                <w:b w:val="1"/>
                <w:bCs w:val="1"/>
                <w:color w:val="auto"/>
                <w:w w:val="97"/>
              </w:rPr>
              <w:t>FORM 10-K—ANNUAL REPORT</w:t>
            </w:r>
          </w:p>
        </w:tc>
        <w:tc>
          <w:tcPr>
            <w:tcW w:w="38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12"/>
          </w:tcPr>
          <w:p>
            <w:pPr>
              <w:jc w:val="center"/>
              <w:ind w:right="2980"/>
              <w:spacing w:after="0"/>
              <w:rPr>
                <w:sz w:val="20"/>
                <w:szCs w:val="20"/>
                <w:color w:val="auto"/>
              </w:rPr>
            </w:pPr>
            <w:r>
              <w:rPr>
                <w:rFonts w:ascii="Arial" w:cs="Arial" w:eastAsia="Arial" w:hAnsi="Arial"/>
                <w:sz w:val="18"/>
                <w:szCs w:val="18"/>
                <w:b w:val="1"/>
                <w:bCs w:val="1"/>
                <w:color w:val="auto"/>
                <w:w w:val="88"/>
              </w:rPr>
              <w:t>For the Fiscal Year Ended December 31, 2008</w:t>
            </w:r>
          </w:p>
        </w:tc>
        <w:tc>
          <w:tcPr>
            <w:tcW w:w="38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8"/>
          </w:tcPr>
          <w:p>
            <w:pPr>
              <w:jc w:val="center"/>
              <w:ind w:right="4640"/>
              <w:spacing w:after="0"/>
              <w:rPr>
                <w:sz w:val="20"/>
                <w:szCs w:val="20"/>
                <w:color w:val="auto"/>
              </w:rPr>
            </w:pPr>
            <w:r>
              <w:rPr>
                <w:rFonts w:ascii="Arial" w:cs="Arial" w:eastAsia="Arial" w:hAnsi="Arial"/>
                <w:sz w:val="18"/>
                <w:szCs w:val="18"/>
                <w:b w:val="1"/>
                <w:bCs w:val="1"/>
                <w:color w:val="auto"/>
                <w:w w:val="86"/>
              </w:rPr>
              <w:t>Table of Contents</w:t>
            </w:r>
          </w:p>
        </w:tc>
        <w:tc>
          <w:tcPr>
            <w:tcW w:w="38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03"/>
        </w:trPr>
        <w:tc>
          <w:tcPr>
            <w:tcW w:w="1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680" w:type="dxa"/>
            <w:vAlign w:val="bottom"/>
            <w:gridSpan w:val="20"/>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Unresolved Staff Comments</w:t>
              </w:r>
            </w:hyperlink>
          </w:p>
        </w:tc>
        <w:tc>
          <w:tcPr>
            <w:tcW w:w="76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Properties</w:t>
              </w:r>
            </w:hyperlink>
          </w:p>
        </w:tc>
        <w:tc>
          <w:tcPr>
            <w:tcW w:w="89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9680" w:type="dxa"/>
            <w:vAlign w:val="bottom"/>
            <w:gridSpan w:val="20"/>
          </w:tcPr>
          <w:p>
            <w:pPr>
              <w:spacing w:after="0" w:line="184" w:lineRule="exact"/>
              <w:rPr>
                <w:rFonts w:ascii="Arial" w:cs="Arial" w:eastAsia="Arial" w:hAnsi="Arial"/>
                <w:sz w:val="18"/>
                <w:szCs w:val="18"/>
                <w:color w:val="0000EE"/>
              </w:rPr>
            </w:pPr>
            <w:hyperlink w:anchor="page57">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spacing w:after="0"/>
              <w:rPr>
                <w:sz w:val="15"/>
                <w:szCs w:val="15"/>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6</w:t>
            </w:r>
          </w:p>
        </w:tc>
        <w:tc>
          <w:tcPr>
            <w:tcW w:w="9680" w:type="dxa"/>
            <w:vAlign w:val="bottom"/>
            <w:gridSpan w:val="20"/>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58</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8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spacing w:after="0"/>
              <w:rPr>
                <w:sz w:val="17"/>
                <w:szCs w:val="17"/>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line="184"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Quantitative and Qualitative Disclosures About Market Risk</w:t>
              </w:r>
            </w:hyperlink>
          </w:p>
        </w:tc>
        <w:tc>
          <w:tcPr>
            <w:tcW w:w="5420" w:type="dxa"/>
            <w:vAlign w:val="bottom"/>
            <w:gridSpan w:val="6"/>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70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68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680" w:type="dxa"/>
            <w:vAlign w:val="bottom"/>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spacing w:after="0"/>
              <w:rPr>
                <w:sz w:val="17"/>
                <w:szCs w:val="17"/>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9A(T)</w:t>
            </w:r>
          </w:p>
        </w:tc>
        <w:tc>
          <w:tcPr>
            <w:tcW w:w="9680" w:type="dxa"/>
            <w:vAlign w:val="bottom"/>
            <w:gridSpan w:val="20"/>
          </w:tcPr>
          <w:p>
            <w:pPr>
              <w:spacing w:after="0" w:line="184"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99</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7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Directors, Executive Officers and Corporate Governance</w:t>
              </w:r>
            </w:hyperlink>
          </w:p>
        </w:tc>
        <w:tc>
          <w:tcPr>
            <w:tcW w:w="5680" w:type="dxa"/>
            <w:vAlign w:val="bottom"/>
            <w:gridSpan w:val="7"/>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100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Executive Compensation</w:t>
              </w:r>
            </w:hyperlink>
          </w:p>
        </w:tc>
        <w:tc>
          <w:tcPr>
            <w:tcW w:w="792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2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spacing w:after="0"/>
              <w:rPr>
                <w:sz w:val="17"/>
                <w:szCs w:val="17"/>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84"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Certain Relationships and Related Transactions, and Director Independence</w:t>
              </w:r>
            </w:hyperlink>
          </w:p>
        </w:tc>
        <w:tc>
          <w:tcPr>
            <w:tcW w:w="4360" w:type="dxa"/>
            <w:vAlign w:val="bottom"/>
            <w:gridSpan w:val="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101</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80" w:type="dxa"/>
            <w:vAlign w:val="bottom"/>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680" w:type="dxa"/>
            <w:vAlign w:val="bottom"/>
            <w:gridSpan w:val="20"/>
          </w:tcPr>
          <w:p>
            <w:pPr>
              <w:spacing w:after="0" w:line="184" w:lineRule="exact"/>
              <w:rPr>
                <w:rFonts w:ascii="Arial" w:cs="Arial" w:eastAsia="Arial" w:hAnsi="Arial"/>
                <w:sz w:val="18"/>
                <w:szCs w:val="18"/>
                <w:color w:val="0000EE"/>
              </w:rPr>
            </w:pPr>
            <w:hyperlink w:anchor="page104">
              <w:r>
                <w:rPr>
                  <w:rFonts w:ascii="Arial" w:cs="Arial" w:eastAsia="Arial" w:hAnsi="Arial"/>
                  <w:sz w:val="18"/>
                  <w:szCs w:val="18"/>
                  <w:color w:val="0000EE"/>
                </w:rPr>
                <w:t>Exhibits, Financial Statement Schedules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102</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one or more strategic partners and terms of any related transactions; intense competition if any of our product candidates are ever commercialized; the potential impact of uncertainties in the credit and capital markets or a future deterioration of these markets on our investment portfolio; and our ability to raise sufficient capital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our ability to gain access to and acquire potentially high-value product candidates from Japanese and European pharmaceutical companies is largely attributable to the established relationships and broad industry experience of our management team. In particular, we believe our relationships with Japanese pharmaceutical companies and their executives provide us with a competitive advantage in opportunistically sourcing product candidates from Japanese pharmaceutical companies at attractive terms. Since our inception, we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have established relationships with a number of pharmaceutical companies, including Kissei Pharmaceutical Co., Ltd., or Kissei Pharmaceutical, Kyorin Pharmaceutical Co., Ltd., or Kyorin Pharmaceutical, Mitsubishi Tanabe Pharma Corporation and Meiji Seika Kaisha, Ltd., or Meiji Seika Kaisha, in Japan and Angiogene Pharmaceuticals, Ltd., or Angiogene Pharmaceuticals, in the United Kingdom, pursuant to which we have obtained rights to develop and commercialize our current product candidates.</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To date, we have acquired licenses to eight compounds for the development of ten product candidates in what we believe are large and underserved markets. Our development pipeline consists of eight programs which have been in clinical development for the treatment of asthma, acute exacerbations of asthma, multiple sclerosis, or MS, interstitial cystitis, solid tumor cancers, Generalized Anxiety Disorder/insomnia, preterm labor and urinary incontinence. Our earlier stage programs consist of two product candidates which have been in preclinical development for the treatment of thrombotic disorders.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strategy is to focus our resources on the development of two prioritized product development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1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c>
          <w:tcPr>
            <w:tcW w:w="3240" w:type="dxa"/>
            <w:vAlign w:val="bottom"/>
            <w:gridSpan w:val="3"/>
          </w:tcPr>
          <w:p>
            <w:pPr>
              <w:ind w:left="400"/>
              <w:spacing w:after="0"/>
              <w:rPr>
                <w:sz w:val="20"/>
                <w:szCs w:val="20"/>
                <w:color w:val="auto"/>
              </w:rPr>
            </w:pPr>
            <w:r>
              <w:rPr>
                <w:rFonts w:ascii="Arial" w:cs="Arial" w:eastAsia="Arial" w:hAnsi="Arial"/>
                <w:sz w:val="18"/>
                <w:szCs w:val="18"/>
                <w:b w:val="1"/>
                <w:bCs w:val="1"/>
                <w:color w:val="auto"/>
              </w:rPr>
              <w:t>Phase of Development</w:t>
            </w: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Licensor</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r>
      <w:tr>
        <w:trPr>
          <w:trHeight w:val="195"/>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MN-221</w:t>
            </w:r>
          </w:p>
        </w:tc>
        <w:tc>
          <w:tcPr>
            <w:tcW w:w="34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Acute exacerbations</w:t>
            </w:r>
          </w:p>
        </w:tc>
        <w:tc>
          <w:tcPr>
            <w:tcW w:w="1140" w:type="dxa"/>
            <w:vAlign w:val="bottom"/>
          </w:tcPr>
          <w:p>
            <w:pPr>
              <w:ind w:left="60"/>
              <w:spacing w:after="0" w:line="195" w:lineRule="exact"/>
              <w:rPr>
                <w:sz w:val="20"/>
                <w:szCs w:val="20"/>
                <w:color w:val="auto"/>
              </w:rPr>
            </w:pPr>
            <w:r>
              <w:rPr>
                <w:rFonts w:ascii="Arial" w:cs="Arial" w:eastAsia="Arial" w:hAnsi="Arial"/>
                <w:sz w:val="18"/>
                <w:szCs w:val="18"/>
                <w:color w:val="auto"/>
              </w:rPr>
              <w:t>of asthma</w:t>
            </w:r>
          </w:p>
        </w:tc>
        <w:tc>
          <w:tcPr>
            <w:tcW w:w="400" w:type="dxa"/>
            <w:vAlign w:val="bottom"/>
          </w:tcPr>
          <w:p>
            <w:pPr>
              <w:spacing w:after="0"/>
              <w:rPr>
                <w:sz w:val="16"/>
                <w:szCs w:val="16"/>
                <w:color w:val="auto"/>
              </w:rPr>
            </w:pPr>
          </w:p>
        </w:tc>
        <w:tc>
          <w:tcPr>
            <w:tcW w:w="1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Phase II clinical trial in</w:t>
            </w:r>
          </w:p>
        </w:tc>
        <w:tc>
          <w:tcPr>
            <w:tcW w:w="1160" w:type="dxa"/>
            <w:vAlign w:val="bottom"/>
          </w:tcPr>
          <w:p>
            <w:pPr>
              <w:spacing w:after="0" w:line="195" w:lineRule="exact"/>
              <w:rPr>
                <w:sz w:val="20"/>
                <w:szCs w:val="20"/>
                <w:color w:val="auto"/>
              </w:rPr>
            </w:pPr>
            <w:r>
              <w:rPr>
                <w:rFonts w:ascii="Arial" w:cs="Arial" w:eastAsia="Arial" w:hAnsi="Arial"/>
                <w:sz w:val="18"/>
                <w:szCs w:val="18"/>
                <w:color w:val="auto"/>
              </w:rPr>
              <w:t>emergency</w:t>
            </w: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Kissei</w:t>
            </w:r>
          </w:p>
        </w:tc>
        <w:tc>
          <w:tcPr>
            <w:tcW w:w="110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Worldwide, except</w:t>
            </w:r>
          </w:p>
        </w:tc>
        <w:tc>
          <w:tcPr>
            <w:tcW w:w="880" w:type="dxa"/>
            <w:vAlign w:val="bottom"/>
          </w:tcPr>
          <w:p>
            <w:pPr>
              <w:spacing w:after="0" w:line="195" w:lineRule="exact"/>
              <w:rPr>
                <w:sz w:val="20"/>
                <w:szCs w:val="20"/>
                <w:color w:val="auto"/>
              </w:rPr>
            </w:pPr>
            <w:r>
              <w:rPr>
                <w:rFonts w:ascii="Arial" w:cs="Arial" w:eastAsia="Arial" w:hAnsi="Arial"/>
                <w:sz w:val="18"/>
                <w:szCs w:val="18"/>
                <w:color w:val="auto"/>
              </w:rPr>
              <w:t>Japan</w:t>
            </w: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rooms to determine safety and</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efficacy in patients with severe,</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acute exacerbations of asthma</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initiated in Q1, 2008; interim data</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announced in Q1, 2009.</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Phase II clinical trial to determine</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safety and efficacy with prolonged</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and different infusion rates in</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patients with moderate to severe,</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w w:val="99"/>
              </w:rPr>
              <w:t>stable asthma initiated in Q2, 2008;</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w w:val="96"/>
              </w:rPr>
              <w:t>preliminary results announced in Q3,</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gridSpan w:val="2"/>
          </w:tcPr>
          <w:p>
            <w:pPr>
              <w:ind w:left="400"/>
              <w:spacing w:after="0"/>
              <w:rPr>
                <w:sz w:val="20"/>
                <w:szCs w:val="20"/>
                <w:color w:val="auto"/>
              </w:rPr>
            </w:pPr>
            <w:r>
              <w:rPr>
                <w:rFonts w:ascii="Arial" w:cs="Arial" w:eastAsia="Arial" w:hAnsi="Arial"/>
                <w:sz w:val="18"/>
                <w:szCs w:val="18"/>
                <w:color w:val="auto"/>
              </w:rPr>
              <w:t>2008.</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91"/>
        </w:trPr>
        <w:tc>
          <w:tcPr>
            <w:tcW w:w="920" w:type="dxa"/>
            <w:vAlign w:val="bottom"/>
            <w:gridSpan w:val="2"/>
          </w:tcPr>
          <w:p>
            <w:pPr>
              <w:spacing w:after="0"/>
              <w:rPr>
                <w:sz w:val="20"/>
                <w:szCs w:val="20"/>
                <w:color w:val="auto"/>
              </w:rPr>
            </w:pPr>
            <w:r>
              <w:rPr>
                <w:rFonts w:ascii="Arial" w:cs="Arial" w:eastAsia="Arial" w:hAnsi="Arial"/>
                <w:sz w:val="18"/>
                <w:szCs w:val="18"/>
                <w:color w:val="auto"/>
              </w:rPr>
              <w:t>MN-166</w:t>
            </w:r>
          </w:p>
        </w:tc>
        <w:tc>
          <w:tcPr>
            <w:tcW w:w="3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Phase II clinical trial completed in</w:t>
            </w:r>
          </w:p>
        </w:tc>
        <w:tc>
          <w:tcPr>
            <w:tcW w:w="1760" w:type="dxa"/>
            <w:vAlign w:val="bottom"/>
            <w:gridSpan w:val="2"/>
          </w:tcPr>
          <w:p>
            <w:pPr>
              <w:spacing w:after="0"/>
              <w:rPr>
                <w:sz w:val="20"/>
                <w:szCs w:val="20"/>
                <w:color w:val="auto"/>
              </w:rPr>
            </w:pPr>
            <w:r>
              <w:rPr>
                <w:rFonts w:ascii="Arial" w:cs="Arial" w:eastAsia="Arial" w:hAnsi="Arial"/>
                <w:sz w:val="18"/>
                <w:szCs w:val="18"/>
                <w:color w:val="auto"/>
              </w:rPr>
              <w:t>Kyorin</w:t>
            </w:r>
          </w:p>
        </w:tc>
        <w:tc>
          <w:tcPr>
            <w:tcW w:w="2320" w:type="dxa"/>
            <w:vAlign w:val="bottom"/>
            <w:gridSpan w:val="2"/>
          </w:tcPr>
          <w:p>
            <w:pPr>
              <w:spacing w:after="0"/>
              <w:rPr>
                <w:sz w:val="20"/>
                <w:szCs w:val="20"/>
                <w:color w:val="auto"/>
              </w:rPr>
            </w:pPr>
            <w:r>
              <w:rPr>
                <w:rFonts w:ascii="Arial" w:cs="Arial" w:eastAsia="Arial" w:hAnsi="Arial"/>
                <w:sz w:val="18"/>
                <w:szCs w:val="18"/>
                <w:color w:val="auto"/>
                <w:w w:val="87"/>
              </w:rPr>
              <w:t>Worldwide, except Japan, China,</w:t>
            </w: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Q2, 2008.</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23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r>
      <w:tr>
        <w:trPr>
          <w:trHeight w:val="27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Prototype once-per-day oral</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formulation developed for future</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clinical trials.</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5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completion of proof-of-concept Phase II clinical trials, we will either continue to pursue clinical development independently in the United States, as we presently intend with MN-221, or establish a strategic collaboration to support Phase III clinical development, as we presently intend with MN-166. Following the recent completion of the Phase II clinical trial for MN-166, we are not planning to pursue any further significant clinical development of MN-166 until such time that we are able to secure a strategic collaboration to advance MN-166 into Phase III clinical development.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do not expect that our eight other existing product candidates will be the subject of significant development activity, except as deemed necessary by management to maintain our license rights or maximize the value of such product candidates. We will continue, however, to pursue a variety of initiatives to monetize these product candidates on appropriate terms.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eight product development programs consist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87"/>
              </w:rPr>
              <w:t>Disease/Indication</w:t>
            </w:r>
          </w:p>
        </w:tc>
        <w:tc>
          <w:tcPr>
            <w:tcW w:w="156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w w:val="87"/>
              </w:rPr>
              <w:t>Phase of Development*</w:t>
            </w:r>
          </w:p>
        </w:tc>
        <w:tc>
          <w:tcPr>
            <w:tcW w:w="960" w:type="dxa"/>
            <w:vAlign w:val="bottom"/>
          </w:tcPr>
          <w:p>
            <w:pPr>
              <w:spacing w:after="0"/>
              <w:rPr>
                <w:sz w:val="20"/>
                <w:szCs w:val="20"/>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b w:val="1"/>
                <w:bCs w:val="1"/>
                <w:color w:val="auto"/>
              </w:rPr>
              <w:t>Licensor</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MN-001</w:t>
            </w:r>
          </w:p>
        </w:tc>
        <w:tc>
          <w:tcPr>
            <w:tcW w:w="2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rPr>
              <w:t>Japan, China,</w:t>
            </w:r>
          </w:p>
        </w:tc>
        <w:tc>
          <w:tcPr>
            <w:tcW w:w="0" w:type="dxa"/>
            <w:vAlign w:val="bottom"/>
          </w:tcPr>
          <w:p>
            <w:pPr>
              <w:spacing w:after="0" w:line="20" w:lineRule="exact"/>
              <w:rPr>
                <w:sz w:val="1"/>
                <w:szCs w:val="1"/>
                <w:color w:val="auto"/>
              </w:rPr>
            </w:pPr>
          </w:p>
        </w:tc>
      </w:tr>
      <w:tr>
        <w:trPr>
          <w:trHeight w:val="195"/>
        </w:trPr>
        <w:tc>
          <w:tcPr>
            <w:tcW w:w="9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0" w:type="dxa"/>
            <w:vAlign w:val="bottom"/>
          </w:tcPr>
          <w:p>
            <w:pPr>
              <w:spacing w:after="0" w:line="195" w:lineRule="exact"/>
              <w:rPr>
                <w:sz w:val="20"/>
                <w:szCs w:val="20"/>
                <w:color w:val="auto"/>
              </w:rPr>
            </w:pPr>
            <w:r>
              <w:rPr>
                <w:rFonts w:ascii="Arial" w:cs="Arial" w:eastAsia="Arial" w:hAnsi="Arial"/>
                <w:sz w:val="18"/>
                <w:szCs w:val="18"/>
                <w:color w:val="auto"/>
                <w:w w:val="99"/>
              </w:rPr>
              <w:t>Bronchial asthma</w:t>
            </w:r>
          </w:p>
        </w:tc>
        <w:tc>
          <w:tcPr>
            <w:tcW w:w="1560" w:type="dxa"/>
            <w:vAlign w:val="bottom"/>
            <w:vMerge w:val="continue"/>
          </w:tcPr>
          <w:p>
            <w:pPr>
              <w:spacing w:after="0"/>
              <w:rPr>
                <w:sz w:val="16"/>
                <w:szCs w:val="16"/>
                <w:color w:val="auto"/>
              </w:rPr>
            </w:pPr>
          </w:p>
        </w:tc>
        <w:tc>
          <w:tcPr>
            <w:tcW w:w="2740" w:type="dxa"/>
            <w:vAlign w:val="bottom"/>
            <w:gridSpan w:val="2"/>
          </w:tcPr>
          <w:p>
            <w:pPr>
              <w:spacing w:after="0" w:line="195" w:lineRule="exact"/>
              <w:rPr>
                <w:sz w:val="20"/>
                <w:szCs w:val="20"/>
                <w:color w:val="auto"/>
              </w:rPr>
            </w:pPr>
            <w:r>
              <w:rPr>
                <w:rFonts w:ascii="Arial" w:cs="Arial" w:eastAsia="Arial" w:hAnsi="Arial"/>
                <w:sz w:val="18"/>
                <w:szCs w:val="18"/>
                <w:color w:val="auto"/>
                <w:w w:val="95"/>
              </w:rPr>
              <w:t>Phase III clinical trial initiated in Q4,</w:t>
            </w:r>
          </w:p>
        </w:tc>
        <w:tc>
          <w:tcPr>
            <w:tcW w:w="100" w:type="dxa"/>
            <w:vAlign w:val="bottom"/>
            <w:vMerge w:val="continue"/>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Kyorin</w:t>
            </w:r>
          </w:p>
        </w:tc>
        <w:tc>
          <w:tcPr>
            <w:tcW w:w="1100" w:type="dxa"/>
            <w:vAlign w:val="bottom"/>
            <w:vMerge w:val="continue"/>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w w:val="96"/>
              </w:rPr>
              <w:t>Worldwide, except</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and terminated in Q2, 2007;</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1"/>
              </w:rPr>
              <w:t>Once-per-day oral dosing formulation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prototypes developed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Interstitial cystitis</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Q1, 2007†</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MN-029</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Solid tumors</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Q2,</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Angiogene</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Second Phase I clinical trial</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Pharmaceuticals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completed in Q4,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MN-305</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Generalized Anxiety Disorder/</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Mitsubishi</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Insomnia</w:t>
            </w:r>
          </w:p>
        </w:tc>
        <w:tc>
          <w:tcPr>
            <w:tcW w:w="2740" w:type="dxa"/>
            <w:vAlign w:val="bottom"/>
            <w:gridSpan w:val="2"/>
          </w:tcPr>
          <w:p>
            <w:pPr>
              <w:spacing w:after="0"/>
              <w:rPr>
                <w:sz w:val="20"/>
                <w:szCs w:val="20"/>
                <w:color w:val="auto"/>
              </w:rPr>
            </w:pPr>
            <w:r>
              <w:rPr>
                <w:rFonts w:ascii="Arial" w:cs="Arial" w:eastAsia="Arial" w:hAnsi="Arial"/>
                <w:sz w:val="18"/>
                <w:szCs w:val="18"/>
                <w:color w:val="auto"/>
                <w:w w:val="94"/>
              </w:rPr>
              <w:t>Generalized Anxiety Disorder in Q2,</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Tanabe Pharma</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II clinical trial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7"/>
              </w:rPr>
              <w:t>insomnia completed in Q4,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MN-221</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Preterm labor</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Q2,</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Kissei</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 except Japan</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2007</w:t>
            </w:r>
          </w:p>
        </w:tc>
        <w:tc>
          <w:tcPr>
            <w:tcW w:w="960" w:type="dxa"/>
            <w:vAlign w:val="bottom"/>
          </w:tcPr>
          <w:p>
            <w:pPr>
              <w:spacing w:after="0"/>
              <w:rPr>
                <w:sz w:val="19"/>
                <w:szCs w:val="19"/>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MN-246</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Urinary incontinence</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Q4,</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Mitsubishi</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 food effects study</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Tanabe Pharma</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completed in Q1, 2007</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MN-447</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Thrombotic disorders</w:t>
            </w:r>
          </w:p>
        </w:tc>
        <w:tc>
          <w:tcPr>
            <w:tcW w:w="274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Meiji Seika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Kaisha</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MN-462</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Thrombotic disorders</w:t>
            </w:r>
          </w:p>
        </w:tc>
        <w:tc>
          <w:tcPr>
            <w:tcW w:w="274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Meiji Seika</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Kaisha</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a product candidate to be in Phase II/III when the clinical trial design is such that, if the primary endpoint is met, the results may provide confirmatory evidence of efficacy if we choose to submit the clinical trial as a pivotal trial and the U.S. Food and Drug Administration, or FDA, chooses to review the clinical trial as a pivotal trial. However, in regulatory filings with the FDA, we have nominally described these clinical trials as Phase II clinical trials.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positive signs of efficacy were obtained in the clinical trials conducted on MN-001 in interstitial cystitis and MN-305 in Generalized Anxiety Disorder, the predefined primary statistical endpoints of the clinical trials were not achieved; therefore, we would not anticipate submitting either clinical trial as a pivotal trial supporting a New Drug Application, or NDA, to the FDA.</w:t>
      </w:r>
    </w:p>
    <w:p>
      <w:pPr>
        <w:ind w:left="460" w:right="4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Phase II clinical trial conducted on MN-305 in insomnia, the predefined statistical endpoint of the clinical trial was not achieved; therefore, we terminated any further development of MN-305 for the treatment of insomnia.</w:t>
      </w:r>
    </w:p>
    <w:p>
      <w:pPr>
        <w:spacing w:after="0" w:line="1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assembled a management team with extensive experience in the pharmaceutical and biotechnology industries, including experience in preclinical and clinical research and development, drug substance and product preparation, regulatory affairs and corporate development. We believe that our management team has the expertise necessary for assessing product opportunities, advancing product candidates through the clinical and regulatory processes and building and maintaining product development alliances.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goal is to build a sustainable biopharmaceutical business through the successful development and commercialization of differentiated products for the treatment of diseases with unmet medical need in high-value therapeutic areas. Key elements of our strategy are as follows:</w:t>
      </w:r>
    </w:p>
    <w:p>
      <w:pPr>
        <w:spacing w:after="0" w:line="72" w:lineRule="exact"/>
        <w:rPr>
          <w:sz w:val="20"/>
          <w:szCs w:val="20"/>
          <w:color w:val="auto"/>
        </w:rPr>
      </w:pPr>
    </w:p>
    <w:p>
      <w:pPr>
        <w:ind w:left="780" w:right="80" w:hanging="326"/>
        <w:spacing w:after="0" w:line="288"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Concentrate our resources on our two prioritized product candidates, MN-221 and MN-166. </w:t>
      </w:r>
      <w:r>
        <w:rPr>
          <w:rFonts w:ascii="Arial" w:cs="Arial" w:eastAsia="Arial" w:hAnsi="Arial"/>
          <w:sz w:val="16"/>
          <w:szCs w:val="16"/>
          <w:color w:val="auto"/>
        </w:rPr>
        <w:t>We may either pursue the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of these product candidates ourselves or enter into strategic alliances with larger pharmaceutical companies to do the same. We intend to pursue further development of MN-221 for the treatment of acute exacerbations of asthma independently in the United States; however, following our recent completion of the Phase II clinical trial of MN-166 for the treatment of MS, we are not planning to pursue any further significant clinical development of MN-166 until we secure a strategic collaboration to further development of such product candidate. We intend to actively pursue strategic collaborations for these product development programs to draw on the development, regulatory and commercialization expertise and financial resources of larger biotechnology and pharmaceutical partners. We may also decide to pursue potential partners and potential acquirers of license rights to our programs in markets outside the United States, with the goal of retaining significant commercial participation in these product opportunities.</w:t>
      </w:r>
    </w:p>
    <w:p>
      <w:pPr>
        <w:spacing w:after="0" w:line="25" w:lineRule="exact"/>
        <w:rPr>
          <w:rFonts w:ascii="Arial" w:cs="Arial" w:eastAsia="Arial" w:hAnsi="Arial"/>
          <w:sz w:val="16"/>
          <w:szCs w:val="16"/>
          <w:color w:val="auto"/>
        </w:rPr>
      </w:pPr>
    </w:p>
    <w:p>
      <w:pPr>
        <w:jc w:val="both"/>
        <w:ind w:left="780" w:right="4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value of the remainder of our diversified pipeline of existing product candidates. </w:t>
      </w:r>
      <w:r>
        <w:rPr>
          <w:rFonts w:ascii="Arial" w:cs="Arial" w:eastAsia="Arial" w:hAnsi="Arial"/>
          <w:sz w:val="16"/>
          <w:szCs w:val="16"/>
          <w:color w:val="auto"/>
        </w:rPr>
        <w:t>We will strategically conduct development activities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our existing product candidates, to the extent that we deem any further activities necessary to maintain our license rights or maximize their value, while aggressively pursuing a variety of initiatives to monetize these product candidates on appropriate terms.</w:t>
      </w:r>
    </w:p>
    <w:p>
      <w:pPr>
        <w:spacing w:after="0" w:line="12" w:lineRule="exact"/>
        <w:rPr>
          <w:rFonts w:ascii="Arial" w:cs="Arial" w:eastAsia="Arial" w:hAnsi="Arial"/>
          <w:sz w:val="16"/>
          <w:szCs w:val="16"/>
          <w:color w:val="auto"/>
        </w:rPr>
      </w:pPr>
    </w:p>
    <w:p>
      <w:pPr>
        <w:ind w:left="780" w:hanging="326"/>
        <w:spacing w:after="0" w:line="291"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Opportunistically in-license additional product candidates through our global industry relationships. </w:t>
      </w:r>
      <w:r>
        <w:rPr>
          <w:rFonts w:ascii="Arial" w:cs="Arial" w:eastAsia="Arial" w:hAnsi="Arial"/>
          <w:sz w:val="16"/>
          <w:szCs w:val="16"/>
          <w:color w:val="auto"/>
        </w:rPr>
        <w:t>Over the long term, we intend to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of in-licensed product candidates by continuing to cultivate and strengthen our business relationships with pharmaceutical companies in Japan and other markets. We believe our ability to leverage industry relationships to acquire product candidates with high potential and existing preclinical or early clinical data from Japanese pharmaceutical companies provides us with a 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spacing w:after="0" w:line="25" w:lineRule="exact"/>
        <w:rPr>
          <w:rFonts w:ascii="Arial" w:cs="Arial" w:eastAsia="Arial" w:hAnsi="Arial"/>
          <w:sz w:val="16"/>
          <w:szCs w:val="16"/>
          <w:color w:val="auto"/>
        </w:rPr>
      </w:pPr>
    </w:p>
    <w:p>
      <w:pPr>
        <w:ind w:left="780" w:right="4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add commercial capabilities as our product development programs mature. </w:t>
      </w:r>
      <w:r>
        <w:rPr>
          <w:rFonts w:ascii="Arial" w:cs="Arial" w:eastAsia="Arial" w:hAnsi="Arial"/>
          <w:sz w:val="16"/>
          <w:szCs w:val="16"/>
          <w:color w:val="auto"/>
        </w:rPr>
        <w:t>To ensure our ability to build a sustainable business, we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selectively add commercial capabilities to our management team to support our evolution into a commercial entity as our product development programs mature. We may develop our own marketing and sales organization to promote certain of our product candidates.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2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product acquisitions to date have focused primarily on product candidates with significant preclinical and early clinical testing data that have been developed by the licensors outside of the United States. We utilize the existing data in preparing Investigational New Drug Applications, or INDs, or foreign equivalents and designing additional clinical trials to advance the regulatory approval process. Following are details of our product development programs: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Prioritized Product Candidates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state of the development program for each of our two prioritized product candidates is described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An acute exacerbation of asthma is a long-lasting and severe asthma episode in which asthma symptoms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responsive to initial bronchodilator or corticosteroid therapy. Acute exacerbations of asthma are an emergency situation that can lead to emergency department treatment and, in some cases, hospital admission or death. Beta-agonist agents are the mainstays of acute treatment for these types of asthma attacks and are included in the recommended standard of care according to the National Guideline Clearinghouse from the Department of Health and Human Services for patients suffering from acute exacerbations of asthma.</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Visits to emergency departments for asthma increased from approximately 1.5 million in 1992 to approximately 1.7 million in 2006. Despite significant improvements in the treatment for asthma over the past 20 years, there has not been a corresponding decrease in either hospitalizations or deaths due to asthma. Data from the National Center for Health Statistics show that approximately 444,000 hospital discharges were attributed to asthma in 2006. In addition, there were approximately 2,563 deaths due to asthma during 2006. According to the National Heart, Lung and Blood Institute, the direct costs associated with hospital care due to asthma were $4.7 billion in 2007. We believe that there remains an unmet medical need for a safe and effective treatment for acute exacerbations of asthma that could prevent some of these hospitalizations.</w:t>
      </w:r>
    </w:p>
    <w:p>
      <w:pPr>
        <w:spacing w:after="0" w:line="5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Overview of MN-221 in Acute Exacerbations of Asthma</w:t>
      </w:r>
      <w:r>
        <w:rPr>
          <w:rFonts w:ascii="Arial" w:cs="Arial" w:eastAsia="Arial" w:hAnsi="Arial"/>
          <w:sz w:val="17"/>
          <w:szCs w:val="17"/>
          <w:color w:val="auto"/>
        </w:rPr>
        <w:t>. MN-221 is a novel, highly selective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agonist being developed for the</w:t>
      </w:r>
    </w:p>
    <w:p>
      <w:pPr>
        <w:spacing w:after="0" w:line="78"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 xml:space="preserve">treatment of acute exacerbations of asthma. We licensed MN-221 from Kissei Pharmaceutical. Preclinical studies conducted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showed MN-221 to be highly selective for the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In these studies, the ß</w:t>
      </w:r>
      <w:r>
        <w:rPr>
          <w:rFonts w:ascii="Arial" w:cs="Arial" w:eastAsia="Arial" w:hAnsi="Arial"/>
          <w:sz w:val="19"/>
          <w:szCs w:val="19"/>
          <w:color w:val="auto"/>
          <w:vertAlign w:val="subscript"/>
        </w:rPr>
        <w:t>1</w:t>
      </w:r>
      <w:r>
        <w:rPr>
          <w:rFonts w:ascii="Arial" w:cs="Arial" w:eastAsia="Arial" w:hAnsi="Arial"/>
          <w:sz w:val="15"/>
          <w:szCs w:val="15"/>
          <w:color w:val="auto"/>
        </w:rPr>
        <w:t>-adrenergic receptor stimulating activity of MN-221 was less than that of other ß</w:t>
      </w:r>
      <w:r>
        <w:rPr>
          <w:rFonts w:ascii="Arial" w:cs="Arial" w:eastAsia="Arial" w:hAnsi="Arial"/>
          <w:sz w:val="19"/>
          <w:szCs w:val="19"/>
          <w:color w:val="auto"/>
          <w:vertAlign w:val="subscript"/>
        </w:rPr>
        <w:t>2</w:t>
      </w:r>
      <w:r>
        <w:rPr>
          <w:rFonts w:ascii="Arial" w:cs="Arial" w:eastAsia="Arial" w:hAnsi="Arial"/>
          <w:sz w:val="15"/>
          <w:szCs w:val="15"/>
          <w:color w:val="auto"/>
        </w:rPr>
        <w:t>-</w:t>
      </w:r>
    </w:p>
    <w:p>
      <w:pPr>
        <w:ind w:right="20"/>
        <w:spacing w:after="0" w:line="273" w:lineRule="auto"/>
        <w:rPr>
          <w:sz w:val="20"/>
          <w:szCs w:val="20"/>
          <w:color w:val="auto"/>
        </w:rPr>
      </w:pPr>
      <w:r>
        <w:rPr>
          <w:rFonts w:ascii="Arial" w:cs="Arial" w:eastAsia="Arial" w:hAnsi="Arial"/>
          <w:sz w:val="15"/>
          <w:szCs w:val="15"/>
          <w:color w:val="auto"/>
        </w:rPr>
        <w:t xml:space="preserve">adrenergic receptor agonists in isolated rat atrium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cardiac function tests in rats, dogs and sheep, thereby suggesting that the stimulating action of older, less selective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agonists on the heart via ß</w:t>
      </w:r>
      <w:r>
        <w:rPr>
          <w:rFonts w:ascii="Arial" w:cs="Arial" w:eastAsia="Arial" w:hAnsi="Arial"/>
          <w:sz w:val="19"/>
          <w:szCs w:val="19"/>
          <w:color w:val="auto"/>
          <w:vertAlign w:val="subscript"/>
        </w:rPr>
        <w:t>1</w:t>
      </w:r>
      <w:r>
        <w:rPr>
          <w:rFonts w:ascii="Arial" w:cs="Arial" w:eastAsia="Arial" w:hAnsi="Arial"/>
          <w:sz w:val="15"/>
          <w:szCs w:val="15"/>
          <w:color w:val="auto"/>
        </w:rPr>
        <w:t>-adrenergic receptors may be reduced with MN-221 due to its greater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selectivity.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also suggested that MN-221 may act as only a partial ß</w:t>
      </w:r>
      <w:r>
        <w:rPr>
          <w:rFonts w:ascii="Arial" w:cs="Arial" w:eastAsia="Arial" w:hAnsi="Arial"/>
          <w:sz w:val="20"/>
          <w:szCs w:val="20"/>
          <w:color w:val="auto"/>
          <w:vertAlign w:val="subscript"/>
        </w:rPr>
        <w:t>1</w:t>
      </w:r>
      <w:r>
        <w:rPr>
          <w:rFonts w:ascii="Arial" w:cs="Arial" w:eastAsia="Arial" w:hAnsi="Arial"/>
          <w:sz w:val="16"/>
          <w:szCs w:val="16"/>
          <w:color w:val="auto"/>
        </w:rPr>
        <w:t>-adrenergic receptor agonist in cardiac tissue, while acting as a full ß</w:t>
      </w:r>
      <w:r>
        <w:rPr>
          <w:rFonts w:ascii="Arial" w:cs="Arial" w:eastAsia="Arial" w:hAnsi="Arial"/>
          <w:sz w:val="20"/>
          <w:szCs w:val="20"/>
          <w:color w:val="auto"/>
          <w:vertAlign w:val="subscript"/>
        </w:rPr>
        <w:t>2</w:t>
      </w:r>
      <w:r>
        <w:rPr>
          <w:rFonts w:ascii="Arial" w:cs="Arial" w:eastAsia="Arial" w:hAnsi="Arial"/>
          <w:sz w:val="16"/>
          <w:szCs w:val="16"/>
          <w:color w:val="auto"/>
        </w:rPr>
        <w:t>-</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adrenergic receptor in lung tissue. In addition, a preclinical drug interaction study in dogs completed during 2008 demonstrated that, while each of albuterol and MN-221 induced an increase in heart rate independently, the addition of MN-221 by intravenous administration in combination with inhaled albuterol did not add to the heart rate increase associated with inhaled albuterol alone, which further suggests that MN-221 acts as a partial agonist at ß</w:t>
      </w:r>
      <w:r>
        <w:rPr>
          <w:rFonts w:ascii="Arial" w:cs="Arial" w:eastAsia="Arial" w:hAnsi="Arial"/>
          <w:sz w:val="20"/>
          <w:szCs w:val="20"/>
          <w:color w:val="auto"/>
          <w:vertAlign w:val="subscript"/>
        </w:rPr>
        <w:t>1</w:t>
      </w:r>
      <w:r>
        <w:rPr>
          <w:rFonts w:ascii="Arial" w:cs="Arial" w:eastAsia="Arial" w:hAnsi="Arial"/>
          <w:sz w:val="16"/>
          <w:szCs w:val="16"/>
          <w:color w:val="auto"/>
        </w:rPr>
        <w:t>-adrenergic receptors. We</w:t>
      </w:r>
    </w:p>
    <w:p>
      <w:pPr>
        <w:ind w:right="160"/>
        <w:spacing w:after="0" w:line="296" w:lineRule="auto"/>
        <w:rPr>
          <w:sz w:val="20"/>
          <w:szCs w:val="20"/>
          <w:color w:val="auto"/>
        </w:rPr>
      </w:pPr>
      <w:r>
        <w:rPr>
          <w:rFonts w:ascii="Arial" w:cs="Arial" w:eastAsia="Arial" w:hAnsi="Arial"/>
          <w:sz w:val="18"/>
          <w:szCs w:val="18"/>
          <w:color w:val="auto"/>
        </w:rPr>
        <w:t>believe that this improved receptor binding and functional selectivity may result in fewer cardiovascular side effects than are commonly observed with other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 agonists used to treat this condition.</w:t>
      </w:r>
    </w:p>
    <w:p>
      <w:pPr>
        <w:spacing w:after="0" w:line="12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Clinical Results. </w:t>
      </w:r>
      <w:r>
        <w:rPr>
          <w:rFonts w:ascii="Arial" w:cs="Arial" w:eastAsia="Arial" w:hAnsi="Arial"/>
          <w:sz w:val="18"/>
          <w:szCs w:val="18"/>
          <w:color w:val="auto"/>
        </w:rPr>
        <w:t>We initiated a randomized, double-blind, placebo-controlled, dose escalation, multi-center Phase II clinical trial of MN-221 in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2006 to determine the safety and efficacy of MN-221.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completed this clinical trial, which involved 23 stable mild-to-moderate asthmatics, in the fourth quarter of 2007. At each dose level in the escalation, patients were randomized to receive either a 15-minute intravenous infusion of MN-221 or placebo. This clinical trial achieved statistical significance in its primary endpoint of mean change in forced expiratory volume in one second, or FEV</w:t>
      </w:r>
      <w:r>
        <w:rPr>
          <w:rFonts w:ascii="Arial" w:cs="Arial" w:eastAsia="Arial" w:hAnsi="Arial"/>
          <w:sz w:val="20"/>
          <w:szCs w:val="20"/>
          <w:color w:val="auto"/>
          <w:vertAlign w:val="subscript"/>
        </w:rPr>
        <w:t>1</w:t>
      </w:r>
      <w:r>
        <w:rPr>
          <w:rFonts w:ascii="Arial" w:cs="Arial" w:eastAsia="Arial" w:hAnsi="Arial"/>
          <w:sz w:val="16"/>
          <w:szCs w:val="16"/>
          <w:color w:val="auto"/>
        </w:rPr>
        <w:t>, from baseline to measurement at 15 minutes (the end of the infusion) at doses of</w:t>
      </w:r>
    </w:p>
    <w:p>
      <w:pPr>
        <w:spacing w:after="0" w:line="5"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10, 16, 30 and 60 micrograms per minute of MN-221 (p-value less than or equal to 0.0006) compared to placebo. MN-221 produced a significant linear, dose-related increase in mean change in post-infusion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 (p-value less than or equal to 0.0001) following a 15-minute intravenous infusion of MN-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221. Significant improvements in mean change in post-infusion (15 minute)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 were observed at doses of 10, 16, 30 and 60 micrograms per</w:t>
      </w:r>
    </w:p>
    <w:p>
      <w:pPr>
        <w:spacing w:after="0" w:line="67"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minute (p-value less than or equal to 0.0006) and at the dose of 3.5 micrograms per minute (p-value=0.0106) compared to placebo. In the protocol correct population for this clinical trial, which consisted of 21 patients, the dose-related increases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were maintained for four hours (p-value=0.0393) and at eight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hours (p-value=0.0424) following the 15-minute infusion of MN-221. MN-221 was well tolerated in this Phase II clinical trial, with only the expected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w:t>
      </w:r>
    </w:p>
    <w:p>
      <w:pPr>
        <w:spacing w:after="0" w:line="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adrenergic receptor pharmacology noted in some patients (</w:t>
      </w:r>
      <w:r>
        <w:rPr>
          <w:rFonts w:ascii="Arial" w:cs="Arial" w:eastAsia="Arial" w:hAnsi="Arial"/>
          <w:sz w:val="18"/>
          <w:szCs w:val="18"/>
          <w:i w:val="1"/>
          <w:iCs w:val="1"/>
          <w:color w:val="auto"/>
        </w:rPr>
        <w:t>e.g.</w:t>
      </w:r>
      <w:r>
        <w:rPr>
          <w:rFonts w:ascii="Arial" w:cs="Arial" w:eastAsia="Arial" w:hAnsi="Arial"/>
          <w:sz w:val="18"/>
          <w:szCs w:val="18"/>
          <w:color w:val="auto"/>
        </w:rPr>
        <w:t>, fall in serum potassium, elevation in 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68" w:lineRule="exact"/>
        <w:rPr>
          <w:sz w:val="20"/>
          <w:szCs w:val="20"/>
          <w:color w:val="auto"/>
        </w:rPr>
      </w:pPr>
    </w:p>
    <w:p>
      <w:pPr>
        <w:ind w:firstLine="456"/>
        <w:spacing w:after="0" w:line="261" w:lineRule="auto"/>
        <w:rPr>
          <w:sz w:val="20"/>
          <w:szCs w:val="20"/>
          <w:color w:val="auto"/>
        </w:rPr>
      </w:pPr>
      <w:r>
        <w:rPr>
          <w:rFonts w:ascii="Arial" w:cs="Arial" w:eastAsia="Arial" w:hAnsi="Arial"/>
          <w:sz w:val="16"/>
          <w:szCs w:val="16"/>
          <w:color w:val="auto"/>
        </w:rPr>
        <w:t>We initiated a randomized, open-label, placebo-controlled Phase II clinical trial in June 2008 to evaluate the safety and efficacy of MN-221 in patients with moderate to severe, but stable asthma. We completed this clinical trial, which involved 17 patients in two dose cohorts, in September 2008. In one dosing cohort, each patient received MN-221 at a dose of 1,125 micrograms or placebo over one hour by a continuous intravenous infusion. In the other dosing cohort, each patient received MN-221 at a dose of 1,080 micrograms or placebo over two hours by a continuous intravenous infusion. Both infusion rates of MN-221 produced a marked and clinically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results were expressed as “percent predicted” based on standard reference equations accounting</w:t>
      </w:r>
    </w:p>
    <w:p>
      <w:pPr>
        <w:spacing w:after="0" w:line="3" w:lineRule="exact"/>
        <w:rPr>
          <w:sz w:val="20"/>
          <w:szCs w:val="20"/>
          <w:color w:val="auto"/>
        </w:rPr>
      </w:pPr>
    </w:p>
    <w:p>
      <w:pPr>
        <w:ind w:right="520"/>
        <w:spacing w:after="0" w:line="311" w:lineRule="auto"/>
        <w:rPr>
          <w:sz w:val="20"/>
          <w:szCs w:val="20"/>
          <w:color w:val="auto"/>
        </w:rPr>
      </w:pPr>
      <w:r>
        <w:rPr>
          <w:rFonts w:ascii="Arial" w:cs="Arial" w:eastAsia="Arial" w:hAnsi="Arial"/>
          <w:sz w:val="15"/>
          <w:szCs w:val="15"/>
          <w:color w:val="auto"/>
        </w:rPr>
        <w:t>for an individual’s race, gender, age and height. At the end of the one-hour infusion, FEV</w:t>
      </w:r>
      <w:r>
        <w:rPr>
          <w:rFonts w:ascii="Arial" w:cs="Arial" w:eastAsia="Arial" w:hAnsi="Arial"/>
          <w:sz w:val="19"/>
          <w:szCs w:val="19"/>
          <w:color w:val="auto"/>
          <w:vertAlign w:val="subscript"/>
        </w:rPr>
        <w:t>1</w:t>
      </w:r>
      <w:r>
        <w:rPr>
          <w:rFonts w:ascii="Arial" w:cs="Arial" w:eastAsia="Arial" w:hAnsi="Arial"/>
          <w:sz w:val="15"/>
          <w:szCs w:val="15"/>
          <w:color w:val="auto"/>
        </w:rPr>
        <w:t xml:space="preserve"> increased by 17.5 percent predicted for MN-221 compared to an increase of three percent predicted for placebo. At the end of the two-hour infusion, FEV</w:t>
      </w:r>
      <w:r>
        <w:rPr>
          <w:rFonts w:ascii="Arial" w:cs="Arial" w:eastAsia="Arial" w:hAnsi="Arial"/>
          <w:sz w:val="19"/>
          <w:szCs w:val="19"/>
          <w:color w:val="auto"/>
          <w:vertAlign w:val="subscript"/>
        </w:rPr>
        <w:t>1</w:t>
      </w:r>
      <w:r>
        <w:rPr>
          <w:rFonts w:ascii="Arial" w:cs="Arial" w:eastAsia="Arial" w:hAnsi="Arial"/>
          <w:sz w:val="15"/>
          <w:szCs w:val="15"/>
          <w:color w:val="auto"/>
        </w:rPr>
        <w:t xml:space="preserve"> increased by an average of 12.1 percent predicted for MN-221</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compared to an increase of 1.4 percent predicted for placebo. In accordance with the study protocol, no inferential statistical testing was performed. MN-221 was well tolerated by the patients who received either infusion rate of MN-221. There were no clinically significant safety concerns noted among adverse events, ECG data, vital sign data or laboratory assessments collected throughout this clinical trial.</w:t>
      </w:r>
    </w:p>
    <w:p>
      <w:pPr>
        <w:spacing w:after="0" w:line="168" w:lineRule="exact"/>
        <w:rPr>
          <w:sz w:val="20"/>
          <w:szCs w:val="20"/>
          <w:color w:val="auto"/>
        </w:rPr>
      </w:pPr>
    </w:p>
    <w:p>
      <w:pPr>
        <w:ind w:right="80" w:firstLine="456"/>
        <w:spacing w:after="0" w:line="265" w:lineRule="auto"/>
        <w:rPr>
          <w:sz w:val="20"/>
          <w:szCs w:val="20"/>
          <w:color w:val="auto"/>
        </w:rPr>
      </w:pPr>
      <w:r>
        <w:rPr>
          <w:rFonts w:ascii="Arial" w:cs="Arial" w:eastAsia="Arial" w:hAnsi="Arial"/>
          <w:sz w:val="16"/>
          <w:szCs w:val="16"/>
          <w:color w:val="auto"/>
        </w:rPr>
        <w:t>We initiated a randomized, modified single-blind, placebo-controlled, dose escalation Phase II emergency department clinical trial in March 2008 to evaluate MN-221 in patients with severe, acute exacerbations of asthma. In January 2009, we announced interim results from two planned reviews of the unaudited data of this Phase II clinical trial, which remains ongoing. These reviews included data from a total of 18 (eight treated with standard care only and ten treated with MN-221 plus standard care) of 36 planned patients with severe, acute exacerbations of asthma treated in emergency departments. All patients received standardized care consisting of inhaled albuterol, ipratropium and oral steroid treatment. No safety concerns with adding MN-221 to standardized care were identified in these reviews. The hospitalization rate among patients treated with standardized care only was 50 percent (four of eight), the anticipated rate, compared to a hospitalization rate of ten percent (one of ten) among patients receiving MN-221 plus standardized care. All hospitalizations were due to asthma exacerbations which were judged to be unrelated to study medication. Improvement in pulmonary function measured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and decreased symptoms of</w:t>
      </w:r>
    </w:p>
    <w:p>
      <w:pPr>
        <w:spacing w:after="0" w:line="12"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difficulty breathing on the Modified Borg Dyspnea Index Scale, a clinical rating scale for shortness of breath, were observed in both treatment groups.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values generally appeared to be greater for patients receiving MN-221 in addition to standardized treatment. As specified in the protocol</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this clinical trial, no inferential statistics (e.g., p-values) will be calculated for this study. We expect to terminate this Phase II clinical trial in April 2009, as we have enrolled a sufficient number of patients to evaluate the safety of MN-221 in patients with severe, acute exacerbations of asthma treated in emergency departments. Following termination of this study, we intend to include a majority of the clinical sites that participated in this study in the larger Phase II emergency department clinical trial commenced in January 2009, as described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5" w:lineRule="auto"/>
        <w:rPr>
          <w:sz w:val="20"/>
          <w:szCs w:val="20"/>
          <w:color w:val="auto"/>
        </w:rPr>
      </w:pPr>
      <w:r>
        <w:rPr>
          <w:rFonts w:ascii="Arial" w:cs="Arial" w:eastAsia="Arial" w:hAnsi="Arial"/>
          <w:sz w:val="16"/>
          <w:szCs w:val="16"/>
          <w:i w:val="1"/>
          <w:iCs w:val="1"/>
          <w:color w:val="auto"/>
        </w:rPr>
        <w:t xml:space="preserve">Development Plans. </w:t>
      </w:r>
      <w:r>
        <w:rPr>
          <w:rFonts w:ascii="Arial" w:cs="Arial" w:eastAsia="Arial" w:hAnsi="Arial"/>
          <w:sz w:val="16"/>
          <w:szCs w:val="16"/>
          <w:color w:val="auto"/>
        </w:rPr>
        <w:t>We have developed and studied an intravenous formulation of MN-221 appropriate for hospital use. In January 2009, we initiated a</w:t>
      </w:r>
      <w:r>
        <w:rPr>
          <w:rFonts w:ascii="Arial" w:cs="Arial" w:eastAsia="Arial" w:hAnsi="Arial"/>
          <w:sz w:val="16"/>
          <w:szCs w:val="16"/>
          <w:i w:val="1"/>
          <w:iCs w:val="1"/>
          <w:color w:val="auto"/>
        </w:rPr>
        <w:t xml:space="preserve"> </w:t>
      </w:r>
      <w:r>
        <w:rPr>
          <w:rFonts w:ascii="Arial" w:cs="Arial" w:eastAsia="Arial" w:hAnsi="Arial"/>
          <w:sz w:val="16"/>
          <w:szCs w:val="16"/>
          <w:color w:val="auto"/>
        </w:rPr>
        <w:t>randomized, double-blind, placebo-controlled Phase II emergency department clinical trial designed to evaluate the safety and efficacy of MN-221 in patients with severe, acute exacerbations of asthma by holding an Investigator’s Meeting. We expect to employ clinical sites in North America, Australia and New Zealand (including a majority of the clinical sites that have been engaged in the smaller Phase II clinical trial that we intend to terminate in April 2009) to enroll approximately 200 patients in this clinical trial, which is designed to compare standardized care to standardized care plus MN-221 at a dose of 1.2 mg administered over one hour. Once a patient has received the initial standardized care treatment regimen (consistent with the National Asthma Education and Prevention Program and the Global Initiative for Asthma, or GINA, guidelines), the patient will be assessed for response to that treatment. If the patient’s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is</w:t>
      </w:r>
    </w:p>
    <w:p>
      <w:pPr>
        <w:spacing w:after="0" w:line="1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less than or equal to 50 percent of predicted and the patient meets all other study entry criteria, the patient will be randomized to receive either MN-221 or placebo. Patients enrolled in the clinical trial will continue to receive standardized care as needed while receiving an intravenous infusion of MN-221 or placebo. The primary efficacy endpoint will be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We anticipate that enrollment of study participants will begin in April 2009 in the North American</w:t>
      </w:r>
    </w:p>
    <w:p>
      <w:pPr>
        <w:spacing w:after="0" w:line="5" w:lineRule="exact"/>
        <w:rPr>
          <w:sz w:val="20"/>
          <w:szCs w:val="20"/>
          <w:color w:val="auto"/>
        </w:rPr>
      </w:pPr>
    </w:p>
    <w:p>
      <w:pPr>
        <w:ind w:right="640"/>
        <w:spacing w:after="0" w:line="252" w:lineRule="auto"/>
        <w:rPr>
          <w:sz w:val="20"/>
          <w:szCs w:val="20"/>
          <w:color w:val="auto"/>
        </w:rPr>
      </w:pPr>
      <w:r>
        <w:rPr>
          <w:rFonts w:ascii="Arial" w:cs="Arial" w:eastAsia="Arial" w:hAnsi="Arial"/>
          <w:sz w:val="18"/>
          <w:szCs w:val="18"/>
          <w:color w:val="auto"/>
        </w:rPr>
        <w:t>clinical sites and by June 2009 in the Australia and New Zealand clinical sites and be complete within nine to twelve months from the commencement of enrollment.</w:t>
      </w:r>
    </w:p>
    <w:p>
      <w:pPr>
        <w:spacing w:after="0" w:line="16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we are successful in completing our planned Phase II clinical trials in a timely manner, we would anticipate conducting an End-of-Phase II meeting with the FDA and subsequently initiating our planned Phase III program. If we are successful in completing our planned Phase III trials in a timely manner, we would anticipate filing an NDA with the FDA to seek regulatory approval for MN-221.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Multiple sclerosis, or MS, is an inflammatory disease of the central nervous system, or CNS,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body’s immune system attacks the protective sheath surrounding nerve fibers. According to the National Multiple Sclerosis Society, MS affects approximately 400,000 people in the United States and approximately 2.5 million people worldwide. In addition, approximately 200 people are diagnosed with MS in the United States on a weekly basis. The most obvious effect of MS is its destruction of nerve fibers leading to the loss of muscle control. However, MS also affects multiple CNS functions. Currently, there is no known cure for the disease. According to a Cognos study published by Decision Resources, Inc., relapsing-remitting MS, or RRMS, is the most common type of the disease, accounting for approximately 65 percent of MS patients, and most patients with RRMS eventually progress to the secondary progressive form of the disease. According to Med Ad News, worldwide sales of drugs to treat MS were approximately $7.0 billion in 2007.</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aim of treatment is to relieve symptoms of acute attacks by reducing the frequency of relapses and limiting the disabling effects of relapses and to minimize disability caused by disease progression. Steroids are used in treating MS to decrease the severity and shorten the duration of the attacks, but they do not change the course of the disease. Corticosteroid use is normally limited to the short-term treatment of MS, perhaps over a period of one to three weeks, as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and certain side effects may preclude their widespread use. These treatments may slow the course of disease progression and mitigate its effects temporarily, but additional drugs are often required to address the various CNS dysfunctions caused by the disease. In addition, many patients continue to experience relapses and progression of the disease despite taking these immunomodulators, as they are generally successful in only reducing the relapse rate by approximately one-third. Currently, the most widely used treatments for MS are beta-interferons; however, beta-interferons require injection, which may result in inflammation at the injection site. Severe flu symptoms also may occur with the beta-interferons. We believe drugs for the treatment of MS that can be taken with less discomfort, particularly those that can be taken orally, with efficacy equal or better than the available treatments for MS would have widespread appeal.</w:t>
      </w:r>
    </w:p>
    <w:p>
      <w:pPr>
        <w:spacing w:after="0" w:line="114"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i w:val="1"/>
          <w:iCs w:val="1"/>
          <w:color w:val="auto"/>
        </w:rPr>
        <w:t>Overview of MN-166</w:t>
      </w:r>
      <w:r>
        <w:rPr>
          <w:rFonts w:ascii="Arial" w:cs="Arial" w:eastAsia="Arial" w:hAnsi="Arial"/>
          <w:sz w:val="18"/>
          <w:szCs w:val="18"/>
          <w:color w:val="auto"/>
        </w:rPr>
        <w:t>. We licensed MN-166 from Kyorin Pharmaceutical. MN-166 has been marketed in Japan and Korea since 1989 to treat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cerebrovascular disorders and bronchial asthma.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i w:val="1"/>
          <w:iCs w:val="1"/>
          <w:color w:val="auto"/>
        </w:rPr>
        <w:t xml:space="preserve">vitro </w:t>
      </w:r>
      <w:r>
        <w:rPr>
          <w:rFonts w:ascii="Arial" w:cs="Arial" w:eastAsia="Arial" w:hAnsi="Arial"/>
          <w:sz w:val="16"/>
          <w:szCs w:val="16"/>
          <w:color w:val="auto"/>
        </w:rPr>
        <w:t>studies, MN-166 inhibited leukotriene activity, phosphodiesterases and nitric oxide synthase, all of which are inflammatory mechanisms known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in MS. These studies also suggested that MN-166 may suppress the production of pro-inflammatory cytokines (IL-1ß, TNF-~) and enhance the production of the anti-inflammatory cytokines (IL-4, IL-10). Based on the potential mechanisms of action of MN-166, its clinical safety history in Japan, the results of pilot studies conducted by Kyorin Pharmaceutical in MS patients and the issuance of a U.S. patent covering the method of using MN-166 to treat the disease, we decided to pursue development of MN-166 as a novel, oral agent for the treatment of MS.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Based on its anti-inflammatory activity and safety profile, MN-166 was evaluated for potential activity in MS in two pilot clinical trials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by academic investigators in Japan. In one open-label pilot clinical trial, the investigators studied the effects of MN-166 on relapse rates in six MS patients who had a mean of four relapses per year. Following 12 to 20 months of treatment with MN-166, the average relapse rate was reduced. Over this time frame, there was no significant change in the mean Expanded Disability Status Score, or EDSS, a measure of MS drug efficacy and disease progression. No side effects of MN-166 were reported in this clinical trial. In a second pilot trial involving 12 MS patients receiving MN-166 for four weeks, MN-166 tended to normalize the levels of several chemical mediators of inflammation, including tumor necrosis factor alpha and interferon gamma. These two pilot clinical trials in MS were not performed and analyzed in accordance with standards that will allow us to use them to support a marketing application to the FDA.</w:t>
      </w:r>
    </w:p>
    <w:p>
      <w:pPr>
        <w:spacing w:after="0" w:line="105"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color w:val="auto"/>
        </w:rPr>
        <w:t>We initiated a two-year Phase II multi-center, randomized, double-blind, placebo-controlled clinical trial of MN-166 for the treatment of patients with relapsing MS in August 2005. This clinical trial involved 297 patients with relapsing MS in several countries in Eastern Europe. Patients received either 30 mg of MN-166 per day, 60 mg of MN-166 per day or a placebo. In March 2007, we announced one-year results from this clinical trial. The one-year results, which included a number of efficacy endpoints for this clinical trial, showed a significant increase in the proportion of patients who remained relapse-free over the first 12 months of treatment with 60 mg per day of MN-166 compared to placebo (p-value=0.03). The time to first relapse was also significantly increased in patients treated with 60 mg of MN-166 per day compared to placebo (p-value=0.04). Positive trends were also observed in the annualized relapse rate (p-value=0.08) and number of relapses (p-value=0.10) among patients who completed the first 12 months of treatment with 60 mg of MN-166 per day compared to those patients completing the first 12 months of treatment on placebo. A significant reduction in brain volume loss (p-value=0.04), as measured by cranial magnetic resonance imaging, or MRI, scans, was observed in patients treated with 60 mg per day of MN-166 compared to placebo. Loss of brain volume on MRI scans has been shown to correlate with clinical progression and disability in MS patients. Positive trends were also observed in several other radiological outcome measures, including the volume of gadolinium-enhancing (T1) lesions (p-value=0.09), in patients treated with 60 mg of MN-166 per day compared with placebo. However, no reduction in the cumulative number of active (gadolinium-enhancing (T1) and non-enhancing new/enlarging (T2)) lesions on cranial MRI scans over 12 months of treatment was observed in patients treated with MN-166 compared to placebo, which was the protocol-defined primary endpoint of this clinical trial. No clinical or radiological benefit was observed in patients treated with 30 mg per day of MN-166. MN-166 was well tolerated at all doses in this clinical trial. Eighty-nine percent of patients completed the first 12 months of this clinical trial with only mild gastrointestinal side effects observed with MN-166 compared to</w:t>
      </w:r>
    </w:p>
    <w:p>
      <w:pPr>
        <w:spacing w:after="0" w:line="7"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placebo (3-6 percent vs. 1-3 percent, respectively). In October 2007, these one-year results were presented at the 23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Congress of the European Committee for Treatment and Research of Multiple Sclerosis, or ECTRIMS, and the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Conference of Rehabilitation in Multiple Sclerosis, or RIMS.</w:t>
      </w:r>
    </w:p>
    <w:p>
      <w:pPr>
        <w:spacing w:after="0" w:line="4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2008, we announced additional data from a double-blind analysis of the first year of treatment from the two-year Phase II clinical trial of MN-166 for the treatment of MS. Following the recommendation of our Scientific Advisory Board, we performed this analysis using MRI data collected from 292 patients with relapsing forms of MS who were randomly assigned to receive daily oral treatment with placebo or 30 or 60 mg per day during year one of this two-year clinical trial. The analysis showed that MN-166 decreased the formation of black holes, which are permanent brain lesions believed to indicate the death of nerves in the brain, on MRI scans in patients participating in this clinical trial, thereby adding support to our belief that MN-166 may provide neuroprotection in relapsing MS. The data demonstrated that a 60 mg per day dosing regimen of MN-166</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significantly reduced the proportion of new T1 gadolinium-enhancing or new T2 lesions identified at month two of the clinical trial that evolved into persistent black holes at month ten compared to placebo (RR=0.63, p-value=0.011). Treatment with a 30 mg per day dosing regimen of MN-166 showed a trend toward reduced risk of new lesion evolution to persistent black holes compared to placebo (RR=0.735, p-value=0.074). In June 2008, additional data from an analysis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year of treatment was presented at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Meeting of the European Neurological Society.</w:t>
      </w:r>
    </w:p>
    <w:p>
      <w:pPr>
        <w:spacing w:after="0" w:line="13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April 2008, we announced the results of the completed two-year Phase II clinical trial. In the second year of the study, all patients received active drug.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percent) in those patients receiving MN-166 at either 30 or 60 mg per day for 24 months than in those patients receiving the drug for 12 months (p=0.026). Sustained disability progression was measured as a greater than or equal to 1.0 point increase from baseline in the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Persistent Black Holes, or PBHs, an MRI indicator of neuronal loss, eight months later at month ten by 37 percent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 In September 2008, data from this completed two-year clinical trial was presented at the World Congress for Treatment and Research in MS.</w:t>
      </w:r>
    </w:p>
    <w:p>
      <w:pPr>
        <w:spacing w:after="0" w:line="1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At present, we are not planning to undertake any further significant clinical development of MN-166 until such time that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in entering into a strategic collaboration to support further clinical development and commercialization of MN-166. We are actively pursuing potential partners for such purpose.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intend to limit development activities on the balance of our ten product candidates. For each of these product candidates, we plan to conduct development activities only to the extent that we deem any further activities necessary to maintain our license rights or maximize its value, while pursuing a variety of initiatives to monetize such product candidate on appropriate terms. The status of the development program for each of these non-prioritized product candidates is described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Asthma is a chronic inflammatory disease of the airways in which symptom control is the key to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management. Alleviation of acute asthmatic symptoms and blocking of late phase inflammation are both important to asthma therapy. According to the American Lung Association and the Global Initiative for Asthma, there are approximately 22.9 million asthma patients in the United States and over 300 million asthma patients worldwide.</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According to Med Ad News, worldwide sales of asthma therapeutics increased to over $16.6 billion in 2007. Leading treatments currently include inhaled corticosteroids, bronchodilators and leukotriene antagonists.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Worldwide sales of inhaled corticosteroids were over $2.7 billion in 2007. Combination products, consisting of inhaled corticosteroids plus long acting beta agonists, added an additional $8.5 billion in sales in 2007. Inhaled steroids, such as Flovent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(fluticasone) and Vanceril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(beclomethasone), are more broadly effective in blocking late phase inflammation, but their general side effects require careful monitoring. Leukotriene antagonists, such as Singulair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(montelukast)</w:t>
      </w:r>
    </w:p>
    <w:p>
      <w:pPr>
        <w:spacing w:after="0" w:line="3"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or Accolate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(zafirlukast), became available as a new asthma therapy in the late 1990s. These drugs block the actions of leukotrienes, which are pro-inflammatory chemical mediators, and the subsequent inflammation caused by eosinophil migration to the lungs. According to Merck &amp; Co., Inc.’s 2008 Annual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worldwide sales of Singulair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a leading leukotriene antagonist, were $4.3 billion in 2008.</w:t>
      </w:r>
    </w:p>
    <w:p>
      <w:pPr>
        <w:spacing w:after="0" w:line="15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Overview of MN-001 in Asthma</w:t>
      </w:r>
      <w:r>
        <w:rPr>
          <w:rFonts w:ascii="Arial" w:cs="Arial" w:eastAsia="Arial" w:hAnsi="Arial"/>
          <w:sz w:val="18"/>
          <w:szCs w:val="18"/>
          <w:color w:val="auto"/>
        </w:rPr>
        <w:t>. MN-001 is a novel, orally bioavailable compound being developed for the treatment of bronchial asthma. We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MN-001 from Kyorin Pharmaceutical.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conducted by Kyorin Pharmaceutical and us, MN-001 combined the positive attributes of the leukotriene antagonists and inhaled steroids, while maintaining an acceptable safety profile.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preclinical pharmacology studies, MN-001 inhibited airway hyper-reactivity through a reduction of airway inflammation</w:t>
      </w:r>
      <w:r>
        <w:rPr>
          <w:rFonts w:ascii="Arial" w:cs="Arial" w:eastAsia="Arial" w:hAnsi="Arial"/>
          <w:sz w:val="16"/>
          <w:szCs w:val="16"/>
          <w:i w:val="1"/>
          <w:iCs w:val="1"/>
          <w:color w:val="auto"/>
        </w:rPr>
        <w:t>. In vitro</w:t>
      </w:r>
      <w:r>
        <w:rPr>
          <w:rFonts w:ascii="Arial" w:cs="Arial" w:eastAsia="Arial" w:hAnsi="Arial"/>
          <w:sz w:val="16"/>
          <w:szCs w:val="16"/>
          <w:color w:val="auto"/>
        </w:rPr>
        <w:t xml:space="preserve"> studies and animal studies also suggested that MN-001 may affect many of the downstream mechanisms activated by mast cell degranulation, which is the release of chemicals that cause inflammation. MN-001 also demonstrated that it is a potent inhibitor of pro-inflammatory enzymes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5-lipoxygenase and phosphodiesterase 4), as it prevented migration of inflammatory cells to the lungs of rodents in these studies. In addition, in guinea pig asthma models, MN-001 was more selective than steroids in affecting cells involved in the inflammatory process and not those involved in cellular immunity.</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MN-001 has proven to be well tolerated in early clinical testing. Treatment-related adverse effects, primarily consisting of gastrointestinal</w:t>
      </w:r>
      <w:r>
        <w:rPr>
          <w:rFonts w:ascii="Arial" w:cs="Arial" w:eastAsia="Arial" w:hAnsi="Arial"/>
          <w:sz w:val="18"/>
          <w:szCs w:val="18"/>
          <w:i w:val="1"/>
          <w:iCs w:val="1"/>
          <w:color w:val="auto"/>
        </w:rPr>
        <w:t xml:space="preserve"> </w:t>
      </w:r>
      <w:r>
        <w:rPr>
          <w:rFonts w:ascii="Arial" w:cs="Arial" w:eastAsia="Arial" w:hAnsi="Arial"/>
          <w:sz w:val="18"/>
          <w:szCs w:val="18"/>
          <w:color w:val="auto"/>
        </w:rPr>
        <w:t>discomfort such as diarrhea, loose stools, nausea and upper abdominal pain, were mild, transient and reversible. These adverse effects were consistent with findings in preclinical studies.</w:t>
      </w:r>
    </w:p>
    <w:p>
      <w:pPr>
        <w:spacing w:after="0" w:line="127"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We conducted a randomized, double-blind, placebo-controlled, multi-center Phase II clinical trial in patients with mild-to-moderate asthma, which was completed in the fourth quarter of 2005. In this clinical trial, 147 patients were randomly assigned to receive placebo or MN-001 tablets in one of three oral dosing regimens for four weeks. The primary endpoint of the trial was achieved with a statistically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after four weeks of treatment</w:t>
      </w:r>
    </w:p>
    <w:p>
      <w:pPr>
        <w:spacing w:after="0" w:line="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with 500 mg of MN-001 at three times daily dosage, or TID, compared to placebo (p-value=0.021; intent-to-treat, observed cases). A similar trend was observed for the 750 mg two times daily dosage, or BID, of MN-001 (p-value=0.058). Positive trends in secondary outcome measures were also observed in the 500 mg TID treatment group, including serial spirometry, morning and evening peak flow rates, and provocative concentration causing a 20 percent fall in FEV</w:t>
      </w:r>
      <w:r>
        <w:rPr>
          <w:rFonts w:ascii="Arial" w:cs="Arial" w:eastAsia="Arial" w:hAnsi="Arial"/>
          <w:sz w:val="20"/>
          <w:szCs w:val="20"/>
          <w:color w:val="auto"/>
          <w:vertAlign w:val="subscript"/>
        </w:rPr>
        <w:t>1</w:t>
      </w:r>
      <w:r>
        <w:rPr>
          <w:rFonts w:ascii="Arial" w:cs="Arial" w:eastAsia="Arial" w:hAnsi="Arial"/>
          <w:sz w:val="16"/>
          <w:szCs w:val="16"/>
          <w:color w:val="auto"/>
        </w:rPr>
        <w:t>, or</w:t>
      </w:r>
    </w:p>
    <w:p>
      <w:pPr>
        <w:spacing w:after="0" w:line="5"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PC20, values in a methacholine challenge test, each of which is a common measure of respiratory function. MN-001 was well tolerated in this clinical trial with 89 percent of patients completing four weeks of treatment. There was no apparent difference between placebo and any of the active treatment groups in adverse events leading to discontinuation or in adverse events attributable to treatment.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Interstitial cystitis, or IC, is a chronic disease of the bladder characterized by urinary frequency and urgency,</w:t>
      </w:r>
      <w:r>
        <w:rPr>
          <w:rFonts w:ascii="Arial" w:cs="Arial" w:eastAsia="Arial" w:hAnsi="Arial"/>
          <w:sz w:val="16"/>
          <w:szCs w:val="16"/>
          <w:i w:val="1"/>
          <w:iCs w:val="1"/>
          <w:color w:val="auto"/>
        </w:rPr>
        <w:t xml:space="preserve"> </w:t>
      </w:r>
      <w:r>
        <w:rPr>
          <w:rFonts w:ascii="Arial" w:cs="Arial" w:eastAsia="Arial" w:hAnsi="Arial"/>
          <w:sz w:val="16"/>
          <w:szCs w:val="16"/>
          <w:color w:val="auto"/>
        </w:rPr>
        <w:t>nighttime urination and pelvic and bladder pain. It is widely believed that IC is due to an altered or defective bladder lining and an increased number of activated bladder mast cells, which are specialized cells that release biochemicals and cause inflammation. According to the National Kidney and Urologic Diseases Information Clearinghouse, which is a division of the National Institutes of Health, an estimated 1.3 million patients suffer from IC in the United States, 90 percent of whom are women. The prevalence of IC in Europe is approximately one-third that of the United States. We believe that IC is currently underdiagnosed and that the market for drugs that treat IC will likely expand with the introduction of effective new treatments.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Overview of MN-001 in Interstitial Cystitis</w:t>
      </w:r>
      <w:r>
        <w:rPr>
          <w:rFonts w:ascii="Arial" w:cs="Arial" w:eastAsia="Arial" w:hAnsi="Arial"/>
          <w:sz w:val="16"/>
          <w:szCs w:val="16"/>
          <w:color w:val="auto"/>
        </w:rPr>
        <w:t>. MN-001 is a novel, orally bioavailable, anti-inflammatory compound being developed for the treatment of IC.</w:t>
      </w:r>
      <w:r>
        <w:rPr>
          <w:rFonts w:ascii="Arial" w:cs="Arial" w:eastAsia="Arial" w:hAnsi="Arial"/>
          <w:sz w:val="16"/>
          <w:szCs w:val="16"/>
          <w:i w:val="1"/>
          <w:iCs w:val="1"/>
          <w:color w:val="auto"/>
        </w:rPr>
        <w:t xml:space="preserve"> </w:t>
      </w:r>
      <w:r>
        <w:rPr>
          <w:rFonts w:ascii="Arial" w:cs="Arial" w:eastAsia="Arial" w:hAnsi="Arial"/>
          <w:sz w:val="16"/>
          <w:szCs w:val="16"/>
          <w:color w:val="auto"/>
        </w:rPr>
        <w:t>We licensed MN-001 from Kyorin Pharmaceutical. Data that we collected in connection with the development of MN-001 for bronchial asthma and data collected by Kyorin Pharmaceutical provided us with a strong scientific rationale for evaluating MN-001 as an oral treatment for IC. MN-001 has been shown to block a number of the inflammatory mechanisms activated by mast cell degranulation that are important in the pathogenesis of inflammatory disorders, including IC and asthma (</w:t>
      </w:r>
      <w:r>
        <w:rPr>
          <w:rFonts w:ascii="Arial" w:cs="Arial" w:eastAsia="Arial" w:hAnsi="Arial"/>
          <w:sz w:val="16"/>
          <w:szCs w:val="16"/>
          <w:i w:val="1"/>
          <w:iCs w:val="1"/>
          <w:color w:val="auto"/>
        </w:rPr>
        <w:t>e.g.</w:t>
      </w:r>
      <w:r>
        <w:rPr>
          <w:rFonts w:ascii="Arial" w:cs="Arial" w:eastAsia="Arial" w:hAnsi="Arial"/>
          <w:sz w:val="16"/>
          <w:szCs w:val="16"/>
          <w:color w:val="auto"/>
        </w:rPr>
        <w:t>, leukotriene receptor antagonism and inhibition of phosphodiesterases III and IV, 5-lipoxygenase, phospholipase C and thromboxane A2). In addition, MN-001 produced anti-inflammatory effects in a variety of rodent models of IC and asthma; in these models, MN-001 reduced bladder hyper-reactivity much in the same way that it reduced airway hyper-reactivity in the lung.</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Clinical Results</w:t>
      </w:r>
      <w:r>
        <w:rPr>
          <w:rFonts w:ascii="Arial" w:cs="Arial" w:eastAsia="Arial" w:hAnsi="Arial"/>
          <w:sz w:val="16"/>
          <w:szCs w:val="16"/>
          <w:color w:val="auto"/>
        </w:rPr>
        <w:t>. We conducted a randomized, double-blind, placebo-controlled multi-center Phase II/III clinical trial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IC, which was completed in the first quarter of 2007. This clinical trial involved 305 patients at 37 clinical sites in the United States. Results from this clinical trial indicated that, while well-tolerated, MN-001 did not show a statistically significant clinical benefit compared to placebo on the primary endpoint (to be much or very much improved overall on a patient-rated global response assessment) at the doses tested in this clinical trial (500 mg once or twice a day for eight weeks). Results from this clinical trial also indicated that IC patients were more than twice as likely to respond on 500 mg of MN-001 administered twice a day compared to placebo (25 percent compared to 12 percent, p-value=0.04)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The American Cancer Society estimates that more than 1.4 million Americans will be diagnosed with cancer</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of which more than 730,000 patients will be diagnosed with lung, prostate, colon, rectum or breast solid tumor cancers. The American Cancer Society also estimates that approximately 560,000 patients are expected ultimately to die from cancer in 2008. According to Med Ad News, the market for solid tumor cancer therapeutics exceeded $26.0 billion in 2007.</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whereas VDAs disrupt blood flow through existing tumor blood vessels. We believe that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Overview of MN-029</w:t>
      </w:r>
      <w:r>
        <w:rPr>
          <w:rFonts w:ascii="Arial" w:cs="Arial" w:eastAsia="Arial" w:hAnsi="Arial"/>
          <w:sz w:val="16"/>
          <w:szCs w:val="16"/>
          <w:color w:val="auto"/>
        </w:rPr>
        <w:t>. MN-029 is a novel, small molecule VDA being developed for the treatment of solid tumors. We licensed MN-029 from Angiogene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Pharmaceuticals. Several preclinical pharmacology studies conducted by Angiogene Pharmaceuticals and us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MRI.</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Clinical Results. </w:t>
      </w:r>
      <w:r>
        <w:rPr>
          <w:rFonts w:ascii="Arial" w:cs="Arial" w:eastAsia="Arial" w:hAnsi="Arial"/>
          <w:sz w:val="18"/>
          <w:szCs w:val="18"/>
          <w:color w:val="auto"/>
        </w:rPr>
        <w:t>To date, we have conducted two Phase I clinical trials of MN-029 for the treatment of solid tumors. We completed one Phase I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of MN-029 in the second quarter of 2006 and one Phase I clinical trial in the fourth quarter of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0" w:lineRule="auto"/>
        <w:rPr>
          <w:sz w:val="20"/>
          <w:szCs w:val="20"/>
          <w:color w:val="auto"/>
        </w:rPr>
      </w:pPr>
      <w:r>
        <w:rPr>
          <w:rFonts w:ascii="Arial" w:cs="Arial" w:eastAsia="Arial" w:hAnsi="Arial"/>
          <w:sz w:val="15"/>
          <w:szCs w:val="15"/>
          <w:color w:val="auto"/>
        </w:rPr>
        <w:t>In the first Phase I clinical trial, MN-029 was administered as an intravenous infusion once every three weeks with a 20-day recovery period between doses (one cycle). Results from this clinical trial showed that MN-029 was well tolerated at doses that reduced tumor blood flow. A maximum tolerated dose of 180</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mg/m</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per dose was established in this clinical trial. The most common side effects of MN-029 were characteristic of other VDAs and included nausea, vomiting, fatigue and diarrhea. Nine of 34 patients with advanced solid tumors for whom no standard therapy was available had stable disease after three cycles of treatment. Six patients had prolonged (greater than six months) stable disease. To date, two of these patients remain on therapy with MN-029 under compassionate use Investigator INDs and had stable disease (one with melanoma after 24 months of treatment and one with carcinoid tumors after 33 months of treatment) upon their transition from our clinical trial to compassionate use programs in the fourth quarter of 2007. Following the transition of these patients to compassionate use programs, we have not received, nor will we receive, any further data on these patients unless a serious adverse effect occurs. Although no patients showed objective responses based on Response Evaluation Criteria in Solid Tumors, or RECIST criteria, which is tumor length on computed tomography, or CT, or MRI scans, semi-automated measurements of tumor volumes from CT scans showed a measureable reduction in tumor burden in the subject with the largest reduction in tumor blood flow (Ktrans -40 percent). Tumor blood flow reduction assessed by dynamic contrast-enhanced magnetic resonance imaging,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DCE-MRI, was recorded at doses greater than or equal to 120 mg/m</w:t>
      </w:r>
      <w:r>
        <w:rPr>
          <w:rFonts w:ascii="Arial" w:cs="Arial" w:eastAsia="Arial" w:hAnsi="Arial"/>
          <w:sz w:val="22"/>
          <w:szCs w:val="22"/>
          <w:color w:val="auto"/>
          <w:vertAlign w:val="superscript"/>
        </w:rPr>
        <w:t>2</w:t>
      </w:r>
      <w:r>
        <w:rPr>
          <w:rFonts w:ascii="Arial" w:cs="Arial" w:eastAsia="Arial" w:hAnsi="Arial"/>
          <w:sz w:val="18"/>
          <w:szCs w:val="18"/>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second Phase I clinical trial, MN-029 was administered as an intravenous infusion every seven days (days 1, 8, 15) followed by a 13-day recovery</w:t>
      </w:r>
    </w:p>
    <w:p>
      <w:pPr>
        <w:spacing w:after="0" w:line="4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period (one cycle). Results from this clinical trial showed that MN-029 was well tolerated. The maximum dose was limited to 180 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per dose based on the results of the other Phase I trial that employed a less aggressive dosing schedule. The most common side effects of MN-029 in this clinical trial included nausea, vomiting, arthralgia and headache. Eleven of 20 patients with advanced solid tumors for whom no standard therapy was available had stable disease after two cycles of treatment. Four subjects continued on extended cycles of MN-029 treatment. Based on RECIST criteria, one patient with metastatic pancreatic cancer had an overall partial response with a duration of 74 days. Seven patients had stable disease with a median duration of 83 days.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MN-305 for Generalized Anxiety Disorder/Insomnia</w:t>
      </w:r>
    </w:p>
    <w:p>
      <w:pPr>
        <w:spacing w:after="0" w:line="158"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The essential characteristic of Generalized Anxiety Disorder is excessive, uncontrollable worry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National Institute of Mental Health, anxiety disorders affect approximately 40 million American adults, of whom approximately 6.8 million suffer from Generalized Anxiety Disorder. Anxiety disorders are the most prevalent of neuropsychiatric conditions, yet are generally considered to be under-diagnosed and therefore undertreated. Therefore, we believe that there is a significant opportunity for the introduction of new anxiety reducing drugs.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 or SSRIs, were increasingly used to treat anxiety as well. While effective, the use of SSRIs may result in a variety of undesirable side effects, including agitation and sexual dysfunction. Also, SSRIs may take weeks to exert their beneficial effects.</w:t>
      </w:r>
    </w:p>
    <w:p>
      <w:pPr>
        <w:spacing w:after="0" w:line="52" w:lineRule="exact"/>
        <w:rPr>
          <w:sz w:val="20"/>
          <w:szCs w:val="20"/>
          <w:color w:val="auto"/>
        </w:rPr>
      </w:pPr>
    </w:p>
    <w:p>
      <w:pPr>
        <w:ind w:right="260" w:firstLine="456"/>
        <w:spacing w:after="0" w:line="335" w:lineRule="auto"/>
        <w:rPr>
          <w:sz w:val="20"/>
          <w:szCs w:val="20"/>
          <w:color w:val="auto"/>
        </w:rPr>
      </w:pPr>
      <w:r>
        <w:rPr>
          <w:rFonts w:ascii="Arial" w:cs="Arial" w:eastAsia="Arial" w:hAnsi="Arial"/>
          <w:sz w:val="18"/>
          <w:szCs w:val="18"/>
          <w:i w:val="1"/>
          <w:iCs w:val="1"/>
          <w:color w:val="auto"/>
        </w:rPr>
        <w:t>Overview of MN-305</w:t>
      </w:r>
      <w:r>
        <w:rPr>
          <w:rFonts w:ascii="Arial" w:cs="Arial" w:eastAsia="Arial" w:hAnsi="Arial"/>
          <w:sz w:val="18"/>
          <w:szCs w:val="18"/>
          <w:color w:val="auto"/>
        </w:rPr>
        <w:t>. MN-305 is a serotonin receptor agonist with high affinity and selectivity for the serotonin 5-HT</w:t>
      </w:r>
      <w:r>
        <w:rPr>
          <w:rFonts w:ascii="Arial" w:cs="Arial" w:eastAsia="Arial" w:hAnsi="Arial"/>
          <w:sz w:val="22"/>
          <w:szCs w:val="22"/>
          <w:color w:val="auto"/>
          <w:vertAlign w:val="subscript"/>
        </w:rPr>
        <w:t>1A</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subtype. Drugs that act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this mechanism, such as buspirone, have been proven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 be clinically effective in treating Generalized Anxiety Disorder. We licensed MN-305 from Mitsubishi Pharma Corporation, now Mitsubishi Tanabe Pharma Corporation. MN-305 has been shown to be more potent than buspirone and to exhibit anti-anxiety efficacy in a wide range of preclinical rodent models. For example, in a social interaction test, MN-305 prolonged the duration of social interaction in rats. Preclinical and clinical studies conducted by Mitsubishi Tanabe Pharma Corporation and us also suggest that MN-305 may have a more rapid onset of action than buspirone.</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Preliminary evidence of anti-anxiety efficacy was provided by a six-week, open-label, fixed-flexible dose Phase II clinical trial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by Mitsubishi Tanabe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clinical trial. At the end of the clinical trial, the mean Hamilton Rating Scale for Anxiety score, or HAM-A score, which is a scale used to measure the intensity of anxiety symptoms, was reduced compared to the pre-treatment value. Similarly, a majority of the patients were rated “Moderately Improved” or better following treatment with MN-305. In addition, MN-305 was well tolerated in several clinical trials conducted by Mitsubishi Tanabe Pharma Corporation in healthy volunteers and patients with anxiety disorders and Major Depressive Disorder. These studies did not evaluate the reduction of anxiety symptoms in patients that were not treated with MN-305.</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 for MN-305 was transferred to us from Mitsubishi Tanabe Pharma Corporation, which enabled us to initiate a Phase II/III randomized, double-blind, placebo-controlled clinical trial in 416 patients with Generalized Anxiety Disorder in the first quarter of 2005. We completed this clinical trial in the second quarter of 2006. The results revealed trends for improvement in all efficacy outcome measures. Statistically significant improvements in the total HAM-A score and in anxious mood, which is item 1 of the HAM-A score and was a secondary endpoint in this clinical trial, were observed through eight weeks of treatment. However, statistical significance on change from baseline of the total HAM-A score after ten weeks of treatment, which was the primary outcome measure of this clinical trial, was not achieved. MN-305 was well tolerated at all doses in this clinical trial, and we believe the findings were sufficiently positive to warrant further clinical evaluation of this product candidate.</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analyzed the results from our Phase II/III clinical trial of MN-305 in Generalized Anxiety Disorder and performed in-depth analyses of subgroups that showed statistically significant improvement in certain aspects of the HAM-A score (</w:t>
      </w:r>
      <w:r>
        <w:rPr>
          <w:rFonts w:ascii="Arial" w:cs="Arial" w:eastAsia="Arial" w:hAnsi="Arial"/>
          <w:sz w:val="16"/>
          <w:szCs w:val="16"/>
          <w:i w:val="1"/>
          <w:iCs w:val="1"/>
          <w:color w:val="auto"/>
        </w:rPr>
        <w:t>e.g.</w:t>
      </w:r>
      <w:r>
        <w:rPr>
          <w:rFonts w:ascii="Arial" w:cs="Arial" w:eastAsia="Arial" w:hAnsi="Arial"/>
          <w:sz w:val="16"/>
          <w:szCs w:val="16"/>
          <w:color w:val="auto"/>
        </w:rPr>
        <w:t>, insomnia). Based on these analyses, we initiated a Phase II proof-of-concept clinical trial of MN-305 for the treatment of insomnia in the first quarter of 2007 to assess the effects of three dosages of MN-305 (1 mg, 3 mg and 6 mg) and placebo, all administered orally approximately 60 minutes before bedtime. This clinical trial, which involved 74 subjects at ten study centers in the United States, was completed in the fourth quarter of 2007. This clinical trial failed to achieve statistical significance in its primary endpoint of reducing Wake (time) After Sleep Onset, or WASO. MN-305 was well tolerated in this clinical trial with no clinically significant adverse events observed at any dose tested, and there was no evidence of any decrements in psychomotor performance, as assessed in digit symbol substitution and symbol copying tests, in patients treated with MN-305. Based upon the results of this clinical trial, we decided to terminate the evaluation of MN-305 for the treatment of insomnia.</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Preterm labor is caused by the onset of uterine contractions before term. According to a November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publication in Obstetrics &amp; Gynecology, preterm labor is the leading cause of neonatal mortality and a substantial portion of all birth-related short and long-term morbidity. Successful inhibition of premature birth is known to reduce the risk of complications. Despite extensive research into preterm labor during the past several decades, the rate of premature births has not decreased. According to the National Vital Statistics Reports issued by the U.S. Department of Health and Human Services, there were more than four million births in the United States in 2005, almost 13 percent of which were considered premature births.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U.S. Department of Health and Human Services estimates that the cost of intensive care unit, or ICU, services for premature infants is over $15.0 billion annually. In addition, according to a September 2004 publication in British Medical Journal, approximately 6 percent to 7 percent of all births in Europe occur before term.</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Currently, therapy for preterm labor remains targeted at uterine contractions.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 are generally used as first-line treatments for premature labor. The only FDA-approved treatment for preterm labor is ritodrine, a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However, ritodrine has not been available for sale in the U.S. market since 1999. The more widely used treatment for preterm labor is another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terbutaline; however, this drug is not approved by the FDA for preterm labor. Atosiban, an oxytocin antagonist, is available in Europe, but was denied regulatory approval in the United States. The usefulness of these ß</w:t>
      </w:r>
      <w:r>
        <w:rPr>
          <w:rFonts w:ascii="Arial" w:cs="Arial" w:eastAsia="Arial" w:hAnsi="Arial"/>
          <w:sz w:val="20"/>
          <w:szCs w:val="20"/>
          <w:color w:val="auto"/>
          <w:vertAlign w:val="subscript"/>
        </w:rPr>
        <w:t>2</w:t>
      </w:r>
      <w:r>
        <w:rPr>
          <w:rFonts w:ascii="Arial" w:cs="Arial" w:eastAsia="Arial" w:hAnsi="Arial"/>
          <w:sz w:val="16"/>
          <w:szCs w:val="16"/>
          <w:color w:val="auto"/>
        </w:rPr>
        <w:t>-</w:t>
      </w:r>
    </w:p>
    <w:p>
      <w:pPr>
        <w:spacing w:after="0" w:line="3"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adrenergic receptor agonists is often limited by the adverse reactions they produce, which include cardiovascular side effects such as heart palpitations. As a result, we believe that there is a need for treatments with better safety and tolerability profiles that are effective in reducing the premature birth rate and/or providing for longer gestation.</w:t>
      </w:r>
    </w:p>
    <w:p>
      <w:pPr>
        <w:spacing w:after="0" w:line="118"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i w:val="1"/>
          <w:iCs w:val="1"/>
          <w:color w:val="auto"/>
        </w:rPr>
        <w:t>Overview of MN-221 in Preterm Labor</w:t>
      </w:r>
      <w:r>
        <w:rPr>
          <w:rFonts w:ascii="Arial" w:cs="Arial" w:eastAsia="Arial" w:hAnsi="Arial"/>
          <w:sz w:val="15"/>
          <w:szCs w:val="15"/>
          <w:color w:val="auto"/>
        </w:rPr>
        <w:t>. MN-221 is highly-selective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being developed for the treatment of preterm labor.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licensed MN-221 from Kissei Pharmaceutical. Preclinical testing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showed MN-221 to be more selective for the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than other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-adrenergic receptor agonists currently used to treat preterm labor. Moreover,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studies also suggested that MN-221 may act as only a partial ß</w:t>
      </w:r>
      <w:r>
        <w:rPr>
          <w:rFonts w:ascii="Arial" w:cs="Arial" w:eastAsia="Arial" w:hAnsi="Arial"/>
          <w:sz w:val="19"/>
          <w:szCs w:val="19"/>
          <w:color w:val="auto"/>
          <w:vertAlign w:val="subscript"/>
        </w:rPr>
        <w:t>1</w:t>
      </w:r>
      <w:r>
        <w:rPr>
          <w:rFonts w:ascii="Arial" w:cs="Arial" w:eastAsia="Arial" w:hAnsi="Arial"/>
          <w:sz w:val="15"/>
          <w:szCs w:val="15"/>
          <w:color w:val="auto"/>
        </w:rPr>
        <w:t>-adrenergic receptor agonist in cardiac tissue, while acting as a full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in the uterus. This improved receptor binding and functional selectivity may result in fewer cardiovascular side effects than are commonly observed with other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agonists used to treat this condition. In preclinical</w:t>
      </w:r>
    </w:p>
    <w:p>
      <w:pPr>
        <w:spacing w:after="0" w:line="3"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pharmacology studies in pregnant rats and sheep conducted by Kissei Pharmaceutical, MN-221 reduced the number of spontaneous or drug-induced uterine contractions. Furthermore, in these studies, MN-221 delayed both normal and preterm labor in rats and caused a marked increase in the bodyweight of rat pups as a result of prevention of premature birth. In rat and sheep studies which compared MN-221 to ritodrine and/or terbutaline, the potency of MN-221 was greater than those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 agonists.</w:t>
      </w:r>
    </w:p>
    <w:p>
      <w:pPr>
        <w:spacing w:after="0" w:line="2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To date, pharmacokinetic and safety data has been generated from human experience with MN-221 through Phase I clinical studies in</w:t>
      </w:r>
      <w:r>
        <w:rPr>
          <w:rFonts w:ascii="Arial" w:cs="Arial" w:eastAsia="Arial" w:hAnsi="Arial"/>
          <w:sz w:val="16"/>
          <w:szCs w:val="16"/>
          <w:i w:val="1"/>
          <w:iCs w:val="1"/>
          <w:color w:val="auto"/>
        </w:rPr>
        <w:t xml:space="preserve"> </w:t>
      </w:r>
      <w:r>
        <w:rPr>
          <w:rFonts w:ascii="Arial" w:cs="Arial" w:eastAsia="Arial" w:hAnsi="Arial"/>
          <w:sz w:val="16"/>
          <w:szCs w:val="16"/>
          <w:color w:val="auto"/>
        </w:rPr>
        <w:t>healthy male and non-pregnant female volunteers conducted by Kissei Pharmaceutical in Japan and the U.K. and a Phase I clinical trial in the United States conducted by us. A total of 244 healthy subjects received intravenous infusions of either MN-221 or a placebo. MN-221 was generally well tolerated. A pilot double-blind, placebo-controlled Phase II clinical trial of MN-221 was completed in 2004 by Kissei Pharmaceutical in seven women in preterm labor in the U.K. A trend towards a reduction in the number of uterine contractions was observed in MN-221-treated women and, as a result, only limited conclusions could be drawn from this clinical trial. No serious adverse events related to MN-221 were observed in this clinical trial.</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initiated a Phase Ib clinical trial in healthy pregnant women in the third quarter of 2006. Ten healthy, pregnant volunteers who were not in labor participated in this clinical trial, which was completed in the second quarter of 2007. The volunteers received a single-dose intravenous infusion regimen of MN-221, consisting of two consecutive rounds of a 15-minute priming and a 105-minute maintenance infusion to deliver 294 micrograms of MN-221 over four hours. The primary objectives of this clinical trial were to determine the pharmacokinetics, safety and tolerability of this infusion regimen of MN-221 in pregnant women. No significant safety concerns with MN-221 were identified in this clinical trial.</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Urinary incontinence occurs when normal regulation of bladder function is lost. According to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Kidney and Urologic Disease Information Clearinghouse, there are over 13 million persons in the United States suffering from urinary incontinence.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According to Datamonitor, the global market for urinary incontinence is projected to grow to $4.0 billion in 2010. The current marketplace is dominated by anti-cholinergic drugs that are modestly effective and produce treatment-limiting side effects such as dry mouth. According to Med Ad News,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market leader, Pfizer Inc.’s Detrol</w:t>
      </w:r>
      <w:r>
        <w:rPr>
          <w:rFonts w:ascii="Arial" w:cs="Arial" w:eastAsia="Arial" w:hAnsi="Arial"/>
          <w:sz w:val="22"/>
          <w:szCs w:val="22"/>
          <w:color w:val="auto"/>
          <w:vertAlign w:val="superscript"/>
        </w:rPr>
        <w:t>®</w:t>
      </w:r>
      <w:r>
        <w:rPr>
          <w:rFonts w:ascii="Arial" w:cs="Arial" w:eastAsia="Arial" w:hAnsi="Arial"/>
          <w:sz w:val="18"/>
          <w:szCs w:val="18"/>
          <w:color w:val="auto"/>
        </w:rPr>
        <w:t>, were approximately $1.2 billion in 2007.</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Overview of MN-246</w:t>
      </w:r>
      <w:r>
        <w:rPr>
          <w:rFonts w:ascii="Arial" w:cs="Arial" w:eastAsia="Arial" w:hAnsi="Arial"/>
          <w:sz w:val="16"/>
          <w:szCs w:val="16"/>
          <w:color w:val="auto"/>
        </w:rPr>
        <w:t>. MN-246 is a novel ß</w:t>
      </w:r>
      <w:r>
        <w:rPr>
          <w:rFonts w:ascii="Arial" w:cs="Arial" w:eastAsia="Arial" w:hAnsi="Arial"/>
          <w:sz w:val="20"/>
          <w:szCs w:val="20"/>
          <w:color w:val="auto"/>
          <w:vertAlign w:val="subscript"/>
        </w:rPr>
        <w:t>3</w:t>
      </w:r>
      <w:r>
        <w:rPr>
          <w:rFonts w:ascii="Arial" w:cs="Arial" w:eastAsia="Arial" w:hAnsi="Arial"/>
          <w:sz w:val="16"/>
          <w:szCs w:val="16"/>
          <w:color w:val="auto"/>
        </w:rPr>
        <w:t>-adrenergic receptor agonist being developed for the treatment of urinary incontinence. We licensed MN-246</w:t>
      </w:r>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from Mitsubishi Pharma Corporation, now Mitsubishi Tanabe Pharma Corporation. We believe that MN-246 represents a new approach to treating urinary incontinence and may have advantages over existing therapies, including potential improvements in efficacy through increases in bladder volume with decreases in involuntary bladder contractions and the absence of anti-cholinergic side effects, such as dry mouth. In preclinical studies in rats conducted by Mitsubishi Tanabe Pharma Corporation, MN-246 was more potent and active than oxybutynin and propiverine in increasing bladder volume. In addition, the studies showed that MN-246 produced little or no increase in residual urine volume and no anti-cholinergic side effects in rats. MN-246 also increased bladder volume in preclinical studies conducted on dogs and monkeys.</w:t>
      </w:r>
    </w:p>
    <w:p>
      <w:pPr>
        <w:spacing w:after="0" w:line="17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We initiated a double-blind, randomized, placebo-controlled, single escalating dose Phase I clinical trial of MN-246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urinary incontinence in the first quarter of 2006. This clinical trial, which involved healthy volunteers to evaluate the safety, tolerability and pharmacokinetics of MN-246, was completed in the fourth quarter of 2006. We also conducted a Phase I food effects study in healthy volunteers, which was completed in the first quarter of 2007. MN-246 was tolerated in both clinical trials.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Despite advances in the treatment of cardiovascular disease, or CVD, more than 910,000 Americans still die</w:t>
      </w:r>
      <w:r>
        <w:rPr>
          <w:rFonts w:ascii="Arial" w:cs="Arial" w:eastAsia="Arial" w:hAnsi="Arial"/>
          <w:sz w:val="16"/>
          <w:szCs w:val="16"/>
          <w:i w:val="1"/>
          <w:iCs w:val="1"/>
          <w:color w:val="auto"/>
        </w:rPr>
        <w:t xml:space="preserve"> </w:t>
      </w:r>
      <w:r>
        <w:rPr>
          <w:rFonts w:ascii="Arial" w:cs="Arial" w:eastAsia="Arial" w:hAnsi="Arial"/>
          <w:sz w:val="16"/>
          <w:szCs w:val="16"/>
          <w:color w:val="auto"/>
        </w:rPr>
        <w:t>of heart disease annually according to the American Heart Association, constituting 37 percent of all deaths. In addition, there are over 70 million individuals in the United States that currently live with some form of heart disease, which can include high blood pressure, CVD, stroke, angina (chest pain), myocardial infarction (heart attack) and congenital heart defects. According to Datamonitor, worldwide sales of antithrombotic drugs are forecasted to reach approximately $14.8 billion in 2011. We believe that there remains an unmet medical need for safe and effective treatments for thrombotic conditions, including acute coronary syndrome, myocardial infarction, peripheral arterial disease and percutaneous coronary interventions.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One out of every three Americans has CVD. Heart disease and stroke account for almost six million hospitalizations each year and cause disability for almost ten million Americans over the age of 65. CVD remains the leading cause of death in the United States for both men and women among all racial and ethnic groups. In addition, heart disease is the leading cause of death for all Americans and causes more deaths than cancer and accidents combined. Given the high mortality and morbidity rates associated with CVD, we believe there is an urgent need for more targeted therapies that can intervene in known molecular pathways and minimize damage to the heart and related tissues.</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Overview of MN-447 and MN-462</w:t>
      </w:r>
      <w:r>
        <w:rPr>
          <w:rFonts w:ascii="Arial" w:cs="Arial" w:eastAsia="Arial" w:hAnsi="Arial"/>
          <w:sz w:val="18"/>
          <w:szCs w:val="18"/>
          <w:color w:val="auto"/>
        </w:rPr>
        <w:t>. MN-447 and MN-462 are novel, small molecule antithrombic agents being developed for the treatment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thrombotic disorders. We licensed MN-447 and MN-462 from Meiji Seika Kaisha.</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MN-447 is a cardioprotective, anti-platelet agent that acts as a dual antagonist of glycoprotein, or GP, IIbIIIa and integrin alpha-v-beta-3, or a</w:t>
      </w:r>
      <w:r>
        <w:rPr>
          <w:rFonts w:ascii="Arial" w:cs="Arial" w:eastAsia="Arial" w:hAnsi="Arial"/>
          <w:sz w:val="20"/>
          <w:szCs w:val="20"/>
          <w:color w:val="auto"/>
          <w:vertAlign w:val="subscript"/>
        </w:rPr>
        <w:t>v</w:t>
      </w:r>
      <w:r>
        <w:rPr>
          <w:rFonts w:ascii="Arial" w:cs="Arial" w:eastAsia="Arial" w:hAnsi="Arial"/>
          <w:sz w:val="16"/>
          <w:szCs w:val="16"/>
          <w:color w:val="auto"/>
        </w:rPr>
        <w:t>ß</w:t>
      </w:r>
      <w:r>
        <w:rPr>
          <w:rFonts w:ascii="Arial" w:cs="Arial" w:eastAsia="Arial" w:hAnsi="Arial"/>
          <w:sz w:val="20"/>
          <w:szCs w:val="20"/>
          <w:color w:val="auto"/>
          <w:vertAlign w:val="subscript"/>
        </w:rPr>
        <w:t>3</w:t>
      </w:r>
      <w:r>
        <w:rPr>
          <w:rFonts w:ascii="Arial" w:cs="Arial" w:eastAsia="Arial" w:hAnsi="Arial"/>
          <w:sz w:val="16"/>
          <w:szCs w:val="16"/>
          <w:color w:val="auto"/>
        </w:rPr>
        <w:t>, receptors</w:t>
      </w:r>
    </w:p>
    <w:p>
      <w:pPr>
        <w:spacing w:after="0" w:line="9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that play key roles in blood clot formation and various cell behaviors and functions such as leukocyte adhesion. Preclinical studies have demonstrated that MN-447 acts downstream by inhibiting the final common pathway of platelet aggregation - the cross-linking of platelets via fibrinogen bridges to GP IIbIIIa receptors. Inhibition of integrin a</w:t>
      </w:r>
      <w:r>
        <w:rPr>
          <w:rFonts w:ascii="Arial" w:cs="Arial" w:eastAsia="Arial" w:hAnsi="Arial"/>
          <w:sz w:val="22"/>
          <w:szCs w:val="22"/>
          <w:color w:val="auto"/>
          <w:vertAlign w:val="subscript"/>
        </w:rPr>
        <w:t>v</w:t>
      </w:r>
      <w:r>
        <w:rPr>
          <w:rFonts w:ascii="Arial" w:cs="Arial" w:eastAsia="Arial" w:hAnsi="Arial"/>
          <w:sz w:val="18"/>
          <w:szCs w:val="18"/>
          <w:color w:val="auto"/>
        </w:rPr>
        <w:t>ß</w:t>
      </w:r>
      <w:r>
        <w:rPr>
          <w:rFonts w:ascii="Arial" w:cs="Arial" w:eastAsia="Arial" w:hAnsi="Arial"/>
          <w:sz w:val="22"/>
          <w:szCs w:val="22"/>
          <w:color w:val="auto"/>
          <w:vertAlign w:val="subscript"/>
        </w:rPr>
        <w:t>3</w:t>
      </w:r>
      <w:r>
        <w:rPr>
          <w:rFonts w:ascii="Arial" w:cs="Arial" w:eastAsia="Arial" w:hAnsi="Arial"/>
          <w:sz w:val="18"/>
          <w:szCs w:val="18"/>
          <w:color w:val="auto"/>
        </w:rPr>
        <w:t xml:space="preserve"> receptors has been linked to an inhibition of</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leukocyte adhesion to endothelium (the layer of cells lining blood vessels), 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3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MN-462 is a selective inhibitor of a key enzyme in the intrinsic antifibrinolytic mechanism, plasma carboxypeptidase B, or CPB, and also called activated thrombin-activatable fibrinolysis inhibitor, or TAFIa, which inhibits physiological fibrinolysis, or the lysis or dissolving of blood clots. By enhancing intrinsic fibrinolysis through plasma CPB inhibition, MN-462 has the potential to reduce and prevent thrombus or blood clot formation, as well as dissolve formed thrombus. In preclinical studies, MN-462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was also observed to result in a low risk of bleeding.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currently have no marketing and sales capabilities. Within the United States, we may develop, at the appropriate time, a focused product-driven marketing and sales organization to promote a product development program. For example, we may develop a commercial organization in the United States to focus on promoting MN-221 for the treatment of acute exacerbations of asthma to physicians, nurses and pharmacy directors in the emergency room setting. We believe that we can achieve our strategic goals for MN-221 by deploying an experienced sales organization supported by an internal marketing infrastructure to target institutions with emergency room departments. The size and other features of our sales and marketing organization, if any, will be influenced by the timing of regulatory approvals for our product candidates, the willingness of our partners to agree to co-promotion, if applicable, and the investment involved.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the terms of our license agreement with Kissei Pharmaceutical for MN-221, we are currently negotiating with Kissei Pharmaceutical for the commercial supply of the API for MN-221. If we enter into a supply agreement with Kissei Pharmaceutical, we will purchase from Kissei Pharmaceutical all API that we require for the commercial supply of MN-221, if such product candidate is approved for commercial sale by the FDA or other regulatory authorities.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2009, we entered into an agreement with Hospira Worldwide, Inc., or Hospira, for the completion of pre-commercialization manufacturing development activities and the manufacture of commercial supplies of finished product for MN-221 utilizing Hospira’s proprietary ADD-Vantage drug delivery system, if such product candidate is approved for commercial sale by the FDA or other regulatory authorities. Pursuant to the terms of the agreement with Hospira, Hospira will receive development fees from us upon completion of specified development activities, which we will expense as the costs are incurred. We are also obligated under the agreement to purchase a minimum number of units each year following regulatory approval, which number is based on our forecasts submitted to Hospira on a rolling basis. In addition to the agreement with Hospira, we anticipate entering into a commercial supply agreement with a contract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manufacturer for finished product of MN-221 in standard vials. However, at present, we do not have any agreements established regarding the commercial supply of MN-221 in standard vials or for the API or finished product of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64"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Since our inception in September 2000, we have entered into eight license agreements which cover our current product candidates. In general, we seek to procure patent protection for our anticipated products, or obtain such protection from the relevant patents owned by our licensors. To date, we have obtained licensed rights under 16 issued U.S. patents and five pending U.S. patent applications. We also have obtained licensed rights to over 165 issued and pending foreign patents and applications corresponding to these U.S. patents and patent applications. In addition to these licensed rights, we hold five issued U.S. patents and two U.S. patent applications relating to MN-001 and its metabolite, MN-002. These patents and pending patent applications contain claims directed to compounds, compositions, methods of use and/or methods of manufacture. We have also filed U.S. patent, Patent Corporation Treaty, or PCT, and foreign patent applications relating to MN-246. The following is a description of our existing license agreements and intellectual property rights for each of our product candidates: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including preterm labor. This license includes an exclusive license under one U.S. patent and one U.S. patent application and certain corresponding patents and patent applications in foreign countries and is sublicensable upon receipt of the written consent of Kissei Pharmaceutical. The U.S. patent for MN-221 has composition of matter and method of use claims.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U.S. composition of matter patent underlying the license issued on October 17, 2000 and is set to expire no earlier than February 18, 2017. Corresponding composition of matter patents in various other countries are set to expire no earlier than February 18, 2017. Under the terms of the agreement, we granted to Kissei Pharmaceutical a royalty-free, non-exclusive right and license to use our know-how and patents relating to MN-221 to develop products incorporating the MN-221 compound outside of our territory. Kissei Pharmaceutical also has the right to co-promote licensed products in our territory on terms to be agreed upon by the parties and the exclusive right to manufacture and supply us with the API that we require for clinical development of MN-221 and commercial sale of any approved product.</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Pharmaceutical during the development phase and 180 days’ prior written notice to Kissei Pharmaceutical during the commercialization phase.</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Kissei Pharmaceutical $1.0 million to date, and we are obligated to make payments of up to $17.0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October 22, 2004, we entered into an exclusive license agreement with Kyorin Pharmaceutical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underlying the license is set to expire on August 10, 2018. Corresponding method of use patents in several other countries are set to expire on August 10, 2018. Under the terms of the agreement, we granted to Kyorin Pharmaceutical an exclusive, royalty-free, sublicensable license to use the preclinical, clinical and regulatory databases to develop opthmalmic products incorporating the MN-166 compound anywhere in the world and non-opthalmic products incorporating the MN-166 compound outside of our territory.</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also filed a patent application directed to the use of MN-166 for the treatment of progressive neurodegenerative diseases in the United States and intend to pursue counterparts of this patent application in certain foreign jurisdictions.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March 14, 2002, we entered into an exclusive license agreement with Kyorin Pharmaceutical for the development and commercialization of MN-001. We obtained an exclusive, worldwide (excluding Japan, China, South Korea and Taiwan) sublicenseable license to the patent rights and know-how related to MN-001 and its active metabolite, MN-002, disclosed and included in, or covered by, these patents, in all indications, except for ophthalmic solution formulations. This license includes an exclusive, sublicensable license under one U.S. patent and certain corresponding patents and patent applications in foreign countries. The U.S. composition of matter patent for MN-001 underlying the license expired on February 23, 2009, and the U.S. composition of matter patent for MN-002 underlying the license is set to expire on December 30, 2011. Corresponding composition of matter patents in various other countries are set to expire no earlier than between March 1, 2009 and January 15, 2015. Certain annuities were not paid in a timely manner with respect to certain foreign patents licensed under MN-002, resulting in the lapse of patents in certain countries. In such jurisdictions, we intend to rely upon the applicable period of post-approval exclusivity, in addition to any patents that may issue from our own patent applications. Under the terms of the agreement, we granted to Kyorin Pharmaceutical an exclusive, royalty-free, sublicenseable license to use the preclinical, clinical and regulatory databases to develop opthmalmic products incorporating the MN-001 compound anywhere in the world and non-opthalmic products incorporating the MN-001 compound outside of our territory.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filed, and the U.S. Patent and Trademark Office issued, five U.S. patents covering certain compositions, uses and manufacturing processes associated with MN-001, four of which are set to expire on June 24, 2023 and one of which is set to expire on April 27, 2025. Patent applications corresponding to these U.S. patents were filed in certain foreign countries. We also filed one U.S. continuation application from these patents.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June 19, 2002, we entered into an exclusive license agreement with Angiogene Pharmaceuticals for the development and commercialization of the ANG-600 series of compounds. Angiogene Pharmaceuticals is a privately held, British drug discovery company. We obtained an exclusive, worldwide, sublicenseable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three U.S. patents, two U.S. patent applications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 Pharmaceuticals.</w:t>
      </w:r>
    </w:p>
    <w:p>
      <w:pPr>
        <w:spacing w:after="0" w:line="118" w:lineRule="exact"/>
        <w:rPr>
          <w:sz w:val="20"/>
          <w:szCs w:val="20"/>
          <w:color w:val="auto"/>
        </w:rPr>
      </w:pPr>
    </w:p>
    <w:p>
      <w:pPr>
        <w:ind w:right="1160" w:firstLine="456"/>
        <w:spacing w:after="0" w:line="37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Pharmaceuticals patent (or equivalent) under license which has a valid claim to expire or 15 years from the date of first commercial sale.</w:t>
      </w:r>
    </w:p>
    <w:p>
      <w:pPr>
        <w:spacing w:after="0" w:line="4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Under the license agreement, we have paid Angiogene Pharmaceuticals $1.4 million to date and are obligated to make payments of up to $16.5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April 27, 2004, we entered into an exclusive license agreement with Mitsubishi Pharma Corporation, the predecessor to Mitsubishi Tanabe Pharma Corporation, for the development and commercialization of MN-305.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Mitsubishi Tanabe Pharma Corporation is a fully integrated Japanese pharmaceutical company and is listed on the First Section of the Tokyo Stock Exchange. We obtained an exclusive, worldwide (excluding Japan, Singapore, Brunei, Thailand, Malaysia, Indonesia, the Philippines, Vietnam, Bangladesh, Pakistan, South Korea, China and Taiwan), sublicenseable license to the patent rights and know-how related to MN-305 and its active metabolite disclosed and included or covered by these patents for all indications except for ophthalmic solution formulations. The license is sublicensable upon receipt of the written consent of Mitsubishi Tanabe Pharma Corporation. This license includes an exclusive, sublicensable license under five U.S. patents and a U.S. application and certain corresponding patents and patent applications in foreign countries. The U.S. composition of matter patent for MN-305, which issued on December 1, 1992, is set to expire on March 14, 2011. Patent applications corresponding to this U.S. patent were filed in certain foreign countries, and these foreign counterparts are set to expire no earlier than between March 12, 2011 and March 14, 2011. The U.S. patent covering the use of MN-305 to treat anxiety, which issued on August 10, 1993, is set to expire on March 14, 2011.</w:t>
      </w:r>
    </w:p>
    <w:p>
      <w:pPr>
        <w:spacing w:after="0" w:line="10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sublicenseable 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and includes an exclusive license under one U.S. patent and certain corresponding patents and patent applications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 In addition, we filed a U.S. patent application and corresponding patent applications in Thailand and Taiwan for a new method of use for MN-246.</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issued U.S. patent covers generic phenylethanolamines encompassed by a given chemical formula, including MN-246, processes for the production of such phenylethanolamines, a pharmaceutical composition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 counterparts have been filed or patented in other countries and are also set to expire no earlier than October 24, 2016.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MN-447. 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avß3-mediated disease, platelet thrombosis, aggregation and related disorders, which issued on July 16, 2002, is set to expire on April 9, 2019. Patent applications corresponding to this U.S. patent were filed in certain foreign countries. Under the terms of the license, we granted a license to Meiji Seika Kaisha to use our know-how and patents relating to MN-447 to develop products incorporating the MN-447 compound outside of our territory.</w:t>
      </w:r>
    </w:p>
    <w:p>
      <w:pPr>
        <w:spacing w:after="0" w:line="1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MN-462. We obtained an exclusive, worldwide (excluding Japan, Bangladesh, Brunei, Cambodia, People’s Republic of China, Indonesia, Laos, Malaysia, Myanmar, the Philippines, Singapore, South Korea, Taiwan, Thailand and Vietnam), sublicenseable license from Meiji Seika Kaisha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MN-462 does not justify continued development. Meiji Seika Kaisha also has the right to terminate the agreement in the event that we cease development of MN-462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a U.S. patent covering the method of using MN-166 to treat MS, but we do not have any unqualified composition of matter patent claims for MN-166. As a result, unrelated third parties may develop products with the same API as MN-166 so long as such parties do not infringe our method of use patent, other patents we have exclusive rights to through our licensor or any patents we may obtain for MN-166. An unrelated third party, Avigen, Inc., or Avigen, has filed patent applications on the use of the API in MN-166 to treat neuropathic pain. One of our directors is also a director of Avigen, and Avigen has stated publicly that it has screened this individual from any involvement in, or knowledge of the details or results of, its development program.</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if we develop certain products that are not covered by any patents, we will be dependent on obtaining market exclusivity under the data exclusivity provisions of the Drug Price Competition and Patent Term Restoration Act of 1984, as amended, or the Hatch-Waxman Act, for such products. If we are unable to obtain strong proprietary rights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right="40" w:firstLine="456"/>
        <w:spacing w:after="0" w:line="273" w:lineRule="auto"/>
        <w:rPr>
          <w:sz w:val="20"/>
          <w:szCs w:val="20"/>
          <w:color w:val="auto"/>
        </w:rPr>
      </w:pPr>
      <w:r>
        <w:rPr>
          <w:rFonts w:ascii="Arial" w:cs="Arial" w:eastAsia="Arial" w:hAnsi="Arial"/>
          <w:sz w:val="15"/>
          <w:szCs w:val="15"/>
          <w:color w:val="auto"/>
        </w:rPr>
        <w:t>Our MN-221 product candidate is being developed for the treatment of acute exacerbations of asthma in the emergency room setting. The current standard of care for acute exacerbations of asthma is inhaled albuterol (a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inhaled ipratropium (an anticholinergic) and oral or injected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corticosteroids. In addition, subcutaneously administered terbutaline (a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 is sometimes used to treat this condition, particularly in</w:t>
      </w:r>
    </w:p>
    <w:p>
      <w:pPr>
        <w:spacing w:after="0" w:line="94"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pediatric patients. Certain oral anti-inflammatory asthma drugs, including Critical Therapeutic, Inc.’s Zyflo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(zileuton), are being investigated in an intravenous form for the treatment of acute exacerbations of asthma.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5"/>
          <w:szCs w:val="15"/>
          <w:color w:val="auto"/>
        </w:rPr>
        <w:t>Our MN-166 product candidate has been in development for the treatment of MS. Current treatments for MS include the beta interferons, such as Biogen Idec Inc.’s Avonex</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(beta interferon), Teva Pharmaceutical Industries Ltd.’s and Sanofi-Aventis’ Copaxone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(glatiramer acetate), Merck Serono’s and Pfizer</w:t>
      </w:r>
    </w:p>
    <w:p>
      <w:pPr>
        <w:spacing w:after="0" w:line="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Inc.’s Rebif</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(beta interferon), Bayer Schering Pharma AG’s Betaseron/Betaferon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Biogen Idec Inc.’s Tysabri</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(natalizumab), all of which are administered by injection. Of the many new agents in development for MS, only a few, such as Sanofi-Aventis’ teriflunomide, Novartis AG’s fingolimod/FTY720, Teva Pharmaceutical Industries Ltd.’s laquinimod and Biogen Idec Inc.’s BG-12, are intended for oral administration like MN-166.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Bronchial Asthma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MN-001 product candidate has been in development for the treatment of bronchial asthma. There are two currently marketed leukotriene inhibitors,</w:t>
      </w:r>
    </w:p>
    <w:p>
      <w:pPr>
        <w:spacing w:after="0" w:line="4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Merck &amp; Co. Inc.’s Singulair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(montelukast) and AstraZeneca PLC’s Accolate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(zafirlukast). There are also several products in clinical development to treat bronchial asthma, including Mitsubishi Tanabe Pharma Corporation’s MCC 847 (masilukast), which is another leukotriene inhibitor currently in Phase III clinical testing in Japan.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7"/>
          <w:szCs w:val="17"/>
          <w:color w:val="auto"/>
        </w:rPr>
        <w:t>Our MN-001 product candidate has been in development for the treatment of IC. There are two currently marketed products, Teva Pharmaceuticals Industries Ltd.’s Elmiron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Bioniche Pharma Group Limited’s RIMSO-50</w:t>
      </w:r>
      <w:r>
        <w:rPr>
          <w:rFonts w:ascii="Arial" w:cs="Arial" w:eastAsia="Arial" w:hAnsi="Arial"/>
          <w:sz w:val="21"/>
          <w:szCs w:val="21"/>
          <w:color w:val="auto"/>
          <w:vertAlign w:val="superscript"/>
        </w:rPr>
        <w:t>®</w:t>
      </w:r>
      <w:r>
        <w:rPr>
          <w:rFonts w:ascii="Arial" w:cs="Arial" w:eastAsia="Arial" w:hAnsi="Arial"/>
          <w:sz w:val="17"/>
          <w:szCs w:val="17"/>
          <w:color w:val="auto"/>
        </w:rPr>
        <w:t xml:space="preserve"> . There is also a product in clinical development to treat IC, Taiho Pharmaceutical Co., Ltd.’s IPD-1151 (suplatast tosilate), which is currently in Phase III clinical testing in Japan. In addition, Urigen Pharmaceuticals, Inc.’s URG-101 for the treatment of painful bladder syndrome/interstitial cystitis is in Phase II clinical testing.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MN-029 product candidate has been in development for the treatment of solid tumors. There are a number of compounds in clinical development with a mechanism similar to MN-029, including Oxigene Inc.’s ZBRESTAT™ (fosbretabulin) and Sanofi-Aventis’ AVE 8062, which are in Phase III clinical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 Anxiety Disorder</w:t>
      </w:r>
    </w:p>
    <w:p>
      <w:pPr>
        <w:spacing w:after="0" w:line="158" w:lineRule="exact"/>
        <w:rPr>
          <w:sz w:val="20"/>
          <w:szCs w:val="20"/>
          <w:color w:val="auto"/>
        </w:rPr>
      </w:pPr>
    </w:p>
    <w:p>
      <w:pPr>
        <w:ind w:right="140" w:firstLine="456"/>
        <w:spacing w:after="0" w:line="304" w:lineRule="auto"/>
        <w:rPr>
          <w:sz w:val="20"/>
          <w:szCs w:val="20"/>
          <w:color w:val="auto"/>
        </w:rPr>
      </w:pPr>
      <w:r>
        <w:rPr>
          <w:rFonts w:ascii="Arial" w:cs="Arial" w:eastAsia="Arial" w:hAnsi="Arial"/>
          <w:sz w:val="18"/>
          <w:szCs w:val="18"/>
          <w:color w:val="auto"/>
        </w:rPr>
        <w:t>Our MN-305 product candidate has been in development for the treatment of General Anxiety Disorder. There are a number of approved products to treat Generalized Anxiety Disorder, including Eli Lilly and Company’s Cymbalta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(duloxetine).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MN-221 product candidate has been in development for the treatment of preterm labor. There are a number of oxytocin antagonists undergoing clinical evaluation, including GlaxoSmithKline plc’s GSK221149, which is currently in Phase II clinical testing.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140" w:firstLine="456"/>
        <w:spacing w:after="0" w:line="274" w:lineRule="auto"/>
        <w:rPr>
          <w:sz w:val="20"/>
          <w:szCs w:val="20"/>
          <w:color w:val="auto"/>
        </w:rPr>
      </w:pPr>
      <w:r>
        <w:rPr>
          <w:rFonts w:ascii="Arial" w:cs="Arial" w:eastAsia="Arial" w:hAnsi="Arial"/>
          <w:sz w:val="16"/>
          <w:szCs w:val="16"/>
          <w:color w:val="auto"/>
        </w:rPr>
        <w:t>Our MN-246 product candidate has been in development for the treatment of urinary incontinence. There are a number of compounds in various stages of clinical development to treat urinary incontinence. Pfizer Inc.’s Detrol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(tolterodine tartrate) is the market leader, and other marketed drugs include Astellas</w:t>
      </w:r>
    </w:p>
    <w:p>
      <w:pPr>
        <w:spacing w:after="0" w:line="1"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Pharma Inc.’s VESIcare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(solifenacin succinate) and Novartis AG’s Enablex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(darifenacin) were introduced in the first quarter of 2005, both of which are anti-cholinergic agents. Ono Pharmaceutical Co., Ltd. and Kyorin Pharmaceutical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have received approval for Staybla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(muscarinic antagonist). Schwarz Pharma AG’s Toviaz</w:t>
      </w:r>
      <w:r>
        <w:rPr>
          <w:rFonts w:ascii="Arial" w:cs="Arial" w:eastAsia="Arial" w:hAnsi="Arial"/>
          <w:sz w:val="19"/>
          <w:szCs w:val="19"/>
          <w:color w:val="auto"/>
          <w:vertAlign w:val="superscript"/>
        </w:rPr>
        <w:t>®</w:t>
      </w:r>
      <w:r>
        <w:rPr>
          <w:rFonts w:ascii="Arial" w:cs="Arial" w:eastAsia="Arial" w:hAnsi="Arial"/>
          <w:sz w:val="15"/>
          <w:szCs w:val="15"/>
          <w:color w:val="auto"/>
        </w:rPr>
        <w:t xml:space="preserve"> (fesoterodine fumarate), another anti-cholinergic, has also recently been approved. Kissei Pharmaceutical, Astellas Pharma Inc. and GlaxoSmithKline plc also have ß</w:t>
      </w:r>
      <w:r>
        <w:rPr>
          <w:rFonts w:ascii="Arial" w:cs="Arial" w:eastAsia="Arial" w:hAnsi="Arial"/>
          <w:sz w:val="19"/>
          <w:szCs w:val="19"/>
          <w:color w:val="auto"/>
          <w:vertAlign w:val="subscript"/>
        </w:rPr>
        <w:t>3</w:t>
      </w:r>
      <w:r>
        <w:rPr>
          <w:rFonts w:ascii="Arial" w:cs="Arial" w:eastAsia="Arial" w:hAnsi="Arial"/>
          <w:sz w:val="15"/>
          <w:szCs w:val="15"/>
          <w:color w:val="auto"/>
        </w:rPr>
        <w:t>-adrenergic receptor agonists in early clinical development for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treatment of this indication.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Our MN-447 and MN-462 product candidates have been in development for the treatment of thrombotic disorders. Both product candidates are currently in preclinical development; therefore, we have not identified the particular thrombotic disorders that we intend to target upon reaching the clinical development stage for these product candidates. Consequently, we cannot accurately evaluate the competition we will face. Currently, the market leaders for anti-thrombotic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drugs are Bristol-Myers Squibb Company’s and Sanofi-Aventis’ Plavix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(clopidogrel) and Sanofi-Aventis’ Lovenox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(enoxaparin).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Government authorities in the United States and other countries extensively regulate pharmaceutical products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the United States, drugs and drug testing are regulated by the FDA under the Federal Food, Drug and Cosmetic Act, as well as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authorities. Before our products may be marketed in the United States, they must be approved by the FDA.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2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United States;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or cGMPs, and satisfactory completion of our FDA inspection to assess compliance; and</w:t>
      </w:r>
    </w:p>
    <w:p>
      <w:pPr>
        <w:spacing w:after="0" w:line="37"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panels to the FDA and may include post-approval commitments.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The FDA may not act quickly or favorably in reviewing our applications, and we may encounter significant difficulties and costs in our efforts to obtain FDA approvals that could delay or preclude us from marketing our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The IND Process. </w:t>
      </w:r>
      <w:r>
        <w:rPr>
          <w:rFonts w:ascii="Arial" w:cs="Arial" w:eastAsia="Arial" w:hAnsi="Arial"/>
          <w:sz w:val="16"/>
          <w:szCs w:val="16"/>
          <w:color w:val="auto"/>
        </w:rPr>
        <w:t>An IND must be effective to administer an investigational drug to humans. The IND will automatically become effective 30 days after 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by the FDA unless the FDA, before that time, raises concerns or questions about the information provided and/or the conduct of the studies as outlined in the IND. At any time thereafter, the FDA may raise concerns or questions about the conduct of the trials as outlined in the IND and even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7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I: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III: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cannot be certain that we will successfully complete Phase I, Phase II or Phase III testing of our drug candidates within any specific time period, if at all. Clinical trials must be conducted in accordance with the FDA’s good clinical practices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13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The NDA Process. </w:t>
      </w:r>
      <w:r>
        <w:rPr>
          <w:rFonts w:ascii="Arial" w:cs="Arial" w:eastAsia="Arial" w:hAnsi="Arial"/>
          <w:sz w:val="15"/>
          <w:szCs w:val="15"/>
          <w:color w:val="auto"/>
        </w:rPr>
        <w:t>If clinical trials are successful, the next step in the drug regulatory approval process is the preparation and submission to the FDA of an</w:t>
      </w:r>
      <w:r>
        <w:rPr>
          <w:rFonts w:ascii="Arial" w:cs="Arial" w:eastAsia="Arial" w:hAnsi="Arial"/>
          <w:sz w:val="15"/>
          <w:szCs w:val="15"/>
          <w:i w:val="1"/>
          <w:iCs w:val="1"/>
          <w:color w:val="auto"/>
        </w:rPr>
        <w:t xml:space="preserve"> </w:t>
      </w:r>
      <w:r>
        <w:rPr>
          <w:rFonts w:ascii="Arial" w:cs="Arial" w:eastAsia="Arial" w:hAnsi="Arial"/>
          <w:sz w:val="15"/>
          <w:szCs w:val="15"/>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NDA, unless an exemption applies.</w:t>
      </w:r>
    </w:p>
    <w:p>
      <w:pPr>
        <w:spacing w:after="0" w:line="8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Upon submission of the NDA, the FDA will make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If the FDA’s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evaluations of the NDA and the clinical and manufacturing procedures and facilities are favorable, the FDA may issue either an approval letter or an approvable letter, which contains the conditions that must be met in order to secure final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IV clinical trials, or restrictive product labeling, or may impose other restrictions on marketing or distribution, such as the adoption of a special risk management plan. The FDA may deny or delay approval of applications that do not meet applicable regulatory criteria or if the FDA determines that the clinical data do not adequately establish the safety and efficacy of the drug.</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 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to FDA restrictions on marketing of pharmaceutical products, several other state and federal laws have been applied to restrict certain sales and marketing practices in the pharmaceutical industry in recent years. These laws include licensing requirements, compliance program requirements, annual certificates and disclosures, anti-kickback statutes and false claims statutes. The Medicare and Medicaid Patient Protection Act of 1987, as amended, or the Anti-Kickback Statute, prohibits,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have a false claim paid. Recently, several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The majority of states also have statutes or regulations similar to the Anti-Kickback Statue and false claims laws, which apply to items and services reimbursed under Medicaid and other state programs, or, in several states, apply regardless of the payor.</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In addition, regulatory approval of prices is required in most countries other than the United States. We face the risk that the resulting prices would be insufficient to generate an acceptable return to us or our collaborators.</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As of March 27, 2009, we had 26 full-time employees and one intern. We believe that our relations with our employees are good, and we have no history of work stoppages.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www.medicinova.com</w:t>
      </w:r>
      <w:r>
        <w:rPr>
          <w:rFonts w:ascii="Arial" w:cs="Arial" w:eastAsia="Arial" w:hAnsi="Arial"/>
          <w:sz w:val="18"/>
          <w:szCs w:val="18"/>
          <w:color w:val="auto"/>
        </w:rPr>
        <w:t>. Information contained in or that can be accessed through our website is not a part of this Annual Report on Form 10-K. We make available through our website, free of charge, all public filings with the Securities and Exchange Commission, or SEC, as soon as reasonably practicable after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year ended December 31, 2008, we had a net loss of $21.9 million. At December 31, 2008, our accumulated deficit was approximately $227.0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any other development activities that we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To date, we have funded our operations primarily from sales of our securities.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9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countries. We are not permitted to market any of our product candidates in the United States until we receive approval of a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MN-166 for the treatment of MS,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 for the treatment of MS following our recent completion of the Phase II clinical trial until such time that we are able to secure a strategic collaboration to advance MN-166 into Phase III clinical development, which may delay or impede the process of completing clinical trials and seeking regulatory approval for this product candidate.</w:t>
      </w:r>
    </w:p>
    <w:p>
      <w:pPr>
        <w:spacing w:after="0" w:line="10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clinical development programs for MN-221 and MN-166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 in a timely manner would have a material and adverse impact on our business and our stock price.</w:t>
      </w:r>
    </w:p>
    <w:p>
      <w:pPr>
        <w:spacing w:after="0" w:line="1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7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INDs were approved and are active for seven of our product candidates. We also obtained five Clinical Trial Authorizations, or CTAs, which are the equivalent of a U.S. IND in Europe and Canada to conduct the completed Phase II clinical trial for MN-166 in patients with MS in five countries in Eastern Europe and obtained two CTAs in Canada to conduct the two completed Phase I clinical trials for MN-246 in healthy subjects.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5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03"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IRB approval to conduct or amend a clinical trial at a prospective site.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right="20" w:hanging="326"/>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03"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In addition,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institutional review boards for reexamination, which may delay or otherwise impact the costs, timing or successful completion of a clinical trial.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ten product candidates.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There can be no assurance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consumed substantial amounts of capital since our inception. From our inception to December 31, 2008, we had an accumulated deficit of $227.0 million. Our cash and cash equivalents, investment securities and a long-term asset consisting of the ARS Put totaled approximately $49.1 million at December 31, 2008. We intend to manage our product development programs such that our existing cash, cash equivalents and investment securities as of December 31, 2008 will be sufficient to meet our operating requirements through at least December 31, 2009. We have based this estimate on assumptions that may prove to be wrong, and we could spend our available financial resources faster than we currently expect. Our future capital requirements will depend on, and could increase significantly as a result of, many factors including:</w:t>
      </w:r>
    </w:p>
    <w:p>
      <w:pPr>
        <w:spacing w:after="0" w:line="10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December 31, 2008, our long-term investments consisted of auction rate securities, or ARS, and included $27.7 million (at par value) of student loan investment securities, $0.7 million (at par value) of municipal investment securities, $2.7 million (at par value) of private placement investment securities, all of which had AAA ratings at the time of purchase, and our long-term asset consists of the ARS Put (pursuant to the ARS Rights Offer described below). ARS are generally long-term debt instruments that historically have provided liquidity through a “Dutch” auction process that resets the applicable interest rate at predetermined calendar intervals, typically seven, 28, 35 or 49 days.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of our ARS continue to experience failed auctions due to lack of liquidity at the time of their respective interest rate resets. The continuing negative conditions in the global credit markets have prevented almost all ARS investors, including us, from liquidating ARS holdings. As a result, we have been unable to liquidate our ARS, and we could be required to hold these securities until such time that they are redeemed by the issuer, successfully sold at auction, sold through a secondary market or ultimately mature.</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August 2008, UBS AG and its affiliates, or UBS, the brokerage firm through which we purchased the majority of our ARS investments, entered into a settlement with the SEC, the New York Attorney General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other state agencies. Under the settlement, UBS issued to us Auction Rate Security Rights, which would allow us to sell to UBS our ARS held in accounts with UBS, or ARS Rights Offer. Pursuant to the ARS Rights Offer, we received the right to sell to UBS the ARS held in accounts with UBS at par value at any time during the period beginning June 30, 2010 and ending July 2, 2012, or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we will be able to renew this facility at maturity on similar terms, or at all.</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complete business combination transactions could have an adverse affect on our results of operations and financial condition.</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2008, we made a proposal to Avigen and its shareholders regarding a proposed merger between us and Avigen. Under our proposal, we would offer as consideration a combination of our registered common stock and shares of a MediciNova convertible security for each share of Avigen common stock outstanding. We have not entered into, and we cannot assure you that we will enter into, a definitive transaction agreement with Avigen. If we do execute such an agreement, we cannot assure you we will be able to consummate the transaction due to the strong likelihood that the agreement will include conditions to closing, which we would expect to include approval of the shareholders of both companies, or that our results of operations, financial condition and outlook would improve as a result of the consummation of any merger transaction with Avigen. In addition, we cannot assure you that we will continue to pursue any acquisition activity in the future.</w:t>
      </w:r>
    </w:p>
    <w:p>
      <w:pPr>
        <w:spacing w:after="0" w:line="13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we have not undertaken, nor do we plan to undertake, any further significant clinical development activities for any of our product candidates other than MN-221 for the treatment of acute exacerbations of asthma, other than those activities deemed necessary to maximize each product candidate’s value,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on CROs, medical institutions, clinical investigators, contract laboratories and other service providers to conduct our clinical trials, which includes the collection, monitoring, analysis and reporting of clinical data. Although we design and manage our current clinical trials to ensure that each clinical trial is conducted in accordance with its investigational plan and protocol, we do not have the ability to conduct all aspects of our clinical trials directly for our product candidates. In the course of clinical development, we have contracted and will continue to contract with a number of these organizations, including: Accelsiors CRO and Consultancy Services of Budapest, Hungary; PRA International of Raleigh, North Carolina; Fulcrum Pharma Developments, Inc. of Durham, North Carolina; Paragon Biomedical, Inc. of Irvine, California; Quintiles, Inc. of Morrisville, North Carolina; PharmaNet, Inc. of Princeton, New Jersey; and Synteract, Inc. of Carlsbad, California.</w:t>
      </w:r>
    </w:p>
    <w:p>
      <w:pPr>
        <w:spacing w:after="0" w:line="13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product development programs. If these third parties fail to devote sufficient care, time and resources to our product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0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To date, we have entered into an agreement with Hospira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API or finished product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2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3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13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0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2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without limitation, the federal Anti-Kickback Statute and False Claims Act. These laws may impact any proposed sales, marketing and education programs as well as other aspects of our operations.</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4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development and commercialization of drug products entails significant product liability risks.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12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March 27, 2009, we had 26 full-time employees and one intern.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13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0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Sarbanes-Oxley Act of 2002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In addition, as a smaller reporting company, our report regarding internal control over financial reporting for the year ended December 31, 2008 was not subject to attestation by our registered public accounting firm pursuant to temporary SEC rules.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are aware that Avigen has conducted preclinical studies and clinical trials for a product which contains the same API as that found in our MN-166 product candidate to target the treatment of neuropathic pain.</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3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72"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45"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08" w:lineRule="exact"/>
        <w:rPr>
          <w:sz w:val="20"/>
          <w:szCs w:val="20"/>
          <w:color w:val="auto"/>
        </w:rPr>
      </w:pPr>
    </w:p>
    <w:p>
      <w:pPr>
        <w:ind w:left="780" w:right="16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of their former employers. Litigation may be necessary to defend against these claims. Even if we are successful in defending against these claims, litigation could result in substantial costs and be a distraction to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December 2008, our average trading volume was approximately 26,600 shares per day on the Nasdaq and 10,600 shares per day on the Hercules Market of the Osaka Stock Exchange.</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December 31, 2008, our common stock has traded as high as approximately $42.00 and as low as approximately $1.50.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4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85" w:lineRule="exact"/>
        <w:rPr>
          <w:sz w:val="20"/>
          <w:szCs w:val="20"/>
          <w:color w:val="auto"/>
        </w:rPr>
      </w:pPr>
    </w:p>
    <w:p>
      <w:pPr>
        <w:jc w:val="center"/>
        <w:ind w:left="540" w:right="160"/>
        <w:spacing w:after="0" w:line="440" w:lineRule="auto"/>
        <w:rPr>
          <w:sz w:val="20"/>
          <w:szCs w:val="20"/>
          <w:color w:val="auto"/>
        </w:rPr>
      </w:pPr>
      <w:r>
        <w:rPr>
          <w:rFonts w:ascii="Arial" w:cs="Arial" w:eastAsia="Arial" w:hAnsi="Arial"/>
          <w:sz w:val="18"/>
          <w:szCs w:val="18"/>
          <w:color w:val="auto"/>
        </w:rPr>
        <w:t>Broad market and industry factors, as well as economic and political factors, also may materially adversely affect the market price of our common stock. 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of common stock issuable upon the exercise of warrants held by three parties, of which warrants held by our two founders that relate to 1,285,657 shares were exercisable at $1.00 per share and a warrant held by a separate investor that relates to 50,000 shares was exercisable at $10.00 per share. At December 31, 2008, one warrant for 50,000 shares held by a separate investor was outstanding. All of the warrants held by our founders have been exercised, and the warrant held by a separate investor expires in May 2009. All of such shares, other than shares held by our affiliates, may also be sold from time to time in exempt transactions pursuant to Rule 144 promulgated by the SEC.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0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as amended,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420" w:hanging="326"/>
        <w:spacing w:after="0" w:line="275"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percent stockholder approval; and</w:t>
      </w: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0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lease approximately 12,699 square feet of office space at our headquarters in San Diego, California under a lease that expires in August 2011. We have no laboratory, research or manufacturing facilities, and we currently do not plan to purchase or lease any such facilities, as such services are provided to us by third-party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service providers. We believe that our current facilities are adequate for our needs for the immediate future and that, should it be needed, suitable additional space will be available to accommodate expansion of our operations on commercially reasonable terms. In addition to our headquarters, we also lease approximately 1,726 square feet of office space in Tokyo, Japan under a lease that expires in May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may be party to lawsuits in the ordinary course of business. We are currently not a party to any material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common stock is traded on the Hercules Market of the Osaka Securities Exchange under the symbol “4875” and on the Nasdaq Global Market under the symbol “MNOV.” Our stock has been traded on the Hercules Market since February 8, 2005 and on the Nasdaq Global Market since December 7, 2006.</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high and low sale prices per share of our common stock as reported on the Nasdaq Global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left="232"/>
              <w:spacing w:after="0"/>
              <w:rPr>
                <w:sz w:val="20"/>
                <w:szCs w:val="20"/>
                <w:color w:val="auto"/>
              </w:rPr>
            </w:pPr>
            <w:r>
              <w:rPr>
                <w:rFonts w:ascii="Arial" w:cs="Arial" w:eastAsia="Arial" w:hAnsi="Arial"/>
                <w:sz w:val="18"/>
                <w:szCs w:val="18"/>
                <w:b w:val="1"/>
                <w:bCs w:val="1"/>
                <w:color w:val="auto"/>
                <w:w w:val="87"/>
              </w:rPr>
              <w:t>Common</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5"/>
              </w:rPr>
              <w:t>Stock Price</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Low</w:t>
            </w:r>
          </w:p>
        </w:tc>
        <w:tc>
          <w:tcPr>
            <w:tcW w:w="20" w:type="dxa"/>
            <w:vAlign w:val="bottom"/>
          </w:tcPr>
          <w:p>
            <w:pPr>
              <w:spacing w:after="0"/>
              <w:rPr>
                <w:sz w:val="18"/>
                <w:szCs w:val="18"/>
                <w:color w:val="auto"/>
              </w:rPr>
            </w:pPr>
          </w:p>
        </w:tc>
      </w:tr>
      <w:tr>
        <w:trPr>
          <w:trHeight w:val="209"/>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r>
      <w:tr>
        <w:trPr>
          <w:trHeight w:val="425"/>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24, 2009, there were approximately 5,600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February 8, 2005, which is the date our common stock first began trading on the Hercules Market of the Osaka Securities Exchange, to two indices: the Hercules Total Index and the Hercules Standard Index. The graph assumes an initial investment of $100 on February 8, 2005,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64135</wp:posOffset>
            </wp:positionV>
            <wp:extent cx="5196840" cy="3310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68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2/8/2005</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12/30/2005</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12/29/2006</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12/28/2007</w:t>
            </w:r>
          </w:p>
        </w:tc>
        <w:tc>
          <w:tcPr>
            <w:tcW w:w="480" w:type="dxa"/>
            <w:vAlign w:val="bottom"/>
          </w:tcPr>
          <w:p>
            <w:pPr>
              <w:spacing w:after="0"/>
              <w:rPr>
                <w:sz w:val="19"/>
                <w:szCs w:val="19"/>
                <w:color w:val="auto"/>
              </w:rPr>
            </w:pPr>
          </w:p>
        </w:tc>
        <w:tc>
          <w:tcPr>
            <w:tcW w:w="96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12/30/2008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Hercules Total Index</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48</w:t>
            </w: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w:t>
            </w:r>
          </w:p>
        </w:tc>
        <w:tc>
          <w:tcPr>
            <w:tcW w:w="9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December 7, 2006 which is the date our common stock first began trading on the Nasdaq Global Market, to two indices: the NASDAQ Composite Index and the NASDAQ Biotechnology Index. The graph assumes an initial investment of $100 on December 7, 2006,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85725</wp:posOffset>
            </wp:positionV>
            <wp:extent cx="5196840" cy="3310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9684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12/7/2006</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6/30/2007</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12/31/2007</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6/30/2008</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6"/>
            <w:vMerge w:val="restart"/>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1"/>
              </w:rPr>
              <w:t>2000 (inception)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0"/>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11,317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37,348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49,103</w:t>
            </w: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(22,601)</w:t>
            </w: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(53,494)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(41,678)</w:t>
            </w: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(30,088)</w:t>
            </w: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(48,613)</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 net on long-term</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and asset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Foreign exchange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(21,925)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(35,690)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w w:val="93"/>
              </w:rPr>
              <w:t>Accretion to redemption value of redeemable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 resulting from beneficial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on Series C redeemable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preferred stock</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(31,264)</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w w:val="96"/>
              </w:rPr>
              <w:t>Net loss applicable to common stockholders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(21,925)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(48,903)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(35,690)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(25,712)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(79,616)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(1,592.32)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w w:val="92"/>
              </w:rPr>
              <w:t>Shares used to compute basic and diluted net</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loss per share(1)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12,072,027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11,752,139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10,130,920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8,928,533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 shares of our common stock upon completion of our IPO in February 2005, there is a lack of comparability in the basic and diluted net loss per share amounts for the periods presented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88"/>
              </w:rPr>
              <w:t>As of December 31,</w:t>
            </w: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8"/>
                <w:szCs w:val="18"/>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8"/>
              </w:rPr>
              <w:t>Cash, cash equivalents and marketable securities available-for-sale</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$ 19,297</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70,635</w:t>
            </w:r>
          </w:p>
        </w:tc>
        <w:tc>
          <w:tcPr>
            <w:tcW w:w="100" w:type="dxa"/>
            <w:vAlign w:val="bottom"/>
          </w:tcPr>
          <w:p>
            <w:pPr>
              <w:spacing w:after="0"/>
              <w:rPr>
                <w:sz w:val="18"/>
                <w:szCs w:val="18"/>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$ 104,051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$ 138,701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$ 50,801</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17,836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100,102</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134,633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48,704</w:t>
            </w: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Long-term investments</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24,047</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5,793</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50,224</w:t>
            </w:r>
          </w:p>
        </w:tc>
        <w:tc>
          <w:tcPr>
            <w:tcW w:w="720" w:type="dxa"/>
            <w:vAlign w:val="bottom"/>
          </w:tcPr>
          <w:p>
            <w:pPr>
              <w:jc w:val="right"/>
              <w:spacing w:after="0"/>
              <w:rPr>
                <w:sz w:val="20"/>
                <w:szCs w:val="20"/>
                <w:color w:val="auto"/>
              </w:rPr>
            </w:pPr>
            <w:r>
              <w:rPr>
                <w:rFonts w:ascii="Arial" w:cs="Arial" w:eastAsia="Arial" w:hAnsi="Arial"/>
                <w:sz w:val="18"/>
                <w:szCs w:val="18"/>
                <w:color w:val="auto"/>
              </w:rPr>
              <w:t>73,752</w:t>
            </w:r>
          </w:p>
        </w:tc>
        <w:tc>
          <w:tcPr>
            <w:tcW w:w="100" w:type="dxa"/>
            <w:vAlign w:val="bottom"/>
          </w:tcPr>
          <w:p>
            <w:pPr>
              <w:spacing w:after="0"/>
              <w:rPr>
                <w:sz w:val="18"/>
                <w:szCs w:val="18"/>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111,591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142,394</w:t>
            </w:r>
          </w:p>
        </w:tc>
        <w:tc>
          <w:tcPr>
            <w:tcW w:w="660" w:type="dxa"/>
            <w:vAlign w:val="bottom"/>
          </w:tcPr>
          <w:p>
            <w:pPr>
              <w:jc w:val="right"/>
              <w:spacing w:after="0"/>
              <w:rPr>
                <w:sz w:val="20"/>
                <w:szCs w:val="20"/>
                <w:color w:val="auto"/>
              </w:rPr>
            </w:pPr>
            <w:r>
              <w:rPr>
                <w:rFonts w:ascii="Arial" w:cs="Arial" w:eastAsia="Arial" w:hAnsi="Arial"/>
                <w:sz w:val="18"/>
                <w:szCs w:val="18"/>
                <w:color w:val="auto"/>
              </w:rPr>
              <w:t>53,769</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43,483</w:t>
            </w: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226,982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(205,057)</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(156,154)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(120,465)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(94,753)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48,045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66,608</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100,981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135,708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development stage company. We have incurred significant net losses since our inception. At December 31, 2008, from inception, our accumulated deficit was approximately $227.0 million, including $43.9 million of non-cash stock-based compensation charges related to employee stock-based compensation and founders’ warrants. We expect to incur substantial net losses for the next several years as we continue to develop our existing product candidates and over the long-term as we expand our research and development programs and acquire or in-license products, technologies or businesses that are complementary to our own.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costs associated with our revenue were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440" w:type="dxa"/>
            <w:vAlign w:val="bottom"/>
          </w:tcPr>
          <w:p>
            <w:pPr>
              <w:spacing w:after="0"/>
              <w:rPr>
                <w:sz w:val="18"/>
                <w:szCs w:val="18"/>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Disease/Indication</w:t>
            </w:r>
          </w:p>
        </w:tc>
        <w:tc>
          <w:tcPr>
            <w:tcW w:w="5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2007</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Acute exacerbations of asthma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MN-166</w:t>
            </w:r>
          </w:p>
        </w:tc>
        <w:tc>
          <w:tcPr>
            <w:tcW w:w="4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MN-001</w:t>
            </w:r>
          </w:p>
        </w:tc>
        <w:tc>
          <w:tcPr>
            <w:tcW w:w="4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0" w:type="dxa"/>
            <w:vAlign w:val="bottom"/>
          </w:tcPr>
          <w:p>
            <w:pPr>
              <w:spacing w:after="0"/>
              <w:rPr>
                <w:sz w:val="18"/>
                <w:szCs w:val="18"/>
                <w:color w:val="auto"/>
              </w:rPr>
            </w:pPr>
          </w:p>
        </w:tc>
      </w:tr>
      <w:tr>
        <w:trPr>
          <w:trHeight w:val="322"/>
        </w:trPr>
        <w:tc>
          <w:tcPr>
            <w:tcW w:w="920" w:type="dxa"/>
            <w:vAlign w:val="bottom"/>
            <w:gridSpan w:val="3"/>
          </w:tcPr>
          <w:p>
            <w:pPr>
              <w:spacing w:after="0"/>
              <w:rPr>
                <w:sz w:val="20"/>
                <w:szCs w:val="20"/>
                <w:color w:val="auto"/>
              </w:rPr>
            </w:pPr>
            <w:r>
              <w:rPr>
                <w:rFonts w:ascii="Arial" w:cs="Arial" w:eastAsia="Arial" w:hAnsi="Arial"/>
                <w:sz w:val="18"/>
                <w:szCs w:val="18"/>
                <w:color w:val="auto"/>
              </w:rPr>
              <w:t>MN-305</w:t>
            </w:r>
          </w:p>
        </w:tc>
        <w:tc>
          <w:tcPr>
            <w:tcW w:w="4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3,735</w:t>
            </w:r>
          </w:p>
        </w:tc>
      </w:tr>
      <w:tr>
        <w:trPr>
          <w:trHeight w:val="218"/>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MN-246</w:t>
            </w:r>
          </w:p>
        </w:tc>
        <w:tc>
          <w:tcPr>
            <w:tcW w:w="4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MN-462</w:t>
            </w:r>
          </w:p>
        </w:tc>
        <w:tc>
          <w:tcPr>
            <w:tcW w:w="4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4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2"/>
              </w:rPr>
              <w:t>Unallocated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42,121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32,171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for the treatment of MS in the second quarter of 2008, we have not undertaken, nor do we plan to undertake, any further significant clinical development of MN-166 until such time that we secure a strategic collaboration to advance MN-166 into Phase III clinical development. We anticipate that our research and development expenses will increase with respect to MN-221 in future periods as we continue development and launch clinical trials in support of potential commercialization of this product candidate and decrease with respect to MN-166 in future periods as we will limit expenditures on this product candidate to those development activities deemed necessary, if any, to maximize its value for purposes of securing a partner for Phase III clinical development. However, at this time, due to the risks inherent in the clinical development process and given the early stage of our MN-221 product development program, we are unable to estimate with any certainty the costs that we will incur in the continued development of such product candidate for potential commercialization.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our product development programs and business development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 Net on Long-Term Investments and Long-Term Asset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impairment charge consists of loss recognized on our long-term investments as a result of other-than-temporary declines in the fair value of such securities, offset by the gain attributable to our ARS Put (pursuant to the ARS Rights Offer described below). Our long-term investments consist of auction rate securities, or ARS, all of which had AAA ratings at the time of purchase, that principally represent interests in municipal bonds, government-guaranteed student loans, insurance notes and portfolios of securities (primarily commercial paper) and our long-term asset consists of an ARS Put. At December 31, 2008, $21.9 million of our ARS consisted primarily of municipal bonds and government-guaranteed student loan securities and $2.1 million of our ARS consisted of private placement securities. None of the underlying collateral for our ARS consisted of subprime mortgages or collateralized debt obligations. Our ARS were designated as trading securities and have been classified as long-term given the time frame in which we can readily convert these securities into cash. ARS are generally long-term debt instruments that historically have provided liquidity through a “Dutch” auction process that resets the applicable interest rate at predetermined calendar intervals, typically seven, 28, 35 or 49 days.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Through December 31, 2007, only our ARS consisting of private placement securities had experienced failed auctions. However, in February 2008, all of our ARS began experiencing failed auctions. Due to continued negative conditions in the global credit markets, our ARS have continued to fail at auction with few to no trades in either the primary or the secondary markets. As such, with the required adoption of Statement of Financial Accounting Standards, or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 of January 1, 2008,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t>
      </w:r>
      <w:r>
        <w:rPr>
          <w:rFonts w:ascii="Arial" w:cs="Arial" w:eastAsia="Arial" w:hAnsi="Arial"/>
          <w:sz w:val="16"/>
          <w:szCs w:val="16"/>
          <w:i w:val="1"/>
          <w:iCs w:val="1"/>
          <w:color w:val="auto"/>
        </w:rPr>
        <w:t>See Note 2,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of our financial statements on page 87 for further information regarding the valuation of our ARS.</w:t>
      </w:r>
    </w:p>
    <w:p>
      <w:pPr>
        <w:spacing w:after="0" w:line="10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August 2008, UBS AG and its affiliates, or UBS, the brokerage firm through which we purchased the majority of our ARS investments, entered into a settlement with the SEC, the New York Attorney General and other state agencies. Under the settlement, UBS issued to us Auction Rate Security Rights, which would allow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sell to UBS our ARS held in accounts with UBS, or ARS Rights Offer. Pursuant to the ARS Rights Offer, we received the right to sell to UBS the ARS held in accounts with UBS at par value at any time during the period beginning June 30, 2010 and ending July 2, 2012, or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0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Although we have the right to sell to UBS the ARS subject to the ARS Put at par beginning June 30, 2010, we determined the fair market value of the respective ARS without consideration of the ARS Put because they are separate contractual agreements under SFAS No. 157.</w:t>
      </w:r>
    </w:p>
    <w:p>
      <w:pPr>
        <w:spacing w:after="0" w:line="7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December 31, 2008, the carry value of all of our ARS had been reduced by $7.1 million, from $31.1 million to $24.0 million, to reflect the estimated change in fair market value due primarily to a lack of liquidity. Although our ARS continue to pay interest according to their stated interest terms, we deemed the reduction of the overall fair value of our ARS portfolio as other-than-temporary due to the continued illiquidity of the primary ARS market and our expectation as to when we may be required to liquidate our ARS for operating purposes.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elected to measure the ARS Put under the fair value option of SFAS No. 159 to mitigate the volatility in reported earnings due to the linkage of certain of our ARS and the ARS Put. The fair value of the ARS Put was also determined by a discounted cash flow valuation model with assumptions being made related to interest rate, maturity and liquidity. Based on our discounted cash flow valuation, we recorded a gain of $5.8 million in our consolidated statement of operations. In addition, we recorded the ARS Put as a long-term asset in our consolidated balance sheet, given that the ARS Put is not exercisable until June 2010 at the earliest.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was conducted in Eastern Europe. When we entered into the euro-denominated contract with the CRO managing this clinical trial on our behalf, the U.S. dollar to euro conversion rate had remained fairly constant; therefore, we did not enter into a hedging program to mitigate our foreign exchange exposure at such time . We completed this clinical trial in the second quarter of 2008. Our foreign exchange loss in 2008 is attributable to the decline in the value of the U.S. dollar against the euro and is reflected in the remaining accrued payable for this foreign currency contract.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at the date of the consolidated financial statements, as well as the revenues and expenses during the reporting periods. We evaluate our estimates and judgments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 on Form 10-K. Our most critical accounting estimates include our recognition of research and development expenses, which impacts operating expenses and accrued liabilities, and stock-based compensation, which impacts operating expenses. We review our estimates, judgments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Investments and Long-term Asset</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long-term investments consist of ARS, all of which had AAA ratings at the time of purchase, that principally represent interests in municipal bonds, government-guaranteed student loans, insurance notes and portfolios of securities (primarily commercial paper), and our long-term asset consists of the ARS Put. At December 31, 2008, $21.9 million of our ARS consisted primarily of municipal bonds and government-guaranteed student loan securities and $2.1 million of our ARS consisted of private placement securities. None of the underlying collateral for our ARS consisted of subprime mortgages or collateralized debt obligations. At December 31, 2008, our ARS were designated as trading securities and classified as long-term given the estimated time frame in which we can readily convert these securities into cash.</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ARS are generally long-term debt instruments that historically have provided liquidity through a “Dutch” auction process that resets the applicable interest rate at predetermined calendar intervals, typically seven, 28, 35 or 49 days. Due to continued negative conditions in the global credit markets, our ARS have continued to fail at auction with few trades in either the primary or the secondary markets. As such, with the required adoption of SFAS No. 157 as of January 1, 2008, we determined the fair value of our ARS portfolio primarily on Level 3 criteria as prescribed by the accounting standard,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prospectuses, and the credit market outlook. Our discounted cash flow valuation model took into consideration liquidity discounts ranging between three percent to 23 percent, LIBOR and 91- day Treasury bill rates at December 31, 2008 and assumed a portfolio maturity of seven years.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elected to measure the ARS Put which is our right, pursuant to the UBS ARS Rights Offer, to sell to UBS our ARS held in accounts with UBS at par value at any time during the period beginning June 30, 2010 under the fair value option of SFAS 159 to mitigate the volatility in reported earnings due to the linkage of certain of our ARS and the ARS Put. The fair value of the ARS Put was also determined by a discounted cash flow valuation model effectively using a liquidity discount of approximately seven percent, an interest rate of approximately five percent which took into consideration the brokerage firm’s weighted average cost of capital and a maturity of one and one-half years, given the earliest exercise date of the ARS Put is June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grant options to purchase our common stock to our employees and directors under our Amended and Restated 2004 Stock Incentive Plan. Additionally, we have outstanding stock options that were granted under our 2000 General Stock Incentive Plan. The benefits provided under both of these plans are subject to the provisions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valuation provisions of SFAS No. 123R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Prior to 2006, we accounted for employee stock options and warrants using the intrinsic-value method in accordance with Accounting Principles Board, or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and adopted the disclosure-only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Stock-based compensation expense, which is a non-cash charge, results from stock option and warrant issuances at exercise prices below the deemed fair value of the underlying common stock. With respect to stock options, we recognize this compensation expense on a straight-line basis over the vesting period of the underlying option, generally four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Financial Accounting Standards Board, or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SFAS No. 160, “</w:t>
      </w:r>
      <w:r>
        <w:rPr>
          <w:rFonts w:ascii="Arial" w:cs="Arial" w:eastAsia="Arial" w:hAnsi="Arial"/>
          <w:sz w:val="16"/>
          <w:szCs w:val="16"/>
          <w:i w:val="1"/>
          <w:iCs w:val="1"/>
          <w:color w:val="auto"/>
        </w:rPr>
        <w:t>Noncontrolling</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 in Consolidated Financial Statements, an amendment of Accounting Research Bulletin No. 51.</w:t>
      </w:r>
      <w:r>
        <w:rPr>
          <w:rFonts w:ascii="Arial" w:cs="Arial" w:eastAsia="Arial" w:hAnsi="Arial"/>
          <w:sz w:val="16"/>
          <w:szCs w:val="16"/>
          <w:color w:val="auto"/>
        </w:rPr>
        <w:t>” SFAS No. 141R will change how business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accounted for and will impact financial statements both on the acquisition date and in subsequent periods. SFAS No. 160 will change the accounting and reporting for minority interests, which will be recharacterized as noncontrolling interests and classified as a component of equity. SFAS No. 141R and SFAS No. 160 are effective for us beginning in the first quarter of fiscal year 2009. Early adoption is not permitted. The impact of adopting SFAS No. 141R on our consolidated financial statements will depend on the economic terms of any future business combinations transactions. We believe the adoption of SFAS No. 160 will not have a material impact on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2008 and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 ended December 31, 2008 or December 31,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Research and development expenses for the year ended December 31, 2008 were $13.8 million, a decrease of $28.3 million when compared to $42.1 million for the year ended December 31, 2007. The decrease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primarily resulted from our business decision to focus on the development of our two prioritized assets, MN-221 for the treatment of acute exacerbations of asthma and MN-166 for the treatment of MS. This decrease in research and development expenses primarily resulted from the following:</w:t>
      </w:r>
    </w:p>
    <w:p>
      <w:pPr>
        <w:spacing w:after="0" w:line="12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$14.4 million related to the termination of a Phase III clinical trial for MN-001 for the treatment of bronchial asthma;</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$5.3 million related to the completion of the Phase II clinical trial for insomnia and the ceased further clinical development of MN-305 for the treatment of Generalized Anxiety Disorder/insomnia;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$6.1 million due to the completion of the two year Phase II clinical trial for MN-166 for the treatment of MS;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 of $4.9 million related primarily to the completion of clinical trials for MN-029 for the treatment of solid tumors, MN-221 for the treatment of preterm labor and MN-246 for the treatment of urinary incontinence;</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which decrease was offset primarily by a net increase of $2.4 million related to the conduct of Phase II clinical trials for MN-221 for the treatment of acute exacerbations of asthma.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$8.8 million for the year ended December 31, 2008, a decrease of $2.6 million when compared to $11.4 million for the year ended December 31, 2007. The decrease was primarily due to a $1.2 million decrease in stock-based compensation and a $1.4 million decrease related to reduced administrative headcount and fees paid to third-party consultants.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Net on Long-Term Investments and Long-Term Asset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year-ended December 31, 2008, we recorded a $7.1 million other-than-temporary write-down of the carrying value of our ARS based upon a discounted cash flow valuation analysis of our entire ARS portfolio conducted on a security-by-security basis, the outlook of the ARS market and our expectation as to when we may be required to liquidate our ARS for operating purposes, which was offset by a gain of $5.8 million recognized on the ARS Put which is linked to certain of our 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2007, the conversion rate was approximately $1.30 U.S. dollars for each euro, which approximated the conversion rate at the time we entered into the contract with the CRO managing our Phase II clinical trial for MN-166 for the treatment of MS which was completed in the second quarter of 2008. At December 31, 2008, the conversion rate was approximately $1.41 U.S. dollars for each euro, and we reduced the accrued liability related to this clinical research contract based on reconciliations performed through year end. This resulted in a $0.1 million foreign exchange loss related to the revaluation of our euro-denominated liability for the year ended December 31, 2008.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and totaled $2.0 million for the year ended December 31, 2008, a decrease of $2.6 million when compared to $4.6 million for the year ended December 31, 2007. The decrease was due to a decrease in our investment balances and overall lower yields on our investments due to the economic recession.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2007 and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revenues for the year ended December 31, 2007, a decrease of $0.3 million when compared to $0.3 million for the year ended December 31,</w:t>
      </w:r>
    </w:p>
    <w:p>
      <w:pPr>
        <w:spacing w:after="0" w:line="50" w:lineRule="exact"/>
        <w:rPr>
          <w:sz w:val="20"/>
          <w:szCs w:val="20"/>
          <w:color w:val="auto"/>
        </w:rPr>
      </w:pPr>
    </w:p>
    <w:p>
      <w:pPr>
        <w:ind w:right="580"/>
        <w:spacing w:after="0" w:line="419" w:lineRule="auto"/>
        <w:rPr>
          <w:sz w:val="20"/>
          <w:szCs w:val="20"/>
          <w:color w:val="auto"/>
        </w:rPr>
      </w:pPr>
      <w:r>
        <w:rPr>
          <w:rFonts w:ascii="Arial" w:cs="Arial" w:eastAsia="Arial" w:hAnsi="Arial"/>
          <w:sz w:val="18"/>
          <w:szCs w:val="18"/>
          <w:color w:val="auto"/>
        </w:rPr>
        <w:t xml:space="preserve">2006. The decrease in revenues was due to a lack of activity under our master services agreement with Argenes, Inc., which was terminated in June 2007. </w:t>
      </w:r>
      <w:r>
        <w:rPr>
          <w:rFonts w:ascii="Arial" w:cs="Arial" w:eastAsia="Arial" w:hAnsi="Arial"/>
          <w:sz w:val="18"/>
          <w:szCs w:val="18"/>
          <w:i w:val="1"/>
          <w:iCs w:val="1"/>
          <w:color w:val="auto"/>
        </w:rPr>
        <w:t>Research and Development</w:t>
      </w:r>
    </w:p>
    <w:p>
      <w:pPr>
        <w:ind w:right="480" w:firstLine="456"/>
        <w:spacing w:after="0" w:line="332" w:lineRule="auto"/>
        <w:rPr>
          <w:sz w:val="20"/>
          <w:szCs w:val="20"/>
          <w:color w:val="auto"/>
        </w:rPr>
      </w:pPr>
      <w:r>
        <w:rPr>
          <w:rFonts w:ascii="Arial" w:cs="Arial" w:eastAsia="Arial" w:hAnsi="Arial"/>
          <w:sz w:val="16"/>
          <w:szCs w:val="16"/>
          <w:color w:val="auto"/>
        </w:rPr>
        <w:t>Research and development expenses for the year ended December 31, 2007 were $42.1 million, an increase of $9.9 million when compared to $32.2 million for the year ended December 31, 2006. The increase in research and development expenses was primarily due to:</w:t>
      </w:r>
    </w:p>
    <w:p>
      <w:pPr>
        <w:spacing w:after="0" w:line="72" w:lineRule="exact"/>
        <w:rPr>
          <w:sz w:val="20"/>
          <w:szCs w:val="20"/>
          <w:color w:val="auto"/>
        </w:rPr>
      </w:pPr>
    </w:p>
    <w:p>
      <w:pPr>
        <w:ind w:left="780" w:right="6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$8.4 million related to the advancement and subsequent termination of a Phase III clinical trial for MN-001 for the treatment of bronchial asthma;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$4.7 million related to the completion of a Phase II clinical trial for MN-305 for the treatment of insomnia;</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$3.4 million in our prioritized drug development program for MN-221 for the treatment of acute exacerbations of asthma primarily related to the advancement of a Phase II clinical trial and market research;</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$1.6 million in our prioritized drug development program for MN-166 for the treatment of MS primarily related to preclinical studies, manufacturing of drug, market research and consulting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$0.7 in our other drug development programs and unallocated research and development expenditures;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$0.4 million in stock based compensation;</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which increase was offset by $9.3 million related to the completion of clinical trials related to the product development programs for MN-029 for the treatment of solid tumors, MN-305 for the treatment of Generalized Anxiety Disorder, MN-001 for the treatment of IC and MN-246 for the treatment of urinary incontinence.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General and administrative expenses were $11.4 million for the year ended December 31, 2007, an increase of $1.8 million when compared to $9.6 million for the year ended December 31, 2006. The increase in general and administrative expenses was primarily due to:</w:t>
      </w:r>
    </w:p>
    <w:p>
      <w:pPr>
        <w:spacing w:after="0" w:line="118"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$1.4 million of stock-based compensation expense;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$1.1 million in compensation-related expenses due to salaries and severance payments;</w:t>
      </w:r>
    </w:p>
    <w:p>
      <w:pPr>
        <w:spacing w:after="0" w:line="185" w:lineRule="exact"/>
        <w:rPr>
          <w:sz w:val="20"/>
          <w:szCs w:val="20"/>
          <w:color w:val="auto"/>
        </w:rPr>
      </w:pPr>
    </w:p>
    <w:p>
      <w:pPr>
        <w:ind w:right="1960"/>
        <w:spacing w:after="0" w:line="422" w:lineRule="auto"/>
        <w:rPr>
          <w:sz w:val="20"/>
          <w:szCs w:val="20"/>
          <w:color w:val="auto"/>
        </w:rPr>
      </w:pPr>
      <w:r>
        <w:rPr>
          <w:rFonts w:ascii="Arial" w:cs="Arial" w:eastAsia="Arial" w:hAnsi="Arial"/>
          <w:sz w:val="18"/>
          <w:szCs w:val="18"/>
          <w:color w:val="auto"/>
        </w:rPr>
        <w:t xml:space="preserve">which increase was offset by a decrease of $0.4 million in legal fees and a decrease of $0.3 million in financial advisor and other fees. </w:t>
      </w:r>
      <w:r>
        <w:rPr>
          <w:rFonts w:ascii="Arial" w:cs="Arial" w:eastAsia="Arial" w:hAnsi="Arial"/>
          <w:sz w:val="18"/>
          <w:szCs w:val="18"/>
          <w:i w:val="1"/>
          <w:iCs w:val="1"/>
          <w:color w:val="auto"/>
        </w:rPr>
        <w:t>Interest Income</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Interest income decreased $1.4 million to $4.6 million for the year ended December 31, 2007 from $6.0 million for the year ended December 31, 2006. The decrease in interest income was primarily due to decreased investment balances and lower rates of return on our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December 31, 2008, we had $49.1 million in cash, cash equivalents, investment securities and a long-term asset consisting of the ARS Put as compared to $70.6 million of cash, cash equivalents and marketable securities available-for-sale as of December 31, 2007, which decrease of $21.5 million was primarily a result of our operating loss of $21.9 million. At December 31, 2007, we had $70.6 million in cash, cash equivalents and marketable securities available-for-sale as compared to $104.1 million of cash, cash equivalents and marketable securities available-for-sale at December 31, 2006, which decrease of $33.5 million was primarily a result of our operating loss of $48.9 million offset by the aggregate proceeds received from our public offering of common stock in February 2007.</w:t>
      </w:r>
    </w:p>
    <w:p>
      <w:pPr>
        <w:spacing w:after="0" w:line="8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Net cash used in operating activities amounted to $21.1 million for the year ended December 31, 2008, primarily due to the net loss incurred during the year ended December 31, 2008 of $21.9 million. Net cash provided by investing activities for the year ended December 31, 2008 consisted of $21.6 million related to the net maturity of investments. Net cash provided by financing activities amounted to $0.1 million for the year ended December 31, 2008, primarily due to the net proceeds received from our employee stock purchase plan.</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future capital uses and requirements will depend on, and could increase significantly as a result of, many forward-looking factors, including the following:</w:t>
      </w:r>
    </w:p>
    <w:p>
      <w:pPr>
        <w:spacing w:after="0" w:line="118" w:lineRule="exact"/>
        <w:rPr>
          <w:sz w:val="20"/>
          <w:szCs w:val="20"/>
          <w:color w:val="auto"/>
        </w:rPr>
      </w:pPr>
    </w:p>
    <w:p>
      <w:pPr>
        <w:ind w:left="780" w:right="6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progress of our clinical trials and other research and development activities, including expenses to support the clinical development of MN-221 for the treatment of acute exacerbations of asthma and milestone payments that may become payable to Kissei Pharmaceutical based on the progress of such product development program;</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118"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Since our inception, our operations have been financed primarily through the private placement of our equity securities and through the public sale of our common stock, net of treasury stock repurchases. Over the three years ended December 31, 2008, we have completed the following sales of equity securities:</w:t>
      </w:r>
    </w:p>
    <w:p>
      <w:pPr>
        <w:spacing w:after="0" w:line="49" w:lineRule="exact"/>
        <w:rPr>
          <w:sz w:val="20"/>
          <w:szCs w:val="20"/>
          <w:color w:val="auto"/>
        </w:rPr>
      </w:pPr>
    </w:p>
    <w:p>
      <w:pPr>
        <w:ind w:left="780" w:right="18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37" w:lineRule="exact"/>
        <w:rPr>
          <w:rFonts w:ascii="Arial" w:cs="Arial" w:eastAsia="Arial" w:hAnsi="Arial"/>
          <w:sz w:val="18"/>
          <w:szCs w:val="18"/>
          <w:color w:val="auto"/>
        </w:rPr>
      </w:pPr>
    </w:p>
    <w:p>
      <w:pPr>
        <w:ind w:left="780" w:right="92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February, April and August 2007, a founder exercised warrants to purchase 65,984, 108,003 and 109,592 shares of our common stock, respectively, at $1.00 per share in cashless exercises that resulted in the issuance of 60,000, 100,000 and 100,000 shares of common stock, respectively.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In September 2007, a founder exercised warrants to purchase 367,828 shares of our common stock at $1.00 per share in a cashless exercise that resulted in the issuance of 317,851 shares of common stock. At December 31, 2007, no underlying shares of common stock remained subject to purchase under the terms of the founders’ warrants.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Auction Rate Securities</w:t>
      </w:r>
      <w:r>
        <w:rPr>
          <w:rFonts w:ascii="Arial" w:cs="Arial" w:eastAsia="Arial" w:hAnsi="Arial"/>
          <w:sz w:val="16"/>
          <w:szCs w:val="16"/>
          <w:color w:val="auto"/>
        </w:rPr>
        <w:t>. At December 31, 2008, our long-term investments included $31.1 million (at par value) of ARS. With the continued negative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in the global credit markets, these ARS have experienced multiple failed auctions, as the amount of securities submitted for sale has exceeded the amount of purchase orders. As a result of the failed auctions, these securities are currently not liquid in the primary market. The majority of our ARS are secured by parts of government-guaranteed student loans, and all of our ARS continue to pay interest according to their stated terms (generally 120 basis points over the 91-day U.S. Treasury bill rate or 200 basis points over LIBOR) with interest rates resetting every seven to 63 days. While it is not our intent to hold our ARS until their ultimate stated maturities, these securities are scheduled to mature between 2022 and 2024.</w:t>
      </w:r>
    </w:p>
    <w:p>
      <w:pPr>
        <w:spacing w:after="0" w:line="10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Because an active primary market for ARS does not exist, we utilized a discounted cash flow valuation model utilizing liquidity discounts ranging from three percent to 23 percent to determine the estimated fair value of our ARS investments on a security-by-security basis. We also took into consideration the brokerage firm’s pricing model, if applicable, the tax status (taxable vs. tax exempt) of the security, credit quality of the issuer, assumed maturity (seven years), insurance wraps and the portfolio composition. We also made assumptions regarding future cash flows and the likelihood of the ARS being redeemed or refinanced. Although our ARS continue to pay interest at their stated terms, we have recognized a realized loss of $1.3 million in our consolidated statement of operations based on our determination that the loss of value was an other-than-temporary impairment, net of a gain realized on our ARS Put (described below). The carrying value in long-term investments for these ARS at December 31, 2008 was $24.0 million.</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ARS Rights Offer, ARS Put and ARS Loan</w:t>
      </w:r>
      <w:r>
        <w:rPr>
          <w:rFonts w:ascii="Arial" w:cs="Arial" w:eastAsia="Arial" w:hAnsi="Arial"/>
          <w:sz w:val="18"/>
          <w:szCs w:val="18"/>
          <w:color w:val="auto"/>
        </w:rPr>
        <w:t>. In August 2008, UBS, the brokerage firm through which we purchased the majority of our ARS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being paid on the underlying ARS investments. Under the ARS Loan program, UBS may demand full or partial payment of the ARS Loan, at its sole option and without cause, at any time.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elected to measure the ARS Put under the fair value option of SFAS No. 159 to mitigate the volatility in reported earnings due to the linkage of certain of our ARS and the ARS Put. The fair value of the ARS Put was also determined by a discounted cash flow valuation model effectively using a liquidity discount of approximately seven percent and an interest rate of approximately five percent, which took into consideration the brokerage firm’s weighted average cost of capital. Based on our discounted cash flow valuation, we recorded a gain of $5.8 million in our consolidated statement of operations.</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a reduction of the expected term to redemption by two years for our ARS portfolio yielded in our models a net increase in valuation of our ARS of $1.8 million and an increase in expected term to redemption by two years for our ARS portfolio yielded in our model a decrease in valuation of our ARS of $1.7 million. Other factors that may impact the valuation of our ARS and the ARS Put include changes to the credit quality of the underlying assets, discount rates, counterparty risk and the condition of the overall credit market.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Our current cash and cash equivalent balances are our principal sources of liquidity. We believe that our existing cash and cash equivalents as of December 31, 2008 will be sufficient to fund our anticipated operating requirements through at least December 31, 2009. Although we believe that our existing capital resources will be sufficient to fund our operating requirements through at least December 31, 2009, including all of our planned research and development activities, we anticipate that we may require significant additional financing in the future to fund our operations and intended research and development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Cash and Contractual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will affect our future liquidity as of December 31, 2008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center"/>
              <w:ind w:left="172"/>
              <w:spacing w:after="0"/>
              <w:rPr>
                <w:sz w:val="20"/>
                <w:szCs w:val="20"/>
                <w:color w:val="auto"/>
              </w:rPr>
            </w:pPr>
            <w:r>
              <w:rPr>
                <w:rFonts w:ascii="Arial" w:cs="Arial" w:eastAsia="Arial" w:hAnsi="Arial"/>
                <w:sz w:val="18"/>
                <w:szCs w:val="18"/>
                <w:b w:val="1"/>
                <w:bCs w:val="1"/>
                <w:color w:val="auto"/>
                <w:w w:val="88"/>
              </w:rPr>
              <w:t>Payment Due By Period</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2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Contractual Obligations</w:t>
            </w:r>
          </w:p>
        </w:tc>
        <w:tc>
          <w:tcPr>
            <w:tcW w:w="58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Less than 1</w:t>
            </w:r>
          </w:p>
        </w:tc>
        <w:tc>
          <w:tcPr>
            <w:tcW w:w="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2"/>
              </w:rPr>
              <w:t>1-3</w:t>
            </w:r>
          </w:p>
        </w:tc>
        <w:tc>
          <w:tcPr>
            <w:tcW w:w="1000" w:type="dxa"/>
            <w:vAlign w:val="bottom"/>
            <w:gridSpan w:val="2"/>
          </w:tcPr>
          <w:p>
            <w:pPr>
              <w:jc w:val="right"/>
              <w:ind w:right="12"/>
              <w:spacing w:after="0" w:line="196" w:lineRule="exact"/>
              <w:rPr>
                <w:sz w:val="20"/>
                <w:szCs w:val="20"/>
                <w:color w:val="auto"/>
              </w:rPr>
            </w:pPr>
            <w:r>
              <w:rPr>
                <w:rFonts w:ascii="Arial" w:cs="Arial" w:eastAsia="Arial" w:hAnsi="Arial"/>
                <w:sz w:val="18"/>
                <w:szCs w:val="18"/>
                <w:b w:val="1"/>
                <w:bCs w:val="1"/>
                <w:color w:val="auto"/>
              </w:rPr>
              <w:t>3-5</w:t>
            </w:r>
          </w:p>
        </w:tc>
        <w:tc>
          <w:tcPr>
            <w:tcW w:w="580" w:type="dxa"/>
            <w:vAlign w:val="bottom"/>
          </w:tcPr>
          <w:p>
            <w:pPr>
              <w:spacing w:after="0"/>
              <w:rPr>
                <w:sz w:val="17"/>
                <w:szCs w:val="17"/>
                <w:color w:val="auto"/>
              </w:rPr>
            </w:pPr>
          </w:p>
        </w:tc>
        <w:tc>
          <w:tcPr>
            <w:tcW w:w="9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89"/>
              </w:rPr>
              <w:t>More than 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Years</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559</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$ 962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License obligations(1)</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559</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$ 962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license agreements for our product candidates, we may be required to make future payments based upon the occurrence of certain milestones related to clinical development, regulatory or commercial events. We will also be required to pay royalties on any net sales of the licensed products, if any are approved by the FDA or foreign regulatory authorities for commercial sale. These milestone payments and royalty payments under our license agreements are not included in the table above because we cannot determine when, or if, the related milestones will be achieved or the events triggering the commencement of payment obligations will occur at present.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perform data collection and analysis and other services in connection with our product development programs. Our payment obligations under these agreements depend upon the progress of our product development programs. Therefore, we are unable at this time to estimate with certainty the future costs we will incur under these agreements.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long-term investments consist of ARS, which are debt instruments with long-term maturities in which the interest rates reset in short intervals through “Dutch” auctions by matching buyers and sellers. Our long-term asset consists of an ARS Put. All of our ARS had AAA ratings at the time of purchase and principally represent interests in municipal bonds, government-guaranteed student loans, insurance notes and portfolios of securities (primarily commercial paper). None of the underlying collateral for our ARS consisted of subprime mortgages or collateralized debt obligations. At December 31, 2008, $21.9 million of our ARS consisted primarily of municipal bonds and government-guaranteed student loan securities and $2.1 million of our ARS consisted of private placement securities.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did in 2008, the investments may not be readily convertible to cash until a future auction of these investments is successful or they are redeemed or repurchased, sold through a secondary market or mature. Through December 31, 2008, we successfully liquidated $16.7 million of ARS at par value, which we reinvested in cash equivalents.</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the fourth quarter of 2008, we received and accepted the ARS Rights Offer from UBS. Pursuant to the ARS Rights Offer, we received the ARS Put. In January 2009, we were approved by UBS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Under the ARS Loan program, UBS may demand full or partial payment of the ARS Loan, at its sole option and without cause, at any time. All cash received under the UBS Loan was invested in money market accounts.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MediciNova, Inc. (a development stage company) as of December 31, 2008 and 2007, and the related consolidated statements of operations and cash flows for each of the three years in the period ended December 31, 2008 and for the period from September 26, 2000 (inception) through December 31, 2008, and for the statements of stockholders’ equity for the period from September 26, 2000 (inception) to December 31, 2000 and for each of the eight years in the period ended December 31, 2008. These financial statements are the responsibility of the Company’s management. Our responsibility is to express an opinion on these financial statements based on our audits.</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MediciNova, Inc. (a development stage company) at December 31, 2008 and 2007, and the results of its consolidated operations and its cash flows for each of the three years in the period ended December 31, 2008 and the period from September 26, 2000 (inception) through December 31, 2008, and the consolidated statements of stockholders’ equity for the period from September 26, 2000 (inception) to December 31, 2000 and each of the eight years in the period ended December 31, 2008, in conformity with U.S. generally accepted accounting principles.</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2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6"/>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19,297,284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Marketable securities available-for-sale (Note 2)</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51,856,571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718,317</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60" w:type="dxa"/>
            <w:vAlign w:val="bottom"/>
            <w:shd w:val="clear" w:color="auto" w:fill="CCEEFF"/>
          </w:tcPr>
          <w:p>
            <w:pPr>
              <w:spacing w:after="0"/>
              <w:rPr>
                <w:sz w:val="18"/>
                <w:szCs w:val="18"/>
                <w:color w:val="auto"/>
              </w:rPr>
            </w:pPr>
          </w:p>
        </w:tc>
      </w:tr>
      <w:tr>
        <w:trPr>
          <w:trHeight w:val="221"/>
        </w:trPr>
        <w:tc>
          <w:tcPr>
            <w:tcW w:w="8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20,015,601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73,079,121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368,299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Long-term investments (Note 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24,047,314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 (Note 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5,792,701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50,223,915</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1,011,916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3,619,861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765,147</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2,179,383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7,140,927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2,179,383</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7,144,237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9"/>
              </w:rPr>
              <w:t>Common stock, $0.001 par value; 30,000,000 shares authorized at December 31, 2008 and 20,000,000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w w:val="98"/>
              </w:rPr>
              <w:t>shares authorized at December 31, 2007; 12,072,027 shares issued at December 31, 2008 and 2007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12,072</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12,072</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276,361,775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273,189,063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(29,744)</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(131,466)</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Treasury stock, at cost; 87,314 shares at December 31, 2008 and 124,581 shares at December 31, 2007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(1,317,362)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(1,404,088)</w:t>
            </w:r>
          </w:p>
        </w:tc>
      </w:tr>
      <w:tr>
        <w:trPr>
          <w:trHeight w:val="223"/>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(226,982,209)</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(205,057,380)</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48,044,532</w:t>
            </w: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66,608,201</w:t>
            </w:r>
          </w:p>
        </w:tc>
        <w:tc>
          <w:tcPr>
            <w:tcW w:w="60" w:type="dxa"/>
            <w:vAlign w:val="bottom"/>
            <w:shd w:val="clear" w:color="auto" w:fill="CCEEFF"/>
          </w:tcPr>
          <w:p>
            <w:pPr>
              <w:spacing w:after="0"/>
              <w:rPr>
                <w:sz w:val="18"/>
                <w:szCs w:val="18"/>
                <w:color w:val="auto"/>
              </w:rPr>
            </w:pP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50,223,915</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73,752,438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7"/>
            <w:vMerge w:val="restart"/>
          </w:tcPr>
          <w:p>
            <w:pPr>
              <w:jc w:val="right"/>
              <w:ind w:right="10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160"/>
              <w:spacing w:after="0" w:line="195" w:lineRule="exact"/>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263,877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13,827,651</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42,121,095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32,170,847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133,672,698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8,773,695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11,372,873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9,623,956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78,660,707</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22,601,346</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53,493,968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41,941,410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213,591,826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(22,601,346)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(53,493,968)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(41,677,533)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(212,033,599)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Impairment charge, net on long-term investments and long-term asset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(1,259,984)</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(1,259,984)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2,038,219</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4,610,724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5,987,922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17,796,214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(33,559)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(21,924,829)</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(48,903,244)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(35,689,611)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(195,619,087)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to redemption value of redeemable convertible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2"/>
              </w:rPr>
              <w:t>Deemed dividend resulting from beneficial conversion feature on Series 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(21,924,829)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(48,903,244)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(35,689,611)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(226,982,209)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12,072,027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11,752,139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10,130,920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11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w w:val="93"/>
              </w:rPr>
              <w:t>Deferred</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2"/>
                <w:szCs w:val="2"/>
                <w:color w:val="auto"/>
              </w:rPr>
            </w:pPr>
          </w:p>
        </w:tc>
        <w:tc>
          <w:tcPr>
            <w:tcW w:w="52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w w:val="84"/>
              </w:rPr>
              <w:t>Treasury</w:t>
            </w:r>
          </w:p>
        </w:tc>
        <w:tc>
          <w:tcPr>
            <w:tcW w:w="220" w:type="dxa"/>
            <w:vAlign w:val="bottom"/>
            <w:vMerge w:val="restart"/>
          </w:tcPr>
          <w:p>
            <w:pPr>
              <w:spacing w:after="0"/>
              <w:rPr>
                <w:sz w:val="2"/>
                <w:szCs w:val="2"/>
                <w:color w:val="auto"/>
              </w:rPr>
            </w:pPr>
          </w:p>
        </w:tc>
        <w:tc>
          <w:tcPr>
            <w:tcW w:w="8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78"/>
              </w:rPr>
              <w:t>development</w:t>
            </w:r>
          </w:p>
        </w:tc>
        <w:tc>
          <w:tcPr>
            <w:tcW w:w="80" w:type="dxa"/>
            <w:vAlign w:val="bottom"/>
            <w:vMerge w:val="restart"/>
          </w:tcPr>
          <w:p>
            <w:pPr>
              <w:spacing w:after="0"/>
              <w:rPr>
                <w:sz w:val="2"/>
                <w:szCs w:val="2"/>
                <w:color w:val="auto"/>
              </w:rPr>
            </w:pPr>
          </w:p>
        </w:tc>
        <w:tc>
          <w:tcPr>
            <w:tcW w:w="840" w:type="dxa"/>
            <w:vAlign w:val="bottom"/>
            <w:gridSpan w:val="3"/>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700" w:type="dxa"/>
            <w:vAlign w:val="bottom"/>
          </w:tcPr>
          <w:p>
            <w:pPr>
              <w:jc w:val="center"/>
              <w:ind w:right="112"/>
              <w:spacing w:after="0"/>
              <w:rPr>
                <w:sz w:val="20"/>
                <w:szCs w:val="20"/>
                <w:color w:val="auto"/>
              </w:rPr>
            </w:pPr>
            <w:r>
              <w:rPr>
                <w:rFonts w:ascii="Arial" w:cs="Arial" w:eastAsia="Arial" w:hAnsi="Arial"/>
                <w:sz w:val="14"/>
                <w:szCs w:val="14"/>
                <w:b w:val="1"/>
                <w:bCs w:val="1"/>
                <w:color w:val="auto"/>
                <w:w w:val="71"/>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1"/>
              </w:rPr>
              <w:t>Issuance of common stock for cash to founders at $1.00 per</w:t>
            </w: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September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w:t>
            </w:r>
          </w:p>
        </w:tc>
        <w:tc>
          <w:tcPr>
            <w:tcW w:w="2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share in October</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5,044,950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August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10,000</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10,000</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w w:val="97"/>
              </w:rPr>
              <w:t>share, net of issuance costs of $1,093,453, in March,</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April, May and December</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1,075</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(6,209,130)</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1,107,500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11,075</w:t>
            </w: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50,000</w:t>
            </w:r>
          </w:p>
        </w:tc>
        <w:tc>
          <w:tcPr>
            <w:tcW w:w="1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19,695,422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share, net of issuance costs of $1,208,896, in January,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February, March, April and May</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183,650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1,837</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17,154,267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w w:val="97"/>
              </w:rPr>
              <w:t>Stock-based compensation related to founders’ warrants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34,069,916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1,419,300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(1,419,300)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224,579</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Deemed dividend resulting from beneficial conversion feature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on Series C redeemable convertible preferred stock</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31,264,677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7"/>
              </w:rPr>
              <w:t>Accretion to redemption value of redeemable convertible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(48,272,603)</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2"/>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1,291,150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12,912</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50,000</w:t>
            </w:r>
          </w:p>
        </w:tc>
        <w:tc>
          <w:tcPr>
            <w:tcW w:w="1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103,603,582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(1,194,721)</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4"/>
          </w:tcPr>
          <w:p>
            <w:pPr>
              <w:ind w:left="260"/>
              <w:spacing w:after="0"/>
              <w:rPr>
                <w:sz w:val="20"/>
                <w:szCs w:val="20"/>
                <w:color w:val="auto"/>
              </w:rPr>
            </w:pPr>
            <w:r>
              <w:rPr>
                <w:rFonts w:ascii="Arial" w:cs="Arial" w:eastAsia="Arial" w:hAnsi="Arial"/>
                <w:sz w:val="14"/>
                <w:szCs w:val="14"/>
                <w:b w:val="1"/>
                <w:bCs w:val="1"/>
                <w:color w:val="auto"/>
              </w:rPr>
              <w:t>Convertible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preferred stock</w:t>
            </w:r>
          </w:p>
        </w:tc>
        <w:tc>
          <w:tcPr>
            <w:tcW w:w="11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during the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1"/>
              </w:rPr>
              <w:t>paid-in</w:t>
            </w:r>
          </w:p>
        </w:tc>
        <w:tc>
          <w:tcPr>
            <w:tcW w:w="98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rPr>
              <w:t>Deferred</w:t>
            </w: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88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1"/>
              </w:rPr>
              <w:t>loss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6"/>
              </w:rPr>
              <w:t>stage</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0"/>
              </w:rPr>
              <w:t>Issuance of common stock in initial public offering at $38.80 per</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February</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3"/>
              </w:rPr>
              <w:t>3,000,000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104,483,895</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Issuance of common stock upon partial exercise of over-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157,300</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157</w:t>
            </w:r>
          </w:p>
        </w:tc>
        <w:tc>
          <w:tcPr>
            <w:tcW w:w="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5,557,616</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costs for registration statement filed on behalf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9"/>
              </w:rPr>
              <w:t>Conversion of redeemable convertible preferred stock into</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3"/>
              </w:rPr>
              <w:t>2,766,785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2,767</w:t>
            </w:r>
          </w:p>
        </w:tc>
        <w:tc>
          <w:tcPr>
            <w:tcW w:w="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43,499,998</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Conversion of convertible preferred stock into common stock in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February</w:t>
            </w:r>
          </w:p>
        </w:tc>
        <w:tc>
          <w:tcPr>
            <w:tcW w:w="7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7"/>
              </w:rPr>
              <w:t>(1,291,150)</w:t>
            </w:r>
          </w:p>
        </w:tc>
        <w:tc>
          <w:tcPr>
            <w:tcW w:w="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(12,912)</w:t>
            </w: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3"/>
              </w:rPr>
              <w:t>3,911,500</w:t>
            </w: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3,911</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9,001</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7"/>
              </w:rPr>
              <w:t>Stock-based compensation related to acceleration of option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vesting upon employee termination and subsequent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reissuance of a fully vested option</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127,875</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Amortization of deferred employee stock-based compensation,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 of cancelations</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311,282</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4"/>
              </w:rPr>
              <w:t>Cancelation of stock options issued to employees and related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deferred compensation</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84,000</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Accretion to redemption value of redeemable convertible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(19,689)</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w w:val="95"/>
              </w:rPr>
              <w:t>Purchase of treasury stock at $11.10 per share in December</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(55,445)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(25,692,135)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9,885,585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257,032,491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(55,445)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(120,464,525)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preferred stock</w:t>
            </w:r>
          </w:p>
        </w:tc>
        <w:tc>
          <w:tcPr>
            <w:tcW w:w="80" w:type="dxa"/>
            <w:vAlign w:val="bottom"/>
          </w:tcPr>
          <w:p>
            <w:pPr>
              <w:spacing w:after="0"/>
              <w:rPr>
                <w:sz w:val="12"/>
                <w:szCs w:val="12"/>
                <w:color w:val="auto"/>
              </w:rPr>
            </w:pPr>
          </w:p>
        </w:tc>
        <w:tc>
          <w:tcPr>
            <w:tcW w:w="1160" w:type="dxa"/>
            <w:vAlign w:val="bottom"/>
            <w:gridSpan w:val="3"/>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during the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2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1"/>
              </w:rPr>
              <w:t>paid-in</w:t>
            </w:r>
          </w:p>
        </w:tc>
        <w:tc>
          <w:tcPr>
            <w:tcW w:w="840" w:type="dxa"/>
            <w:vAlign w:val="bottom"/>
            <w:vMerge w:val="restart"/>
          </w:tcPr>
          <w:p>
            <w:pPr>
              <w:ind w:left="16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0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720" w:type="dxa"/>
            <w:vAlign w:val="bottom"/>
            <w:gridSpan w:val="2"/>
            <w:vMerge w:val="restart"/>
          </w:tcPr>
          <w:p>
            <w:pPr>
              <w:ind w:left="40"/>
              <w:spacing w:after="0" w:line="136" w:lineRule="exact"/>
              <w:rPr>
                <w:sz w:val="20"/>
                <w:szCs w:val="20"/>
                <w:color w:val="auto"/>
              </w:rPr>
            </w:pPr>
            <w:r>
              <w:rPr>
                <w:rFonts w:ascii="Arial" w:cs="Arial" w:eastAsia="Arial" w:hAnsi="Arial"/>
                <w:sz w:val="14"/>
                <w:szCs w:val="14"/>
                <w:b w:val="1"/>
                <w:bCs w:val="1"/>
                <w:color w:val="auto"/>
              </w:rPr>
              <w:t>Treasury</w:t>
            </w:r>
          </w:p>
        </w:tc>
        <w:tc>
          <w:tcPr>
            <w:tcW w:w="88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stage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Cashless warrant exercises of 260,000 in February, April and August</w:t>
            </w: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260,000</w:t>
            </w:r>
          </w:p>
        </w:tc>
        <w:tc>
          <w:tcPr>
            <w:tcW w:w="56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w w:val="76"/>
              </w:rPr>
              <w:t>260</w:t>
            </w:r>
          </w:p>
        </w:tc>
        <w:tc>
          <w:tcPr>
            <w:tcW w:w="9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(260)</w:t>
            </w:r>
          </w:p>
        </w:tc>
        <w:tc>
          <w:tcPr>
            <w:tcW w:w="8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90"/>
              </w:rPr>
              <w:t>Warrant exercises of 275,000 shares at $1.00 per share in March and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275,000</w:t>
            </w:r>
          </w:p>
        </w:tc>
        <w:tc>
          <w:tcPr>
            <w:tcW w:w="560" w:type="dxa"/>
            <w:vAlign w:val="bottom"/>
            <w:gridSpan w:val="2"/>
          </w:tcPr>
          <w:p>
            <w:pPr>
              <w:ind w:left="360"/>
              <w:spacing w:after="0" w:line="159" w:lineRule="exact"/>
              <w:rPr>
                <w:sz w:val="20"/>
                <w:szCs w:val="20"/>
                <w:color w:val="auto"/>
              </w:rPr>
            </w:pPr>
            <w:r>
              <w:rPr>
                <w:rFonts w:ascii="Arial" w:cs="Arial" w:eastAsia="Arial" w:hAnsi="Arial"/>
                <w:sz w:val="14"/>
                <w:szCs w:val="14"/>
                <w:color w:val="auto"/>
                <w:w w:val="76"/>
              </w:rPr>
              <w:t>275</w:t>
            </w:r>
          </w:p>
        </w:tc>
        <w:tc>
          <w:tcPr>
            <w:tcW w:w="9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274,725</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Write off balance of deferred employee stock-based compensation as</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12/31/05</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(799,439)</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799,439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97"/>
              </w:rPr>
              <w:t>Option exercises of 1,400 shares at $10.00 per share in May and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1,400</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9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13,998</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employee stock-based compensation</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2,090,182</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88"/>
              </w:rPr>
              <w:t>Purchase of treasury stock from $10.30—$13.10 per share in February,</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March, May, June, July, September and October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7"/>
              </w:rPr>
              <w:t>(1,382,425)</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(35,689,611)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(34,017)</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(35,723,628)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10,421,985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258,611,697</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(49,205)</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(1,437,870)</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(156,154,136)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2"/>
                <w:szCs w:val="12"/>
                <w:color w:val="auto"/>
              </w:rPr>
            </w:pPr>
          </w:p>
        </w:tc>
        <w:tc>
          <w:tcPr>
            <w:tcW w:w="13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Common stock</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during the</w:t>
            </w: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ind w:left="4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0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40" w:type="dxa"/>
            <w:vAlign w:val="bottom"/>
            <w:vMerge w:val="restart"/>
          </w:tcPr>
          <w:p>
            <w:pPr>
              <w:spacing w:after="0"/>
              <w:rPr>
                <w:sz w:val="2"/>
                <w:szCs w:val="2"/>
                <w:color w:val="auto"/>
              </w:rPr>
            </w:pP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stage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Cashless warrant exercises of 650,047 in January and September</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650,047</w:t>
            </w:r>
          </w:p>
        </w:tc>
        <w:tc>
          <w:tcPr>
            <w:tcW w:w="5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650</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tcPr>
          <w:p>
            <w:pPr>
              <w:spacing w:after="0" w:line="138" w:lineRule="exact"/>
              <w:rPr>
                <w:sz w:val="20"/>
                <w:szCs w:val="20"/>
                <w:color w:val="auto"/>
              </w:rPr>
            </w:pPr>
            <w:r>
              <w:rPr>
                <w:rFonts w:ascii="Arial" w:cs="Arial" w:eastAsia="Arial" w:hAnsi="Arial"/>
                <w:sz w:val="14"/>
                <w:szCs w:val="14"/>
                <w:color w:val="auto"/>
                <w:w w:val="89"/>
              </w:rPr>
              <w:t>Issuance of common stock in a public offering at $12.00 per share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ind w:left="200"/>
              <w:spacing w:after="0" w:line="159" w:lineRule="exact"/>
              <w:rPr>
                <w:sz w:val="20"/>
                <w:szCs w:val="20"/>
                <w:color w:val="auto"/>
              </w:rPr>
            </w:pPr>
            <w:r>
              <w:rPr>
                <w:rFonts w:ascii="Arial" w:cs="Arial" w:eastAsia="Arial" w:hAnsi="Arial"/>
                <w:sz w:val="14"/>
                <w:szCs w:val="14"/>
                <w:color w:val="auto"/>
              </w:rPr>
              <w:t>in February</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1,000,000</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10,638,600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3,939,416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w w:val="86"/>
              </w:rPr>
              <w:t>Issuance of shares under an employee stock purchase plan at $6.72</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33,782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(82,261)</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(48,985,505)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12,072,027</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$ 12,072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273,189,063</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(131,466)</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(1,404,088)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(205,057,380)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  66,608,201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2"/>
                <w:szCs w:val="12"/>
                <w:color w:val="auto"/>
              </w:rPr>
            </w:pPr>
          </w:p>
        </w:tc>
        <w:tc>
          <w:tcPr>
            <w:tcW w:w="122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during the</w:t>
            </w: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80" w:type="dxa"/>
            <w:vAlign w:val="bottom"/>
            <w:gridSpan w:val="2"/>
            <w:vMerge w:val="restart"/>
          </w:tcPr>
          <w:p>
            <w:pPr>
              <w:ind w:left="160"/>
              <w:spacing w:after="0" w:line="136"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ind w:left="4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0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40" w:type="dxa"/>
            <w:vAlign w:val="bottom"/>
            <w:vMerge w:val="restart"/>
          </w:tcPr>
          <w:p>
            <w:pPr>
              <w:spacing w:after="0"/>
              <w:rPr>
                <w:sz w:val="2"/>
                <w:szCs w:val="2"/>
                <w:color w:val="auto"/>
              </w:rPr>
            </w:pP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stage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Employee stock-based compensation</w:t>
            </w: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3,172,712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3,172,712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tcPr>
          <w:p>
            <w:pPr>
              <w:spacing w:after="0" w:line="138" w:lineRule="exact"/>
              <w:rPr>
                <w:sz w:val="20"/>
                <w:szCs w:val="20"/>
                <w:color w:val="auto"/>
              </w:rPr>
            </w:pPr>
            <w:r>
              <w:rPr>
                <w:rFonts w:ascii="Arial" w:cs="Arial" w:eastAsia="Arial" w:hAnsi="Arial"/>
                <w:sz w:val="14"/>
                <w:szCs w:val="14"/>
                <w:color w:val="auto"/>
                <w:w w:val="89"/>
              </w:rPr>
              <w:t>Issuance of shares under an employee stock purchase plan at $2.33</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ind w:left="200"/>
              <w:spacing w:after="0" w:line="159" w:lineRule="exact"/>
              <w:rPr>
                <w:sz w:val="20"/>
                <w:szCs w:val="20"/>
                <w:color w:val="auto"/>
              </w:rPr>
            </w:pPr>
            <w:r>
              <w:rPr>
                <w:rFonts w:ascii="Arial" w:cs="Arial" w:eastAsia="Arial" w:hAnsi="Arial"/>
                <w:sz w:val="14"/>
                <w:szCs w:val="14"/>
                <w:color w:val="auto"/>
              </w:rPr>
              <w:t>average</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86,726</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(21,924,829)</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(21,924,829)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101,722</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101,722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(21,823,107)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12,072,027</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$ 12,072</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276,361,775</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(29,744)</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(1,317,362)</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(226,982,209)</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  48,044,532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760" w:type="dxa"/>
            <w:vAlign w:val="bottom"/>
            <w:gridSpan w:val="5"/>
          </w:tcPr>
          <w:p>
            <w:pPr>
              <w:ind w:left="3640"/>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9"/>
            <w:vMerge w:val="restart"/>
          </w:tcPr>
          <w:p>
            <w:pPr>
              <w:jc w:val="right"/>
              <w:ind w:right="740"/>
              <w:spacing w:after="0"/>
              <w:rPr>
                <w:sz w:val="20"/>
                <w:szCs w:val="20"/>
                <w:color w:val="auto"/>
              </w:rPr>
            </w:pPr>
            <w:r>
              <w:rPr>
                <w:rFonts w:ascii="Arial" w:cs="Arial" w:eastAsia="Arial" w:hAnsi="Arial"/>
                <w:sz w:val="18"/>
                <w:szCs w:val="18"/>
                <w:b w:val="1"/>
                <w:bCs w:val="1"/>
                <w:color w:val="auto"/>
              </w:rPr>
              <w:t>Years ended December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60" w:type="dxa"/>
            <w:vAlign w:val="bottom"/>
            <w:gridSpan w:val="9"/>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7"/>
              </w:rPr>
              <w:t>2000 (inception)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9"/>
              <w:spacing w:after="0"/>
              <w:rPr>
                <w:sz w:val="20"/>
                <w:szCs w:val="20"/>
                <w:color w:val="auto"/>
              </w:rPr>
            </w:pPr>
            <w:r>
              <w:rPr>
                <w:rFonts w:ascii="Arial" w:cs="Arial" w:eastAsia="Arial" w:hAnsi="Arial"/>
                <w:sz w:val="18"/>
                <w:szCs w:val="18"/>
                <w:b w:val="1"/>
                <w:bCs w:val="1"/>
                <w:color w:val="auto"/>
                <w:w w:val="89"/>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(21,924,829)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(48,903,244)</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(35,689,611)</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(195,619,087)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Non-cash stock-based compensation</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3,172,712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3,939,416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2,090,182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43,935,962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305,018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516,013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437,392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1,576,096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premium/discount on marketable securities</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(691,706)</w:t>
            </w: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(170,576)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(745,766)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(2,476,420)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 net on long-term investments and long-term asset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1,259,984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Impairment of sublease</w:t>
            </w: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35,259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1,725,295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4,225,382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(4,110,465)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(718,317)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(5,109,397)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(3,678,280)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4,420,998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1,414,236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144,543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212,600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(497,012)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765,147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(21,118,380)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(43,858,689)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(34,059,023)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(149,827,140)</w:t>
            </w:r>
          </w:p>
        </w:tc>
        <w:tc>
          <w:tcPr>
            <w:tcW w:w="0" w:type="dxa"/>
            <w:vAlign w:val="bottom"/>
          </w:tcPr>
          <w:p>
            <w:pPr>
              <w:spacing w:after="0"/>
              <w:rPr>
                <w:sz w:val="1"/>
                <w:szCs w:val="1"/>
                <w:color w:val="auto"/>
              </w:rPr>
            </w:pPr>
          </w:p>
        </w:tc>
      </w:tr>
      <w:tr>
        <w:trPr>
          <w:trHeight w:val="156"/>
        </w:trPr>
        <w:tc>
          <w:tcPr>
            <w:tcW w:w="650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marketable securities available-for-sale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(41,712,645)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(108,173,406)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marketable securities available-for-sale</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23,550,000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85,662,087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114,191,364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348,553,451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(380,709)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(208,999)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(2,236,499)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 (used in) investing activities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21,550,000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43,630,757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5,808,959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(30,631,969)</w:t>
            </w:r>
          </w:p>
        </w:tc>
        <w:tc>
          <w:tcPr>
            <w:tcW w:w="0" w:type="dxa"/>
            <w:vAlign w:val="bottom"/>
          </w:tcPr>
          <w:p>
            <w:pPr>
              <w:spacing w:after="0"/>
              <w:rPr>
                <w:sz w:val="1"/>
                <w:szCs w:val="1"/>
                <w:color w:val="auto"/>
              </w:rPr>
            </w:pPr>
          </w:p>
        </w:tc>
      </w:tr>
      <w:tr>
        <w:trPr>
          <w:trHeight w:val="156"/>
        </w:trPr>
        <w:tc>
          <w:tcPr>
            <w:tcW w:w="650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10,672,374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120,890,566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80,216,971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(1,382,425)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(1,351,144)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 (used in) financing activities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86,726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10,672,374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(1,093,425)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199,756,393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 (decrease) in cash and cash equivalents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518,346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10,444,442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(29,343,489)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19,297,284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18,778,938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8,334,496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37,677,985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19,297,284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18,778,938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8,334,496</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19,297,284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43,515,677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20"/>
              <w:spacing w:after="0"/>
              <w:rPr>
                <w:sz w:val="20"/>
                <w:szCs w:val="20"/>
                <w:color w:val="auto"/>
              </w:rPr>
            </w:pPr>
            <w:r>
              <w:rPr>
                <w:rFonts w:ascii="Arial" w:cs="Arial" w:eastAsia="Arial" w:hAnsi="Arial"/>
                <w:sz w:val="14"/>
                <w:szCs w:val="14"/>
                <w:color w:val="auto"/>
              </w:rPr>
              <w:t>Unrealized loss on marketable securities available-for-sale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(39,813)</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(34,017)</w:t>
            </w:r>
          </w:p>
        </w:tc>
        <w:tc>
          <w:tcPr>
            <w:tcW w:w="2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(89,018)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operating and investing activities: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Reclassification of current marketable securities available-for-sale to long-term investments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(24,047,314)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(24,047,314)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 of cash flow information:</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24,528</w:t>
            </w:r>
          </w:p>
        </w:tc>
        <w:tc>
          <w:tcPr>
            <w:tcW w:w="2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24,528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Interest paid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 xml:space="preserve">Our primary activities since incorporation have been organizational activities, including recruiting personnel, establishing office facilities, conducting research and development, performing business and financial planning and raising capital. Accordingly, we are considered to be in the development stage as defined by SFAS No. 7, </w:t>
      </w:r>
      <w:r>
        <w:rPr>
          <w:rFonts w:ascii="Arial" w:cs="Arial" w:eastAsia="Arial" w:hAnsi="Arial"/>
          <w:sz w:val="18"/>
          <w:szCs w:val="18"/>
          <w:i w:val="1"/>
          <w:iCs w:val="1"/>
          <w:color w:val="auto"/>
        </w:rPr>
        <w:t>Accounting and Reporting by Development Stage Enterprises</w:t>
      </w:r>
      <w:r>
        <w:rPr>
          <w:rFonts w:ascii="Arial" w:cs="Arial" w:eastAsia="Arial" w:hAnsi="Arial"/>
          <w:sz w:val="18"/>
          <w:szCs w:val="18"/>
          <w:color w:val="auto"/>
        </w:rPr>
        <w:t>.</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Management plans to continue financing the operations with equity issuances, debt arrangements or a combination thereof. We expect current working capital to be sufficient to fund our operations through December 31, 2009. If adequate future funds are not available, we may be required to delay, reduce the scope of or eliminate one or more of our research or development programs, or cease operations. During the first quarter of 2005, we completed our initial public offering (“IPO”) of 3,000,000 shares of common stock in Japan for proceeds of $104.5 million, net of estimated underwriting discounts and commissions and offering costs. In December 2006, we were listed on the Nasdaq Global Market. Accordingly, we are a public company in both the United States and Japan, as our stock is traded on both the Nasdaq Global Market and the Hercules Market of the Osaka Securities Exchange.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 We do not have any interests in any variable interest entities.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our compounds for the European marketplace. MediciNova (Europe) Limited’s functional currency is the U.S. dollar, the reporting currency of its parent.</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 under different assumptions or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Cash and cash equivalents consist of cash and other highly liquid investments with original maturities of three months or less from the date of purchase. Cash equivalents at December 31, 2008 consisted primarily of 90-day certificates of deposits at multiple institutions all less than the current FDIC limits and money market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Available-for-sale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Investments with maturity of more than three months on the date acquired are considered short-term investments and have been classified by us as marketable securities available-for-sale. Marketable securities available-for-sale consist principally of auction rate securities (“ARS”), corporate debt securities and government sponsored securities with AAA ratings at the time they were acquired. Such investments are carried at fair value, with unrealized gains and losses, if any, included as a separate component of stockholders’ equity (deficit). Fair value for debt securities and government sponsored securities is determined by the most recently traded price of each security as of the balance sheet date and fair value of ARS is determined by a discounted cash flow valuation model with assumptions being made with regard to interest rates, liquidity, the credit quality of the issuer and the underlying collateral, the length of time and extent to which the market value (if any) has been less than cost and our intent and ability to retain the security in order to allow for an anticipated recovery of our cost basis. The cost of marketable securities available-for-sale is based on the specific identification method.</w:t>
      </w:r>
    </w:p>
    <w:p>
      <w:pPr>
        <w:spacing w:after="0" w:line="105"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During the fiscal year ended December 31, 2008, our marketable securities available-for-sale which consisted of corporate debt securities and government-sponsored securities matured and were converted into cash equivalents. At December 31, 2008, all of our remaining marketable securities available-for-sale, which consisted of ARS, were designated as trading securities and have been classified as long-term investments due to the time frame in which we can readily convert these securities into cash. At December 31, 2007, our marketable securities available-for-sale included $45.0 million of municipal ARS that were issued through syndicated offerings, $2.7 million of ARS issued through private placements, $0.7 million of corporate debt securities and $3.5 million of government-sponsored securities. At December 31, 2007, although there were no issues with the credit quality of any of our securities, we did record an unrealized loss of $0.1 million in our consolidated statement of stockholders’ equity (deficit) when we lowered the carrying value of our private placement ARS to their estimated market value, which had decreased due to the failed auctions these securities began experiencing in August 2007 which continued through 2008. If the credit ratings of any of our security issuers further deteriorates and any decline in market value is determined to be other-than-temporary, we would adjust the carrying value of the investment through an impairment charge, that would be recorded as realized loss in our consolidated statement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Investments and Long-term Asset</w:t>
      </w:r>
    </w:p>
    <w:p>
      <w:pPr>
        <w:spacing w:after="0" w:line="15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long-term investments consist of ARS, all of which had AAA ratings at the time of purchase, that principally represent interests in municipal bonds, government-guaranteed student loans, insurance notes and portfolios of securities (primarily commercial paper), and our long-term asset consists of an ARS Put (described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below). At December 31, 2008, $21.9 million of our ARS consisted primarily of municipal bonds and government-guaranteed student loan securities and $2.1 million of our ARS consisted of private placement securities. None of the underlying collateral for our ARS consisted of subprime mortgages or collateralized debt obligations. At December 31, 2008, our ARS have been classified as long-term given the estimated time frame in which we can readily convert these securities into cash.</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ARS are generally long-term debt instruments that historically have provided liquidity through a “Dutch” auction process that resets the applicable interest rate at predetermined calendar intervals, typically seven, 28, 35 or 49 days. Due to continued negative conditions in the global credit markets, our ARS have continued to fail at auction with few trades in either the primary or the secondary markets. As such, with the required adoption of SFAS No. 157 as of January 1, 2008, we determined the fair value of our ARS portfolio primarily on Level 3 criteria as prescribed by the accounting standard,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prospectuses, and the credit market outlook.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and its affiliates (“UBS”), the brokerage firm through which we purchased the majority of our ARS investments, entered into a settlement with the SEC, the New York Attorney General and other state agencies. Under the settlement, UBS issued to us the Auction Rate Security Rights, which would allow us to sell to UBS our ARS held in accounts with UBS (“ARS Rights Offer”). Pursuant to the ARS Rights Offer, we received the right to sell to UBS the ARS held in accounts with UBS at par value at any time during the period beginning June 30, 2010 and ending July 2, 2012 (“ARS Put”). As part of the settlement, UBS also offered to us a no net cost loan program (“ARS Loan”), whereby we would be able to borrow up to 75%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1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elected to measure the ARS Put under the fair value option of SFAS 159 to mitigate the volatility in reported earnings due to the linkage of certain of our ARS and the ARS Put. The fair value of the ARS Put was also determined by a discounted cash flow valuation model effectively using a liquidity discount of approximately 7% and an interest rate of approximately 5%, which took into consideration the brokerage firm’s weighted average cost of capital. Based on our discounted cash flow valuation, we recorded a gain of $5.8 million in our consolidated statement of operations. In addition, we recorded the ARS Put as a long-term asset in our consolidated balance sheet as the ARS Put is not exercisable until June 2010, at the earliest.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Financial instruments that potentially subject us to a significant concentration of credit risk consist primarily of cash, cash equivalents, marketable securities available-for-sale and long-term investments. We maintain deposits in federally insured financial institutions in excess of federally insured limits. However, management believes we are not exposed to significant credit risk due to the financial position of the depository institutions in which those deposits are held. Additionally, we have established guidelines regarding diversification of our investments and their maturities, which are designed to maintain safety and liquidity.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instruments, including cash and cash equivalents, accounts payable and accrued liabilities, are carried at cost, which we believe approximates fair value given their short-term nature.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and equipment, net, which consists of leasehold improvements, furniture and equipment and software,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lease expires in August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review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Impairment, if any, is assessed using discounted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 xml:space="preserve">In connection with the management of clinical trials, we pay, pursuant to our contracts, fees to investigators and other pass-through costs for which we are reimbursed at cost, without mark-up or profit. In addition, we charge management fees based on negotiated hourly rates pursuant to master services agreements with Asahi Kasei Pharma Corporation and Argenes, Inc. We recognize management fees based on actual hours worked and recognize pass-through expenses as revenue when the related liability is incurred in accordance with Emerging Issues Task Force (“EITF”) Rule No. 01-14, </w:t>
      </w:r>
      <w:r>
        <w:rPr>
          <w:rFonts w:ascii="Arial" w:cs="Arial" w:eastAsia="Arial" w:hAnsi="Arial"/>
          <w:sz w:val="15"/>
          <w:szCs w:val="15"/>
          <w:i w:val="1"/>
          <w:iCs w:val="1"/>
          <w:color w:val="auto"/>
        </w:rPr>
        <w:t>Income Statement Characterization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Reimbursements Received for “Out-of-Pocket” Expenses Incurred</w:t>
      </w:r>
      <w:r>
        <w:rPr>
          <w:rFonts w:ascii="Arial" w:cs="Arial" w:eastAsia="Arial" w:hAnsi="Arial"/>
          <w:sz w:val="15"/>
          <w:szCs w:val="15"/>
          <w:color w:val="auto"/>
        </w:rPr>
        <w:t>. EITF No. 01-14 requires reimbursable pass-through expenses incurred to be characterized as</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in the statement of operations. Pass-through costs represent the majority of cost of revenues for all periods in which we have recorded revenue.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accordance with Statement of Financial Accounting Standards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 July 2006, the Financial Accounting Standards Board (“FASB”) issued Interpretation No. 48, </w:t>
      </w:r>
      <w:r>
        <w:rPr>
          <w:rFonts w:ascii="Arial" w:cs="Arial" w:eastAsia="Arial" w:hAnsi="Arial"/>
          <w:sz w:val="16"/>
          <w:szCs w:val="16"/>
          <w:i w:val="1"/>
          <w:iCs w:val="1"/>
          <w:color w:val="auto"/>
        </w:rPr>
        <w:t>Accounting for Uncertainty in Income Taxes—An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Interpretation of FASB Statement No. 109 </w:t>
      </w:r>
      <w:r>
        <w:rPr>
          <w:rFonts w:ascii="Arial" w:cs="Arial" w:eastAsia="Arial" w:hAnsi="Arial"/>
          <w:sz w:val="16"/>
          <w:szCs w:val="16"/>
          <w:color w:val="auto"/>
        </w:rPr>
        <w:t>(“FIN 48”). FIN 48 clarifies the accounting for uncertainty in income taxes recognized in an entity’s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adopted the provisions of FIN 48 on January 1, 2007. As a result of the adoption of FIN 48, we had no cumulative effect adjustment, and therefore no change to the January 1, 2007 balance in retained earnings. At January 1, 2007, December 31, 2007 and December 31, 2008, we had no unrecognized tax benefits that, if recognized, would affect our effective income tax rate in future periods.</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January 1, 2007, December 31, 2007 or December 31, 2008.</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subject to taxation in the United States,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At December 31, 2008, income taxes relate to income earned by our Japanese subsidiary, MediciNova Japan,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grant stock options to our employees, directors and consultants under the MediciNova, Inc. Amended and Restated 2004 Stock Incentive Plan (the “2004 Plan”), the successor to the MediciNova, Inc. 2000 General Stock Incentive Plan (the “2000 Plan”). No additional stock options have been or will be issued under the 2000 Plan subsequent to our IPO. Stock options issued to non-employees were recorded at their fair value as determined in accordance with EITF Issue No. 96-18,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exercise price of stock options granted during the years ended December 31, 2008, 2007 and 2006 were either equal to market value or at a price above market value on the date of grant. During the years ended December 31, 2008, 2007 and 2006, options to purchase 615,540, 151,000 and 1,702,891 shares of common stock, respectively, were granted and stock-based compensation expense for such stock options is reflected in operating results during fiscal years 2008, 2007 and 2006. The estimated fair value of each stock option award was determined on the date of grant using the Black-Scholes option valuation model with the following weighted-average assumptions for stock option grants:</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December 31,</w:t>
            </w:r>
          </w:p>
        </w:tc>
      </w:tr>
      <w:tr>
        <w:trPr>
          <w:trHeight w:val="211"/>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2008</w:t>
            </w:r>
          </w:p>
        </w:tc>
        <w:tc>
          <w:tcPr>
            <w:tcW w:w="5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69.00%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69.00%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employee stock options. The expected volatility is based on the weighted average volatility of our stock price, factoring in changes in the daily share price, and the volatility of stock prices of certain peers within our industry sector and management’s judgment. We have not paid any dividends on common stock since our inception and do not anticipate paying dividends on our common stock in the foreseeable future. The expected life of employee stock options represents the average of the life of the options and the average vesting period based on management’s judgment given the progression of our prioritized clinical program.</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stock-based compensation expense recognized in the accompanying consolidated statement of operations for the years ended December 31, 2008, 2007 and 2006 were based on awards ultimately expected to vest, such expense should be reduced for estimated forfeitures. SFAS No. 123R requires forfeitures to be estimated at the time of grant and revised, if necessary, in subsequent periods if actual forfeitures differ from those estimates. We have very few employees, our turnover has been minimal and our stock options vest monthly; therefore, we did not estimate any forfeitures in fiscal 2008 and will adjust our stock-based compensation expense should any forfeitures occur. Our determination of fair value is affected by our stock price, as well as a number of assumptions that require judgment. The weighted-average fair value of each stock option granted during the years ended December 31, 2008, 2007 and 2006, estimated as of the grant date using the Black-Scholes option valuation model, was $2.37 per option, $5.27 per option and $6.62 per option,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2008, 2007 and 2006, stock-based compensation expense related to stock options was $3.2 million, $3.9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 million, respectively, and was recorded as a component of general and administrative expense ($1.8 million, $3.0 million and $1.6 million,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($1.4 million, $0.9 million and $0.5 million, respectively). No stock options were exercised during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and 2007; however, there were two stock option exercises during the year ended December 31, 2006, from which approximately $14,000 was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received.</w:t>
      </w:r>
    </w:p>
    <w:p>
      <w:pPr>
        <w:spacing w:after="0" w:line="15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December 31, 2008, there was $5.2 million of unamortized compensation cost related to unvested stock option awards, which is expected to be recognized over a remaining weighted-average vesting period of 1.8 years, on a straight-line basis. Prior to the adoption of SFAS No. 123R, we presented unamortized compensation cost as deferred compensation and classified it as a separate component of stockholders’ equity. On January 1, 2006, in accordance with the provisions of SFAS No. 123R, we reclassified deferred compensation against additional paid-in capital.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adopted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(131,466)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(15,188)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Currency translation</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101,722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6,757</w:t>
            </w:r>
          </w:p>
        </w:tc>
        <w:tc>
          <w:tcPr>
            <w:tcW w:w="4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(29,744)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(131,466)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(49,205)</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880" w:firstLine="456"/>
        <w:spacing w:after="0" w:line="422" w:lineRule="auto"/>
        <w:rPr>
          <w:sz w:val="20"/>
          <w:szCs w:val="20"/>
          <w:color w:val="auto"/>
        </w:rPr>
      </w:pPr>
      <w:r>
        <w:rPr>
          <w:rFonts w:ascii="Arial" w:cs="Arial" w:eastAsia="Arial" w:hAnsi="Arial"/>
          <w:sz w:val="18"/>
          <w:szCs w:val="18"/>
          <w:color w:val="auto"/>
        </w:rPr>
        <w:t xml:space="preserve">As of December 31, 2008, 2007 and 2006, our comprehensive loss was $21,823,107, $48,985,505 and $35,723,628, respectively. </w:t>
      </w:r>
      <w:r>
        <w:rPr>
          <w:rFonts w:ascii="Arial" w:cs="Arial" w:eastAsia="Arial" w:hAnsi="Arial"/>
          <w:sz w:val="18"/>
          <w:szCs w:val="18"/>
          <w:b w:val="1"/>
          <w:bCs w:val="1"/>
          <w:i w:val="1"/>
          <w:iCs w:val="1"/>
          <w:color w:val="auto"/>
        </w:rPr>
        <w:t>Net Loss Per Share</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There were no potentially dilutive securities for the years ended December 31, 2008 and 2007. Potentially dilutive securities of 88,403 for the year ended December 31, 2006 were excluded from determining diluted earnings per share because of their anti-dilutive effect.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No. 160, “</w:t>
      </w:r>
      <w:r>
        <w:rPr>
          <w:rFonts w:ascii="Arial" w:cs="Arial" w:eastAsia="Arial" w:hAnsi="Arial"/>
          <w:sz w:val="18"/>
          <w:szCs w:val="18"/>
          <w:i w:val="1"/>
          <w:iCs w:val="1"/>
          <w:color w:val="auto"/>
        </w:rPr>
        <w:t>Noncontrolling Interests in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 amendment of Accounting Research Bulletin No. 51.</w:t>
      </w:r>
      <w:r>
        <w:rPr>
          <w:rFonts w:ascii="Arial" w:cs="Arial" w:eastAsia="Arial" w:hAnsi="Arial"/>
          <w:sz w:val="18"/>
          <w:szCs w:val="18"/>
          <w:color w:val="auto"/>
        </w:rPr>
        <w:t>” SFAS No. 141R will change how business acquisitions are accounted for and will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both on the acquisition date and in subsequent periods. SFAS No. 160 will change the accounting and reporting for minority interests, which will be recharacterized as noncontrolling interests and classified as a component of equity. SFAS No. 141R and SFAS No. 160 are effective for us beginning in the first quarter of fiscal year 2009. Early adoption is not permitted. The impact of adopting SFAS No. 141R on our consolidated financial statements will depend on the economic terms of any future business combinations transactions. We believe the adoption of SFAS No.160 will not have a material impact on our consolidated financial statements.</w:t>
      </w:r>
    </w:p>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June 2007, the Financial Accounting Standards Board (“FASB”) ratified the consensus reached by the Emerging Issues Task Force (“EITF”) in EITF Issue No. 07-3, </w:t>
      </w:r>
      <w:r>
        <w:rPr>
          <w:rFonts w:ascii="Arial" w:cs="Arial" w:eastAsia="Arial" w:hAnsi="Arial"/>
          <w:sz w:val="18"/>
          <w:szCs w:val="18"/>
          <w:i w:val="1"/>
          <w:iCs w:val="1"/>
          <w:color w:val="auto"/>
        </w:rPr>
        <w:t>Accounting for Nonrefundable Advance Payments for Goods or Services Received for Use in Future Research and Development Activities</w:t>
      </w:r>
      <w:r>
        <w:rPr>
          <w:rFonts w:ascii="Arial" w:cs="Arial" w:eastAsia="Arial" w:hAnsi="Arial"/>
          <w:sz w:val="18"/>
          <w:szCs w:val="18"/>
          <w:color w:val="auto"/>
        </w:rPr>
        <w:t>, which requires that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nonrefundable advance payments for goods or services that will be used or rendered for future research and development activities be deferred and amortized over the period that the goods are delivered or the related services are performed, subject to an assessment of recoverability. EITF 07-3 was effective for fiscal years beginning after December 15, 2007. Effective January 1, 2008, we adopted EITF 07-3, which resulted in no impact to our consolidated financial statements.</w:t>
      </w:r>
    </w:p>
    <w:p>
      <w:pPr>
        <w:spacing w:after="0" w:line="7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In February 2007, the FASB issued Statement of Financial Accounting Standards (“SFAS”) No. 159, </w:t>
      </w:r>
      <w:r>
        <w:rPr>
          <w:rFonts w:ascii="Arial" w:cs="Arial" w:eastAsia="Arial" w:hAnsi="Arial"/>
          <w:sz w:val="16"/>
          <w:szCs w:val="16"/>
          <w:i w:val="1"/>
          <w:iCs w:val="1"/>
          <w:color w:val="auto"/>
        </w:rPr>
        <w:t>The Fair Value Option for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allows an entity to voluntarily choose to measure certain financial assets and liabilities at fair value. SFAS No. 159 was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fiscal years beginning after November 15, 2007. Effective January 1, 2008, we adopted SFAS No. 159. In the fourth quarter of 2008, we elected to measure an eligible financial asset, our ARS Put, at fair value, due to its linkage with certain of our long-term ARS investments, which resulted in the recording of $5.8 million of gain in our consolidated financial statements. </w:t>
      </w:r>
      <w:r>
        <w:rPr>
          <w:rFonts w:ascii="Arial" w:cs="Arial" w:eastAsia="Arial" w:hAnsi="Arial"/>
          <w:sz w:val="16"/>
          <w:szCs w:val="16"/>
          <w:i w:val="1"/>
          <w:iCs w:val="1"/>
          <w:color w:val="auto"/>
        </w:rPr>
        <w:t>See Note 2, Fair Value Measurements, of the notes to our consolidated financial statements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related disclosures regarding our fair value measurements.</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and is effective for fiscal years beginning after November 15, 2007. In February 2008, the FASB issued FASB Staff Position 157-2, which delays the effective date of SFAS No. 157 for all nonfinancial assets and nonfinancial liabilities, except those that are recognized or disclosed at fair value in the financial statements on a recurring basis (at least annually) until fiscal years beginning after November 15, 2008 and interim periods within those fiscal years, which will be our fiscal year 2009. These nonfinancial items include assets and liabilities such as reporting units measured at fair value in a goodwill impairment test and nonfinancial assets acquired and liabilities assumed in a business combination. Although we have no nonfinancial assets or nonfinancial liabilities that are measured at fair value, effective January 1, 2008, we adopted SFAS No. 157 for financial assets and liabilities recognized at fair value on a recurring basis. The partial adoption of SFAS No. 157 for financial assets and liabilities did not have a material impact on our consolidated financial statements. </w:t>
      </w:r>
      <w:r>
        <w:rPr>
          <w:rFonts w:ascii="Arial" w:cs="Arial" w:eastAsia="Arial" w:hAnsi="Arial"/>
          <w:sz w:val="16"/>
          <w:szCs w:val="16"/>
          <w:i w:val="1"/>
          <w:iCs w:val="1"/>
          <w:color w:val="auto"/>
        </w:rPr>
        <w:t>See Note 2, Fair Value Measurements, of the notes to our consolidated financial statements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and related disclosures regarding our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stated in Note 1, we adopted SFAS No. 157 as of January 1, 2008. As defined in SFAS No. 157, fair value is based on the price that would be received to sell an asset or would be paid to transfer a liability in an orderly transaction between market participants at the measurement date. To increase the comparability and consistency of fair value measurements, SFAS No. 157 prescribes a fair value hierarchy that prioritizes observable and unobservable inputs used to measure fair value into three broad levels, as generally described below:</w:t>
      </w:r>
    </w:p>
    <w:p>
      <w:pPr>
        <w:spacing w:after="0" w:line="130"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720" w:right="84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720" w:right="660" w:hanging="1133"/>
        <w:spacing w:after="0" w:line="259"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2008, cash and cash equivalents (instruments with maturities of three months or less at the date of purchase) were $19.3 million, of which $4.0 million was invested in domestic 90-day certificates of deposits and the remainder primarily in money market funds. We measure our cash equivalents on a recurring basis. The fair value of our cash equivalents, which are current assets, is based on Level 1 criteria, in which their carrying amount is a reasonable estimate of their fair value based on daily quoted market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Available-For-Sale, Long-Term Investments and Long-Term Asset</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fiscal year 2008, our marketable securities available-for-sale related to corporate debt securities and government-sponsored securities matured and were converted into cash equivalents. At December 31, 2008, all of our remaining marketable securities available-for-sale were designated as trading securities and classified as long-term investments due to the time frame in which we can readily convert these securities into cash. At December 31, 2007, our marketable securities available-for-sale included $45.0 million of municipal ARS that were issued through syndicated offerings, $2.7 million of ARS issued through private placements, $0.7 million of corporate debt securities and $3.5 million of government-sponsored securities. All of the corporate debt securities and government sponsored securities had contractual maturities of 12 months or less. The ARS primarily have stated maturities that are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which means that demand in the marketplace exceeds supply. The length of each holding period is determined at the original issuance of the ARS. As of December 31, 2007, we had $47.7 million of ARS with stated maturity dates ranging from 2022 to 2044 and reset dates primarily ranging from seven to 63 days.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2"/>
              </w:rPr>
              <w:t>December 31, 2008</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December 31, 2007</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Gross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9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8"/>
              </w:rPr>
              <w:t>Amortized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100"/>
              <w:spacing w:after="0"/>
              <w:rPr>
                <w:sz w:val="20"/>
                <w:szCs w:val="20"/>
                <w:color w:val="auto"/>
              </w:rPr>
            </w:pPr>
            <w:r>
              <w:rPr>
                <w:rFonts w:ascii="Arial" w:cs="Arial" w:eastAsia="Arial" w:hAnsi="Arial"/>
                <w:sz w:val="18"/>
                <w:szCs w:val="18"/>
                <w:b w:val="1"/>
                <w:bCs w:val="1"/>
                <w:color w:val="auto"/>
              </w:rPr>
              <w:t>Unrealized</w:t>
            </w: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4"/>
          </w:tcPr>
          <w:p>
            <w:pPr>
              <w:ind w:left="4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Gains</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74"/>
              </w:rPr>
              <w:t>Losses</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Value</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Gains</w:t>
            </w: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Losses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$47,800,000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(98,975)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$47,701,025</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700,700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700,054</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3,444,889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10,603</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3,455,492</w:t>
            </w:r>
          </w:p>
        </w:tc>
        <w:tc>
          <w:tcPr>
            <w:tcW w:w="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9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51,945,589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spacing w:after="0"/>
              <w:rPr>
                <w:sz w:val="20"/>
                <w:szCs w:val="20"/>
                <w:color w:val="auto"/>
              </w:rPr>
            </w:pPr>
            <w:r>
              <w:rPr>
                <w:rFonts w:ascii="Arial" w:cs="Arial" w:eastAsia="Arial" w:hAnsi="Arial"/>
                <w:sz w:val="18"/>
                <w:szCs w:val="18"/>
                <w:color w:val="auto"/>
              </w:rPr>
              <w:t>10,603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(99,621)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51,856,571</w:t>
            </w:r>
          </w:p>
        </w:tc>
      </w:tr>
      <w:tr>
        <w:trPr>
          <w:trHeight w:val="20"/>
        </w:trPr>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measure all of our marketable securities available-for-sale on a recurring basis based on Level 3 criteria. At December 31, 2007, our investments in ARS principally represent interests in government guaranteed student loans, municipal bonds, educational institutions, insurance notes and portfolios of securities (primarily commercial paper). At December 31, 2007, approximately $45.0 million of the ARS held by us consisted primarily of municipal securities. None of the underlying collateral for the ARS held by us consisted of subprime mortgages or collateralized debt obligations. As of December 31, 2007, the $0.1 million unrealized loss on ARS related to a decrease in estimated market value due to failed auctions associated with approximately $2.7 million of private placement 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tables reconciles the amortized cost of auction rate securities classified as current marketable securities available-for-sale at December 31, 2007, with the fair value of such auction rate securities which were reclassified to long-term investments during fiscal year 2008: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Transfers Out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Sales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Redemptions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Long-Term</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Auction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Rate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Charge on</w:t>
            </w: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Available-For-Sale</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at Par 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Auction Rate</w:t>
            </w:r>
          </w:p>
        </w:tc>
        <w:tc>
          <w:tcPr>
            <w:tcW w:w="1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to Long-Term</w:t>
            </w:r>
          </w:p>
        </w:tc>
        <w:tc>
          <w:tcPr>
            <w:tcW w:w="100" w:type="dxa"/>
            <w:vAlign w:val="bottom"/>
          </w:tcPr>
          <w:p>
            <w:pPr>
              <w:spacing w:after="0"/>
              <w:rPr>
                <w:sz w:val="12"/>
                <w:szCs w:val="12"/>
                <w:color w:val="auto"/>
              </w:rPr>
            </w:pPr>
          </w:p>
        </w:tc>
        <w:tc>
          <w:tcPr>
            <w:tcW w:w="9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12/31/08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Cost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1/1/08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Securities at</w:t>
            </w:r>
          </w:p>
        </w:tc>
        <w:tc>
          <w:tcPr>
            <w:tcW w:w="1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Investments from</w:t>
            </w: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Based on</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8"/>
              </w:rPr>
              <w:t>12/31/2007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8"/>
              </w:rPr>
              <w:t>12/31/08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8"/>
              </w:rPr>
              <w:t>12/31/08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7"/>
              </w:rPr>
              <w:t>1/1/08 to 12/31/08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8"/>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41,400,000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(6,244,431)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(21,055,569)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21,055,569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Auction rate securities (2)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(808,255)</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(2,991,745)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47,800,000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(16,700,000)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(7,052,686)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(24,047,314)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24,047,314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8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Aggregated fair value reported at December 31, 2008 reflects fair value as determined principally by our discounted cash flow model with liquidity discount, pursuant to which we took into consideration the brokerage firm’s pricing model, the tax status (taxable vs. tax exempt) of the security, credit quality of the issuer, assumed maturity (seven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 of the 91-day Treasury bills auctioned during the quarter ending December 31, 2008 (which was the Federal Family Education Loan Program special allowance rate for the quarter ending December 31, 2008)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4% to 23%, we calculated aggregate fair value for these securities, which ranged between $25.3 million with a two-year maturity, $22.7 million with a five-year maturity and $18.8 million with a ten-year maturity. As of December 31, 2008, although the ARS continue to pay interest according to their stated interest terms, we deemed the $6.2 million reduction of the overall fair value of the ARS as other-than-temporary due to the continued illiquidity of the primary ARS market and our expectation as to when we may be required to liquidate the ARS for operating purposes.</w:t>
      </w:r>
    </w:p>
    <w:p>
      <w:pPr>
        <w:spacing w:after="0" w:line="5"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Aggregated fair value reported at December 31, 2008 reflects fair value as determined by our discounted cash flow model, which employed liquidity discounts ranging from 3% to 23% depending on the security type and included assumptions regarding future cash flows and the likelihood of the redemption or refinancing of such ARS. We also performed a sensitivity analysis by calculating fair value with a maturity of one year through ten years. The interest rate utilized in the model was either LIBOR plus the spread, as indicated in the respective security prospectus which was generally 200 basis points, or the U.S. Treasury Department published average of the bond equivalent rates of the 91-day Treasury bills auctioned during the quarter ending December 31, 2008 (which was the Federal Family Education Loan Program special allowance rate for the quarter ending December 31, 2008) plus 120 basis points for the ARS collateralized by student loans. The LIBOR rate was per bankrate.com which we deemed as a reasonable source given it is a widely utilized third-party rate source. We believe that utilizing the Federal Family Education Loan Program special allowance rate for the student loan ARS is reasonable given the collateral of the ARS is student loans. Using this methodology, we calculated aggregate fair value for these securities, which ranged between $3.5 million with a two-year maturity, $3.2 million with a five-year maturity and $2.7 million with a ten-year maturity. As of December 31, 2008, although the ARS continue to pay interest according to their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stated interest terms, we deemed the $0.8 million reduction of the overall fair value of the ARS as other-than-temporary due to the continued illiquidity of the primary ARS market and our expectation as to when we may be required to liquidate the ARS for operating purposes.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2008, we received and accepted the ARS Rights Offer from UBS. Pursuant to the ARS Rights Offer, we received the ARS Put, which we classified as a long-term asset. We elected to measure the ARS Put under the fair value option of SFAS 159 to mitigate the volatility in reported earnings due to the linkage of certain of our ARS and the ARS Put. We measure the ARS Put on a recurring basis. The fair value of the ARS Put was also determined on Level 3 basis through the use of a discounted cash flow valuation model with assumptions being made related to interest rate, maturity and liquidity. We effectively used a liquidity discount of approximately 7%, an interest rate of approximately 5% which took into consideration the brokerage firm’s weighted average cost of capital and a maturity of 1.5 years given that the earliest the ARS Put can be exercised is June 2010. Based on our discounted cash flow valuation, we recorded a gain of $5.8 million in our consolidated statement of operations, which effectively net our realized loss on our overall ARS portfolio to $1.3 million.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3. Balance Sheet Details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880,337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380,245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1,759,163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1,771,464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(1,390,864)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(1,098,147)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368,299</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673,317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305,018</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60" w:type="dxa"/>
            <w:vAlign w:val="bottom"/>
            <w:vMerge w:val="restart"/>
          </w:tcPr>
          <w:p>
            <w:pPr>
              <w:jc w:val="right"/>
              <w:ind w:right="2412"/>
              <w:spacing w:after="0"/>
              <w:rPr>
                <w:sz w:val="20"/>
                <w:szCs w:val="20"/>
                <w:color w:val="auto"/>
              </w:rPr>
            </w:pPr>
            <w:r>
              <w:rPr>
                <w:rFonts w:ascii="Arial" w:cs="Arial" w:eastAsia="Arial" w:hAnsi="Arial"/>
                <w:sz w:val="18"/>
                <w:szCs w:val="18"/>
                <w:color w:val="auto"/>
              </w:rPr>
              <w:t>90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5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provided, contractual factors such as milestones or retainer fees and the invoices received from our external service providers. Accrued expenses consist of the following:</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2007</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740,207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3,120,668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176,236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244,351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95,473</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254,842</w:t>
            </w:r>
          </w:p>
        </w:tc>
      </w:tr>
      <w:tr>
        <w:trPr>
          <w:trHeight w:val="222"/>
        </w:trPr>
        <w:tc>
          <w:tcPr>
            <w:tcW w:w="80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1,011,916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3,619,861</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approved an arrangement in September 2001 to engage Dr. Yuichi Iwaki as a consultant in connection with financing transactions and business development activities, which was subsequently amended in November 2003 and November 2004. Pursuant to such arrangement, Dr. Iwaki was paid $20,000 per month plus other cash or stock compensation, if any, as the board of directors deemed appropriate for services rendered. In July 2005, the board of directors appointed Dr. Iwaki as our Executive Chairman and, in September 2005, appointed Dr. Iwaki as our Acting Chief Executive Officer and Acting Chief Financial Officer. In January 2006, Dr. Iwaki’s consulting fee was increased to $29,167 per month based on the findings of an independent study covering executive compensation. In March 2006, Dr. Iwaki was appointed as our President and Chief Executive Officer. Effective January 1, 2007, Dr. Iwaki became a full-time employee. Compensation earned by Dr. Iwaki as a consultant during the years ended December 31, 2007, 2006, 2005 and the period from September 26, 2000 (inception) to December 31, 2007 were $0, $500,000, $320,000 and $1,180,000, respectively.</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4, 2007, our board of directors approved the modification of certain stock option grants received by Dr. Iwaki while serving in his consulting capacity as President and Chief Executive Officer as a result of the change in Dr. Iwaki’s status from consultant to employee. Two nonqualified stock option (“NSO”) grants received by Dr. Iwaki for 40,000 shares of common stock and 333,503 shares of common stock, which were granted on January 4, 2006 and November 12, 2006, respectively, were modified such that the NSO grants were cancelled and new grants of incentive stock options equal in number to the prior NSO grants were granted at the prior exercise prices and with the original vesting schedules approved for the cancelled NSO grants. Pursuant to SFAS No. 123R, there is no impact to our consolidated financial results related to the modification from nonqualified stock options to incentive stock options as there is no incremental value attributed to the modified awards.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January 2004, we leased 16,609 square feet of space for our corporate headquarters under a non-cancelable operating lease that was set to expire in February 2008. In January 2008, we entered into a third amendment to lease for our corporate headquarters at the same location in which we reduced the amount of space under lease to 12,699 square feet of office space through August 2011. In June 2005, we leased 1,726 square feet of office space in Tokyo, Japan under a non-cancelable operating lease that expires in May 2009. Rent expense for the year ended December 31, 2008 was $551,234 and rent expense, net of sub-lease income for the years ended December 31, 2007, 2006, and the period from September 26, 2000 (inception) to December 31, 2008 was $683,971, $624,430, and $3,017,949, respectively.</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Future minimum payments are as follows:</w:t>
            </w:r>
          </w:p>
        </w:tc>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50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2009</w:t>
            </w:r>
          </w:p>
        </w:tc>
        <w:tc>
          <w:tcPr>
            <w:tcW w:w="3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492,969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3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1,300,629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have entered into numerous license agreements to acquire the rights to develop and commercialize a variety of product candidates. Pursuant to these agreements, we have obtained exclusive licenses to the patent rights and know-how for all indications under the agreements within our licensed territories.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amounts expended under these agreements and charged to research and development expense during the years ended December 31, 2008, 2007, 2006, and the period from September 26, 2000 (inception) to December 31, 2008 were $100,000, $3,000,000, $1,050,000 and $9,850,000, respectively. As of December 31, 2008, future potential milestone payments totaled approximately $94.1 million, and there are no minimum royalties required under any of the license agreements. From June 19, 2002 (the date of our first license agreement) through December 31, 2008, we have entered into nine license agreements with Japanese and British pharmaceutical companies and a non-profit research institute.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Phase III Trial for MN-001, Bronchial Asthma</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26, 2007, we announced a strategic initiative to focus our resources on the development and commercialization of two prioritized assets in our development pipeline, MN-221 for the treatment of acute exacerbations of asthma and MN-166 for the treatment of multiple sclerosis. As part of this strategy, we terminated the Phase III clinical trial of MN-001 for the treatment of bronchial asthma. At December 31, 2007, the termination of the Phase III clinical trial was completed and our financial results for the year then ended reflect additional research and development expense of $2.1 million (or $0.18 loss per share) to complete the wind-down of this clinical trial.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November 2006, we reached a mediation settlement of the dispute concerning the termination of employment of a former executive in the Tokyo District Court. Under the settlement, which is the subject of a written mediation decree prepared by the Tokyo District Court, we agreed to pay the former executive eight months of severance pay, or approximately $160,000, which was included as a charge in our consolidated statement of operations in fiscal 2006.</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alleged that the plaintiff’s daughter suffered permanent injuries </w:t>
      </w:r>
      <w:r>
        <w:rPr>
          <w:rFonts w:ascii="Arial" w:cs="Arial" w:eastAsia="Arial" w:hAnsi="Arial"/>
          <w:sz w:val="18"/>
          <w:szCs w:val="18"/>
          <w:i w:val="1"/>
          <w:iCs w:val="1"/>
          <w:color w:val="auto"/>
        </w:rPr>
        <w:t>in utero</w:t>
      </w:r>
      <w:r>
        <w:rPr>
          <w:rFonts w:ascii="Arial" w:cs="Arial" w:eastAsia="Arial" w:hAnsi="Arial"/>
          <w:sz w:val="18"/>
          <w:szCs w:val="18"/>
          <w:color w:val="auto"/>
        </w:rPr>
        <w:t xml:space="preserve"> as a result of the plaintiff’s participation in our clinical trial. Our insurance carrier assumed defense of this lawsuit, which was settled on September 27, 2007 with no admission of liability. On October 29, 2007, the court entered an order of dismissal of the claims asserted against us and all other defendants and subsequently entered a final judgment approving the settlement. Settlement of the lawsuit did not have a material adverse effect on our business, financial condition or operating results.</w:t>
      </w:r>
    </w:p>
    <w:p>
      <w:pPr>
        <w:spacing w:after="0" w:line="13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currently not a party to any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in Japan</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4, 2005, we completed an IPO of 3,000,000 shares of common stock in Japan and received aggregate proceeds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4, 2005 was automatically converted into 6,678,285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United States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United States at a purchase price of $12.00 per share and received aggregate net proceeds of approximately $10,639,600 million,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 xml:space="preserve">On September 2, 2004, we sold 27,667,856 shares of Series C redeemable convertible preferred stock at a purchase price of $1.62 per share for total net proceeds of $43,404,320, net of issuance costs. The Series C preferred stock was sold at a price per share below our IPO price. Accordingly, pursuant to EITF Issue No. 98-5, </w:t>
      </w:r>
      <w:r>
        <w:rPr>
          <w:rFonts w:ascii="Arial" w:cs="Arial" w:eastAsia="Arial" w:hAnsi="Arial"/>
          <w:sz w:val="16"/>
          <w:szCs w:val="16"/>
          <w:i w:val="1"/>
          <w:iCs w:val="1"/>
          <w:color w:val="auto"/>
        </w:rPr>
        <w:t>Accounting for Convertible Securities with Beneficial Conversion Features</w:t>
      </w:r>
      <w:r>
        <w:rPr>
          <w:rFonts w:ascii="Arial" w:cs="Arial" w:eastAsia="Arial" w:hAnsi="Arial"/>
          <w:sz w:val="16"/>
          <w:szCs w:val="16"/>
          <w:color w:val="auto"/>
        </w:rPr>
        <w:t>, we recorded a deemed dividend on the Series C preferred stock of $31,264,677, which is equal to the number of shares of Series C preferred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 and Warrants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inception, we issued a total of 50,000 shares of our common stock to two of our founders who became officers and directors, for proceeds of $50,000. We also granted the two individuals warrants to purchase 50,000 shares of our common stock at an exercise price of $1.00 per share. The warrants contained an antidilution clause providing the founders with the right to purchase additional shares of common stock any time there was a dilution event so that they could maintain their original ownership percentage. At December 31, 2003, as a result of the Series A and Series B preferred stock sales, the warrants were adjusted to allow the holders to purchase up to 365,000 shares of common stock. At December 31, 2007, no underlying shares of common stock remained subject to purchase under the terms of these warrants.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2004, in conjunction with the sale of Series B preferred stock, the shares of common stock issuable upon exercise of the warrants were adjusted up to 732,300 shares. Based on subsequent financing activities and the price of our IPO, we believe that the estimated fair value of the 732,300 shares exceeded the $1.00 exercise price of the warrants and, as a result, we recorded stock-based compensation in general and administrative expense in the amount of $19,405,950.</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 up from 732,300. Since all of the warrants were previously variable, we recorded additional stock-based compensation in general and administrative expense of $14,663,966 based on the estimated value of the underlying common stock on September 2, 2004 for a total of $34,069,916. Since the number of warrants became fixed at September 2, 2004, no additional compensation has been recorded.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May 2004, as compensation for fundraising efforts related to the sale of Series B preferred stock, we issued to BioVen Advisory, Inc. a warrant to purchase 50,000 shares of common stock with an exercise price of $10.00 per share and an expiry date of May 2009. The warrant was valued at the $250,000 cash value of the services performed. The warrant issuance had no net impact on the consolidated financial statements because the transaction resulted in both a charge and a credit to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the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September 2000, we adopted the 2000 Plan under which incentive stock options could be granted to our employees and nonstatutory stock options and other stock-based awards could be granted to employees, directors and consultants. Stock options have been granted with an exercise price of $10.00 per share and vest 25% after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At December 31, 2008, stock options to purchase a total of 85,500 shares of common stock were outstanding under the 2000 Plan at a weighted average exercise price of $10.00 per share. No additional stock options have been or will be issued under the 2000 Plan subsequent to our IPO. However, stock options previously granted under the 2000 Plan will remain outstanding until the earlier of expiration or exercise.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and June 2008, the total number of shares available for grant under the 2004 Plan was increased by 300,000 and 1,000,000, respectively.</w:t>
      </w:r>
    </w:p>
    <w:p>
      <w:pPr>
        <w:spacing w:after="0" w:line="9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meetings of stockholders,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80" w:type="dxa"/>
            <w:vAlign w:val="bottom"/>
          </w:tcPr>
          <w:p>
            <w:pPr>
              <w:ind w:left="4060"/>
              <w:spacing w:after="0"/>
              <w:rPr>
                <w:sz w:val="20"/>
                <w:szCs w:val="20"/>
                <w:color w:val="auto"/>
              </w:rPr>
            </w:pPr>
            <w:r>
              <w:rPr>
                <w:rFonts w:ascii="Arial" w:cs="Arial" w:eastAsia="Arial" w:hAnsi="Arial"/>
                <w:sz w:val="18"/>
                <w:szCs w:val="18"/>
                <w:b w:val="1"/>
                <w:bCs w:val="1"/>
                <w:color w:val="auto"/>
                <w:w w:val="95"/>
              </w:rPr>
              <w:t>Notes to Consolidated Financial Statements</w:t>
            </w: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w w:val="89"/>
              </w:rPr>
              <w:t>A summary of our stock option activity and related information as of December 31, 2008 is as follows:</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36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Number of</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86"/>
              </w:rPr>
              <w:t>Weighted 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w w:val="86"/>
              </w:rPr>
              <w:t>Option Shares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1,990,078</w:t>
            </w:r>
          </w:p>
        </w:tc>
        <w:tc>
          <w:tcPr>
            <w:tcW w:w="1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615,540</w:t>
            </w:r>
          </w:p>
        </w:tc>
        <w:tc>
          <w:tcPr>
            <w:tcW w:w="1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Cancelled</w:t>
            </w:r>
          </w:p>
        </w:tc>
        <w:tc>
          <w:tcPr>
            <w:tcW w:w="2360" w:type="dxa"/>
            <w:vAlign w:val="bottom"/>
            <w:gridSpan w:val="2"/>
          </w:tcPr>
          <w:p>
            <w:pPr>
              <w:jc w:val="right"/>
              <w:ind w:right="1220"/>
              <w:spacing w:after="0"/>
              <w:rPr>
                <w:sz w:val="20"/>
                <w:szCs w:val="20"/>
                <w:color w:val="auto"/>
              </w:rPr>
            </w:pPr>
            <w:r>
              <w:rPr>
                <w:rFonts w:ascii="Arial" w:cs="Arial" w:eastAsia="Arial" w:hAnsi="Arial"/>
                <w:sz w:val="18"/>
                <w:szCs w:val="18"/>
                <w:color w:val="auto"/>
              </w:rPr>
              <w:t>(26,107)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2,579,511</w:t>
            </w:r>
          </w:p>
        </w:tc>
        <w:tc>
          <w:tcPr>
            <w:tcW w:w="1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2008</w:t>
            </w:r>
          </w:p>
        </w:tc>
        <w:tc>
          <w:tcPr>
            <w:tcW w:w="10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2"/>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1,410,563</w:t>
            </w:r>
          </w:p>
        </w:tc>
        <w:tc>
          <w:tcPr>
            <w:tcW w:w="1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weighted average contractual life of options outstanding at December 31, 2008 was 7.8 years and the weighted average contractual life of exercisable options at December 31, 2008 was 7.4 years. There was no intrinsic value of stock options exercised during the year ended December 31, 2008 or outstanding and exercisable at December 31, 2008, based on the Nasdaq Global Market on such date.</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common stock reserved for future issuance at December 31, 2008: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the employee stock 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outstanding (under the 2000 Plan and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options authorized for future grant (under the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257,706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2,579,511</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1,445,489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29210</wp:posOffset>
            </wp:positionV>
            <wp:extent cx="6604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4,332,706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33020</wp:posOffset>
            </wp:positionV>
            <wp:extent cx="6604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50165</wp:posOffset>
            </wp:positionV>
            <wp:extent cx="6604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65"/>
        </w:trPr>
        <w:tc>
          <w:tcPr>
            <w:tcW w:w="8660" w:type="dxa"/>
            <w:vAlign w:val="bottom"/>
          </w:tcPr>
          <w:p>
            <w:pPr>
              <w:ind w:left="460"/>
              <w:spacing w:after="0"/>
              <w:rPr>
                <w:sz w:val="20"/>
                <w:szCs w:val="20"/>
                <w:color w:val="auto"/>
              </w:rPr>
            </w:pPr>
            <w:r>
              <w:rPr>
                <w:rFonts w:ascii="Arial" w:cs="Arial" w:eastAsia="Arial" w:hAnsi="Arial"/>
                <w:sz w:val="18"/>
                <w:szCs w:val="18"/>
                <w:color w:val="auto"/>
                <w:w w:val="97"/>
              </w:rPr>
              <w:t>The significant components of our deferred income taxes at December 31, 2008 and 2007 are as follows: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8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8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51,884,000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44,918,000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Capitalized licenses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3,009,000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Research tax credits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4,722,000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80" w:type="dxa"/>
            <w:vAlign w:val="bottom"/>
            <w:shd w:val="clear" w:color="auto" w:fill="CCEEFF"/>
          </w:tcPr>
          <w:p>
            <w:pPr>
              <w:spacing w:after="0"/>
              <w:rPr>
                <w:sz w:val="18"/>
                <w:szCs w:val="18"/>
                <w:color w:val="auto"/>
              </w:rPr>
            </w:pPr>
          </w:p>
        </w:tc>
      </w:tr>
      <w:tr>
        <w:trPr>
          <w:trHeight w:val="221"/>
        </w:trPr>
        <w:tc>
          <w:tcPr>
            <w:tcW w:w="86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61,932,000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53,889,000</w:t>
            </w:r>
          </w:p>
        </w:tc>
      </w:tr>
      <w:tr>
        <w:trPr>
          <w:trHeight w:val="21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(61,932,000)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(53,889,000)</w:t>
            </w:r>
          </w:p>
        </w:tc>
      </w:tr>
      <w:tr>
        <w:trPr>
          <w:trHeight w:val="222"/>
        </w:trPr>
        <w:tc>
          <w:tcPr>
            <w:tcW w:w="8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At December 31, 2008, we had federal and California net operating loss carryforwards of approximately $127.5 million and $126.3 million, respectively. The federal net operating loss carryforwards begin to expire in 2020, and the California net operating loss carryforwards begin to expire in 2015. At December 31, 2008, we also had federal and California research tax credit carryforwards of approximately $4,800,000 and $800,000, respectively. The federal research tax credit carryforwards begin to expire in 2024, and the California research tax credit carryforward does not expire and can be carried forward indefinitely until utilized.</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Additionally, utilization of the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An analysis was performed which indicated that multiple ownership changes have occurred in previous years which created annual limitations on our ability to utilize NOL and tax credit carryovers. Such limitations will result in approximately $8.8 million and $2.2 million of tax benefits related to federal and state NOL and tax credit carryforwards, respectively, that will expire unused. Accordingly, the related NOL and R&amp;D credit carryforwards have been removed from deferred tax assets accompanied by a corresponding reduction of the valuation allowance. Due to the existence of the valuation allowance, limitations created by future ownership changes, if any, related to our operations in the U.S. will not impact our effective tax rate.</w:t>
      </w:r>
    </w:p>
    <w:p>
      <w:pPr>
        <w:spacing w:after="0" w:line="10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July 2006, the FASB issued FIN 48, which clarifies the accounting for uncertainty in income taxes recognized in a company’s financial statements in accordance with SFAS No. 109, “Accounting for Income Taxes.” FIN 48 prescribes a recognition threshold and measurement process for recording in the financial statements uncertain tax positions taken or expected to be taken in a tax return. Additionally, FIN 48 provides guidance on the de-recognition, classification, interest and penalties, accounting in interim periods, and disclosure requirements for uncertain tax positions. We adopted the provisions of FIN 48 beginning January 1, 2007. The adoption of FIN 48 did not impact our financial condition, results of operations or cash flows. As of December 31, 2008, we have not recorded any uncertain tax benefits.</w:t>
      </w:r>
    </w:p>
    <w:p>
      <w:pPr>
        <w:spacing w:after="0" w:line="13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file income tax returns in the United States, California and foreign jurisdictions. Due to our losses incurred, we are essentially subject to income tax examination by tax authorities from our inception to date. Our policy is to recognize interest expense and penalties related to income tax matters as tax expense. At December 31, 2008, we do not have any significant accruals for interest related to unrecognized tax benefits or tax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Savings Plan and Employee Stock Purchase Plan</w:t>
      </w:r>
    </w:p>
    <w:p>
      <w:pPr>
        <w:spacing w:after="0" w:line="16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an employee savings plan available to substantially all employees. Under the plan, an employee may elect salary reductions which are contributed to the plan. The plan provides for discretionary contributions by us, which totaled $151,488, $155,598, $113,809 and $712,132 for the years ended December 31, 2008, 2007, 2006 and the period from September 26, 2000 (inception) to December 31, 2008, respectively.</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offering period. For the year ended December 31, 2008, 37,267 shares were issued under the ESPP, leaving 257,706 shares available for future issuance.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2008 and 2007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w w:val="96"/>
              </w:rPr>
              <w:t>Year Ended December 31, 2008</w:t>
            </w: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rPr>
              <w:t>1st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900"/>
              <w:spacing w:after="0" w:line="197" w:lineRule="exact"/>
              <w:rPr>
                <w:sz w:val="20"/>
                <w:szCs w:val="20"/>
                <w:color w:val="auto"/>
              </w:rPr>
            </w:pPr>
            <w:r>
              <w:rPr>
                <w:rFonts w:ascii="Arial" w:cs="Arial" w:eastAsia="Arial" w:hAnsi="Arial"/>
                <w:sz w:val="18"/>
                <w:szCs w:val="18"/>
                <w:b w:val="1"/>
                <w:bCs w:val="1"/>
                <w:color w:val="auto"/>
                <w:w w:val="93"/>
              </w:rPr>
              <w:t>2nd</w:t>
            </w:r>
          </w:p>
        </w:tc>
        <w:tc>
          <w:tcPr>
            <w:tcW w:w="140" w:type="dxa"/>
            <w:vAlign w:val="bottom"/>
          </w:tcPr>
          <w:p>
            <w:pPr>
              <w:spacing w:after="0"/>
              <w:rPr>
                <w:sz w:val="17"/>
                <w:szCs w:val="17"/>
                <w:color w:val="auto"/>
              </w:rPr>
            </w:pPr>
          </w:p>
        </w:tc>
        <w:tc>
          <w:tcPr>
            <w:tcW w:w="1240" w:type="dxa"/>
            <w:vAlign w:val="bottom"/>
            <w:gridSpan w:val="2"/>
          </w:tcPr>
          <w:p>
            <w:pPr>
              <w:jc w:val="right"/>
              <w:ind w:right="920"/>
              <w:spacing w:after="0" w:line="197" w:lineRule="exact"/>
              <w:rPr>
                <w:sz w:val="20"/>
                <w:szCs w:val="20"/>
                <w:color w:val="auto"/>
              </w:rPr>
            </w:pPr>
            <w:r>
              <w:rPr>
                <w:rFonts w:ascii="Arial" w:cs="Arial" w:eastAsia="Arial" w:hAnsi="Arial"/>
                <w:sz w:val="18"/>
                <w:szCs w:val="18"/>
                <w:b w:val="1"/>
                <w:bCs w:val="1"/>
                <w:color w:val="auto"/>
              </w:rPr>
              <w:t>3rd</w:t>
            </w:r>
          </w:p>
        </w:tc>
        <w:tc>
          <w:tcPr>
            <w:tcW w:w="620" w:type="dxa"/>
            <w:vAlign w:val="bottom"/>
          </w:tcPr>
          <w:p>
            <w:pPr>
              <w:ind w:left="180"/>
              <w:spacing w:after="0" w:line="197" w:lineRule="exact"/>
              <w:rPr>
                <w:sz w:val="20"/>
                <w:szCs w:val="20"/>
                <w:color w:val="auto"/>
              </w:rPr>
            </w:pPr>
            <w:r>
              <w:rPr>
                <w:rFonts w:ascii="Arial" w:cs="Arial" w:eastAsia="Arial" w:hAnsi="Arial"/>
                <w:sz w:val="18"/>
                <w:szCs w:val="18"/>
                <w:b w:val="1"/>
                <w:bCs w:val="1"/>
                <w:color w:val="auto"/>
              </w:rPr>
              <w:t>4th</w:t>
            </w:r>
          </w:p>
        </w:tc>
        <w:tc>
          <w:tcPr>
            <w:tcW w:w="60" w:type="dxa"/>
            <w:vAlign w:val="bottom"/>
          </w:tcPr>
          <w:p>
            <w:pPr>
              <w:spacing w:after="0"/>
              <w:rPr>
                <w:sz w:val="17"/>
                <w:szCs w:val="17"/>
                <w:color w:val="auto"/>
              </w:rPr>
            </w:pPr>
          </w:p>
        </w:tc>
      </w:tr>
      <w:tr>
        <w:trPr>
          <w:trHeight w:val="229"/>
        </w:trPr>
        <w:tc>
          <w:tcPr>
            <w:tcW w:w="6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42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   —</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(10,803)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(4,892)</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(4,815)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(10,803)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(4,892)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(4,815)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(0.89)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(0.12)</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w w:val="96"/>
              </w:rPr>
              <w:t>Year Ended December 31, 2007</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500"/>
              <w:spacing w:after="0" w:line="197" w:lineRule="exact"/>
              <w:rPr>
                <w:sz w:val="20"/>
                <w:szCs w:val="20"/>
                <w:color w:val="auto"/>
              </w:rPr>
            </w:pPr>
            <w:r>
              <w:rPr>
                <w:rFonts w:ascii="Arial" w:cs="Arial" w:eastAsia="Arial" w:hAnsi="Arial"/>
                <w:sz w:val="18"/>
                <w:szCs w:val="18"/>
                <w:b w:val="1"/>
                <w:bCs w:val="1"/>
                <w:color w:val="auto"/>
              </w:rPr>
              <w:t>1st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900"/>
              <w:spacing w:after="0" w:line="197" w:lineRule="exact"/>
              <w:rPr>
                <w:sz w:val="20"/>
                <w:szCs w:val="20"/>
                <w:color w:val="auto"/>
              </w:rPr>
            </w:pPr>
            <w:r>
              <w:rPr>
                <w:rFonts w:ascii="Arial" w:cs="Arial" w:eastAsia="Arial" w:hAnsi="Arial"/>
                <w:sz w:val="18"/>
                <w:szCs w:val="18"/>
                <w:b w:val="1"/>
                <w:bCs w:val="1"/>
                <w:color w:val="auto"/>
              </w:rPr>
              <w:t>2nd</w:t>
            </w:r>
          </w:p>
        </w:tc>
        <w:tc>
          <w:tcPr>
            <w:tcW w:w="100" w:type="dxa"/>
            <w:vAlign w:val="bottom"/>
          </w:tcPr>
          <w:p>
            <w:pPr>
              <w:spacing w:after="0"/>
              <w:rPr>
                <w:sz w:val="17"/>
                <w:szCs w:val="17"/>
                <w:color w:val="auto"/>
              </w:rPr>
            </w:pPr>
          </w:p>
        </w:tc>
        <w:tc>
          <w:tcPr>
            <w:tcW w:w="1280" w:type="dxa"/>
            <w:vAlign w:val="bottom"/>
            <w:gridSpan w:val="2"/>
          </w:tcPr>
          <w:p>
            <w:pPr>
              <w:jc w:val="right"/>
              <w:ind w:right="920"/>
              <w:spacing w:after="0" w:line="197" w:lineRule="exact"/>
              <w:rPr>
                <w:sz w:val="20"/>
                <w:szCs w:val="20"/>
                <w:color w:val="auto"/>
              </w:rPr>
            </w:pPr>
            <w:r>
              <w:rPr>
                <w:rFonts w:ascii="Arial" w:cs="Arial" w:eastAsia="Arial" w:hAnsi="Arial"/>
                <w:sz w:val="18"/>
                <w:szCs w:val="18"/>
                <w:b w:val="1"/>
                <w:bCs w:val="1"/>
                <w:color w:val="auto"/>
              </w:rPr>
              <w:t>3rd</w:t>
            </w:r>
          </w:p>
        </w:tc>
        <w:tc>
          <w:tcPr>
            <w:tcW w:w="120" w:type="dxa"/>
            <w:vAlign w:val="bottom"/>
          </w:tcPr>
          <w:p>
            <w:pPr>
              <w:spacing w:after="0"/>
              <w:rPr>
                <w:sz w:val="17"/>
                <w:szCs w:val="17"/>
                <w:color w:val="auto"/>
              </w:rPr>
            </w:pPr>
          </w:p>
        </w:tc>
        <w:tc>
          <w:tcPr>
            <w:tcW w:w="50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60" w:type="dxa"/>
            <w:vAlign w:val="bottom"/>
          </w:tcPr>
          <w:p>
            <w:pPr>
              <w:spacing w:after="0"/>
              <w:rPr>
                <w:sz w:val="17"/>
                <w:szCs w:val="17"/>
                <w:color w:val="auto"/>
              </w:rPr>
            </w:pPr>
          </w:p>
        </w:tc>
      </w:tr>
      <w:tr>
        <w:trPr>
          <w:trHeight w:val="229"/>
        </w:trPr>
        <w:tc>
          <w:tcPr>
            <w:tcW w:w="6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42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r>
      <w:tr>
        <w:trPr>
          <w:trHeight w:val="211"/>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17,219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20,901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(15,904)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(19,780)</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(10,228)</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(2,992)</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(15,904)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(19,780)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(10,228)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(2,992)</w:t>
            </w: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Therefore, the sum of the quarterly net loss per share will not necessarily equal the total for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ARS Loan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fourth quarter of 2008, we received and accepted the ARS Rights Offer from UBS. Pursuant to the ARS Rights Offer, we received the ARS Put. In January 2009, we were approved by UBS for the ARS Loan in the amount of $15.9 million and drew down the entire pre-approved amount. In February 2009, we were advised by UBS that our ARS portfolio was re-priced given market conditions as of such time. UBS’ re-pricing of our ARS resulted in an increase in the fair value of $2.8 million for such securities. As a result, we borrowed an additional $2.2 million under the ARS Loan, which amount represents 75% of the increased value of the ARS, thereby bringing the total amount outstanding under the ARS Loan to $18.1 million. Under the ARS Loan, UBS may demand full or partial payment of the ARS Loan, at its sole option and without cause, at any time. All cash received under the ARS Loan was invested in money market accounts.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Because of the inherent limitations in all control systems, no evaluation of controls can provide absolute assurance that all control issues and instances of fraud, if any, or misstatements due to error, if any, have been detected. While we believe that our disclosure controls and procedures and internal control over financial reporting are and have been effective, we intend to continue to examine and refine our disclosure controls and procedures and internal control over financial reporting and to monitor ongoing developments in these areas.</w:t>
      </w:r>
    </w:p>
    <w:p>
      <w:pPr>
        <w:spacing w:after="0" w:line="1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2008, management conducted an evaluation, under the supervision and with the participation of our Chief Executive Officer and Chief Financial Officer, of the effectiveness of the design and operation of our disclosure controls and procedures, as defined under Rule 13a-15(e) promulgated under the Securities Exchange Act of 1934, as amended, or the Exchange Act. Based on this evaluation, our Chief Executive Officer and Chief Financial Officer concluded that our disclosure controls and procedures were effective as of the end of the period covered by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Under the supervision and with the participation of our Chief Executive Officer and Chief Financial Officer, management conducted an evaluation of the effectiveness of our internal control over financial reporting as of December 31, 2008 based on the framework in Internal Control —Integrated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2008.</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June 30, 2008, we qualified as a smaller reporting company under the Securities Act of 1933, as amended, and the Exchange Act due to our market capitalization. As a result of qualifying as a smaller reporting company, 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 that permit us to provide only management’s report in this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in our most recent fiscal quarter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the conclusion of our fiscal year ended December 31, 2008, or the Proxy Statement, and is incorporated in this Annual Report on Form 10-K by reference.</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8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0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1060" w:type="dxa"/>
            <w:vAlign w:val="bottom"/>
          </w:tcPr>
          <w:p>
            <w:pPr>
              <w:spacing w:after="0"/>
              <w:rPr>
                <w:sz w:val="18"/>
                <w:szCs w:val="18"/>
                <w:color w:val="auto"/>
              </w:rPr>
            </w:pPr>
          </w:p>
        </w:tc>
        <w:tc>
          <w:tcPr>
            <w:tcW w:w="264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5"/>
              </w:rPr>
              <w:t>Exercise Price of</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6"/>
              </w:rPr>
              <w:t>Outstanding</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Options,</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Warrants and</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29"/>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Plan Category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5"/>
              </w:rPr>
              <w:t>Rights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w:t>
            </w:r>
          </w:p>
        </w:tc>
        <w:tc>
          <w:tcPr>
            <w:tcW w:w="1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2,494,011</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10.59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ind w:left="200"/>
              <w:spacing w:after="0"/>
              <w:rPr>
                <w:sz w:val="20"/>
                <w:szCs w:val="20"/>
                <w:color w:val="auto"/>
              </w:rPr>
            </w:pPr>
            <w:r>
              <w:rPr>
                <w:rFonts w:ascii="Arial" w:cs="Arial" w:eastAsia="Arial" w:hAnsi="Arial"/>
                <w:sz w:val="18"/>
                <w:szCs w:val="18"/>
                <w:color w:val="auto"/>
              </w:rPr>
              <w:t>Stockholders(2)</w:t>
            </w:r>
          </w:p>
        </w:tc>
        <w:tc>
          <w:tcPr>
            <w:tcW w:w="1600" w:type="dxa"/>
            <w:vAlign w:val="bottom"/>
          </w:tcPr>
          <w:p>
            <w:pPr>
              <w:jc w:val="right"/>
              <w:spacing w:after="0"/>
              <w:rPr>
                <w:sz w:val="20"/>
                <w:szCs w:val="20"/>
                <w:color w:val="auto"/>
              </w:rPr>
            </w:pPr>
            <w:r>
              <w:rPr>
                <w:rFonts w:ascii="Arial" w:cs="Arial" w:eastAsia="Arial" w:hAnsi="Arial"/>
                <w:sz w:val="18"/>
                <w:szCs w:val="18"/>
                <w:color w:val="auto"/>
              </w:rPr>
              <w:t>18,607</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right"/>
              <w:ind w:right="1080"/>
              <w:spacing w:after="0"/>
              <w:rPr>
                <w:sz w:val="20"/>
                <w:szCs w:val="20"/>
                <w:color w:val="auto"/>
              </w:rPr>
            </w:pPr>
            <w:r>
              <w:rPr>
                <w:rFonts w:ascii="Arial" w:cs="Arial" w:eastAsia="Arial" w:hAnsi="Arial"/>
                <w:sz w:val="18"/>
                <w:szCs w:val="18"/>
                <w:color w:val="auto"/>
              </w:rPr>
              <w:t>1.96(2)</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257,706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Warrants(4)</w:t>
            </w: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right"/>
              <w:ind w:right="1280"/>
              <w:spacing w:after="0"/>
              <w:rPr>
                <w:sz w:val="20"/>
                <w:szCs w:val="20"/>
                <w:color w:val="auto"/>
              </w:rPr>
            </w:pPr>
            <w:r>
              <w:rPr>
                <w:rFonts w:ascii="Arial" w:cs="Arial" w:eastAsia="Arial" w:hAnsi="Arial"/>
                <w:sz w:val="18"/>
                <w:szCs w:val="18"/>
                <w:color w:val="auto"/>
              </w:rPr>
              <w:t>10.00</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2,648,118</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305"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(“2004 Plan”). Awards under the 2004 Plan shall not exceed 3,330,000 shares, plus an annual increase on the first day of each fiscal year, with the first increase occurring on January 1, 2006, in an amount equal to the lesser of</w:t>
      </w:r>
    </w:p>
    <w:p>
      <w:pPr>
        <w:ind w:left="460"/>
        <w:spacing w:after="0"/>
        <w:rPr>
          <w:rFonts w:ascii="Arial" w:cs="Arial" w:eastAsia="Arial" w:hAnsi="Arial"/>
          <w:sz w:val="15"/>
          <w:szCs w:val="15"/>
          <w:color w:val="auto"/>
        </w:rPr>
      </w:pPr>
      <w:r>
        <w:rPr>
          <w:rFonts w:ascii="Arial" w:cs="Arial" w:eastAsia="Arial" w:hAnsi="Arial"/>
          <w:sz w:val="18"/>
          <w:szCs w:val="18"/>
          <w:color w:val="auto"/>
        </w:rPr>
        <w:t>(i) 100,000 shares, (ii) 3% of the outstanding shares on the last day of the immediately preceding year, or (iii) 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8" w:lineRule="auto"/>
        <w:rPr>
          <w:sz w:val="20"/>
          <w:szCs w:val="20"/>
          <w:color w:val="auto"/>
        </w:rPr>
      </w:pPr>
      <w:r>
        <w:rPr>
          <w:rFonts w:ascii="Arial" w:cs="Arial" w:eastAsia="Arial" w:hAnsi="Arial"/>
          <w:sz w:val="18"/>
          <w:szCs w:val="18"/>
          <w:color w:val="auto"/>
        </w:rPr>
        <w:t>amount determined by the Board. Stock options under the 2004 Plan have an exercise price equal to the fair market value of the underlying common stock at the date of grant, generally vest over a period of four years and have a ten-year life.</w:t>
      </w:r>
    </w:p>
    <w:p>
      <w:pPr>
        <w:spacing w:after="0" w:line="1" w:lineRule="exact"/>
        <w:rPr>
          <w:sz w:val="20"/>
          <w:szCs w:val="20"/>
          <w:color w:val="auto"/>
        </w:rPr>
      </w:pPr>
    </w:p>
    <w:p>
      <w:pPr>
        <w:ind w:left="460" w:hanging="452"/>
        <w:spacing w:after="0" w:line="303"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Consists of the MediciNova, Inc. 2007 Employee Stock Purchase Plan (“ESPP”). Under the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1" w:lineRule="exact"/>
        <w:rPr>
          <w:rFonts w:ascii="Arial" w:cs="Arial" w:eastAsia="Arial" w:hAnsi="Arial"/>
          <w:sz w:val="15"/>
          <w:szCs w:val="15"/>
          <w:color w:val="auto"/>
        </w:rPr>
      </w:pPr>
    </w:p>
    <w:p>
      <w:pPr>
        <w:ind w:left="460" w:right="12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solely of the MediciNova, Inc. 2000 General Stock Incentive Plan (“2000 Plan”), which was terminated upon the completion of our IPO on February 4, 2005. The material terms of the 2000 Plan are described in Note 5 to our consolidated financial statements contained in this Annual Report on Form 10-K. The remaining 45,000 shares available for future grant under the 2000 Plan were cancelled.</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warrants not approved by stockholders issued to BioVen Advisory,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section Proxy Statement and is incorporated in this Annual Report on Form 10-K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right="540" w:firstLine="464"/>
        <w:spacing w:after="0" w:line="268"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 of Ernst &amp; Young LLP,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00" w:type="dxa"/>
            <w:vAlign w:val="bottom"/>
            <w:gridSpan w:val="3"/>
          </w:tcPr>
          <w:p>
            <w:pPr>
              <w:jc w:val="right"/>
              <w:ind w:right="100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Borders>
              <w:bottom w:val="single" w:sz="8" w:color="0000EE"/>
            </w:tcBorders>
            <w:gridSpan w:val="8"/>
          </w:tcPr>
          <w:p>
            <w:pPr>
              <w:spacing w:after="0" w:line="171"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w:t>
              </w:r>
            </w:hyperlink>
          </w:p>
        </w:tc>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71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Balance Sheets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Operations</w:t>
              </w:r>
            </w:hyperlink>
          </w:p>
        </w:tc>
        <w:tc>
          <w:tcPr>
            <w:tcW w:w="59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Stockholders’ Equity (Deficit)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462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9860" w:type="dxa"/>
            <w:vAlign w:val="bottom"/>
            <w:gridSpan w:val="11"/>
          </w:tcPr>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60" w:type="dxa"/>
            <w:vAlign w:val="bottom"/>
            <w:gridSpan w:val="11"/>
          </w:tcPr>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8740" w:type="dxa"/>
            <w:vAlign w:val="bottom"/>
            <w:gridSpan w:val="9"/>
          </w:tcPr>
          <w:p>
            <w:pPr>
              <w:ind w:left="52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3.1(11)</w:t>
            </w:r>
          </w:p>
        </w:tc>
        <w:tc>
          <w:tcPr>
            <w:tcW w:w="5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220" w:type="dxa"/>
            <w:vAlign w:val="bottom"/>
            <w:gridSpan w:val="8"/>
          </w:tcPr>
          <w:p>
            <w:pPr>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3"/>
                <w:szCs w:val="23"/>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Amended and Restated Bylaws of the Registrant.</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4.1(11)</w:t>
            </w:r>
          </w:p>
        </w:tc>
        <w:tc>
          <w:tcPr>
            <w:tcW w:w="500" w:type="dxa"/>
            <w:vAlign w:val="bottom"/>
          </w:tcPr>
          <w:p>
            <w:pPr>
              <w:spacing w:after="0"/>
              <w:rPr>
                <w:sz w:val="24"/>
                <w:szCs w:val="24"/>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Specimen of Common Stock Certificate.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10140" w:type="dxa"/>
            <w:vAlign w:val="bottom"/>
            <w:gridSpan w:val="12"/>
          </w:tcPr>
          <w:p>
            <w:pPr>
              <w:ind w:left="520"/>
              <w:spacing w:after="0"/>
              <w:rPr>
                <w:sz w:val="20"/>
                <w:szCs w:val="20"/>
                <w:color w:val="auto"/>
              </w:rPr>
            </w:pPr>
            <w:r>
              <w:rPr>
                <w:rFonts w:ascii="Arial" w:cs="Arial" w:eastAsia="Arial" w:hAnsi="Arial"/>
                <w:sz w:val="18"/>
                <w:szCs w:val="18"/>
                <w:color w:val="auto"/>
                <w:w w:val="87"/>
              </w:rPr>
              <w:t>Amended and Restated Registration Rights Agreement by and among the Registrant, its founders and the investors named therein,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September 2, 2004.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40" w:type="dxa"/>
            <w:vAlign w:val="bottom"/>
            <w:gridSpan w:val="2"/>
          </w:tcPr>
          <w:p>
            <w:pPr>
              <w:jc w:val="right"/>
              <w:spacing w:after="0"/>
              <w:rPr>
                <w:sz w:val="20"/>
                <w:szCs w:val="20"/>
                <w:color w:val="auto"/>
              </w:rPr>
            </w:pPr>
            <w:r>
              <w:rPr>
                <w:rFonts w:ascii="Arial" w:cs="Arial" w:eastAsia="Arial" w:hAnsi="Arial"/>
                <w:sz w:val="18"/>
                <w:szCs w:val="18"/>
                <w:color w:val="auto"/>
              </w:rPr>
              <w:t>4.3(12)</w:t>
            </w:r>
          </w:p>
        </w:tc>
        <w:tc>
          <w:tcPr>
            <w:tcW w:w="500" w:type="dxa"/>
            <w:vAlign w:val="bottom"/>
          </w:tcPr>
          <w:p>
            <w:pPr>
              <w:spacing w:after="0"/>
              <w:rPr>
                <w:sz w:val="24"/>
                <w:szCs w:val="24"/>
                <w:color w:val="auto"/>
              </w:rPr>
            </w:pPr>
          </w:p>
        </w:tc>
        <w:tc>
          <w:tcPr>
            <w:tcW w:w="10140" w:type="dxa"/>
            <w:vAlign w:val="bottom"/>
            <w:gridSpan w:val="12"/>
          </w:tcPr>
          <w:p>
            <w:pPr>
              <w:ind w:left="520"/>
              <w:spacing w:after="0"/>
              <w:rPr>
                <w:sz w:val="20"/>
                <w:szCs w:val="20"/>
                <w:color w:val="auto"/>
              </w:rPr>
            </w:pPr>
            <w:r>
              <w:rPr>
                <w:rFonts w:ascii="Arial" w:cs="Arial" w:eastAsia="Arial" w:hAnsi="Arial"/>
                <w:sz w:val="18"/>
                <w:szCs w:val="18"/>
                <w:color w:val="auto"/>
                <w:w w:val="89"/>
              </w:rPr>
              <w:t>Rights Agreement between the Registrant and American Stock Transfer &amp; Trust Company, which includes the form of Rights Certificate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and the Summary of Rights as </w:t>
            </w:r>
            <w:r>
              <w:rPr>
                <w:rFonts w:ascii="Arial" w:cs="Arial" w:eastAsia="Arial" w:hAnsi="Arial"/>
                <w:sz w:val="18"/>
                <w:szCs w:val="18"/>
                <w:i w:val="1"/>
                <w:iCs w:val="1"/>
                <w:color w:val="auto"/>
              </w:rPr>
              <w:t>Exhibit C</w:t>
            </w:r>
            <w:r>
              <w:rPr>
                <w:rFonts w:ascii="Arial" w:cs="Arial" w:eastAsia="Arial" w:hAnsi="Arial"/>
                <w:sz w:val="18"/>
                <w:szCs w:val="18"/>
                <w:color w:val="auto"/>
              </w:rPr>
              <w:t>, dated November 24, 2006.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10.1(1)</w:t>
            </w:r>
          </w:p>
        </w:tc>
        <w:tc>
          <w:tcPr>
            <w:tcW w:w="500" w:type="dxa"/>
            <w:vAlign w:val="bottom"/>
          </w:tcPr>
          <w:p>
            <w:pPr>
              <w:spacing w:after="0"/>
              <w:rPr>
                <w:sz w:val="24"/>
                <w:szCs w:val="24"/>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2000 General Stock Incentive Plan of the Registrant.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10.2(2)</w:t>
            </w:r>
          </w:p>
        </w:tc>
        <w:tc>
          <w:tcPr>
            <w:tcW w:w="500" w:type="dxa"/>
            <w:vAlign w:val="bottom"/>
          </w:tcPr>
          <w:p>
            <w:pPr>
              <w:spacing w:after="0"/>
              <w:rPr>
                <w:sz w:val="24"/>
                <w:szCs w:val="24"/>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2004 Stock Incentive Plan of the Registrant.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10.3(5)</w:t>
            </w:r>
          </w:p>
        </w:tc>
        <w:tc>
          <w:tcPr>
            <w:tcW w:w="500" w:type="dxa"/>
            <w:vAlign w:val="bottom"/>
          </w:tcPr>
          <w:p>
            <w:pPr>
              <w:spacing w:after="0"/>
              <w:rPr>
                <w:sz w:val="24"/>
                <w:szCs w:val="24"/>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6"/>
              </w:rPr>
              <w:t>10.4(2)†</w:t>
            </w: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98"/>
              </w:rPr>
              <w:t>License Agreement between the Registrant and Kyorin Pharmaceutical Co., Ltd., dated March 14, 2002.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6"/>
              </w:rPr>
              <w:t>10.5(2)†</w:t>
            </w: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98"/>
              </w:rPr>
              <w:t>License Agreement between the Registrant and Angiogene Pharmaceuticals, Ltd., dated June 19, 2002.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6"/>
              </w:rPr>
              <w:t>10.6(2)†</w:t>
            </w: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88"/>
              </w:rPr>
              <w:t>Exclusive License Agreement between the Registrant and Kissei Pharmaceutical Co., Ltd., dated February 25, 2004.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6"/>
              </w:rPr>
              <w:t>10.7(2)†</w:t>
            </w: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93"/>
              </w:rPr>
              <w:t>License Agreement between the Registrant and Mitsubishi Tanabe Pharma Corporation, dated April 27, 2004.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10.8(1)</w:t>
            </w:r>
          </w:p>
        </w:tc>
        <w:tc>
          <w:tcPr>
            <w:tcW w:w="500" w:type="dxa"/>
            <w:vAlign w:val="bottom"/>
          </w:tcPr>
          <w:p>
            <w:pPr>
              <w:spacing w:after="0"/>
              <w:rPr>
                <w:sz w:val="24"/>
                <w:szCs w:val="24"/>
                <w:color w:val="auto"/>
              </w:rPr>
            </w:pP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98"/>
              </w:rPr>
              <w:t>Employment Agreement between the Registrant and Richard E. Gammans, Ph.D., dated June 14, 2004.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87"/>
              </w:rPr>
              <w:t>10.9(1)</w:t>
            </w:r>
          </w:p>
        </w:tc>
        <w:tc>
          <w:tcPr>
            <w:tcW w:w="500" w:type="dxa"/>
            <w:vAlign w:val="bottom"/>
          </w:tcPr>
          <w:p>
            <w:pPr>
              <w:spacing w:after="0"/>
              <w:rPr>
                <w:sz w:val="24"/>
                <w:szCs w:val="24"/>
                <w:color w:val="auto"/>
              </w:rPr>
            </w:pPr>
          </w:p>
        </w:tc>
        <w:tc>
          <w:tcPr>
            <w:tcW w:w="10140" w:type="dxa"/>
            <w:vAlign w:val="bottom"/>
            <w:gridSpan w:val="12"/>
          </w:tcPr>
          <w:p>
            <w:pPr>
              <w:ind w:left="520"/>
              <w:spacing w:after="0"/>
              <w:rPr>
                <w:sz w:val="20"/>
                <w:szCs w:val="20"/>
                <w:color w:val="auto"/>
              </w:rPr>
            </w:pPr>
            <w:r>
              <w:rPr>
                <w:rFonts w:ascii="Arial" w:cs="Arial" w:eastAsia="Arial" w:hAnsi="Arial"/>
                <w:sz w:val="18"/>
                <w:szCs w:val="18"/>
                <w:color w:val="auto"/>
                <w:w w:val="99"/>
              </w:rPr>
              <w:t>Employment Agreement between the Registrant and Kenneth W. Locke, Ph.D., dated September 26, 2000, as amended.</w:t>
            </w:r>
          </w:p>
        </w:tc>
        <w:tc>
          <w:tcPr>
            <w:tcW w:w="0" w:type="dxa"/>
            <w:vAlign w:val="bottom"/>
          </w:tcPr>
          <w:p>
            <w:pPr>
              <w:spacing w:after="0"/>
              <w:rPr>
                <w:sz w:val="1"/>
                <w:szCs w:val="1"/>
                <w:color w:val="auto"/>
              </w:rPr>
            </w:pPr>
          </w:p>
        </w:tc>
      </w:tr>
      <w:tr>
        <w:trPr>
          <w:trHeight w:val="284"/>
        </w:trPr>
        <w:tc>
          <w:tcPr>
            <w:tcW w:w="1140" w:type="dxa"/>
            <w:vAlign w:val="bottom"/>
            <w:gridSpan w:val="3"/>
          </w:tcPr>
          <w:p>
            <w:pPr>
              <w:spacing w:after="0"/>
              <w:rPr>
                <w:sz w:val="20"/>
                <w:szCs w:val="20"/>
                <w:color w:val="auto"/>
              </w:rPr>
            </w:pPr>
            <w:r>
              <w:rPr>
                <w:rFonts w:ascii="Arial" w:cs="Arial" w:eastAsia="Arial" w:hAnsi="Arial"/>
                <w:sz w:val="18"/>
                <w:szCs w:val="18"/>
                <w:color w:val="auto"/>
              </w:rPr>
              <w:t>10.10(3)†</w:t>
            </w:r>
          </w:p>
        </w:tc>
        <w:tc>
          <w:tcPr>
            <w:tcW w:w="8740" w:type="dxa"/>
            <w:vAlign w:val="bottom"/>
            <w:gridSpan w:val="9"/>
          </w:tcPr>
          <w:p>
            <w:pPr>
              <w:ind w:left="520"/>
              <w:spacing w:after="0"/>
              <w:rPr>
                <w:sz w:val="20"/>
                <w:szCs w:val="20"/>
                <w:color w:val="auto"/>
              </w:rPr>
            </w:pPr>
            <w:r>
              <w:rPr>
                <w:rFonts w:ascii="Arial" w:cs="Arial" w:eastAsia="Arial" w:hAnsi="Arial"/>
                <w:sz w:val="18"/>
                <w:szCs w:val="18"/>
                <w:color w:val="auto"/>
                <w:w w:val="97"/>
              </w:rPr>
              <w:t>License Agreement between the Registrant and Kyorin Pharmaceutical Co., Ltd., dated October 22, 2004.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740" w:type="dxa"/>
            <w:vAlign w:val="bottom"/>
            <w:gridSpan w:val="9"/>
          </w:tcPr>
          <w:p>
            <w:pPr>
              <w:ind w:left="44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25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10.11(2)</w:t>
            </w:r>
          </w:p>
        </w:tc>
        <w:tc>
          <w:tcPr>
            <w:tcW w:w="120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5"/>
              </w:rPr>
              <w:t>Office Lease</w:t>
            </w:r>
          </w:p>
        </w:tc>
        <w:tc>
          <w:tcPr>
            <w:tcW w:w="8640" w:type="dxa"/>
            <w:vAlign w:val="bottom"/>
          </w:tcPr>
          <w:p>
            <w:pPr>
              <w:ind w:left="60"/>
              <w:spacing w:after="0" w:line="195" w:lineRule="exact"/>
              <w:rPr>
                <w:sz w:val="20"/>
                <w:szCs w:val="20"/>
                <w:color w:val="auto"/>
              </w:rPr>
            </w:pPr>
            <w:r>
              <w:rPr>
                <w:rFonts w:ascii="Arial" w:cs="Arial" w:eastAsia="Arial" w:hAnsi="Arial"/>
                <w:sz w:val="18"/>
                <w:szCs w:val="18"/>
                <w:color w:val="auto"/>
                <w:w w:val="95"/>
              </w:rPr>
              <w:t>Agreement between the Registrant and CA-LA Jolla II Limited Partnership, dated January 28, 2004 and the First</w:t>
            </w:r>
          </w:p>
        </w:tc>
      </w:tr>
      <w:tr>
        <w:trPr>
          <w:trHeight w:val="222"/>
        </w:trPr>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Amendment thereto, dated August 10, 2004.</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10.12(3)†</w:t>
            </w:r>
          </w:p>
        </w:tc>
        <w:tc>
          <w:tcPr>
            <w:tcW w:w="952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10.13(4)</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88"/>
              </w:rPr>
              <w:t>Second Amendment to Office Lease Agreement between the Registrant and CA-La Jolla II Limited Partnership, dated March 21, 2005.</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10.14(5)</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the Registrant and Shintaro Asako, CPA, dated July 18, 2005.</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10.15(11)</w:t>
            </w:r>
          </w:p>
        </w:tc>
        <w:tc>
          <w:tcPr>
            <w:tcW w:w="952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10.16(7)†</w:t>
            </w:r>
          </w:p>
        </w:tc>
        <w:tc>
          <w:tcPr>
            <w:tcW w:w="9520" w:type="dxa"/>
            <w:vAlign w:val="bottom"/>
            <w:gridSpan w:val="2"/>
          </w:tcPr>
          <w:p>
            <w:pPr>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10.17(7)†</w:t>
            </w:r>
          </w:p>
        </w:tc>
        <w:tc>
          <w:tcPr>
            <w:tcW w:w="9520" w:type="dxa"/>
            <w:vAlign w:val="bottom"/>
            <w:gridSpan w:val="2"/>
          </w:tcPr>
          <w:p>
            <w:pPr>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10.18(8)</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10.19(13)</w:t>
            </w:r>
          </w:p>
        </w:tc>
        <w:tc>
          <w:tcPr>
            <w:tcW w:w="9520" w:type="dxa"/>
            <w:vAlign w:val="bottom"/>
            <w:gridSpan w:val="2"/>
          </w:tcPr>
          <w:p>
            <w:pPr>
              <w:spacing w:after="0"/>
              <w:rPr>
                <w:sz w:val="20"/>
                <w:szCs w:val="20"/>
                <w:color w:val="auto"/>
              </w:rPr>
            </w:pPr>
            <w:r>
              <w:rPr>
                <w:rFonts w:ascii="Arial" w:cs="Arial" w:eastAsia="Arial" w:hAnsi="Arial"/>
                <w:sz w:val="18"/>
                <w:szCs w:val="18"/>
                <w:color w:val="auto"/>
              </w:rPr>
              <w:t>2007 Employee Stock Purchase Plan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10.20(9)</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2"/>
              </w:rPr>
              <w:t>Form of Severance Protection Agreement between the Registrant and certain of its executive officers, dated September 12, 2007.</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10.21(10)</w:t>
            </w:r>
          </w:p>
        </w:tc>
        <w:tc>
          <w:tcPr>
            <w:tcW w:w="9520" w:type="dxa"/>
            <w:vAlign w:val="bottom"/>
            <w:gridSpan w:val="2"/>
          </w:tcPr>
          <w:p>
            <w:pPr>
              <w:spacing w:after="0"/>
              <w:rPr>
                <w:sz w:val="20"/>
                <w:szCs w:val="20"/>
                <w:color w:val="auto"/>
              </w:rPr>
            </w:pPr>
            <w:r>
              <w:rPr>
                <w:rFonts w:ascii="Arial" w:cs="Arial" w:eastAsia="Arial" w:hAnsi="Arial"/>
                <w:sz w:val="18"/>
                <w:szCs w:val="18"/>
                <w:color w:val="auto"/>
                <w:w w:val="94"/>
              </w:rPr>
              <w:t>Third Amendment to Office Lease Agreement between the Registrant and 4350 La Jolla Village LLC, dated January 31, 2008.</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10.22(14)</w:t>
            </w:r>
          </w:p>
        </w:tc>
        <w:tc>
          <w:tcPr>
            <w:tcW w:w="9520" w:type="dxa"/>
            <w:vAlign w:val="bottom"/>
            <w:gridSpan w:val="2"/>
          </w:tcPr>
          <w:p>
            <w:pPr>
              <w:spacing w:after="0"/>
              <w:rPr>
                <w:sz w:val="20"/>
                <w:szCs w:val="20"/>
                <w:color w:val="auto"/>
              </w:rPr>
            </w:pPr>
            <w:r>
              <w:rPr>
                <w:rFonts w:ascii="Arial" w:cs="Arial" w:eastAsia="Arial" w:hAnsi="Arial"/>
                <w:sz w:val="18"/>
                <w:szCs w:val="18"/>
                <w:color w:val="auto"/>
              </w:rPr>
              <w:t>Severance Agreement and Release by and between the Registrant and Kenneth W. Locke, dated April 30, 2008.</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10.23(14)</w:t>
            </w:r>
          </w:p>
        </w:tc>
        <w:tc>
          <w:tcPr>
            <w:tcW w:w="9520" w:type="dxa"/>
            <w:vAlign w:val="bottom"/>
            <w:gridSpan w:val="2"/>
          </w:tcPr>
          <w:p>
            <w:pPr>
              <w:spacing w:after="0"/>
              <w:rPr>
                <w:sz w:val="20"/>
                <w:szCs w:val="20"/>
                <w:color w:val="auto"/>
              </w:rPr>
            </w:pPr>
            <w:r>
              <w:rPr>
                <w:rFonts w:ascii="Arial" w:cs="Arial" w:eastAsia="Arial" w:hAnsi="Arial"/>
                <w:sz w:val="18"/>
                <w:szCs w:val="18"/>
                <w:color w:val="auto"/>
              </w:rPr>
              <w:t>Consulting Agreement by and between the Registrant and Kenneth W. Locke, dated May 1, 2008.</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10.24(15)</w:t>
            </w:r>
          </w:p>
        </w:tc>
        <w:tc>
          <w:tcPr>
            <w:tcW w:w="9520" w:type="dxa"/>
            <w:vAlign w:val="bottom"/>
            <w:gridSpan w:val="2"/>
          </w:tcPr>
          <w:p>
            <w:pPr>
              <w:spacing w:after="0"/>
              <w:rPr>
                <w:sz w:val="20"/>
                <w:szCs w:val="20"/>
                <w:color w:val="auto"/>
              </w:rPr>
            </w:pPr>
            <w:r>
              <w:rPr>
                <w:rFonts w:ascii="Arial" w:cs="Arial" w:eastAsia="Arial" w:hAnsi="Arial"/>
                <w:sz w:val="18"/>
                <w:szCs w:val="18"/>
                <w:color w:val="auto"/>
              </w:rPr>
              <w:t>Amendment to the Amended and Restated 2004 Stock Incentive Plan of the Registrant, dated June 6, 2008.</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10.25(16)</w:t>
            </w:r>
          </w:p>
        </w:tc>
        <w:tc>
          <w:tcPr>
            <w:tcW w:w="9520" w:type="dxa"/>
            <w:vAlign w:val="bottom"/>
            <w:gridSpan w:val="2"/>
          </w:tcPr>
          <w:p>
            <w:pPr>
              <w:spacing w:after="0"/>
              <w:rPr>
                <w:sz w:val="20"/>
                <w:szCs w:val="20"/>
                <w:color w:val="auto"/>
              </w:rPr>
            </w:pPr>
            <w:r>
              <w:rPr>
                <w:rFonts w:ascii="Arial" w:cs="Arial" w:eastAsia="Arial" w:hAnsi="Arial"/>
                <w:sz w:val="18"/>
                <w:szCs w:val="18"/>
                <w:color w:val="auto"/>
              </w:rPr>
              <w:t>Executive Employment Agreement between the Registrant and Michael E. Kalafer, M.D., dated July 3, 2008.</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10.26(17)</w:t>
            </w:r>
          </w:p>
        </w:tc>
        <w:tc>
          <w:tcPr>
            <w:tcW w:w="9520" w:type="dxa"/>
            <w:vAlign w:val="bottom"/>
            <w:gridSpan w:val="2"/>
          </w:tcPr>
          <w:p>
            <w:pPr>
              <w:spacing w:after="0"/>
              <w:rPr>
                <w:sz w:val="20"/>
                <w:szCs w:val="20"/>
                <w:color w:val="auto"/>
              </w:rPr>
            </w:pPr>
            <w:r>
              <w:rPr>
                <w:rFonts w:ascii="Arial" w:cs="Arial" w:eastAsia="Arial" w:hAnsi="Arial"/>
                <w:sz w:val="18"/>
                <w:szCs w:val="18"/>
                <w:color w:val="auto"/>
              </w:rPr>
              <w:t>Fourth Amendment to Lease Agreement between the Registrant and 4350 La Jolla Village LLC, dated October 3, 2008.</w:t>
            </w:r>
          </w:p>
        </w:tc>
      </w:tr>
      <w:tr>
        <w:trPr>
          <w:trHeight w:val="277"/>
        </w:trPr>
        <w:tc>
          <w:tcPr>
            <w:tcW w:w="1840" w:type="dxa"/>
            <w:vAlign w:val="bottom"/>
            <w:gridSpan w:val="2"/>
          </w:tcPr>
          <w:p>
            <w:pPr>
              <w:spacing w:after="0"/>
              <w:rPr>
                <w:sz w:val="20"/>
                <w:szCs w:val="20"/>
                <w:color w:val="auto"/>
              </w:rPr>
            </w:pPr>
            <w:r>
              <w:rPr>
                <w:rFonts w:ascii="Arial" w:cs="Arial" w:eastAsia="Arial" w:hAnsi="Arial"/>
                <w:sz w:val="18"/>
                <w:szCs w:val="18"/>
                <w:color w:val="auto"/>
              </w:rPr>
              <w:t>10.27(18)</w:t>
            </w:r>
          </w:p>
        </w:tc>
        <w:tc>
          <w:tcPr>
            <w:tcW w:w="9520" w:type="dxa"/>
            <w:vAlign w:val="bottom"/>
            <w:gridSpan w:val="2"/>
          </w:tcPr>
          <w:p>
            <w:pPr>
              <w:spacing w:after="0"/>
              <w:rPr>
                <w:sz w:val="20"/>
                <w:szCs w:val="20"/>
                <w:color w:val="auto"/>
              </w:rPr>
            </w:pPr>
            <w:r>
              <w:rPr>
                <w:rFonts w:ascii="Arial" w:cs="Arial" w:eastAsia="Arial" w:hAnsi="Arial"/>
                <w:sz w:val="18"/>
                <w:szCs w:val="18"/>
                <w:color w:val="auto"/>
                <w:w w:val="89"/>
              </w:rPr>
              <w:t>Credit Line Account Application and Agreement for Organizations and Businesses, executed by the Registrant on January 8, 2009, by</w:t>
            </w:r>
          </w:p>
        </w:tc>
      </w:tr>
      <w:tr>
        <w:trPr>
          <w:trHeight w:val="222"/>
        </w:trPr>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and between the Registrant and UBS Bank USA.</w:t>
            </w:r>
          </w:p>
        </w:tc>
      </w:tr>
      <w:tr>
        <w:trPr>
          <w:trHeight w:val="277"/>
        </w:trPr>
        <w:tc>
          <w:tcPr>
            <w:tcW w:w="1840" w:type="dxa"/>
            <w:vAlign w:val="bottom"/>
            <w:gridSpan w:val="2"/>
          </w:tcPr>
          <w:p>
            <w:pPr>
              <w:spacing w:after="0"/>
              <w:rPr>
                <w:sz w:val="20"/>
                <w:szCs w:val="20"/>
                <w:color w:val="auto"/>
              </w:rPr>
            </w:pPr>
            <w:r>
              <w:rPr>
                <w:rFonts w:ascii="Arial" w:cs="Arial" w:eastAsia="Arial" w:hAnsi="Arial"/>
                <w:sz w:val="18"/>
                <w:szCs w:val="18"/>
                <w:color w:val="auto"/>
              </w:rPr>
              <w:t>10.28(18)</w:t>
            </w:r>
          </w:p>
        </w:tc>
        <w:tc>
          <w:tcPr>
            <w:tcW w:w="9520" w:type="dxa"/>
            <w:vAlign w:val="bottom"/>
            <w:gridSpan w:val="2"/>
          </w:tcPr>
          <w:p>
            <w:pPr>
              <w:spacing w:after="0"/>
              <w:rPr>
                <w:sz w:val="20"/>
                <w:szCs w:val="20"/>
                <w:color w:val="auto"/>
              </w:rPr>
            </w:pPr>
            <w:r>
              <w:rPr>
                <w:rFonts w:ascii="Arial" w:cs="Arial" w:eastAsia="Arial" w:hAnsi="Arial"/>
                <w:sz w:val="18"/>
                <w:szCs w:val="18"/>
                <w:color w:val="auto"/>
                <w:w w:val="91"/>
              </w:rPr>
              <w:t>Addendum to Credit Line Account Application and Agreement, executed by the Registrant on January 8, 2009, by and between the</w:t>
            </w:r>
          </w:p>
        </w:tc>
      </w:tr>
      <w:tr>
        <w:trPr>
          <w:trHeight w:val="222"/>
        </w:trPr>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Registrant, UBS Bank USA and UBS Financial Services Inc.</w:t>
            </w:r>
          </w:p>
        </w:tc>
      </w:tr>
      <w:tr>
        <w:trPr>
          <w:trHeight w:val="277"/>
        </w:trPr>
        <w:tc>
          <w:tcPr>
            <w:tcW w:w="1840" w:type="dxa"/>
            <w:vAlign w:val="bottom"/>
            <w:gridSpan w:val="2"/>
          </w:tcPr>
          <w:p>
            <w:pPr>
              <w:spacing w:after="0"/>
              <w:rPr>
                <w:sz w:val="20"/>
                <w:szCs w:val="20"/>
                <w:color w:val="auto"/>
              </w:rPr>
            </w:pPr>
            <w:r>
              <w:rPr>
                <w:rFonts w:ascii="Arial" w:cs="Arial" w:eastAsia="Arial" w:hAnsi="Arial"/>
                <w:sz w:val="18"/>
                <w:szCs w:val="18"/>
                <w:color w:val="auto"/>
              </w:rPr>
              <w:t>10.29(18)</w:t>
            </w:r>
          </w:p>
        </w:tc>
        <w:tc>
          <w:tcPr>
            <w:tcW w:w="9520" w:type="dxa"/>
            <w:vAlign w:val="bottom"/>
            <w:gridSpan w:val="2"/>
          </w:tcPr>
          <w:p>
            <w:pPr>
              <w:spacing w:after="0"/>
              <w:rPr>
                <w:sz w:val="20"/>
                <w:szCs w:val="20"/>
                <w:color w:val="auto"/>
              </w:rPr>
            </w:pPr>
            <w:r>
              <w:rPr>
                <w:rFonts w:ascii="Arial" w:cs="Arial" w:eastAsia="Arial" w:hAnsi="Arial"/>
                <w:sz w:val="18"/>
                <w:szCs w:val="18"/>
                <w:color w:val="auto"/>
                <w:w w:val="90"/>
              </w:rPr>
              <w:t>Addendum to Credit Line Agreement, executed by the Registrant on January 8, 2009, by and between the Registrant and UBS Bank</w:t>
            </w:r>
          </w:p>
        </w:tc>
      </w:tr>
      <w:tr>
        <w:trPr>
          <w:trHeight w:val="222"/>
        </w:trPr>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77"/>
        </w:trPr>
        <w:tc>
          <w:tcPr>
            <w:tcW w:w="1840" w:type="dxa"/>
            <w:vAlign w:val="bottom"/>
            <w:gridSpan w:val="2"/>
          </w:tcPr>
          <w:p>
            <w:pPr>
              <w:spacing w:after="0"/>
              <w:rPr>
                <w:sz w:val="20"/>
                <w:szCs w:val="20"/>
                <w:color w:val="auto"/>
              </w:rPr>
            </w:pPr>
            <w:r>
              <w:rPr>
                <w:rFonts w:ascii="Arial" w:cs="Arial" w:eastAsia="Arial" w:hAnsi="Arial"/>
                <w:sz w:val="18"/>
                <w:szCs w:val="18"/>
                <w:color w:val="auto"/>
              </w:rPr>
              <w:t>10.30(18)</w:t>
            </w:r>
          </w:p>
        </w:tc>
        <w:tc>
          <w:tcPr>
            <w:tcW w:w="9520" w:type="dxa"/>
            <w:vAlign w:val="bottom"/>
            <w:gridSpan w:val="2"/>
          </w:tcPr>
          <w:p>
            <w:pPr>
              <w:spacing w:after="0"/>
              <w:rPr>
                <w:sz w:val="20"/>
                <w:szCs w:val="20"/>
                <w:color w:val="auto"/>
              </w:rPr>
            </w:pPr>
            <w:r>
              <w:rPr>
                <w:rFonts w:ascii="Arial" w:cs="Arial" w:eastAsia="Arial" w:hAnsi="Arial"/>
                <w:sz w:val="18"/>
                <w:szCs w:val="18"/>
                <w:color w:val="auto"/>
                <w:w w:val="89"/>
              </w:rPr>
              <w:t>Important Notice on Interest Rates and Payments, executed by the Registrant on January 8, 2009, by and between the Registrant and</w:t>
            </w:r>
          </w:p>
        </w:tc>
      </w:tr>
      <w:tr>
        <w:trPr>
          <w:trHeight w:val="222"/>
        </w:trPr>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UBS Bank USA.</w:t>
            </w:r>
          </w:p>
        </w:tc>
      </w:tr>
      <w:tr>
        <w:trPr>
          <w:trHeight w:val="284"/>
        </w:trPr>
        <w:tc>
          <w:tcPr>
            <w:tcW w:w="1840" w:type="dxa"/>
            <w:vAlign w:val="bottom"/>
            <w:gridSpan w:val="2"/>
          </w:tcPr>
          <w:p>
            <w:pPr>
              <w:spacing w:after="0"/>
              <w:rPr>
                <w:sz w:val="20"/>
                <w:szCs w:val="20"/>
                <w:color w:val="auto"/>
              </w:rPr>
            </w:pPr>
            <w:r>
              <w:rPr>
                <w:rFonts w:ascii="Arial" w:cs="Arial" w:eastAsia="Arial" w:hAnsi="Arial"/>
                <w:sz w:val="18"/>
                <w:szCs w:val="18"/>
                <w:color w:val="auto"/>
              </w:rPr>
              <w:t>10.31(19)*</w:t>
            </w:r>
          </w:p>
        </w:tc>
        <w:tc>
          <w:tcPr>
            <w:tcW w:w="9520" w:type="dxa"/>
            <w:vAlign w:val="bottom"/>
            <w:gridSpan w:val="2"/>
          </w:tcPr>
          <w:p>
            <w:pPr>
              <w:spacing w:after="0"/>
              <w:rPr>
                <w:sz w:val="20"/>
                <w:szCs w:val="20"/>
                <w:color w:val="auto"/>
              </w:rPr>
            </w:pPr>
            <w:r>
              <w:rPr>
                <w:rFonts w:ascii="Arial" w:cs="Arial" w:eastAsia="Arial" w:hAnsi="Arial"/>
                <w:sz w:val="18"/>
                <w:szCs w:val="18"/>
                <w:color w:val="auto"/>
              </w:rPr>
              <w:t>Development and Supply Agreement between the Registrant and Hospira Worldwide, Inc., dated as of March 26, 2009.</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14.1(11)</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Code of Ethics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List of subsidiaries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120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Powers of Attorney (included in Signature page).</w:t>
            </w:r>
          </w:p>
        </w:tc>
      </w:tr>
      <w:tr>
        <w:trPr>
          <w:trHeight w:val="365"/>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20" w:type="dxa"/>
            <w:vAlign w:val="bottom"/>
            <w:gridSpan w:val="2"/>
          </w:tcPr>
          <w:p>
            <w:pPr>
              <w:ind w:left="374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5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110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64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110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Certification</w:t>
            </w:r>
          </w:p>
        </w:tc>
        <w:tc>
          <w:tcPr>
            <w:tcW w:w="8440" w:type="dxa"/>
            <w:vAlign w:val="bottom"/>
          </w:tcPr>
          <w:p>
            <w:pPr>
              <w:ind w:left="40"/>
              <w:spacing w:after="0" w:line="202" w:lineRule="exact"/>
              <w:rPr>
                <w:sz w:val="20"/>
                <w:szCs w:val="20"/>
                <w:color w:val="auto"/>
              </w:rPr>
            </w:pPr>
            <w:r>
              <w:rPr>
                <w:rFonts w:ascii="Arial" w:cs="Arial" w:eastAsia="Arial" w:hAnsi="Arial"/>
                <w:sz w:val="18"/>
                <w:szCs w:val="18"/>
                <w:color w:val="auto"/>
                <w:w w:val="92"/>
              </w:rPr>
              <w:t>of the Chief Executive Officer pursuant to Rules 13a-14 and 15d-14 promulgated under the Securities Act of 1933.</w:t>
            </w:r>
          </w:p>
        </w:tc>
      </w:tr>
      <w:tr>
        <w:trPr>
          <w:trHeight w:val="316"/>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1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Financial Officer pursuant to Rules 13a-14 and 15d-14 promulgated under the Securities Act of 1933.</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11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w:t>
            </w:r>
          </w:p>
        </w:tc>
      </w:tr>
      <w:tr>
        <w:trPr>
          <w:trHeight w:val="222"/>
        </w:trPr>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Oxley Act of 2002.</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11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Financial Officer pursuant to 18 U.S.C. Section 1350, as adopted pursuant to Section 906 of the Sarbanes-</w:t>
            </w:r>
          </w:p>
        </w:tc>
      </w:tr>
      <w:tr>
        <w:trPr>
          <w:trHeight w:val="222"/>
        </w:trPr>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S-3 filed November 14,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8-A filed November 29,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Definitive Proxy Statement on Schedule 14A filed March 13,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10,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7,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sz w:val="20"/>
          <w:szCs w:val="20"/>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Omitted information has been filed separately with the Securities and Exchange Commission.</w:t>
      </w:r>
    </w:p>
    <w:p>
      <w:pPr>
        <w:spacing w:after="0" w:line="1" w:lineRule="exact"/>
        <w:rPr>
          <w:sz w:val="20"/>
          <w:szCs w:val="20"/>
          <w:color w:val="auto"/>
        </w:rPr>
      </w:pPr>
    </w:p>
    <w:p>
      <w:pPr>
        <w:ind w:left="460" w:right="56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Request submitted to the SEC. Omitted information has been filed separately with the SEC.</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60" w:type="dxa"/>
            <w:vAlign w:val="bottom"/>
          </w:tcPr>
          <w:p>
            <w:pPr>
              <w:jc w:val="center"/>
              <w:ind w:right="147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r>
      <w:tr>
        <w:trPr>
          <w:trHeight w:val="222"/>
        </w:trPr>
        <w:tc>
          <w:tcPr>
            <w:tcW w:w="3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60" w:type="dxa"/>
            <w:vAlign w:val="bottom"/>
          </w:tcPr>
          <w:p>
            <w:pPr>
              <w:jc w:val="center"/>
              <w:ind w:right="1452"/>
              <w:spacing w:after="0"/>
              <w:rPr>
                <w:sz w:val="20"/>
                <w:szCs w:val="20"/>
                <w:color w:val="auto"/>
              </w:rPr>
            </w:pPr>
            <w:r>
              <w:rPr>
                <w:rFonts w:ascii="Arial" w:cs="Arial" w:eastAsia="Arial" w:hAnsi="Arial"/>
                <w:sz w:val="18"/>
                <w:szCs w:val="18"/>
                <w:color w:val="auto"/>
                <w:w w:val="90"/>
              </w:rPr>
              <w:t>A Delaware Corporation</w:t>
            </w:r>
          </w:p>
        </w:tc>
      </w:tr>
      <w:tr>
        <w:trPr>
          <w:trHeight w:val="583"/>
        </w:trPr>
        <w:tc>
          <w:tcPr>
            <w:tcW w:w="3140" w:type="dxa"/>
            <w:vAlign w:val="bottom"/>
          </w:tcPr>
          <w:p>
            <w:pPr>
              <w:spacing w:after="0"/>
              <w:rPr>
                <w:sz w:val="20"/>
                <w:szCs w:val="20"/>
                <w:color w:val="auto"/>
              </w:rPr>
            </w:pPr>
            <w:r>
              <w:rPr>
                <w:rFonts w:ascii="Arial" w:cs="Arial" w:eastAsia="Arial" w:hAnsi="Arial"/>
                <w:sz w:val="18"/>
                <w:szCs w:val="18"/>
                <w:color w:val="auto"/>
              </w:rPr>
              <w:t>Date: March 31, 2009</w:t>
            </w:r>
          </w:p>
        </w:tc>
        <w:tc>
          <w:tcPr>
            <w:tcW w:w="3920" w:type="dxa"/>
            <w:vAlign w:val="bottom"/>
            <w:gridSpan w:val="2"/>
          </w:tcPr>
          <w:p>
            <w:pPr>
              <w:ind w:left="2360"/>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94"/>
              </w:rPr>
              <w:t>/s/ Yuichi Iwaki</w:t>
            </w:r>
          </w:p>
        </w:tc>
      </w:tr>
      <w:tr>
        <w:trPr>
          <w:trHeight w:val="215"/>
        </w:trPr>
        <w:tc>
          <w:tcPr>
            <w:tcW w:w="3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1032"/>
              <w:spacing w:after="0"/>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91"/>
              </w:rPr>
              <w:t>President &amp; Chief Executive Officer</w:t>
            </w:r>
          </w:p>
        </w:tc>
      </w:tr>
      <w:tr>
        <w:trPr>
          <w:trHeight w:val="378"/>
        </w:trPr>
        <w:tc>
          <w:tcPr>
            <w:tcW w:w="3140" w:type="dxa"/>
            <w:vAlign w:val="bottom"/>
          </w:tcPr>
          <w:p>
            <w:pPr>
              <w:spacing w:after="0"/>
              <w:rPr>
                <w:sz w:val="24"/>
                <w:szCs w:val="24"/>
                <w:color w:val="auto"/>
              </w:rPr>
            </w:pPr>
          </w:p>
        </w:tc>
        <w:tc>
          <w:tcPr>
            <w:tcW w:w="392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360" w:type="dxa"/>
            <w:vAlign w:val="bottom"/>
          </w:tcPr>
          <w:p>
            <w:pPr>
              <w:spacing w:after="0"/>
              <w:rPr>
                <w:sz w:val="24"/>
                <w:szCs w:val="24"/>
                <w:color w:val="auto"/>
              </w:rPr>
            </w:pPr>
          </w:p>
        </w:tc>
      </w:tr>
    </w:tbl>
    <w:p>
      <w:pPr>
        <w:spacing w:after="0" w:line="14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Shintaro Asako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6"/>
              </w:rPr>
              <w:t>Signature</w:t>
            </w:r>
          </w:p>
        </w:tc>
        <w:tc>
          <w:tcPr>
            <w:tcW w:w="206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&amp; Chief Executive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Shintaro Asako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President and Chief Financial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Shintaro Asako, CPA</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Financial Officer and Principal Accounting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Alan Dunton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Alan Dunton, M.D.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Hideki Nagao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Hideki Nagao</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John K.A. Prendergast</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John K.A. Prendergast,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Daniel Vapnek</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31, 2009</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Daniel Vapnek,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00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MediciNova (Europe)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Japan, Inc.</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Forms S-3 (Nos. 333-128055, 333-129917, and 333-138241) and on Forms S-8 (Nos. 333-151808, 333-141694, and 333-122665) of our report dated March 27, 2009, with respect to the consolidated financial statements of MediciNova, Inc., included in this Annual Report (Form 10-K) for the year ended December 31, 2008.</w:t>
      </w:r>
    </w:p>
    <w:p>
      <w:pPr>
        <w:spacing w:after="0" w:line="18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2008 of MediciNova,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8"/>
        <w:spacing w:after="0" w:line="259" w:lineRule="auto"/>
        <w:tabs>
          <w:tab w:leader="none" w:pos="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2009</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2008 of MediciNova,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8"/>
        <w:spacing w:after="0" w:line="259"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Shintaro Asako, CPA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2009</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2008,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107"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31,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Yuichi Iwaki</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Yuichi Iwaki, M.D., Ph.D.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&amp; Chief Executive Officer</w:t>
            </w:r>
          </w:p>
        </w:tc>
      </w:tr>
    </w:tbl>
    <w:p>
      <w:pPr>
        <w:spacing w:after="0" w:line="15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2008, as filed with the Securities and Exchange Commission on the date hereof (the “Report”), I, Shintaro Asako, CPA, as Chief Financial Officer of the Company, certify, pursuant to 18 U.S.C. Section 1350, as adopted pursuant to Section 906 of the Sarbanes-Oxley Act of 2002, that to my knowledge:</w:t>
      </w:r>
    </w:p>
    <w:p>
      <w:pPr>
        <w:spacing w:after="0" w:line="107"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March 31, 2009</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Shintaro Asako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Shintaro Asako, CPA</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2019-12-10T22:11:11Z</dcterms:created>
  <dcterms:modified xsi:type="dcterms:W3CDTF">2019-12-10T22:11:11Z</dcterms:modified>
</cp:coreProperties>
</file>