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10-Q/A</w:t>
      </w:r>
    </w:p>
    <w:p>
      <w:pPr>
        <w:spacing w:after="0" w:line="226" w:lineRule="exact"/>
        <w:rPr>
          <w:sz w:val="24"/>
          <w:szCs w:val="24"/>
          <w:color w:val="auto"/>
        </w:rPr>
      </w:pPr>
    </w:p>
    <w:p>
      <w:pPr>
        <w:ind w:left="460" w:hanging="452"/>
        <w:spacing w:after="0" w:line="275"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2006</w:t>
      </w:r>
    </w:p>
    <w:p>
      <w:pPr>
        <w:spacing w:after="0" w:line="160" w:lineRule="exact"/>
        <w:rPr>
          <w:sz w:val="24"/>
          <w:szCs w:val="24"/>
          <w:color w:val="auto"/>
        </w:rPr>
      </w:pPr>
    </w:p>
    <w:p>
      <w:pPr>
        <w:ind w:left="4440" w:right="1520" w:hanging="4432"/>
        <w:spacing w:after="0" w:line="463" w:lineRule="auto"/>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AND EXCHANGE ACT OF 1934 </w:t>
      </w:r>
      <w:r>
        <w:rPr>
          <w:rFonts w:ascii="Arial" w:cs="Arial" w:eastAsia="Arial" w:hAnsi="Arial"/>
          <w:sz w:val="18"/>
          <w:szCs w:val="18"/>
          <w:color w:val="auto"/>
        </w:rPr>
        <w:t>Commission file number 000-51133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MEDICINOVA,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240" w:top="584" w:right="319" w:bottom="1440" w:gutter="0" w:footer="0" w:header="0"/>
        </w:sectPr>
      </w:pPr>
    </w:p>
    <w:p>
      <w:pPr>
        <w:spacing w:after="0" w:line="19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33-0927979</w:t>
      </w:r>
    </w:p>
    <w:p>
      <w:pPr>
        <w:spacing w:after="0" w:line="56" w:lineRule="exact"/>
        <w:rPr>
          <w:sz w:val="24"/>
          <w:szCs w:val="24"/>
          <w:color w:val="auto"/>
        </w:rPr>
      </w:pPr>
    </w:p>
    <w:p>
      <w:pPr>
        <w:sectPr>
          <w:pgSz w:w="11900" w:h="16838" w:orient="portrait"/>
          <w:cols w:equalWidth="0" w:num="2">
            <w:col w:w="7540" w:space="720"/>
            <w:col w:w="3080"/>
          </w:cols>
          <w:pgMar w:left="240" w:top="584" w:right="31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180"/>
          </w:cols>
          <w:pgMar w:left="240" w:top="584"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4350 La Jolla Village Drive, Suite 950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373-1500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1"/>
          <w:szCs w:val="11"/>
          <w:b w:val="1"/>
          <w:bCs w:val="1"/>
          <w:color w:val="auto"/>
        </w:rPr>
        <w:t>(Address, including zip code, and telephone number, including</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type w:val="continuous"/>
        </w:sectPr>
      </w:pPr>
    </w:p>
    <w:p>
      <w:pPr>
        <w:spacing w:after="0" w:line="289"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520"/>
        <w:spacing w:after="0" w:line="207" w:lineRule="exact"/>
        <w:tabs>
          <w:tab w:leader="none" w:pos="5080" w:val="left"/>
          <w:tab w:leader="none" w:pos="71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760"/>
        <w:spacing w:after="0" w:line="316" w:lineRule="exact"/>
        <w:rPr>
          <w:sz w:val="20"/>
          <w:szCs w:val="20"/>
          <w:color w:val="auto"/>
        </w:rPr>
      </w:pPr>
      <w:r>
        <w:rPr>
          <w:rFonts w:ascii="Arial" w:cs="Arial" w:eastAsia="Arial" w:hAnsi="Arial"/>
          <w:sz w:val="16"/>
          <w:szCs w:val="16"/>
          <w:color w:val="auto"/>
        </w:rPr>
        <w:t xml:space="preserve">Indicated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2006 the registrant had 100,764,856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Amendment to the Form 10-Q filed on August 9, 2006 is filed by MediciNova, Inc. (the “</w:t>
      </w:r>
      <w:r>
        <w:rPr>
          <w:rFonts w:ascii="Arial" w:cs="Arial" w:eastAsia="Arial" w:hAnsi="Arial"/>
          <w:sz w:val="18"/>
          <w:szCs w:val="18"/>
          <w:u w:val="single" w:color="auto"/>
          <w:color w:val="auto"/>
        </w:rPr>
        <w:t>Company</w:t>
      </w:r>
      <w:r>
        <w:rPr>
          <w:rFonts w:ascii="Arial" w:cs="Arial" w:eastAsia="Arial" w:hAnsi="Arial"/>
          <w:sz w:val="18"/>
          <w:szCs w:val="18"/>
          <w:color w:val="auto"/>
        </w:rPr>
        <w:t>”) to amend and restate Note 6, Related Party Transactions of the Notes to Financial Statements. The change specifically relates to the compensation earned by Dr. Iwaki during the three months ended June 30, 2006. In the Form 10-Q for the quarterly period ended June 30, 2006, Note 6 states that Dr. Iwaki earned $187,500 in the three month period ended June 30, 2006, which is incorrect. The actual amount paid to Dr. Iwaki in the three month period ended June 30, 2006 was $87,500. The correct text of Note 6, as amended, follows.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Related Party Transactions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approved an arrangement in September 2001 to engage Dr. Yuichi Iwaki, Executive Chairman of the Board, as a consultant in connection with financing transactions and business development activities. In November 2003, we amended the arrangement and in November 2004, we further amended the arrangement pursuant to a consulting agreement dated as of November 22, 2004. Pursuant to such arrangement, Dr. Iwaki was paid $20,000 per month plus other cash or stock compensation, if any, as the board of directors deems appropriate for his services rendered. In fiscal 2006, Dr. Iwaki’s consulting fee was increased to $29,167 based on the findings of an independent study covering executive compensation. Compensation earned by Dr. Iwaki during the three months and six months ended June 30, 2006 were $87,500 and $175,000, respectively, and compensation earned during the three months and six months ended June 30, 2005 were $60,000 and $120,000, respectively.</w:t>
      </w:r>
    </w:p>
    <w:p>
      <w:pPr>
        <w:spacing w:after="0" w:line="11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On July 19, 2005, the Board appointed Dr. Iwaki as our Executive Chairman and on September 30, 2005, the Board named him as our Acting Chief Executive Officer and Chief Financial Officer. On March 15, 2006, Dr. Iwaki was appointed to the office of President and Chief Executive Officer.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jc w:val="center"/>
              <w:ind w:right="1075"/>
              <w:spacing w:after="0"/>
              <w:rPr>
                <w:sz w:val="20"/>
                <w:szCs w:val="20"/>
                <w:color w:val="auto"/>
              </w:rPr>
            </w:pPr>
            <w:r>
              <w:rPr>
                <w:rFonts w:ascii="Arial" w:cs="Arial" w:eastAsia="Arial" w:hAnsi="Arial"/>
                <w:sz w:val="18"/>
                <w:szCs w:val="18"/>
                <w:color w:val="auto"/>
                <w:w w:val="96"/>
              </w:rPr>
              <w:t>INDEX TO EXHIBITS</w:t>
            </w:r>
          </w:p>
        </w:tc>
        <w:tc>
          <w:tcPr>
            <w:tcW w:w="0" w:type="dxa"/>
            <w:vAlign w:val="bottom"/>
          </w:tcPr>
          <w:p>
            <w:pPr>
              <w:spacing w:after="0"/>
              <w:rPr>
                <w:sz w:val="1"/>
                <w:szCs w:val="1"/>
                <w:color w:val="auto"/>
              </w:rPr>
            </w:pPr>
          </w:p>
        </w:tc>
      </w:tr>
      <w:tr>
        <w:trPr>
          <w:trHeight w:val="340"/>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c>
          <w:tcPr>
            <w:tcW w:w="0" w:type="dxa"/>
            <w:vAlign w:val="bottom"/>
          </w:tcPr>
          <w:p>
            <w:pPr>
              <w:spacing w:after="0"/>
              <w:rPr>
                <w:sz w:val="1"/>
                <w:szCs w:val="1"/>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(Section 906 of the Sarbanes-Oxley Act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Certification of Principal Accounting Officer pursuant to 18 U.S.C. Section 1350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20"/>
                <w:szCs w:val="20"/>
                <w:color w:val="auto"/>
              </w:rPr>
            </w:pPr>
            <w:r>
              <w:rPr>
                <w:rFonts w:ascii="Arial" w:cs="Arial" w:eastAsia="Arial" w:hAnsi="Arial"/>
                <w:sz w:val="18"/>
                <w:szCs w:val="18"/>
                <w:color w:val="auto"/>
              </w:rPr>
              <w:t>Date: August 11, 2006</w:t>
            </w:r>
          </w:p>
        </w:tc>
        <w:tc>
          <w:tcPr>
            <w:tcW w:w="7820" w:type="dxa"/>
            <w:vAlign w:val="bottom"/>
            <w:gridSpan w:val="2"/>
          </w:tcPr>
          <w:p>
            <w:pPr>
              <w:ind w:left="2300"/>
              <w:spacing w:after="0"/>
              <w:rPr>
                <w:sz w:val="20"/>
                <w:szCs w:val="20"/>
                <w:color w:val="auto"/>
              </w:rPr>
            </w:pPr>
            <w:r>
              <w:rPr>
                <w:rFonts w:ascii="Arial" w:cs="Arial" w:eastAsia="Arial" w:hAnsi="Arial"/>
                <w:sz w:val="18"/>
                <w:szCs w:val="18"/>
                <w:b w:val="1"/>
                <w:bCs w:val="1"/>
                <w:color w:val="auto"/>
              </w:rPr>
              <w:t>MEDICINOVA, INC.</w:t>
            </w:r>
          </w:p>
        </w:tc>
      </w:tr>
      <w:tr>
        <w:trPr>
          <w:trHeight w:val="432"/>
        </w:trPr>
        <w:tc>
          <w:tcPr>
            <w:tcW w:w="3600" w:type="dxa"/>
            <w:vAlign w:val="bottom"/>
          </w:tcPr>
          <w:p>
            <w:pPr>
              <w:spacing w:after="0"/>
              <w:rPr>
                <w:sz w:val="24"/>
                <w:szCs w:val="24"/>
                <w:color w:val="auto"/>
              </w:rPr>
            </w:pPr>
          </w:p>
        </w:tc>
        <w:tc>
          <w:tcPr>
            <w:tcW w:w="2760" w:type="dxa"/>
            <w:vAlign w:val="bottom"/>
          </w:tcPr>
          <w:p>
            <w:pPr>
              <w:ind w:left="23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SHINTARO ASAKO</w:t>
            </w:r>
          </w:p>
        </w:tc>
      </w:tr>
      <w:tr>
        <w:trPr>
          <w:trHeight w:val="203"/>
        </w:trPr>
        <w:tc>
          <w:tcPr>
            <w:tcW w:w="3600" w:type="dxa"/>
            <w:vAlign w:val="bottom"/>
          </w:tcPr>
          <w:p>
            <w:pPr>
              <w:spacing w:after="0"/>
              <w:rPr>
                <w:sz w:val="17"/>
                <w:szCs w:val="17"/>
                <w:color w:val="auto"/>
              </w:rPr>
            </w:pPr>
          </w:p>
        </w:tc>
        <w:tc>
          <w:tcPr>
            <w:tcW w:w="2760" w:type="dxa"/>
            <w:vAlign w:val="bottom"/>
          </w:tcPr>
          <w:p>
            <w:pPr>
              <w:ind w:left="2300"/>
              <w:spacing w:after="0" w:line="203" w:lineRule="exact"/>
              <w:rPr>
                <w:sz w:val="20"/>
                <w:szCs w:val="20"/>
                <w:color w:val="auto"/>
              </w:rPr>
            </w:pPr>
            <w:r>
              <w:rPr>
                <w:rFonts w:ascii="Arial" w:cs="Arial" w:eastAsia="Arial" w:hAnsi="Arial"/>
                <w:sz w:val="18"/>
                <w:szCs w:val="18"/>
                <w:color w:val="auto"/>
                <w:w w:val="82"/>
              </w:rPr>
              <w:t>Name:</w:t>
            </w:r>
          </w:p>
        </w:tc>
        <w:tc>
          <w:tcPr>
            <w:tcW w:w="5060" w:type="dxa"/>
            <w:vAlign w:val="bottom"/>
          </w:tcPr>
          <w:p>
            <w:pPr>
              <w:ind w:left="120"/>
              <w:spacing w:after="0" w:line="203" w:lineRule="exact"/>
              <w:rPr>
                <w:sz w:val="20"/>
                <w:szCs w:val="20"/>
                <w:color w:val="auto"/>
              </w:rPr>
            </w:pPr>
            <w:r>
              <w:rPr>
                <w:rFonts w:ascii="Arial" w:cs="Arial" w:eastAsia="Arial" w:hAnsi="Arial"/>
                <w:sz w:val="18"/>
                <w:szCs w:val="18"/>
                <w:color w:val="auto"/>
              </w:rPr>
              <w:t>Shintaro Asako</w:t>
            </w:r>
          </w:p>
        </w:tc>
      </w:tr>
      <w:tr>
        <w:trPr>
          <w:trHeight w:val="216"/>
        </w:trPr>
        <w:tc>
          <w:tcPr>
            <w:tcW w:w="3600" w:type="dxa"/>
            <w:vAlign w:val="bottom"/>
          </w:tcPr>
          <w:p>
            <w:pPr>
              <w:spacing w:after="0"/>
              <w:rPr>
                <w:sz w:val="18"/>
                <w:szCs w:val="18"/>
                <w:color w:val="auto"/>
              </w:rPr>
            </w:pPr>
          </w:p>
        </w:tc>
        <w:tc>
          <w:tcPr>
            <w:tcW w:w="2760" w:type="dxa"/>
            <w:vAlign w:val="bottom"/>
          </w:tcPr>
          <w:p>
            <w:pPr>
              <w:ind w:left="2300"/>
              <w:spacing w:after="0"/>
              <w:rPr>
                <w:sz w:val="20"/>
                <w:szCs w:val="20"/>
                <w:color w:val="auto"/>
              </w:rPr>
            </w:pPr>
            <w:r>
              <w:rPr>
                <w:rFonts w:ascii="Arial" w:cs="Arial" w:eastAsia="Arial" w:hAnsi="Arial"/>
                <w:sz w:val="18"/>
                <w:szCs w:val="18"/>
                <w:color w:val="auto"/>
              </w:rPr>
              <w:t>Its:</w:t>
            </w:r>
          </w:p>
        </w:tc>
        <w:tc>
          <w:tcPr>
            <w:tcW w:w="5060" w:type="dxa"/>
            <w:vAlign w:val="bottom"/>
          </w:tcPr>
          <w:p>
            <w:pPr>
              <w:ind w:left="120"/>
              <w:spacing w:after="0"/>
              <w:rPr>
                <w:sz w:val="20"/>
                <w:szCs w:val="20"/>
                <w:color w:val="auto"/>
              </w:rPr>
            </w:pPr>
            <w:r>
              <w:rPr>
                <w:rFonts w:ascii="Arial" w:cs="Arial" w:eastAsia="Arial" w:hAnsi="Arial"/>
                <w:sz w:val="18"/>
                <w:szCs w:val="18"/>
                <w:color w:val="auto"/>
              </w:rPr>
              <w:t>Principal Accounting Officer and V.P.</w:t>
            </w:r>
          </w:p>
        </w:tc>
      </w:tr>
      <w:tr>
        <w:trPr>
          <w:trHeight w:val="222"/>
        </w:trPr>
        <w:tc>
          <w:tcPr>
            <w:tcW w:w="36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Accounting &amp; Administration</w:t>
            </w:r>
          </w:p>
        </w:tc>
      </w:tr>
      <w:tr>
        <w:trPr>
          <w:trHeight w:val="378"/>
        </w:trPr>
        <w:tc>
          <w:tcPr>
            <w:tcW w:w="3600" w:type="dxa"/>
            <w:vAlign w:val="bottom"/>
          </w:tcPr>
          <w:p>
            <w:pPr>
              <w:spacing w:after="0"/>
              <w:rPr>
                <w:sz w:val="24"/>
                <w:szCs w:val="24"/>
                <w:color w:val="auto"/>
              </w:rPr>
            </w:pPr>
          </w:p>
        </w:tc>
        <w:tc>
          <w:tcPr>
            <w:tcW w:w="2760" w:type="dxa"/>
            <w:vAlign w:val="bottom"/>
          </w:tcPr>
          <w:p>
            <w:pPr>
              <w:ind w:left="2020"/>
              <w:spacing w:after="0"/>
              <w:rPr>
                <w:sz w:val="20"/>
                <w:szCs w:val="20"/>
                <w:color w:val="auto"/>
              </w:rPr>
            </w:pPr>
            <w:r>
              <w:rPr>
                <w:rFonts w:ascii="Arial" w:cs="Arial" w:eastAsia="Arial" w:hAnsi="Arial"/>
                <w:sz w:val="18"/>
                <w:szCs w:val="18"/>
                <w:color w:val="auto"/>
              </w:rPr>
              <w:t>-5-</w:t>
            </w:r>
          </w:p>
        </w:tc>
        <w:tc>
          <w:tcPr>
            <w:tcW w:w="50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President and Chief Executive Officer and Acting Chief Financial Officer of MediciNova, Inc., certify that:</w:t>
      </w:r>
    </w:p>
    <w:p>
      <w:pPr>
        <w:spacing w:after="0" w:line="90" w:lineRule="exact"/>
        <w:rPr>
          <w:sz w:val="20"/>
          <w:szCs w:val="20"/>
          <w:color w:val="auto"/>
        </w:rPr>
      </w:pPr>
    </w:p>
    <w:p>
      <w:pPr>
        <w:ind w:left="620" w:hanging="1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period ended June 30, 2006 of MediciNova, Inc. (the “Registrant”);</w:t>
      </w:r>
    </w:p>
    <w:p>
      <w:pPr>
        <w:spacing w:after="0" w:line="90" w:lineRule="exact"/>
        <w:rPr>
          <w:rFonts w:ascii="Arial" w:cs="Arial" w:eastAsia="Arial" w:hAnsi="Arial"/>
          <w:sz w:val="18"/>
          <w:szCs w:val="18"/>
          <w:color w:val="auto"/>
        </w:rPr>
      </w:pPr>
    </w:p>
    <w:p>
      <w:pPr>
        <w:ind w:right="120" w:firstLine="443"/>
        <w:spacing w:after="0" w:line="357" w:lineRule="auto"/>
        <w:tabs>
          <w:tab w:leader="none" w:pos="614"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32" w:lineRule="auto"/>
        <w:tabs>
          <w:tab w:leader="none" w:pos="614"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80" w:hanging="199"/>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460" w:right="420" w:firstLine="421"/>
        <w:spacing w:after="0" w:line="332" w:lineRule="auto"/>
        <w:tabs>
          <w:tab w:leader="none" w:pos="106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20" w:firstLine="443"/>
        <w:spacing w:after="0" w:line="332" w:lineRule="auto"/>
        <w:tabs>
          <w:tab w:leader="none" w:pos="61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700" w:firstLine="421"/>
        <w:spacing w:after="0" w:line="332" w:lineRule="auto"/>
        <w:tabs>
          <w:tab w:leader="none" w:pos="10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August 11, 2006</w:t>
      </w:r>
    </w:p>
    <w:p>
      <w:pPr>
        <w:spacing w:after="0" w:line="225" w:lineRule="exact"/>
        <w:rPr>
          <w:sz w:val="20"/>
          <w:szCs w:val="20"/>
          <w:color w:val="auto"/>
        </w:rPr>
      </w:pPr>
    </w:p>
    <w:p>
      <w:pPr>
        <w:ind w:left="6400"/>
        <w:spacing w:after="0"/>
        <w:tabs>
          <w:tab w:leader="none" w:pos="818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line="222" w:lineRule="auto"/>
        <w:rPr>
          <w:sz w:val="20"/>
          <w:szCs w:val="20"/>
          <w:color w:val="auto"/>
        </w:rPr>
      </w:pPr>
      <w:r>
        <w:rPr>
          <w:rFonts w:ascii="Arial" w:cs="Arial" w:eastAsia="Arial" w:hAnsi="Arial"/>
          <w:sz w:val="14"/>
          <w:szCs w:val="14"/>
          <w:b w:val="1"/>
          <w:bCs w:val="1"/>
          <w:color w:val="auto"/>
        </w:rPr>
        <w:t>and Acting Chief Financial Officer</w:t>
      </w:r>
    </w:p>
    <w:p>
      <w:pPr>
        <w:jc w:val="center"/>
        <w:ind w:left="7240"/>
        <w:spacing w:after="0" w:line="221" w:lineRule="auto"/>
        <w:rPr>
          <w:sz w:val="20"/>
          <w:szCs w:val="20"/>
          <w:color w:val="auto"/>
        </w:rPr>
      </w:pPr>
      <w:r>
        <w:rPr>
          <w:rFonts w:ascii="Arial" w:cs="Arial" w:eastAsia="Arial" w:hAnsi="Arial"/>
          <w:sz w:val="14"/>
          <w:szCs w:val="14"/>
          <w:b w:val="1"/>
          <w:bCs w:val="1"/>
          <w:color w:val="auto"/>
        </w:rPr>
        <w:t>(Principal Executive Officer and</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0960"/>
          </w:cols>
          <w:pgMar w:left="70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the Principal Accounting Officer Pursuant to</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Accounting and Administration of MediciNova, Inc., certify that:</w:t>
      </w:r>
    </w:p>
    <w:p>
      <w:pPr>
        <w:spacing w:after="0" w:line="90" w:lineRule="exact"/>
        <w:rPr>
          <w:sz w:val="20"/>
          <w:szCs w:val="20"/>
          <w:color w:val="auto"/>
        </w:rPr>
      </w:pPr>
    </w:p>
    <w:p>
      <w:pPr>
        <w:ind w:left="620" w:hanging="1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period ended June 30, 2006 of MediciNova, Inc. (the “Registrant”);</w:t>
      </w:r>
    </w:p>
    <w:p>
      <w:pPr>
        <w:spacing w:after="0" w:line="90" w:lineRule="exact"/>
        <w:rPr>
          <w:rFonts w:ascii="Arial" w:cs="Arial" w:eastAsia="Arial" w:hAnsi="Arial"/>
          <w:sz w:val="18"/>
          <w:szCs w:val="18"/>
          <w:color w:val="auto"/>
        </w:rPr>
      </w:pPr>
    </w:p>
    <w:p>
      <w:pPr>
        <w:ind w:right="120" w:firstLine="443"/>
        <w:spacing w:after="0" w:line="357" w:lineRule="auto"/>
        <w:tabs>
          <w:tab w:leader="none" w:pos="614"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32" w:lineRule="auto"/>
        <w:tabs>
          <w:tab w:leader="none" w:pos="614"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80" w:hanging="199"/>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460" w:right="420" w:firstLine="421"/>
        <w:spacing w:after="0" w:line="332" w:lineRule="auto"/>
        <w:tabs>
          <w:tab w:leader="none" w:pos="106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20" w:firstLine="443"/>
        <w:spacing w:after="0" w:line="332" w:lineRule="auto"/>
        <w:tabs>
          <w:tab w:leader="none" w:pos="61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700" w:firstLine="421"/>
        <w:spacing w:after="0" w:line="332" w:lineRule="auto"/>
        <w:tabs>
          <w:tab w:leader="none" w:pos="10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August 11, 2006</w:t>
      </w:r>
    </w:p>
    <w:p>
      <w:pPr>
        <w:spacing w:after="0" w:line="225" w:lineRule="exact"/>
        <w:rPr>
          <w:sz w:val="20"/>
          <w:szCs w:val="20"/>
          <w:color w:val="auto"/>
        </w:rPr>
      </w:pPr>
    </w:p>
    <w:p>
      <w:pPr>
        <w:ind w:left="6440"/>
        <w:spacing w:after="0"/>
        <w:tabs>
          <w:tab w:leader="none" w:pos="802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Accounting and Administration</w:t>
      </w:r>
    </w:p>
    <w:p>
      <w:pPr>
        <w:jc w:val="center"/>
        <w:ind w:left="724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0960"/>
          </w:cols>
          <w:pgMar w:left="70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10-Q/A of MediciNova, Inc. for the period ended June 30, 2006 (the “Report”), I, Yuichi Iwaki, Chief Executive Officer and Acting Chief Financial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11, 2006</w:t>
      </w:r>
    </w:p>
    <w:p>
      <w:pPr>
        <w:spacing w:after="0" w:line="225" w:lineRule="exact"/>
        <w:rPr>
          <w:sz w:val="20"/>
          <w:szCs w:val="20"/>
          <w:color w:val="auto"/>
        </w:rPr>
      </w:pPr>
    </w:p>
    <w:p>
      <w:pPr>
        <w:ind w:left="6860"/>
        <w:spacing w:after="0"/>
        <w:tabs>
          <w:tab w:leader="none" w:pos="8620" w:val="left"/>
          <w:tab w:leader="none" w:pos="8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line="222" w:lineRule="auto"/>
        <w:rPr>
          <w:sz w:val="20"/>
          <w:szCs w:val="20"/>
          <w:color w:val="auto"/>
        </w:rPr>
      </w:pPr>
      <w:r>
        <w:rPr>
          <w:rFonts w:ascii="Arial" w:cs="Arial" w:eastAsia="Arial" w:hAnsi="Arial"/>
          <w:sz w:val="14"/>
          <w:szCs w:val="14"/>
          <w:b w:val="1"/>
          <w:bCs w:val="1"/>
          <w:color w:val="auto"/>
        </w:rPr>
        <w:t>and Acting Chief Financial Officer</w:t>
      </w:r>
    </w:p>
    <w:p>
      <w:pPr>
        <w:jc w:val="center"/>
        <w:ind w:left="7240"/>
        <w:spacing w:after="0" w:line="221" w:lineRule="auto"/>
        <w:rPr>
          <w:sz w:val="20"/>
          <w:szCs w:val="20"/>
          <w:color w:val="auto"/>
        </w:rPr>
      </w:pPr>
      <w:r>
        <w:rPr>
          <w:rFonts w:ascii="Arial" w:cs="Arial" w:eastAsia="Arial" w:hAnsi="Arial"/>
          <w:sz w:val="14"/>
          <w:szCs w:val="14"/>
          <w:b w:val="1"/>
          <w:bCs w:val="1"/>
          <w:color w:val="auto"/>
        </w:rPr>
        <w:t>(Principal Executive Officer and</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10-Q/A of MediciNova, Inc. for the period ended June 30, 2006 (the “Report”), I, Shintaro Asako, Vice President, Accounting and Administration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11, 2006</w:t>
      </w:r>
    </w:p>
    <w:p>
      <w:pPr>
        <w:spacing w:after="0" w:line="225" w:lineRule="exact"/>
        <w:rPr>
          <w:sz w:val="20"/>
          <w:szCs w:val="20"/>
          <w:color w:val="auto"/>
        </w:rPr>
      </w:pPr>
    </w:p>
    <w:p>
      <w:pPr>
        <w:ind w:left="6860"/>
        <w:spacing w:after="0"/>
        <w:tabs>
          <w:tab w:leader="none" w:pos="8460" w:val="left"/>
          <w:tab w:leader="none" w:pos="8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Accounting and Administration</w:t>
      </w:r>
    </w:p>
    <w:p>
      <w:pPr>
        <w:jc w:val="center"/>
        <w:ind w:left="724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2019-12-12T04:57:54Z</dcterms:created>
  <dcterms:modified xsi:type="dcterms:W3CDTF">2019-12-12T04:57:54Z</dcterms:modified>
</cp:coreProperties>
</file>