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156210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86" w:lineRule="exact"/>
        <w:rPr>
          <w:sz w:val="24"/>
          <w:szCs w:val="24"/>
          <w:color w:val="auto"/>
        </w:rPr>
      </w:pPr>
    </w:p>
    <w:p>
      <w:pPr>
        <w:ind w:left="460" w:right="2160" w:hanging="452"/>
        <w:spacing w:after="0" w:line="336" w:lineRule="auto"/>
        <w:tabs>
          <w:tab w:leader="none" w:pos="4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8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w:t>
            </w:r>
          </w:p>
        </w:tc>
        <w:tc>
          <w:tcPr>
            <w:tcW w:w="2280" w:type="dxa"/>
            <w:vAlign w:val="bottom"/>
          </w:tcPr>
          <w:p>
            <w:pPr>
              <w:spacing w:after="0"/>
              <w:rPr>
                <w:sz w:val="20"/>
                <w:szCs w:val="20"/>
                <w:color w:val="auto"/>
              </w:rPr>
            </w:pPr>
          </w:p>
        </w:tc>
      </w:tr>
      <w:tr>
        <w:trPr>
          <w:trHeight w:val="189"/>
        </w:trPr>
        <w:tc>
          <w:tcPr>
            <w:tcW w:w="3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43"/>
        </w:trPr>
        <w:tc>
          <w:tcPr>
            <w:tcW w:w="3140" w:type="dxa"/>
            <w:vAlign w:val="bottom"/>
          </w:tcPr>
          <w:p>
            <w:pPr>
              <w:spacing w:after="0"/>
              <w:rPr>
                <w:sz w:val="21"/>
                <w:szCs w:val="21"/>
                <w:color w:val="auto"/>
              </w:rPr>
            </w:pPr>
          </w:p>
        </w:tc>
        <w:tc>
          <w:tcPr>
            <w:tcW w:w="3880" w:type="dxa"/>
            <w:vAlign w:val="bottom"/>
            <w:gridSpan w:val="3"/>
          </w:tcPr>
          <w:p>
            <w:pPr>
              <w:jc w:val="center"/>
              <w:ind w:left="244"/>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tc>
        <w:tc>
          <w:tcPr>
            <w:tcW w:w="2280" w:type="dxa"/>
            <w:vAlign w:val="bottom"/>
          </w:tcPr>
          <w:p>
            <w:pPr>
              <w:spacing w:after="0"/>
              <w:rPr>
                <w:sz w:val="21"/>
                <w:szCs w:val="21"/>
                <w:color w:val="auto"/>
              </w:rPr>
            </w:pPr>
          </w:p>
        </w:tc>
      </w:tr>
      <w:tr>
        <w:trPr>
          <w:trHeight w:val="387"/>
        </w:trPr>
        <w:tc>
          <w:tcPr>
            <w:tcW w:w="3140" w:type="dxa"/>
            <w:vAlign w:val="bottom"/>
          </w:tcPr>
          <w:p>
            <w:pPr>
              <w:spacing w:after="0"/>
              <w:rPr>
                <w:sz w:val="24"/>
                <w:szCs w:val="24"/>
                <w:color w:val="auto"/>
              </w:rPr>
            </w:pPr>
          </w:p>
        </w:tc>
        <w:tc>
          <w:tcPr>
            <w:tcW w:w="3880" w:type="dxa"/>
            <w:vAlign w:val="bottom"/>
            <w:gridSpan w:val="3"/>
          </w:tcPr>
          <w:p>
            <w:pPr>
              <w:jc w:val="center"/>
              <w:ind w:left="264"/>
              <w:spacing w:after="0"/>
              <w:rPr>
                <w:sz w:val="20"/>
                <w:szCs w:val="20"/>
                <w:color w:val="auto"/>
              </w:rPr>
            </w:pPr>
            <w:r>
              <w:rPr>
                <w:rFonts w:ascii="Times New Roman" w:cs="Times New Roman" w:eastAsia="Times New Roman" w:hAnsi="Times New Roman"/>
                <w:sz w:val="32"/>
                <w:szCs w:val="32"/>
                <w:b w:val="1"/>
                <w:bCs w:val="1"/>
                <w:color w:val="auto"/>
              </w:rPr>
              <w:t>MEDICINOVA, INC.</w:t>
            </w:r>
          </w:p>
        </w:tc>
        <w:tc>
          <w:tcPr>
            <w:tcW w:w="2280" w:type="dxa"/>
            <w:vAlign w:val="bottom"/>
          </w:tcPr>
          <w:p>
            <w:pPr>
              <w:spacing w:after="0"/>
              <w:rPr>
                <w:sz w:val="24"/>
                <w:szCs w:val="24"/>
                <w:color w:val="auto"/>
              </w:rPr>
            </w:pPr>
          </w:p>
        </w:tc>
      </w:tr>
      <w:tr>
        <w:trPr>
          <w:trHeight w:val="190"/>
        </w:trPr>
        <w:tc>
          <w:tcPr>
            <w:tcW w:w="3140" w:type="dxa"/>
            <w:vAlign w:val="bottom"/>
          </w:tcPr>
          <w:p>
            <w:pPr>
              <w:spacing w:after="0"/>
              <w:rPr>
                <w:sz w:val="16"/>
                <w:szCs w:val="16"/>
                <w:color w:val="auto"/>
              </w:rPr>
            </w:pPr>
          </w:p>
        </w:tc>
        <w:tc>
          <w:tcPr>
            <w:tcW w:w="3880" w:type="dxa"/>
            <w:vAlign w:val="bottom"/>
            <w:gridSpan w:val="3"/>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280" w:type="dxa"/>
            <w:vAlign w:val="bottom"/>
          </w:tcPr>
          <w:p>
            <w:pPr>
              <w:spacing w:after="0"/>
              <w:rPr>
                <w:sz w:val="16"/>
                <w:szCs w:val="16"/>
                <w:color w:val="auto"/>
              </w:rPr>
            </w:pPr>
          </w:p>
        </w:tc>
      </w:tr>
      <w:tr>
        <w:trPr>
          <w:trHeight w:val="255"/>
        </w:trPr>
        <w:tc>
          <w:tcPr>
            <w:tcW w:w="3140" w:type="dxa"/>
            <w:vAlign w:val="bottom"/>
          </w:tcPr>
          <w:p>
            <w:pPr>
              <w:jc w:val="center"/>
              <w:ind w:left="16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8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9"/>
        </w:trPr>
        <w:tc>
          <w:tcPr>
            <w:tcW w:w="7020" w:type="dxa"/>
            <w:vAlign w:val="bottom"/>
            <w:gridSpan w:val="4"/>
          </w:tcPr>
          <w:p>
            <w:pPr>
              <w:jc w:val="center"/>
              <w:ind w:right="21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3140" w:type="dxa"/>
            <w:vAlign w:val="bottom"/>
          </w:tcPr>
          <w:p>
            <w:pPr>
              <w:jc w:val="center"/>
              <w:ind w:left="1639"/>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9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96"/>
        </w:trPr>
        <w:tc>
          <w:tcPr>
            <w:tcW w:w="702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4275 Executive Square, Suite 650, La Jolla, CA</w:t>
            </w:r>
          </w:p>
        </w:tc>
        <w:tc>
          <w:tcPr>
            <w:tcW w:w="228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7020" w:type="dxa"/>
            <w:vAlign w:val="bottom"/>
            <w:gridSpan w:val="4"/>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3140" w:type="dxa"/>
            <w:vAlign w:val="bottom"/>
          </w:tcPr>
          <w:p>
            <w:pPr>
              <w:spacing w:after="0"/>
              <w:rPr>
                <w:sz w:val="21"/>
                <w:szCs w:val="21"/>
                <w:color w:val="auto"/>
              </w:rPr>
            </w:pPr>
          </w:p>
        </w:tc>
        <w:tc>
          <w:tcPr>
            <w:tcW w:w="3300" w:type="dxa"/>
            <w:vAlign w:val="bottom"/>
            <w:gridSpan w:val="2"/>
          </w:tcPr>
          <w:p>
            <w:pPr>
              <w:jc w:val="center"/>
              <w:ind w:left="844"/>
              <w:spacing w:after="0"/>
              <w:rPr>
                <w:sz w:val="20"/>
                <w:szCs w:val="20"/>
                <w:color w:val="auto"/>
              </w:rPr>
            </w:pPr>
            <w:r>
              <w:rPr>
                <w:rFonts w:ascii="Times New Roman" w:cs="Times New Roman" w:eastAsia="Times New Roman" w:hAnsi="Times New Roman"/>
                <w:sz w:val="18"/>
                <w:szCs w:val="18"/>
                <w:b w:val="1"/>
                <w:bCs w:val="1"/>
                <w:color w:val="auto"/>
                <w:w w:val="99"/>
              </w:rPr>
              <w:t>(858) 373-1500</w:t>
            </w:r>
          </w:p>
        </w:tc>
        <w:tc>
          <w:tcPr>
            <w:tcW w:w="58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77"/>
        </w:trPr>
        <w:tc>
          <w:tcPr>
            <w:tcW w:w="3140" w:type="dxa"/>
            <w:vAlign w:val="bottom"/>
          </w:tcPr>
          <w:p>
            <w:pPr>
              <w:spacing w:after="0"/>
              <w:rPr>
                <w:sz w:val="15"/>
                <w:szCs w:val="15"/>
                <w:color w:val="auto"/>
              </w:rPr>
            </w:pPr>
          </w:p>
        </w:tc>
        <w:tc>
          <w:tcPr>
            <w:tcW w:w="3880" w:type="dxa"/>
            <w:vAlign w:val="bottom"/>
            <w:gridSpan w:val="3"/>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80" w:type="dxa"/>
            <w:vAlign w:val="bottom"/>
          </w:tcPr>
          <w:p>
            <w:pPr>
              <w:spacing w:after="0"/>
              <w:rPr>
                <w:sz w:val="15"/>
                <w:szCs w:val="15"/>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71" w:lineRule="exact"/>
        <w:rPr>
          <w:sz w:val="24"/>
          <w:szCs w:val="24"/>
          <w:color w:val="auto"/>
        </w:rPr>
      </w:pPr>
    </w:p>
    <w:tbl>
      <w:tblPr>
        <w:tblLayout w:type="fixed"/>
        <w:tblInd w:w="46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4920" w:type="dxa"/>
            <w:vAlign w:val="bottom"/>
            <w:gridSpan w:val="2"/>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228"/>
        </w:trPr>
        <w:tc>
          <w:tcPr>
            <w:tcW w:w="6780" w:type="dxa"/>
            <w:vAlign w:val="bottom"/>
            <w:gridSpan w:val="3"/>
          </w:tcPr>
          <w:p>
            <w:pPr>
              <w:jc w:val="center"/>
              <w:ind w:right="19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65"/>
        </w:trPr>
        <w:tc>
          <w:tcPr>
            <w:tcW w:w="1860" w:type="dxa"/>
            <w:vAlign w:val="bottom"/>
          </w:tcPr>
          <w:p>
            <w:pPr>
              <w:spacing w:after="0"/>
              <w:rPr>
                <w:sz w:val="23"/>
                <w:szCs w:val="23"/>
                <w:color w:val="auto"/>
              </w:rPr>
            </w:pPr>
          </w:p>
        </w:tc>
        <w:tc>
          <w:tcPr>
            <w:tcW w:w="652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2"/>
        </w:trPr>
        <w:tc>
          <w:tcPr>
            <w:tcW w:w="8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 Yes</w:t>
            </w:r>
          </w:p>
        </w:tc>
        <w:tc>
          <w:tcPr>
            <w:tcW w:w="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No [X]</w:t>
            </w:r>
          </w:p>
        </w:tc>
      </w:tr>
      <w:tr>
        <w:trPr>
          <w:trHeight w:val="257"/>
        </w:trPr>
        <w:tc>
          <w:tcPr>
            <w:tcW w:w="8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 Yes [  ]</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6"/>
              </w:rPr>
              <w:t>No</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[X]</w:t>
            </w:r>
          </w:p>
        </w:tc>
      </w:tr>
    </w:tbl>
    <w:p>
      <w:pPr>
        <w:spacing w:after="0" w:line="34" w:lineRule="exact"/>
        <w:rPr>
          <w:sz w:val="24"/>
          <w:szCs w:val="24"/>
          <w:color w:val="auto"/>
        </w:rPr>
      </w:pPr>
    </w:p>
    <w:p>
      <w:pPr>
        <w:ind w:firstLine="456"/>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 w:lineRule="exact"/>
        <w:rPr>
          <w:sz w:val="24"/>
          <w:szCs w:val="24"/>
          <w:color w:val="auto"/>
        </w:rPr>
      </w:pPr>
    </w:p>
    <w:p>
      <w:pPr>
        <w:ind w:right="160" w:firstLine="456"/>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 ] No</w:t>
      </w:r>
    </w:p>
    <w:p>
      <w:pPr>
        <w:spacing w:after="0" w:line="14" w:lineRule="exact"/>
        <w:rPr>
          <w:sz w:val="24"/>
          <w:szCs w:val="24"/>
          <w:color w:val="auto"/>
        </w:rPr>
      </w:pPr>
    </w:p>
    <w:p>
      <w:pPr>
        <w:ind w:firstLine="456"/>
        <w:spacing w:after="0" w:line="265" w:lineRule="auto"/>
        <w:rPr>
          <w:sz w:val="20"/>
          <w:szCs w:val="20"/>
          <w:color w:val="auto"/>
        </w:rPr>
      </w:pPr>
      <w:r>
        <w:rPr>
          <w:rFonts w:ascii="Times New Roman" w:cs="Times New Roman" w:eastAsia="Times New Roman" w:hAnsi="Times New Roman"/>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4" w:lineRule="exact"/>
        <w:rPr>
          <w:sz w:val="24"/>
          <w:szCs w:val="24"/>
          <w:color w:val="auto"/>
        </w:rPr>
      </w:pPr>
    </w:p>
    <w:p>
      <w:pPr>
        <w:ind w:right="520" w:firstLine="456"/>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460"/>
        <w:spacing w:after="0"/>
        <w:tabs>
          <w:tab w:leader="none" w:pos="2300" w:val="left"/>
          <w:tab w:leader="none" w:pos="3880" w:val="left"/>
          <w:tab w:leader="none" w:pos="5780" w:val="left"/>
        </w:tabs>
        <w:rPr>
          <w:sz w:val="20"/>
          <w:szCs w:val="20"/>
          <w:color w:val="auto"/>
        </w:rPr>
      </w:pPr>
      <w:r>
        <w:rPr>
          <w:rFonts w:ascii="Times New Roman" w:cs="Times New Roman" w:eastAsia="Times New Roman" w:hAnsi="Times New Roman"/>
          <w:sz w:val="17"/>
          <w:szCs w:val="17"/>
          <w:color w:val="auto"/>
        </w:rPr>
        <w:t>Large accelerated filer [</w:t>
        <w:tab/>
        <w:t>] Accelerated filer [</w:t>
        <w:tab/>
        <w:t>] Non-accelerated filer [</w:t>
        <w:tab/>
        <w:t>] Smaller reporting company [X]</w:t>
      </w:r>
    </w:p>
    <w:p>
      <w:pPr>
        <w:spacing w:after="0" w:line="61" w:lineRule="exact"/>
        <w:rPr>
          <w:sz w:val="24"/>
          <w:szCs w:val="24"/>
          <w:color w:val="auto"/>
        </w:rPr>
      </w:pPr>
    </w:p>
    <w:p>
      <w:pPr>
        <w:ind w:left="460"/>
        <w:spacing w:after="0"/>
        <w:tabs>
          <w:tab w:leader="none" w:pos="1018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Securities Exchange Act of 1934).  Yes [</w:t>
        <w:tab/>
        <w:t>] No [X]</w:t>
      </w:r>
    </w:p>
    <w:p>
      <w:pPr>
        <w:spacing w:after="0" w:line="61" w:lineRule="exact"/>
        <w:rPr>
          <w:sz w:val="24"/>
          <w:szCs w:val="24"/>
          <w:color w:val="auto"/>
        </w:rPr>
      </w:pPr>
    </w:p>
    <w:p>
      <w:pPr>
        <w:ind w:right="60" w:firstLine="456"/>
        <w:spacing w:after="0" w:line="259"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held by non-affiliates of the registrant was approximately $43,261,000 based on the closing price of the registrant’s common stock on The NASDAQ Global Market of $2.03 per share on June 30, 2014.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2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number of outstanding shares of the registrant’s common stock, par value $0.001 per share, as of March 9, 2015 was 24,616,317.</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7" w:lineRule="exact"/>
        <w:rPr>
          <w:sz w:val="24"/>
          <w:szCs w:val="24"/>
          <w:color w:val="auto"/>
        </w:rPr>
      </w:pPr>
    </w:p>
    <w:p>
      <w:pPr>
        <w:ind w:right="300" w:firstLine="456"/>
        <w:spacing w:after="0" w:line="281" w:lineRule="auto"/>
        <w:rPr>
          <w:sz w:val="20"/>
          <w:szCs w:val="20"/>
          <w:color w:val="auto"/>
        </w:rPr>
      </w:pPr>
      <w:r>
        <w:rPr>
          <w:rFonts w:ascii="Times New Roman" w:cs="Times New Roman" w:eastAsia="Times New Roman" w:hAnsi="Times New Roman"/>
          <w:sz w:val="17"/>
          <w:szCs w:val="17"/>
          <w:color w:val="auto"/>
        </w:rPr>
        <w:t>Portions of the registrant’s Proxy Statement to be filed with the Securities and Exchange Commission pursuant to Regulation 14A in connection with the registrant’s 2015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940" w:type="dxa"/>
            <w:vAlign w:val="bottom"/>
            <w:gridSpan w:val="2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8"/>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40" w:type="dxa"/>
            <w:vAlign w:val="bottom"/>
            <w:gridSpan w:val="10"/>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FORM 10-K—ANNUAL REPORT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40" w:type="dxa"/>
            <w:vAlign w:val="bottom"/>
            <w:gridSpan w:val="11"/>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8"/>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8"/>
        </w:trPr>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600" w:type="dxa"/>
            <w:vAlign w:val="bottom"/>
            <w:gridSpan w:val="21"/>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Risk Factors</w:t>
              </w:r>
            </w:hyperlink>
          </w:p>
        </w:tc>
        <w:tc>
          <w:tcPr>
            <w:tcW w:w="868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Unresolved Staff Comments</w:t>
              </w:r>
            </w:hyperlink>
          </w:p>
        </w:tc>
        <w:tc>
          <w:tcPr>
            <w:tcW w:w="754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Properties</w:t>
              </w:r>
            </w:hyperlink>
          </w:p>
        </w:tc>
        <w:tc>
          <w:tcPr>
            <w:tcW w:w="886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Legal Proceedings</w:t>
              </w:r>
            </w:hyperlink>
          </w:p>
        </w:tc>
        <w:tc>
          <w:tcPr>
            <w:tcW w:w="826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21"/>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2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600" w:type="dxa"/>
            <w:vAlign w:val="bottom"/>
            <w:gridSpan w:val="21"/>
          </w:tcPr>
          <w:p>
            <w:pPr>
              <w:spacing w:after="0" w:line="194"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21"/>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Quantitative and Qualitative Disclosures About Market Risk</w:t>
              </w:r>
            </w:hyperlink>
          </w:p>
        </w:tc>
        <w:tc>
          <w:tcPr>
            <w:tcW w:w="31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2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0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Controls and Procedures</w:t>
              </w:r>
            </w:hyperlink>
          </w:p>
        </w:tc>
        <w:tc>
          <w:tcPr>
            <w:tcW w:w="782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600" w:type="dxa"/>
            <w:vAlign w:val="bottom"/>
            <w:gridSpan w:val="21"/>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Other Information</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2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4"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Directors, Executive Officers and Corporate Governance</w:t>
              </w:r>
            </w:hyperlink>
          </w:p>
        </w:tc>
        <w:tc>
          <w:tcPr>
            <w:tcW w:w="5500" w:type="dxa"/>
            <w:vAlign w:val="bottom"/>
            <w:gridSpan w:val="7"/>
          </w:tcPr>
          <w:p>
            <w:pPr>
              <w:spacing w:after="0"/>
              <w:rPr>
                <w:sz w:val="16"/>
                <w:szCs w:val="16"/>
                <w:color w:val="auto"/>
              </w:rPr>
            </w:pPr>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21"/>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Executive Compensation</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3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Certain Relationships and Related Transactions, and Director Independence</w:t>
              </w:r>
            </w:hyperlink>
          </w:p>
        </w:tc>
        <w:tc>
          <w:tcPr>
            <w:tcW w:w="41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600" w:type="dxa"/>
            <w:vAlign w:val="bottom"/>
            <w:gridSpan w:val="21"/>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Principal Accountant Fees and Services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600" w:type="dxa"/>
            <w:vAlign w:val="bottom"/>
            <w:gridSpan w:val="21"/>
          </w:tcPr>
          <w:p>
            <w:pPr>
              <w:spacing w:after="0" w:line="194"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Exhibits and Financial Statement Schedules</w:t>
              </w:r>
            </w:hyperlink>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rFonts w:ascii="Times New Roman" w:cs="Times New Roman" w:eastAsia="Times New Roman" w:hAnsi="Times New Roman"/>
                <w:sz w:val="18"/>
                <w:szCs w:val="18"/>
                <w:b w:val="1"/>
                <w:bCs w:val="1"/>
                <w:color w:val="0000EE"/>
              </w:rPr>
            </w:pPr>
            <w:hyperlink w:anchor="page86">
              <w:r>
                <w:rPr>
                  <w:rFonts w:ascii="Times New Roman" w:cs="Times New Roman" w:eastAsia="Times New Roman" w:hAnsi="Times New Roman"/>
                  <w:sz w:val="18"/>
                  <w:szCs w:val="18"/>
                  <w:b w:val="1"/>
                  <w:bCs w:val="1"/>
                  <w:color w:val="0000EE"/>
                </w:rPr>
                <w:t>Signatures</w:t>
              </w:r>
            </w:hyperlink>
          </w:p>
        </w:tc>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MediciNova logo is a registered trademark of MediciNova, Inc. All other product and company names are registered trademarks or trademarks of their respective companies.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and maintain relationships with one or more strategic partners and terms of any related transactions; intense competition if any of our product candidates are ever commercialized; the potential impact of uncertainties in the credit and capital markets or a future deterioration of these markets on our cash reserves; and our ability to raise sufficient capital or debt financing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MN-166 (ibudilast) is currently in development for several different neurological disorders. We completed a Phase 2 clinical trial of MN-166 for the treatment of multiple sclerosis (MS) in 2008, in which positive safety and neuroprotective efficacy indicators were observed. We have successfully partnered with investigators on an ongoing Phase 2b clinical trial of MN-166 in primary progressive and secondary progressive MS which is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conducted by NeuroNEXT and funded by the NIH’s National Institute on Neurological Diseases and Stroke (NINDS). In August 2014, we announced plans to initiate a clinical trial of MN-166 in amyotrophic lateral sclerosis (ALS), and this trial is currently ongoing. In February 2015, we announced that the ALS study had enrolled 30 of the 60 subjects planned for participation. In the area of addiction, investigators at UCLA completed a Phase 1b clinical trial of MN-166 in methamphetamine (MA)-dependent volunteers, funded by the National Institute on Drug Abuse (NIDA), and the results were presented at the Annual Meeting of the College on Problems of Drug Dependence (CPDD) in June 2013. In September 2012 we announced approval and funding by NIDA of a Phase 2 clinical trial studying the use of MN-166 for the treatment of MA addiction. In collaboration with UCLA, this clinical trial commenced in 2013 and is currently ongoing. In 2010, investigators at Columbia University and the New York State Psychiatric Institute (NYSPI) completed a Phase 1b/2a clinical trial of MN-166 in opioid withdrawal that was funded by NIDA. Investigators at Columbia University and the NYSPI are currently conducting a NIDA-funded, Phase 2a clinical trial to evaluate the efficacy of MN-166 in the treatment of patients addicted to prescription opioids or heroin. Positive interim data from this study was reported in August 2014. In August 2013, we announced that researchers at UCLA were granted approval and funding by National Institute on Alcoholism and Alcohol Abuse (NIAAA) of a clinical trial studying the use of MN-166 for the treatment of alcohol dependence, and the study is currently ongoing.</w:t>
      </w:r>
    </w:p>
    <w:p>
      <w:pPr>
        <w:spacing w:after="0" w:line="19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MN-001 (tipelukast) is currently in development for fibrotic diseases such as nonalcoholic steatohepatitis (NASH) and idiopathic pulmonary fibrosis (IPF). In 2014, we announced positive results of MN-001 in two different NASH mouse models and began preparing for clinical development of MN-001 for the treatment of NASH in the U.S. In January 2015, we announced that the IND (Investigation New Drug) application for MN-001 for the treatment of NASH is open with the FDA (U.S. Food and Drug Administration) and the FDA agreed that we may proceed with a Phase 2 study. In June 2014, we announced positive results of MN-001 in a mouse model of pulmonary fibrosis and have begun preparations to pursue clinical development of MN-001 in IPF. In October 2014, we announced that the FDA granted Orphan-Drug designation to MN-001 for treatment of IPF, which will provide seven years of marketing exclusivity if MN-001 is approved for IPF. In February 2015, we announced that FDA has approved the protocol for a clinical trial of MN-001 (tipelukast) for the treatment of moderate to severe IPF. Importantly, due to safety data from previous clinical studies of MN-001, FDA has agreed that MediciNova may proceed with a Phase 2 study as the first clinical trial of MN-001 in IPF.</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completed a Phase 2 clinical trial of MN-221 for the treatment of acute exacerbations of asthma treated in the emergency room and conducted an End-of-Phase 2 (EOP2) meeting with the U.S. Food and Drug Administration (FDA) in October 2012. We plan to conduct further MN-221 development according to the feedback received from the FDA following the EOP2 meeting. In that meeting, the FDA identified the risk/benefit profile of MN-221 as a focal point for further development and advised that a clinical outcome, such as a reduction in hospitalizations, would need to be a pivotal trial primary endpoint. Previously completed Phase 2 studies have evaluated the potential for MN-221 to reduce hospitalizations due to acute exacerbations of asthma. We believe the appropriate clinical development for MN-221 will involve conducting dose regimen and acute exacerbations of asthma trial design optimization studies prior to commencing pivotal trials. Currently, we are working to identify a partner for financial support before further clinical development is commenced.</w:t>
      </w:r>
    </w:p>
    <w:p>
      <w:pPr>
        <w:spacing w:after="0" w:line="185"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We have acquired licenses to MN-166, MN-001, MN-221, and MN-029 for the development of these product candidates. We have pursued development of these product candidates in various indications including progressive MS, ALS, various addictions, NASH, IPF, acute exacerbations of asthma, and solid tumor cancers. We have returned two compounds, MN-246 and MN-305, to their respective Licensors, and we are pursuing our option to return two additional compounds, MN-462 and MN-447, in order to maximize our ability to pursue development of MN-166, MN-001, MN-221, and MN-029.</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87" w:lineRule="exact"/>
        <w:rPr>
          <w:sz w:val="20"/>
          <w:szCs w:val="20"/>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for multiple potential indications primarily through non-dilutive financings.</w:t>
      </w:r>
    </w:p>
    <w:p>
      <w:pPr>
        <w:spacing w:after="0" w:line="29" w:lineRule="exact"/>
        <w:rPr>
          <w:sz w:val="20"/>
          <w:szCs w:val="20"/>
          <w:color w:val="auto"/>
        </w:rPr>
      </w:pPr>
    </w:p>
    <w:p>
      <w:pPr>
        <w:ind w:left="920"/>
        <w:spacing w:after="0" w:line="252" w:lineRule="auto"/>
        <w:rPr>
          <w:sz w:val="20"/>
          <w:szCs w:val="20"/>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215"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for fibrotic diseases such as NASH and IPF.</w:t>
      </w:r>
    </w:p>
    <w:p>
      <w:pPr>
        <w:spacing w:after="0" w:line="29" w:lineRule="exact"/>
        <w:rPr>
          <w:sz w:val="20"/>
          <w:szCs w:val="20"/>
          <w:color w:val="auto"/>
        </w:rPr>
      </w:pPr>
    </w:p>
    <w:p>
      <w:pPr>
        <w:ind w:left="920" w:right="200"/>
        <w:spacing w:after="0" w:line="261" w:lineRule="auto"/>
        <w:rPr>
          <w:sz w:val="20"/>
          <w:szCs w:val="20"/>
          <w:color w:val="auto"/>
        </w:rPr>
      </w:pPr>
      <w:r>
        <w:rPr>
          <w:rFonts w:ascii="Times New Roman" w:cs="Times New Roman" w:eastAsia="Times New Roman" w:hAnsi="Times New Roman"/>
          <w:sz w:val="18"/>
          <w:szCs w:val="18"/>
          <w:color w:val="auto"/>
        </w:rPr>
        <w:t>We intend to advance development of MN-001 through a combination of investigator-sponsored trials with or without grant funding as well as trials we may fund.</w:t>
      </w:r>
    </w:p>
    <w:p>
      <w:pPr>
        <w:spacing w:after="0" w:line="205" w:lineRule="exact"/>
        <w:rPr>
          <w:sz w:val="20"/>
          <w:szCs w:val="20"/>
          <w:color w:val="auto"/>
        </w:rPr>
      </w:pPr>
    </w:p>
    <w:p>
      <w:pPr>
        <w:ind w:left="900" w:right="720" w:hanging="446"/>
        <w:spacing w:after="0" w:line="26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Strategically partner with one or more leading pharmaceutical companies to complete late-stage product development and successfully commercialize our products.</w:t>
      </w:r>
    </w:p>
    <w:p>
      <w:pPr>
        <w:ind w:left="920" w:right="3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Programs</w:t>
      </w:r>
    </w:p>
    <w:p>
      <w:pPr>
        <w:spacing w:after="0" w:line="22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76"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Our product acquisitions have focused primarily on product candidates with significant preclinical and early clinical testing data that have been developed by the licensors outside of the U.S. We utilize the existing data in preparing Investigational New Drug Applications (INDs) or their foreign equivalents, and in designing and implementing additional preclinical or clinical trials to advance the regulatory approval process in the U.S. or abroad.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are the details of our product development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(Ibudilast)</w:t>
      </w:r>
    </w:p>
    <w:p>
      <w:pPr>
        <w:spacing w:after="0" w:line="22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Ibudilast (MN-166) is a novel, first-in-class, oral, anti-inflammatory and neuroprotective agent. Ibudilast inhibits macrophage migration inhibitory factor (MIF) and certain phosphodiesterases (PDEs). Ibudilast also attenuates activated glia cells, which play a major role in certain neurological conditions. While it has been in use for more than 20 years in Japan and Korea for the treatment of asthma and post-stroke dizziness, we are developing ibudilast for the treatment of primary progressive and secondary progressive MS, ALS, and drug dependence. We licensed MN-166 from Kyorin Pharmaceuticals (Kyorin) in 2004.</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455" w:right="2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have filed patent applications for multiple uses of ibudilast for the treatment of neurological conditions, as well as patent applications on analogs that have the potential to be second generation molecules. Some of the patent estate has received allowance in the U.S. and foreign countries.</w:t>
      </w:r>
    </w:p>
    <w:p>
      <w:pPr>
        <w:spacing w:after="0" w:line="16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Primary and Secondary Progressive Multiple Sclerosis: </w:t>
      </w:r>
      <w:r>
        <w:rPr>
          <w:rFonts w:ascii="Times New Roman" w:cs="Times New Roman" w:eastAsia="Times New Roman" w:hAnsi="Times New Roman"/>
          <w:sz w:val="18"/>
          <w:szCs w:val="18"/>
          <w:color w:val="auto"/>
        </w:rPr>
        <w:t>MS is a complex disease with predominantly unknown etiology and affects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 million people worldwide, according to the National Multiple Sclerosis Society. There are no therapies generally considered safe and efficacious in primary progressive MS (PPMS) or secondary progressive MS (SPMS) in the absence of relapses. There is a great need for a safe, effective, and conveniently administered therapy for patients with PPMS and SPMS. Ibudilast (MN-166) may meet these needs. Based on promising results from a Phase 2a trial in Central and Eastern Europe completed in 2008, investigators from NeuroNEXT, a NIH-funded Phase 2 clinical trial network, have begun to evaluate ibudilast in PPMS and SPMS patients in the U.S. SPRINT-MS is a Phase 2, randomized, placebo-controlled trial evaluating the safety and tolerability of ibudilast (up to 100 mg/day) over two years in PPMS and SPMS patients. Recruitment and enrollment of a planned 250 patients at 28 medical centers in the U.S. commenced in late 2013 and the trial is expected to be completed in 2017.</w:t>
      </w:r>
    </w:p>
    <w:p>
      <w:pPr>
        <w:spacing w:after="0" w:line="18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Amyotrophic Lateral Sclerosis (ALS): </w:t>
      </w:r>
      <w:r>
        <w:rPr>
          <w:rFonts w:ascii="Times New Roman" w:cs="Times New Roman" w:eastAsia="Times New Roman" w:hAnsi="Times New Roman"/>
          <w:sz w:val="18"/>
          <w:szCs w:val="18"/>
          <w:color w:val="auto"/>
        </w:rPr>
        <w:t>ALS, also known as Lou Gehrig’s disease, is a progressive neurodegenerative disease that affects nerve cells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brain and the spinal cord. The nerves lose the ability to trigger specific muscles, which causes the muscles to become weak. As a result, ALS affects voluntary movement and patients in the later stages of the disease may become totally paralyzed. Life expectancy of an ALS patient is usually 2-5 years. According to the ALS Association, there are approximately 30,000 ALS patients in the U.S. and approximately 5,600 people in the U.S. are diagnosed with ALS each year. Riluzole is the only pharmaceutical treatment approved for ALS, but it has limited efficacy. We are working with Carolinas Neuromuscular/ALS-MDA Center at Carolinas HealthCare System Neurosciences Institute, which is conducting an ongoing clinical trial of ibudilast in ALS. The trial is a randomized, double-blind, placebo-controlled study which includes a six-month treatment period followed by a six-month open-label extension. The study will evaluate several efficacy endpoints in addition to monitoring the safety and tolerability of MN-166 60 mg/day versus placebo when administered in combination with riluzole in 60 subjects with ALS. Subject enrollment began in October 2014. In February 2015, we announced that the ALS study had enrolled 30 of the 60 subjects planned for participation.</w:t>
      </w:r>
    </w:p>
    <w:p>
      <w:pPr>
        <w:spacing w:after="0" w:line="18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Methamphetamine addiction: </w:t>
      </w:r>
      <w:r>
        <w:rPr>
          <w:rFonts w:ascii="Times New Roman" w:cs="Times New Roman" w:eastAsia="Times New Roman" w:hAnsi="Times New Roman"/>
          <w:sz w:val="18"/>
          <w:szCs w:val="18"/>
          <w:color w:val="auto"/>
        </w:rPr>
        <w:t>Methamphetamine (MA) is a central nervous system stimulant drug that is similar in structure to amphetamine. It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II drug, meaning that it has high abuse potential and low therapeutic potential. According to the SAMHSA 2013 National Survey on Drug Use and Health, there are approximately 595,000 current MA abusers age 12 and older in the U.S. According to the Rand Corporation, the national estimate of the economic burden of MA use, based on the most recent year for which data are available, is approximately $23.4 billion. Currently, there is no treatment for MA dependence. Based on non-clinical results with ibudilast’s effects in an animal model of MA relapse, investigators at UCLA conducted a Phase 1b trial funded by NIDA to examine the safety and preliminary efficacy of ibudilast in non-treatment-seeking, MA-dependent users in an inpatient trial that was completed in 2012. Subsequently, UCLA investigators received NIDA grant funding for an ongoing Phase 2 trial that commenced in 2013 for evaluation of ibudilast in MA-dependent users in an outpatient trial setting.</w:t>
      </w:r>
    </w:p>
    <w:p>
      <w:pPr>
        <w:spacing w:after="0" w:line="18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were granted Fast Track designation from the FDA for ibudilast for the treatment of MA dependence in February 2013.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82" w:lineRule="exact"/>
        <w:rPr>
          <w:sz w:val="20"/>
          <w:szCs w:val="20"/>
          <w:color w:val="auto"/>
        </w:rPr>
      </w:pPr>
    </w:p>
    <w:p>
      <w:pPr>
        <w:ind w:right="4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Opioid withdrawal and dependency: </w:t>
      </w:r>
      <w:r>
        <w:rPr>
          <w:rFonts w:ascii="Times New Roman" w:cs="Times New Roman" w:eastAsia="Times New Roman" w:hAnsi="Times New Roman"/>
          <w:sz w:val="18"/>
          <w:szCs w:val="18"/>
          <w:color w:val="auto"/>
        </w:rPr>
        <w:t>According to the Substance Abuse and Mental Health Services Administration’s (SAMHSA) 2013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 on Drug Use and Health, there are approximately 1.9 million</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people age 12 and above with nonmedical pain reliever dependence or abuse and approximately 517,000 people age 12 and above with heroin dependence or abuse in the U.S. Access to prescription opioids has recently become more difficult due to more stringent policies on prescribing opioids. An unintended consequence of this policy is increased use of heroin. Heroin is attractive to prescription opioid addicts because it is cheaper and more accessible than prescription opioids. Heroin poses serious health issues, such as risk of HIV and Hepatitis C infection, overdose and death (Knopf, 2012). The economic costs of nonmedical use of prescription opioids in the U.S. in 2006 (Hansen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2011) was estimated to total more than $50 billion annually; lost productivity and crime accounted for 94% of the total economic burden. There is an urgent, significant unmet medical need for a safe, effective non-addictive, non-opioid therapy for the treatment of prescription opioid and heroin addiction. In 2010, investigators at Columbia University and NYSPI completed a double-blind, randomized, placebo-controlled in-unit Phase 1b/2a clinical trial to evaluate the ability of ibudilast to reduce opioid withdrawal symptoms in humans. The trial was funded by NIDA. Subsequently, investigators at Columbia/NYSPI commenced a NINDA-funded Phase 2a clinical trial of ibudilast for the treatment of prescription opioid dependency. In August 2014, MediciNova announced positive interim results of this ongoing study.</w:t>
      </w:r>
    </w:p>
    <w:p>
      <w:pPr>
        <w:spacing w:after="0" w:line="184" w:lineRule="exact"/>
        <w:rPr>
          <w:sz w:val="20"/>
          <w:szCs w:val="20"/>
          <w:color w:val="auto"/>
        </w:rPr>
      </w:pPr>
    </w:p>
    <w:p>
      <w:pPr>
        <w:ind w:right="120" w:firstLine="456"/>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Alcohol addiction: </w:t>
      </w:r>
      <w:r>
        <w:rPr>
          <w:rFonts w:ascii="Times New Roman" w:cs="Times New Roman" w:eastAsia="Times New Roman" w:hAnsi="Times New Roman"/>
          <w:sz w:val="17"/>
          <w:szCs w:val="17"/>
          <w:color w:val="auto"/>
        </w:rPr>
        <w:t>According to SAMHSA’s 2013 National Survey on Drug Use and Health, there are approximately 17.3 million people with alcohol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dependence or abuse aged 12 and older in the U.S. The Centers for Disease Control and Prevention (CDC) reports that alcohol abuse costs the U.S. $224 billion annually, based on information collected from several national studies reporting on the costs of alcohol overuse in 2006, the latest year for which complete data are available. Currently, medicines approved by the FDA to treat alcohol dependence include Antabuse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Vivitrol</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and Campral</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However, the search for a safe and effective drug remains elusive due to limited success of these FDA-approved compounds (Witkiewitz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xml:space="preserve">., 2012). In a non-clinical trial (Bell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2013), ibudilast was examined in rats and mice and was found to reduce alcohol drinking in alcohol-preferring P rats and high-alcohol drinking (HAD1) rats by 50%, and in mice made dependent on alcohol at doses which had no effect on non-dependent mice. Concurrently, investigators at UCLA received funding from the NIAAA to initiate a Phase 2a study to evaluate ibudilast in a randomized, double-blind, placebo-controlled within-subject crossover design to determine the safety, tolerability and initial human laboratory efficacy of ibudilast in a sample of 24 non-treatment seeking individuals with either alcohol abuse or dependence. Participants will be treated with ibudilast and placebo. The study was initiated in early 2014 and is ongoing.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MN-221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Bedoradrine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MN-221 is a novel, highly selective ß</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-adrenergic receptor agonist being developed for the treatment of acute exacerbations of asthma. We licensed MN-221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increased heart rate).</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MN-221 is designed to treat acute exacerbations of asthma via intravenous (i.v.) infusion, bypassing constricted airways to deliver the drug directly to the lungs. Preclinical studies showed MN-221 to have a high affinity for the ß</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-adrenergic receptor, found primarily in the lungs, and a much lower affinity for the ß</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-adrenergic receptor found primarily in cardiac tissue. MN-221’s improved delivery to the lungs and its cardiac safety profile may help fill an unmet need for patients with acute exacerbations of asthma, helping them to breathe easier and avoid a costly hospital stay.</w:t>
      </w:r>
    </w:p>
    <w:p>
      <w:pPr>
        <w:spacing w:after="0" w:line="17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Acute Exacerbation of Asthma</w:t>
      </w:r>
      <w:r>
        <w:rPr>
          <w:rFonts w:ascii="Times New Roman" w:cs="Times New Roman" w:eastAsia="Times New Roman" w:hAnsi="Times New Roman"/>
          <w:sz w:val="18"/>
          <w:szCs w:val="18"/>
          <w:color w:val="auto"/>
        </w:rPr>
        <w:t>: According to the most recent data available from the U.S. National Center for Health Statistics, there were 1.75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emergency department visits, 439,000 hospitalizations, and 3,404 deaths due to asthma in 2010. According to the U.S. National Heart, Lung and Blood Institute, the direct costs associated with hospital care due to asthma were estimated at $5.5 billion in the U.S. in 2010. Nearly 10% of hospitalized patients have life-threatening asthma that requires admission to the intensive care unit (ICU).</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completed a Phase 2b randomized, double-blind, placebo-controlled clinical trial (N=175) evaluating MN-221 in patients with acute exacerbations of asthma in the emergency department setting. MN-221 did not statistically meet the primary endpoint, improvement in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(Forced Expiratory Volume in One Second) compared to placebo. However, MN-221 showed a significant benefit over placebo for FEV</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(liters) Area Under the Curve (AUC</w:t>
      </w:r>
      <w:r>
        <w:rPr>
          <w:rFonts w:ascii="Times New Roman" w:cs="Times New Roman" w:eastAsia="Times New Roman" w:hAnsi="Times New Roman"/>
          <w:sz w:val="15"/>
          <w:szCs w:val="15"/>
          <w:color w:val="auto"/>
        </w:rPr>
        <w:t>Hr 0-1,0-2,0-3</w:t>
      </w:r>
      <w:r>
        <w:rPr>
          <w:rFonts w:ascii="Times New Roman" w:cs="Times New Roman" w:eastAsia="Times New Roman" w:hAnsi="Times New Roman"/>
          <w:sz w:val="18"/>
          <w:szCs w:val="18"/>
          <w:color w:val="auto"/>
        </w:rPr>
        <w:t>) of change from baseline (p=0.043, p=0.050, p=0.066 respectively). The trial also demonstrated a reduction in hospital admissions with MN-221 added to standard drug treatments. Moreover, there was a significant improvement in clinical symptoms with MN-221-treated patients, and the safety profile of MN-221 continues to be positive as no safety/tolerability issues of clinical significance were observed.</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October 2012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and that any future MN-221 clinical trial development for asthma will be partner-dependent from a funding perspective.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(Tipelukast)</w:t>
      </w:r>
    </w:p>
    <w:p>
      <w:pPr>
        <w:spacing w:after="0" w:line="22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MN-001’s inhibitory effect on 5-LO and the 5-LO/LT pathway is considered to be a novel approach to treat fibrosis. MN-001 has been shown to down-regulate expression of genes that promote fibrosis including LOXL2, Collagen Type 1 and TIMP-1. MN-001 has also been shown to down-regulate expression of genes that promote inflammation including CCR2 and MCP-1. In addition, histopathological data shows that MN-001 reduces fibrosis in multiple animal models. We licensed MN-001 from Kyorin in 2002.</w:t>
      </w:r>
    </w:p>
    <w:p>
      <w:pPr>
        <w:spacing w:after="0" w:line="18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Previously, we evaluated MN-001 for its potential clinical efficacy in asthma and completed a Phase 2 study in asthma with positive results. This compound has been exposed to more than 600 subjects. MN-001 was considered generally safe and well-tolerated.</w:t>
      </w:r>
    </w:p>
    <w:p>
      <w:pPr>
        <w:spacing w:after="0" w:line="162"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completed a pre-clinical study evaluating MN-001’s potential clinical efficacy for the treatment of NASH. MN-001 administered orally once daily (10, 30, and 100 mg/kg for three weeks) was evaluated in the STAM™ (NASH-HCC) mouse model of NASH, as measured by liver biochemistry and histopathology, NAFLD activity score (NAS), and percent of fibrosis and gene expression. MN-001, in a dose-dependent manner, significantly reduced fibrosis area compared with placebo (p&lt;0.01) as demonstrated by a reduction in liver hydroxyproline content, supporting MN-001’s anti-fibrotic properties. MN-001 significantly improved NAS (p&lt;0.01). MN-001, in this animal model, improved NASH pathology by inhibiting hepatocyte damage (p&lt;0.01) and ballooning (p&lt;0.01). At the same time, MN-001 was also shown to reduce certain gene expression levels in the liver, thus implying that MN-001 prevents the formation of fibrosis in the NASH model. We completed a second preclinical study that examined the potential clinical efficacy of MN-001 for the treatment of advanced NASH. This study used mice in more advanced stages of NASH as compared to the first study of MN-001 in a NASH mouse model. MN-001 showed anti-NASH and anti-fibrotic effects in the advanced NASH mouse model. NAFLD activity score was significantly reduced in the MN-001 treated group compared to the non-treated group (p&lt;0.001). The reduction was observed consistently in all NAS components including hepatocyte ballooning score (p&lt;0.001), lobular inflammation score (p&lt;0.01), and steatosis score (p&lt;0.05). Percent fibrosis area was also reduced in the MN-001 treated group (p&lt;0.01). In addition, alpha-SMA-positive staining area was significantly reduced in the MN-001 treated group (p&lt;0.001). Collectively, these results provide compelling evidence that MN-001 warrants further evaluation for the treatment of NASH in humans. We have an open IND with the FDA and have FDA approval to initiate a Phase 2 clinical trial of MN-001 for the treatment of NASH in the U.S.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completed a pre-clinical study evaluating MN-001’s potential clinical efficacy for the treatment of pulmonary fibrosis. MN-001, which was administered orally once daily (30, 100 and 300 mg/kg) for 2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significantly decreased (p&lt;0.05) the Ashcroft score compared to Vehicle group after 2 weeks of treatment and MN-001 reduced lung density when compared to the Vehicle-treated group. Moreover, lung hydroxyproline content was significantly reduced compared to the Vehicle group (p&lt;0.01). These results show that treatment with MN-001 has significant anti-fibrogenic effects in bleomycin-induced pulmonary fibrosis in mice. In October 2014, the FDA granted orphan-drug designation to MN-001 (tipelukast) for treatment of idiopathic pulmonary fibrosis (IPF). Orphan-drug designation will provide MediciNova with seven years of marketing exclusivity for MN-001 (tipelukast) for the treatment of IPF if it is approved for this indication. We have an open IND with FDA and have FDA approval to initiate a Phase 2 clinical trial of MN-001 for the treatment of IPF in the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(Denibulin)</w:t>
      </w:r>
    </w:p>
    <w:p>
      <w:pPr>
        <w:spacing w:after="0" w:line="227"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MN-029 (denibulin) is a novel tubulin binding agent (TBA) under development for the treatment of solid tumors. It reverses inhibition of tubulin polymerization resulting in disruption of the cell cytoskeleton, thus causing the cancer cells to deform in shape and ultimately leading to extensive central necrosis of the solid tumor. We licensed MN-029 from Angiogene Pharmaceuticals, Ltd. (Angiogene) in 2002.</w:t>
      </w:r>
    </w:p>
    <w:p>
      <w:pPr>
        <w:spacing w:after="0" w:line="174" w:lineRule="exact"/>
        <w:rPr>
          <w:sz w:val="20"/>
          <w:szCs w:val="20"/>
          <w:color w:val="auto"/>
        </w:rPr>
      </w:pPr>
    </w:p>
    <w:p>
      <w:pPr>
        <w:jc w:val="both"/>
        <w:ind w:right="140" w:firstLine="456"/>
        <w:spacing w:after="0" w:line="273" w:lineRule="auto"/>
        <w:rPr>
          <w:sz w:val="20"/>
          <w:szCs w:val="20"/>
          <w:color w:val="auto"/>
        </w:rPr>
      </w:pPr>
      <w:r>
        <w:rPr>
          <w:rFonts w:ascii="Times New Roman" w:cs="Times New Roman" w:eastAsia="Times New Roman" w:hAnsi="Times New Roman"/>
          <w:sz w:val="17"/>
          <w:szCs w:val="17"/>
          <w:color w:val="auto"/>
        </w:rPr>
        <w:t xml:space="preserve">Several preclinical pharmacology studies have assessed the mechanism of action and anti-tumor activity of MN-029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in addition to the direct effect over tumor cells.</w:t>
      </w:r>
    </w:p>
    <w:p>
      <w:pPr>
        <w:spacing w:after="0" w:line="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was well-tolerated at doses that reduced tumor blood flow.</w:t>
      </w:r>
    </w:p>
    <w:p>
      <w:pPr>
        <w:spacing w:after="0" w:line="18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first Phase 1 trial determined the safety, tolerability, and maximum tolerated dose (MTD) level of single doses of MN-029 given every three weeks in 34 subjects with refractory cancer. The MTD was determined to be 180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others chemotherapies—vomiting, nausea, diarrhea, and fatigue. There were a total of nine serious adverse events (SAEs) and study discontinuations due to AEs. In a preliminary evaluation of anti-tumor activity, no patient had a complete response or partial response; however stable disease was seen in 12 patients. MN-029 had a desired vascular effect in seven of 11 patients that were administered drug at dose levels of ³120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Nine patients continued into extended cycles of treatment.</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second Phase 1 study was conducted to determine the safety, tolerability and MTD of single doses of MN-029 given every seven days for a total of three doses (Days 1, 8 and 15), followed by 13-day recovery (Days 16-28) in subjects with advanced/metastatic solid tumor cancer. Subjects who tolerated treatment with MN-029 could receive additional cycles. All 20 subjects reported at least one AE related to study drug. The most common AEs considered related to study drug were vomiting, nausea, arthralgia and headache. There were no clinically significant changes in routine laboratory assessments, vital signs or ECG monitoring. There was one SAE considered unrelated to study drug. Consistent with the previous Phase 1 trial, MN-029 up to dose levels of 180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appeared to be safe and well tolerated. One subject had a partial response which lasted for 74 days. Stable disease was observed in seven subjects. The results suggested an effect of MN-029 on vascular perfusion; however, a larger sample size is warranted.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January 2014, we were granted a new patent from the U.S.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plan to pursue further development of MN-029 for the treatment of solid tumors.</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240" w:top="455"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Table 1 Product Candidates and Programs—Ibudilast (MN-166)</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ind w:left="180" w:hanging="179"/>
        <w:spacing w:after="0" w:line="276" w:lineRule="auto"/>
        <w:rPr>
          <w:sz w:val="20"/>
          <w:szCs w:val="20"/>
          <w:color w:val="auto"/>
        </w:rPr>
      </w:pPr>
      <w:r>
        <w:rPr>
          <w:rFonts w:ascii="Times New Roman" w:cs="Times New Roman" w:eastAsia="Times New Roman" w:hAnsi="Times New Roman"/>
          <w:sz w:val="18"/>
          <w:szCs w:val="18"/>
          <w:color w:val="auto"/>
        </w:rPr>
        <w:t>Primary Progressive and Secondary Progressive 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506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165"/>
        <w:spacing w:after="0"/>
        <w:rPr>
          <w:sz w:val="20"/>
          <w:szCs w:val="20"/>
          <w:color w:val="auto"/>
        </w:rPr>
      </w:pPr>
      <w:r>
        <w:rPr>
          <w:rFonts w:ascii="Times New Roman" w:cs="Times New Roman" w:eastAsia="Times New Roman" w:hAnsi="Times New Roman"/>
          <w:sz w:val="18"/>
          <w:szCs w:val="18"/>
          <w:b w:val="1"/>
          <w:bCs w:val="1"/>
          <w:color w:val="auto"/>
        </w:rPr>
        <w:t>Clinical Study</w:t>
      </w:r>
    </w:p>
    <w:p>
      <w:pPr>
        <w:spacing w:after="0" w:line="40" w:lineRule="exact"/>
        <w:rPr>
          <w:sz w:val="20"/>
          <w:szCs w:val="20"/>
          <w:color w:val="auto"/>
        </w:rPr>
      </w:pPr>
    </w:p>
    <w:p>
      <w:pPr>
        <w:ind w:left="5"/>
        <w:spacing w:after="0" w:line="272" w:lineRule="auto"/>
        <w:rPr>
          <w:sz w:val="20"/>
          <w:szCs w:val="20"/>
          <w:color w:val="auto"/>
        </w:rPr>
      </w:pPr>
      <w:r>
        <w:rPr>
          <w:rFonts w:ascii="Times New Roman" w:cs="Times New Roman" w:eastAsia="Times New Roman" w:hAnsi="Times New Roman"/>
          <w:sz w:val="17"/>
          <w:szCs w:val="17"/>
          <w:color w:val="auto"/>
        </w:rPr>
        <w:t>A Randomized, Double-Blind, Placebo-Controlled Study to Evaluate the Safety, Tolerability and Activity of Ibudilast (MN-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2169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5" w:right="20" w:hanging="5"/>
        <w:spacing w:after="0" w:line="261"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Subjects with Progressive Multiple Sclerosis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Principal Investigator /Institution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52"/>
        </w:trPr>
        <w:tc>
          <w:tcPr>
            <w:tcW w:w="34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/Funding Agency(s)</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191"/>
        </w:trPr>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J. Fox, M.D., M.S., FAAN</w:t>
            </w:r>
          </w:p>
        </w:tc>
        <w:tc>
          <w:tcPr>
            <w:tcW w:w="100" w:type="dxa"/>
            <w:vAlign w:val="bottom"/>
          </w:tcPr>
          <w:p>
            <w:pPr>
              <w:spacing w:after="0"/>
              <w:rPr>
                <w:sz w:val="16"/>
                <w:szCs w:val="16"/>
                <w:color w:val="auto"/>
              </w:rPr>
            </w:pPr>
          </w:p>
        </w:tc>
        <w:tc>
          <w:tcPr>
            <w:tcW w:w="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Ongoing</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Cleveland Clinic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National Institute on Neurological Diseases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and Stroke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MediciNova, Inc.</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11" w:lineRule="exact"/>
        <w:rPr>
          <w:sz w:val="20"/>
          <w:szCs w:val="20"/>
          <w:color w:val="auto"/>
        </w:rPr>
      </w:pPr>
    </w:p>
    <w:p>
      <w:pPr>
        <w:sectPr>
          <w:pgSz w:w="11900" w:h="16838" w:orient="portrait"/>
          <w:cols w:equalWidth="0" w:num="3">
            <w:col w:w="3460" w:space="275"/>
            <w:col w:w="3105" w:space="420"/>
            <w:col w:w="4160"/>
          </w:cols>
          <w:pgMar w:left="240" w:top="455" w:right="239" w:bottom="1440" w:gutter="0" w:footer="0" w:header="0"/>
          <w:type w:val="continuous"/>
        </w:sect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Amyotrophic Lateral Sclerosis</w:t>
      </w:r>
      <w:r>
        <w:rPr>
          <w:sz w:val="20"/>
          <w:szCs w:val="20"/>
          <w:color w:val="auto"/>
        </w:rPr>
        <w:tab/>
      </w:r>
      <w:r>
        <w:rPr>
          <w:rFonts w:ascii="Times New Roman" w:cs="Times New Roman" w:eastAsia="Times New Roman" w:hAnsi="Times New Roman"/>
          <w:sz w:val="17"/>
          <w:szCs w:val="17"/>
          <w:color w:val="auto"/>
        </w:rPr>
        <w:t>A Single-Center, Randomized, Double-Blind,</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Placebo-Controlled, Six Month Clinical Trial</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Followed by an Open-Label Extension to</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Evaluate the Safety, Tolerability, and Clinical</w:t>
      </w:r>
    </w:p>
    <w:p>
      <w:pPr>
        <w:spacing w:after="0" w:line="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Endpoint Responsiveness of Ibudilast (MN-</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166) in Subjects with Amyotrophic Lateral</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Sclerosis (ALS)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Addiction</w:t>
      </w:r>
    </w:p>
    <w:p>
      <w:pPr>
        <w:spacing w:after="0" w:line="121"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Methamphetamine Dependence</w:t>
      </w:r>
      <w:r>
        <w:rPr>
          <w:sz w:val="20"/>
          <w:szCs w:val="20"/>
          <w:color w:val="auto"/>
        </w:rPr>
        <w:tab/>
      </w:r>
      <w:r>
        <w:rPr>
          <w:rFonts w:ascii="Times New Roman" w:cs="Times New Roman" w:eastAsia="Times New Roman" w:hAnsi="Times New Roman"/>
          <w:sz w:val="17"/>
          <w:szCs w:val="17"/>
          <w:color w:val="auto"/>
        </w:rPr>
        <w:t>Randomized Trial of Ibudilast for</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Methamphetamine Dependence</w:t>
      </w:r>
    </w:p>
    <w:p>
      <w:pPr>
        <w:spacing w:after="0" w:line="200" w:lineRule="exact"/>
        <w:rPr>
          <w:sz w:val="20"/>
          <w:szCs w:val="20"/>
          <w:color w:val="auto"/>
        </w:rPr>
      </w:pPr>
    </w:p>
    <w:p>
      <w:pPr>
        <w:spacing w:after="0" w:line="236"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Opioid Dependence</w:t>
      </w:r>
      <w:r>
        <w:rPr>
          <w:sz w:val="20"/>
          <w:szCs w:val="20"/>
          <w:color w:val="auto"/>
        </w:rPr>
        <w:tab/>
      </w:r>
      <w:r>
        <w:rPr>
          <w:rFonts w:ascii="Times New Roman" w:cs="Times New Roman" w:eastAsia="Times New Roman" w:hAnsi="Times New Roman"/>
          <w:sz w:val="17"/>
          <w:szCs w:val="17"/>
          <w:color w:val="auto"/>
        </w:rPr>
        <w:t>Effects of ibudilast (MN-166), a glial</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activation inhibitor, on oxycodone self-</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administration in opioid abusers</w:t>
      </w:r>
    </w:p>
    <w:p>
      <w:pPr>
        <w:spacing w:after="0" w:line="200" w:lineRule="exact"/>
        <w:rPr>
          <w:sz w:val="20"/>
          <w:szCs w:val="20"/>
          <w:color w:val="auto"/>
        </w:rPr>
      </w:pPr>
    </w:p>
    <w:p>
      <w:pPr>
        <w:spacing w:after="0" w:line="236"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color w:val="auto"/>
        </w:rPr>
        <w:t>Alcohol Dependence</w:t>
      </w:r>
      <w:r>
        <w:rPr>
          <w:sz w:val="20"/>
          <w:szCs w:val="20"/>
          <w:color w:val="auto"/>
        </w:rPr>
        <w:tab/>
      </w:r>
      <w:r>
        <w:rPr>
          <w:rFonts w:ascii="Times New Roman" w:cs="Times New Roman" w:eastAsia="Times New Roman" w:hAnsi="Times New Roman"/>
          <w:sz w:val="17"/>
          <w:szCs w:val="17"/>
          <w:color w:val="auto"/>
        </w:rPr>
        <w:t>Development of Ibudilast (MN-166) as a</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Novel Treatment for Alcoholism</w:t>
      </w:r>
    </w:p>
    <w:p>
      <w:pPr>
        <w:spacing w:after="0" w:line="200" w:lineRule="exact"/>
        <w:rPr>
          <w:sz w:val="20"/>
          <w:szCs w:val="20"/>
          <w:color w:val="auto"/>
        </w:rPr>
      </w:pPr>
    </w:p>
    <w:p>
      <w:pPr>
        <w:spacing w:after="0" w:line="3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Benjamin R. Brooks, M.D.</w:t>
      </w:r>
      <w:r>
        <w:rPr>
          <w:sz w:val="20"/>
          <w:szCs w:val="20"/>
          <w:color w:val="auto"/>
        </w:rPr>
        <w:tab/>
      </w:r>
      <w:r>
        <w:rPr>
          <w:rFonts w:ascii="Times New Roman" w:cs="Times New Roman" w:eastAsia="Times New Roman" w:hAnsi="Times New Roman"/>
          <w:sz w:val="18"/>
          <w:szCs w:val="18"/>
          <w:color w:val="auto"/>
        </w:rPr>
        <w:t>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Carolinas HealthCare System Neurosciences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MediciNova,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Keith Heinzerling, M.D., MPH</w:t>
      </w:r>
      <w:r>
        <w:rPr>
          <w:sz w:val="20"/>
          <w:szCs w:val="20"/>
          <w:color w:val="auto"/>
        </w:rPr>
        <w:tab/>
      </w:r>
      <w:r>
        <w:rPr>
          <w:rFonts w:ascii="Times New Roman" w:cs="Times New Roman" w:eastAsia="Times New Roman" w:hAnsi="Times New Roman"/>
          <w:sz w:val="18"/>
          <w:szCs w:val="18"/>
          <w:color w:val="auto"/>
        </w:rPr>
        <w:t>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UCLA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Drug Abuse</w:t>
      </w:r>
    </w:p>
    <w:p>
      <w:pPr>
        <w:spacing w:after="0" w:line="220"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Sandra D. Comer, Ph.D.</w:t>
      </w:r>
      <w:r>
        <w:rPr>
          <w:sz w:val="20"/>
          <w:szCs w:val="20"/>
          <w:color w:val="auto"/>
        </w:rPr>
        <w:tab/>
      </w:r>
      <w:r>
        <w:rPr>
          <w:rFonts w:ascii="Times New Roman" w:cs="Times New Roman" w:eastAsia="Times New Roman" w:hAnsi="Times New Roman"/>
          <w:sz w:val="18"/>
          <w:szCs w:val="18"/>
          <w:color w:val="auto"/>
        </w:rPr>
        <w:t>Ongoing</w:t>
      </w:r>
    </w:p>
    <w:p>
      <w:pPr>
        <w:spacing w:after="0" w:line="27" w:lineRule="exact"/>
        <w:rPr>
          <w:sz w:val="20"/>
          <w:szCs w:val="20"/>
          <w:color w:val="auto"/>
        </w:rPr>
      </w:pPr>
    </w:p>
    <w:p>
      <w:pPr>
        <w:ind w:right="1760"/>
        <w:spacing w:after="0" w:line="255" w:lineRule="auto"/>
        <w:rPr>
          <w:sz w:val="20"/>
          <w:szCs w:val="20"/>
          <w:color w:val="auto"/>
        </w:rPr>
      </w:pPr>
      <w:r>
        <w:rPr>
          <w:rFonts w:ascii="Times New Roman" w:cs="Times New Roman" w:eastAsia="Times New Roman" w:hAnsi="Times New Roman"/>
          <w:sz w:val="18"/>
          <w:szCs w:val="18"/>
          <w:color w:val="auto"/>
        </w:rPr>
        <w:t>Columbia University/NYSPI National Institute on Drug Abuse MediciNova, Inc.</w:t>
      </w:r>
    </w:p>
    <w:p>
      <w:pPr>
        <w:spacing w:after="0" w:line="200"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Lara Ray, Ph.D.</w:t>
      </w:r>
      <w:r>
        <w:rPr>
          <w:sz w:val="20"/>
          <w:szCs w:val="20"/>
          <w:color w:val="auto"/>
        </w:rPr>
        <w:tab/>
      </w:r>
      <w:r>
        <w:rPr>
          <w:rFonts w:ascii="Times New Roman" w:cs="Times New Roman" w:eastAsia="Times New Roman" w:hAnsi="Times New Roman"/>
          <w:sz w:val="18"/>
          <w:szCs w:val="18"/>
          <w:color w:val="auto"/>
        </w:rPr>
        <w:t>Ongoing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UCLA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 on Alcohol Abuse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Alcoholism</w:t>
      </w:r>
    </w:p>
    <w:p>
      <w:pPr>
        <w:sectPr>
          <w:pgSz w:w="11900" w:h="16838" w:orient="portrait"/>
          <w:cols w:equalWidth="0" w:num="2">
            <w:col w:w="7020" w:space="240"/>
            <w:col w:w="416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currently have no marketing and sales capabilities and we expect to rely on a strategic partner to complete late stage product development and commercialize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bulk active pharmaceutical ingredients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For the MN-166 (ibudilast) development program, we have sourced and imported delayed-release ibudilast capsules, marketed in Japan as Pinatos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from Taisho-Teva Pharmaceuticals (Taisho).</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the terms of our license agreement with Kissei for MN-221, Kissei has the exclusive right to manufacture the commercial supply of the API for MN-221. If we enter into a supply agreement with Kissei, we will purchase from Kissei all API that we require for the commercial supply of MN-221, if such product candidate is approved for commercial sale by the FDA or other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License Agreements</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Since our inception in September 2000, we have entered into eight license agreements with pharmaceutical companies which cover our current product candidates. We have also entered into license agreements with universities, including the University of Colorado and the University of Adelaide, which cover additional intellectual property related to our product candidates. In general, we seek to procure patent protection for our anticipated products, or obtain such protection from the relevant patents owned by our licensors. We have obtained licensed rights under three issued and active U.S. patents. We also have obtained licensed rights to 53 issued and pending foreign patents and applications corresponding to these U.S. patents and patent applications. In addition to these licensed rights, we hold 18 issued U.S. patents and have filed 32 additional U.S. patent applications. We also hold 54 issued and pending foreign patents and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w:t>
      </w:r>
    </w:p>
    <w:p>
      <w:pPr>
        <w:spacing w:after="0" w:line="22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October 22, 2004, we entered into an exclusive license agreement with Kyorin for the development and commercialization of MN-166. Kyorin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MN-166 is not covered by a composition of matter patent. The U.S. method of use patent for MN-166 in MS underlying the license is set to expire on August 10, 2018. Corresponding method of use patents in certain foreign countries are set to expire on August 10, 2018. Under the terms of the agreement, we granted to Kyorin an exclusive, royalty-free, sub-licensable license to use the preclinical, clinical and regulatory databases to develop ophthalmic products incorporating the MN-166 compound anywhere in the world and non-ophthalmic products incorporating the MN-166 compound outside of our territory.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infringes upon such third party’s intellectual property rights, with 30 days’ written notice.</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84"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62"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We own, co-own or hold licenses to six issued U.S. patents and 15 pending U.S. patent applications as well as corresponding pending foreign patent applications covering MN-166 (ibudilast) and its analogs. These patents and patent applications are primarily related to our development portfolio of small molecule-based products and are currently directed to methods of treating various indications using ibudilast and its analogs.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have been granted a U.S. patent which covers the use of MN-166 (ibudilast) for the treatment of progressive forms of MS. The patent, which was granted in March 2012, will expire no earlier than November 2029, not including a potential extension under patent term restoration rules, and covers a method of treating PPMS or SPMS by administering ibudilast either alone or in combination with other drugs. Counterparts of this patent application have been granted in certain foreign jurisdictions. We have been granted a patent which covers the use of MN-166 (ibudilast) for the treatment of neuropathic pain in the U.S. and it expires no earlier than December 2025. We have been granted a patent which covers the use of MN-166 (ibudilast) for the treatment of drug addiction or drug dependence or withdrawal syndrome in the U.S. and it expires no earlier than January 2030. Counterparts of this patent application have been granted in certain foreign jurisdictions. We have been granted a patent that covers the use of MN-166 (ibudilast) to enhance opioid analgesia in acute pain settings from the European Patent Office (EPO) and it expires no earlier than January 2028.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w:t>
      </w:r>
    </w:p>
    <w:p>
      <w:pPr>
        <w:spacing w:after="0" w:line="22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February 25, 2004, we entered into an exclusive license agreement with Kissei for the development and commercialization of MN-221. Kissei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certain corresponding patents and patent applications in foreign countries and is sub-licensable upon receipt of the written consent of Kissei. The U.S. patent for MN-221 has composition of matter and method of use claims. The U.S. composition of matter patent underlying the license issued on October 17, 2000 and is set to expire no earlier than February 18, 2017, which does not include a potential extension under patent term restoration rules. Corresponding composition of matter patents in various other countries are set to expire no earlier than February 18, 2017.</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licensed patents, we have filed patent applications in the U.S. and certain foreign countries regarding additional uses and formulations of MN-221. We have been granted a U.S. patent which covers the use of MN-221 for the treatment of acute exacerbations of asthma and it expires no earlier than November 2030. This patent includes claims covering the use of MN-221 (bedoradrine) in combination with a standard of care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treatment regimen and covers different routes of administration, including intravenous, oral and inhalation. Counterparts of this patent application are pending in certain foreign jurisdictions. We have been granted a U.S. patent that covers the use of MN-221 for the treatment of irritable bowel syndrome and it expires no earlier than April 2031.</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the letter agreement we entered into with Kissei in September 2011, we agreed to renegotiate in good faith with Kissei the existing levels of the milestone payment amounts and royalty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w:t>
      </w:r>
    </w:p>
    <w:p>
      <w:pPr>
        <w:spacing w:after="0" w:line="22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March 14, 2002, we entered into an exclusive license agreement with Kyorin for the development and commercialization of MN-001. We obtained an exclusive, worldwide (excluding Japan, China, South Korea and Taiwan) sub-licensable license to the patent rights and know-how related to MN-001 and its active metabolite, MN-002, disclosed and included in, or covered by, these patents, in all indications, except for ophthalmic solution formulations. This license includes an exclusive, sub-licensable license under two U.S. patents and certain corresponding patents in foreign countries. The U.S. composition of matter patent for MN-001 underlying the license expired on February 23, 2009, and the U.S. composition of matter patent for MN-002 underlying the license expired on December 30, 2011. Foreign composition of matter patents for MN-001 and MN-002 have also expired. We have been granted nine U.S. patents covering certain compositions, uses and manufacturing processes associated with MN-001 and MN-002. Some of the uses covered by these patents include non-alcoholic fatty liver disease, ulcerative colitis, and irritable bowel syndrome. Patent applications corresponding to these U.S. patents were filed in certain foreign countries and some of the foreign patents have issued. We intend to rely upon the applicable period of post-approval regulatory exclusivity, in addition to any patents that may issue from our own patent applications.</w:t>
      </w:r>
    </w:p>
    <w:p>
      <w:pPr>
        <w:spacing w:after="0" w:line="18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we granted to Kyorin an exclusive, royalty-free, sub-licensable license to use the preclinical, clinical and regulatory databases to develop ophthalmic products incorporating MN-001 anywhere in the world and non-ophthalmic products incorporating MN-001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Kyorin $4.0 million to date, and we are obligated to make payments of up to $5.0 million based on the achievement of certain clinical and regulatory milestones. We are also obligated to pay a royalty on net sales of the licensed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w:t>
      </w:r>
    </w:p>
    <w:p>
      <w:pPr>
        <w:spacing w:after="0" w:line="227"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June 19, 2002, we entered into an exclusive license agreement with Angiogene for the development and commercialization of the ANG-600 series of compounds. Angiogene is a privately held, British drug discovery company. We obtained an exclusive, worldwide, sub-licensable license to the patent rights and know-how related to the ANG-600 series of compounds disclosed in and included or covered by these patents for all indications. MN-029 is one of the ANG-600 series compounds covered by this license. This license includes an exclusive, sub-licensable license under three U.S. patents and certain corresponding patents and patent applications in foreign countries. The U.S. composition of matter patent for MN-029, which was issued on November 11, 2003, is set to expire on January 14, 2020. Patent applications corresponding to this U.S. patent were filed in certain foreign countries and one of those foreign patents has issued and remains active. In addition to the licensed patents,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w:t>
      </w:r>
    </w:p>
    <w:p>
      <w:pPr>
        <w:spacing w:after="0" w:line="186"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term of this agreement is determined on a country-by-country basis and extends until the earlier of the expiration of the last Angiogene patent (or equivalent) under license which has a valid claim to expire or 15 years from the date of first commercial sale.</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Under the license agreement, we have paid Angiogene $1.4 million to date and are obligated to make payments of up to $16.5 million based on the achievement of certain clinical and regulatory milestones. We are also obligated to pay a royalty on net sales of the licensed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licenses and have not received any material claims by third parties of infringement by us of such parties’ intellectual property rights.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to treat MS, the method of using MN-166 to treat addiction and the method of using MN-166 to treat neuropathic pain, but we do not have any composition of matter patent claims for MN-166 because that patent has expired. As a result, unrelated third parties may develop products with the same API as MN-166 so long as such parties do not infringe our method of use patents, other patents we have exclusive rights to through our licensor or any patents we may obtain for MN-166.</w:t>
      </w:r>
    </w:p>
    <w:p>
      <w:pPr>
        <w:spacing w:after="0" w:line="18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In addition, if we develop certain products that are not covered by any patents, we will be dependent on obtaining market exclusivity under the five-year new chemical entity exclusivity provisions of Hatch-Waxman Act for such products in the U.S. and/or 10-year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for Progressive Multiple Sclerosis (Progressive MS)</w:t>
      </w:r>
    </w:p>
    <w:p>
      <w:pPr>
        <w:spacing w:after="0" w:line="227"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MN-166 product candidate is in development for the treatment of progressive MS. Only one drug, mitoxantrone, is approved for treating this disease. However, mitoxantrone cannot be used on a long-term basis because of the potential for cardiac toxicity. Other programs in clinical development for progressive MS include Biogen Idec’s Tysabri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(natalizumab), Novartis’s BAF312 (siponimod), and AB Science’s masitinib.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for Amyotrophic Lateral Sclerosis (ALS)</w:t>
      </w:r>
    </w:p>
    <w:p>
      <w:pPr>
        <w:spacing w:after="0" w:line="22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MN-166 product candidate is in development for the treatment of ALS. Only one drug, riluzole, is approved for treating ALS, and it has limited efficacy. We are aware of additional compounds in clinical development for the treatment of ALS at other companies including GlaxoSmithKline, BrainStorm Cell Therapeutics Inc. and AB Science.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MN-166 for Drug Addiction</w:t>
      </w:r>
    </w:p>
    <w:p>
      <w:pPr>
        <w:spacing w:after="0" w:line="22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MN-166 product candidate has been in development for treatment of opioid withdrawal and methamphetamine addiction. Current treatments for opioid withdrawal symptoms include narcotics such as generic methadone and Reckitt Benckiser Pharmaceuticals, Inc.’s Subutex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(buprenorphine) and Suboxone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(buprenorphine + the opioid antagonist naloxone). Other products approved for opioid dependence include Alkermes’ Vivitrol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(naltrexone monthly injection), Orexo’s Zubsolv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(buprenorphine and naloxone), and BioDelivery Sciences’s Bunavail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(buprenorphine and naloxone). We are aware of additional compounds in development for the treatment of opioid dependence at companies including Titan Pharmaceuticals. Limited non-narcotic drug candidates for opioid withdrawal symptoms exist. Britannia Pharmaceuticals Limited’s BritLofex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(Lofexidine), licensed for development in U.S. clinical trials to US WorldMeds LLC, is an 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adrenergic receptor agonist like clonidine which may have somewhat less orthostatic hypotension limitations. There are no pharmaceuticals currently approved for the treatment of methamphetamine addiction.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MN-221 for Acute Exacerbations of Asthma</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MN-221 product candidate is being developed for the treatment of acute exacerbations of asthma in the emergency room setting. The current</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standard of care for acute exacerbations of asthma is inhaled albuterol (a ß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-adrenergic receptor agonist), inhaled ipratropium (an anticholinergic) and oral or injected corticosteroids. In addition, subcutaneously administered terbutaline (a ß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-adrenergic receptor agonist) is sometimes used to treat this condition, particularly in pediatric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for Nonalcoholic Steatohepatitis (NASH)</w:t>
      </w:r>
    </w:p>
    <w:p>
      <w:pPr>
        <w:spacing w:after="0" w:line="22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MN-001 product candidate is being developed for the treatment of NASH. There are currently no therapeutic products approved for the treatment of NASH. There are ongoing studies to evaluate FDA-approved therapeutics not specifically indicated for NASH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metformin, rosiglitazone) to determine their safety and efficacy in patients with NASH. We are aware of additional compounds in clinical development for the treatment of NASH at other companies including Intercept Pharmaceuticals, Galectin Therapeutics, La Jolla Pharmaceutical and Raptor Pharmaceuticals.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MN-001 for Idiopathic Pulmonary Fibrosis (IPF)</w:t>
      </w:r>
    </w:p>
    <w:p>
      <w:pPr>
        <w:spacing w:after="0" w:line="227"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MN-001 product candidate is also being developed for the treatment of IPF. Products approved in the U.S. for treatment of IPF include Roche’s (formerly InterMune) Esbriet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(pirfenidone) and Boehringer Ingelheim’s OFEV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(nintedanib). Other companies working on clinical development programs for treatment of IPF include Gilead Sciences, MedImmune (AstraZeneca), and FibroGen.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MN-029 for Solid Tumor Cancer</w:t>
      </w:r>
    </w:p>
    <w:p>
      <w:pPr>
        <w:spacing w:after="0" w:line="227"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Our MN-029 product candidate is being developed for the treatment of solid tumor cancers. Genentech’s Kadcyla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HER2-targeted antibody and microtubule inhibitor conjugate, is approved for treatment of patients with HER2-positive metastatic breast cancer who previously were treated with trastuzumab and/or a taxane. Bayer’s Stivarga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 kinase inhibitor approved for metastatic colorectal cancer, was also approved for patients with advanced, unresectable (not subject to surgical removal) or metastatic gastrointestinal stromal tumor. We are aware of additional compounds in development for the treatment of solid tumor cancers at companies including Eli Lilly &amp; Company, Hoffmann-La Roche and Novartis AG.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Government authorities in the U.S. and other countries extensively regulate the research, development, testing, manufacture, labeling, promotion, advertising, distribution, sampling, marketing and import and export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of pharmaceutical products and biologics such as those we are developing. In the U.S.,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Regulatory Approval</w:t>
      </w:r>
    </w:p>
    <w:p>
      <w:pPr>
        <w:spacing w:after="0" w:line="225"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In the U.S., drugs and drug testing are regulated by the FDA under the Federal Food, Drug and Cosmetic Act, or FDCA, as well as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government authorities. All of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209"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animal studies, and formulation studies;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IND which must become effective before human clinical trials may begin in the U.S.;</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adequate and well-controlled human clinical trials to establish the safety and efficacy of the product candidate for each indication for which approval is sought;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accompanied by a substantial user fee;</w:t>
      </w:r>
    </w:p>
    <w:p>
      <w:pPr>
        <w:spacing w:after="0" w:line="130"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78"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Preclinical Tests. </w:t>
      </w:r>
      <w:r>
        <w:rPr>
          <w:rFonts w:ascii="Times New Roman" w:cs="Times New Roman" w:eastAsia="Times New Roman" w:hAnsi="Times New Roman"/>
          <w:sz w:val="18"/>
          <w:szCs w:val="18"/>
          <w:color w:val="auto"/>
        </w:rPr>
        <w:t>Preclinical tests include laboratory evaluation of the product candidate, its chemistry, toxicity, formulation and stability,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8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IND Process. </w:t>
      </w:r>
      <w:r>
        <w:rPr>
          <w:rFonts w:ascii="Times New Roman" w:cs="Times New Roman" w:eastAsia="Times New Roman" w:hAnsi="Times New Roman"/>
          <w:sz w:val="18"/>
          <w:szCs w:val="18"/>
          <w:color w:val="auto"/>
        </w:rPr>
        <w:t>An IND must be effective to administer an investigational drug to humans. The IND will automatically become effective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66" w:lineRule="auto"/>
        <w:rPr>
          <w:sz w:val="20"/>
          <w:szCs w:val="20"/>
          <w:color w:val="auto"/>
        </w:rPr>
      </w:pPr>
      <w:r>
        <w:rPr>
          <w:rFonts w:ascii="Times New Roman" w:cs="Times New Roman" w:eastAsia="Times New Roman" w:hAnsi="Times New Roman"/>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Clinical Trials. </w:t>
      </w:r>
      <w:r>
        <w:rPr>
          <w:rFonts w:ascii="Times New Roman" w:cs="Times New Roman" w:eastAsia="Times New Roman" w:hAnsi="Times New Roman"/>
          <w:sz w:val="18"/>
          <w:szCs w:val="18"/>
          <w:color w:val="auto"/>
        </w:rPr>
        <w:t>Human clinical trials are typically conducted in three sequential phases that may overlap:</w:t>
      </w:r>
    </w:p>
    <w:p>
      <w:pPr>
        <w:spacing w:after="0" w:line="254" w:lineRule="exact"/>
        <w:rPr>
          <w:sz w:val="20"/>
          <w:szCs w:val="20"/>
          <w:color w:val="auto"/>
        </w:rPr>
      </w:pPr>
    </w:p>
    <w:p>
      <w:pPr>
        <w:ind w:left="900" w:right="120" w:hanging="446"/>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potential drug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81"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potential drug is introduced into a limited patient population to assess the efficacy of the drug in specific, targeted indications, assess dosage tolerance and optimal dosage, and to identify possible adverse effects and safety risks.</w:t>
      </w:r>
    </w:p>
    <w:p>
      <w:pPr>
        <w:spacing w:after="0" w:line="67" w:lineRule="exact"/>
        <w:rPr>
          <w:rFonts w:ascii="Times New Roman" w:cs="Times New Roman" w:eastAsia="Times New Roman" w:hAnsi="Times New Roman"/>
          <w:sz w:val="18"/>
          <w:szCs w:val="18"/>
          <w:color w:val="auto"/>
        </w:rPr>
      </w:pPr>
    </w:p>
    <w:p>
      <w:pPr>
        <w:jc w:val="both"/>
        <w:ind w:left="900" w:right="260" w:hanging="446"/>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potential drug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development of a new drug, we may request to meet with the FDA at times such as prior to submitting an IND, at the EOP2, and before an NDA is submitted, and meetings are not limited to these certain times. The purpose of the EOP2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8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has a Fast Track program that is intended to expedite or facilitate the process for reviewing new drugs and 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9" w:lineRule="exact"/>
        <w:rPr>
          <w:sz w:val="20"/>
          <w:szCs w:val="20"/>
          <w:color w:val="auto"/>
        </w:rPr>
      </w:pPr>
    </w:p>
    <w:p>
      <w:pPr>
        <w:ind w:right="20" w:firstLine="456"/>
        <w:spacing w:after="0" w:line="270" w:lineRule="auto"/>
        <w:rPr>
          <w:sz w:val="20"/>
          <w:szCs w:val="20"/>
          <w:color w:val="auto"/>
        </w:rPr>
      </w:pPr>
      <w:r>
        <w:rPr>
          <w:rFonts w:ascii="Times New Roman" w:cs="Times New Roman" w:eastAsia="Times New Roman" w:hAnsi="Times New Roman"/>
          <w:sz w:val="17"/>
          <w:szCs w:val="17"/>
          <w:i w:val="1"/>
          <w:iCs w:val="1"/>
          <w:color w:val="auto"/>
        </w:rPr>
        <w:t>U.S. patent term restoration and marketing exclusivity</w:t>
      </w:r>
      <w:r>
        <w:rPr>
          <w:rFonts w:ascii="Times New Roman" w:cs="Times New Roman" w:eastAsia="Times New Roman" w:hAnsi="Times New Roman"/>
          <w:sz w:val="17"/>
          <w:szCs w:val="17"/>
          <w:color w:val="auto"/>
        </w:rPr>
        <w:t>: Depending upon the timing, duration and specifics of the FDA approval of a drug candidate,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6" w:lineRule="exact"/>
        <w:rPr>
          <w:sz w:val="20"/>
          <w:szCs w:val="20"/>
          <w:color w:val="auto"/>
        </w:rPr>
      </w:pPr>
    </w:p>
    <w:p>
      <w:pPr>
        <w:ind w:right="6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Regulation outside the United States</w:t>
      </w:r>
      <w:r>
        <w:rPr>
          <w:rFonts w:ascii="Times New Roman" w:cs="Times New Roman" w:eastAsia="Times New Roman" w:hAnsi="Times New Roman"/>
          <w:sz w:val="18"/>
          <w:szCs w:val="18"/>
          <w:color w:val="auto"/>
        </w:rPr>
        <w:t>: In addition to regulations in the U.S., we and our strategic alliance partners will be subject to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 other jurisdictions governing, among other things, clinical trials and any commercial sales and distribution of our products.</w:t>
      </w:r>
    </w:p>
    <w:p>
      <w:pPr>
        <w:spacing w:after="0" w:line="16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with the exception of, among other things, country-specific document requirements.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have assembled an experienced and cohesive management and support team, with core competencies in general management, clinical development, regulatory affairs and corporate development. We have 10 full-time employees as of the date of this report. We believe that our relations with our employees are good, and we have no history of work stoppages.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were originally incorporated in the State of Delaware in September 2000. Our principal executive offices are located at 4275 Executive Square, Suite 650, La Jolla, CA 92037. Our telephone number is 858-373-1500. Our website is </w:t>
      </w:r>
      <w:r>
        <w:rPr>
          <w:rFonts w:ascii="Times New Roman" w:cs="Times New Roman" w:eastAsia="Times New Roman" w:hAnsi="Times New Roman"/>
          <w:sz w:val="18"/>
          <w:szCs w:val="18"/>
          <w:u w:val="single" w:color="auto"/>
          <w:color w:val="auto"/>
        </w:rPr>
        <w:t>www.medicinova.com</w:t>
      </w:r>
      <w:r>
        <w:rPr>
          <w:rFonts w:ascii="Times New Roman" w:cs="Times New Roman" w:eastAsia="Times New Roman" w:hAnsi="Times New Roman"/>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that we will incur continued losses for the foreseeable future.</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year ended December 31, 2014, we had a net loss of $9.2 million. At December 31, 2014, from inception, our accumulated deficit was $310.6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2014, we had available cash and cash equivalents of $11.7 million and working capital of $10.5 million. We expect to have approximately $9.5 million in available cash as of March 31, 2015, and we expect to spend approximately $7.1 million from April 1, 2015 through December 31, 2015 to execute our strategic plan and fund operations. There can be no assurances that there will be adequate financing available to us in the future on acceptable terms, or at all. If we are unable to obtain additional financing, we may have to sell one or more of our programs or cease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cash requirements will also depend on many factors, including:</w:t>
      </w:r>
    </w:p>
    <w:p>
      <w:pPr>
        <w:spacing w:after="0" w:line="252"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expansion of our management, personnel, systems and facilities;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our product candidates.</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2015 relative to 2014 as we have increased focus on the development of MN-001 and MN-166 in 2015. Our estimate of cash requirements for future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expenses assumes that we do not incur significant clinical development expenditures unless we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7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the capital necessary to fund our operations, we will be unable to develop and commercialize our product candidates.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consumed substantial amounts of capital since our inception.</w:t>
      </w:r>
    </w:p>
    <w:p>
      <w:pPr>
        <w:spacing w:after="0" w:line="2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1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5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To date, we have funded our operations primarily from sales of our securities and, to a lesser extent, debt financing. Although we received a $6 million milestone payment in January 2014, we do not expect to receive for at least the next several years, if at all, any revenues from the commercialization of our product candidates.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largely dependent on the success of our MN-166 product candidate and other product candidates and we cannot be certain that this product candidate will receive regulatory approval or be successfully commercialized.</w:t>
      </w:r>
    </w:p>
    <w:p>
      <w:pPr>
        <w:spacing w:after="0" w:line="159" w:lineRule="exact"/>
        <w:rPr>
          <w:sz w:val="20"/>
          <w:szCs w:val="20"/>
          <w:color w:val="auto"/>
        </w:rPr>
      </w:pPr>
    </w:p>
    <w:p>
      <w:pPr>
        <w:ind w:right="40" w:firstLine="456"/>
        <w:spacing w:after="0" w:line="273" w:lineRule="auto"/>
        <w:rPr>
          <w:sz w:val="20"/>
          <w:szCs w:val="20"/>
          <w:color w:val="auto"/>
        </w:rPr>
      </w:pPr>
      <w:r>
        <w:rPr>
          <w:rFonts w:ascii="Times New Roman" w:cs="Times New Roman" w:eastAsia="Times New Roman" w:hAnsi="Times New Roman"/>
          <w:sz w:val="17"/>
          <w:szCs w:val="17"/>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product candidate, for the treatment of neurological disorders including MS, opioid withdrawal, methamphetamine addiction, chronic MOH and alcohol dependency. This product candidate has not completed the clinical development process, and therefore we have not submitted an NDA or</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foreign equivalent or received marketing approval. We plan to focus our resources on accelerating and optimizing MN-166 development in collaboration with the investigators conducting multiple grant-funded, proof-of-concept clinical trials.</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clinical development program for MN-166 may not lead to commercial products for a number of reasons, including our clinical trials’ failure to demonstrate to the FDA’s satisfaction that this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MN-166 in a timely manner would have a material and adverse impact on our business and our stock price.</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early clinical trials are not necessarily predictive of future results, MN-166 or any other product candidate we advance into clinical trials in any indication may not have favorable results in later clinical trials, if any, or receive regulatory approval.</w:t>
      </w:r>
    </w:p>
    <w:p>
      <w:pPr>
        <w:spacing w:after="0" w:line="159"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its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18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Companies frequently suffer significant setbacks in advanced clinical trials, even after earlier clinical trials have shown promising results. Any of our planned clinical trials for MN-166 or our other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secure a collaboration for MN-221, we may be unable to complete its clinical development.</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Following our May 2012 announcement of the preliminary results of the Phase 2 MN-221-CL-007 clinical trial,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We have also determined that future MN-221 clinical trial development will be partner-dependent from a funding perspective.</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attempts to develop MN-001 in NASH may detract from our efforts to develop other product candidates and may limit the effectiveness of our product development efforts as a whole.</w:t>
      </w:r>
    </w:p>
    <w:p>
      <w:pPr>
        <w:spacing w:after="0" w:line="15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2014, we determined to pursue development of MN-001 in NASH. These activities will divert financial and management resources from our other product development activities and may limit our ability to complete or continue those other programs.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rely on the joint venture company formed in China in 2011 to develop and commercialize MN-221 and other drug candidates in China and there is no assurance that the joint venture will be successful in doing so.</w:t>
      </w:r>
    </w:p>
    <w:p>
      <w:pPr>
        <w:spacing w:after="0" w:line="15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entered into an agreement to form a joint venture company with Zhejiang Medicine Co., Ltd. and Beijing Medfron Technologies Co., Ltd. (formerly Beijing Make-Friend Medicine Technology Co., Ltd.)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2014, Beijing Medfron Medical Technologies Co., Ltd. and MediciNova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8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December 31, 2014, we reflect a long-term asset on our consolidated balance sheet which represents our investment in Zhejiang Sunmy, net of our portion of any generated loss or income.</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eight clinical trials for four of our product development programs. INDs were approved by the FDA and are active for seven of our product candidates.</w:t>
      </w:r>
    </w:p>
    <w:p>
      <w:pPr>
        <w:spacing w:after="0" w:line="18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conduct of clinical trials for each of our product candidates, we face many risks, including the risks that:</w:t>
      </w:r>
    </w:p>
    <w:p>
      <w:pPr>
        <w:spacing w:after="0" w:line="252"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prove to be effective in treating the targeted indication;</w:t>
      </w:r>
    </w:p>
    <w:p>
      <w:pPr>
        <w:spacing w:after="0" w:line="130" w:lineRule="exact"/>
        <w:rPr>
          <w:rFonts w:ascii="Times New Roman" w:cs="Times New Roman" w:eastAsia="Times New Roman" w:hAnsi="Times New Roman"/>
          <w:sz w:val="18"/>
          <w:szCs w:val="18"/>
          <w:color w:val="auto"/>
        </w:rPr>
      </w:pPr>
    </w:p>
    <w:p>
      <w:pPr>
        <w:ind w:left="5620" w:right="1500" w:hanging="5166"/>
        <w:spacing w:after="0" w:line="454" w:lineRule="auto"/>
        <w:tabs>
          <w:tab w:leader="none" w:pos="8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participants and/or patients may experience serious adverse events or other undesirable drug-related side effects; 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may not confirm the positive results of earlier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agree with our proposed development plans or accept the results of completed clinical trials; and</w:t>
      </w:r>
    </w:p>
    <w:p>
      <w:pPr>
        <w:spacing w:after="0" w:line="130" w:lineRule="exact"/>
        <w:rPr>
          <w:rFonts w:ascii="Times New Roman" w:cs="Times New Roman" w:eastAsia="Times New Roman" w:hAnsi="Times New Roman"/>
          <w:sz w:val="18"/>
          <w:szCs w:val="18"/>
          <w:color w:val="auto"/>
        </w:rPr>
      </w:pPr>
    </w:p>
    <w:p>
      <w:pPr>
        <w:ind w:left="900" w:right="180" w:hanging="446"/>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7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regulation of our product candidates, which could delay the development and commercialization of our product candidates.</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our third-party manufacturers, service providers, suppliers and partners, if any, and our product candidates are subject to stringent regulation by the FDA and other regulatory agencies in the U.S. and by comparable authorities in other countries. None of our product candidates can be marketed in the U.S.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U.S. or abroad.</w:t>
      </w:r>
    </w:p>
    <w:p>
      <w:pPr>
        <w:spacing w:after="0" w:line="189"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In order to market any of our products outside of the U.S.,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other countries might differ from that required to obtain FDA approval. The regulatory approval process in other countries may include all of the risks detailed above regarding FDA approval in the U.S. Regulatory approval in one country, including FDA approval in the U.S.,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88"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in the U.S.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MN-166, our other product candidates or any other product candidates that we may in-license or acquire, if any, may include a restriction on the terms of its use, or it may not include one or more of our intended indications.</w:t>
      </w:r>
    </w:p>
    <w:p>
      <w:pPr>
        <w:spacing w:after="0" w:line="18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215" w:lineRule="exact"/>
        <w:rPr>
          <w:sz w:val="20"/>
          <w:szCs w:val="20"/>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other civil or criminal penalties;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filed by 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MN-166 or any other product candidate that we advance into clinical trials may cause undesirable side effects or have other properties that could delay or prevent regulatory approval or commercialization or limit its commercial potential.</w:t>
      </w:r>
    </w:p>
    <w:p>
      <w:pPr>
        <w:spacing w:after="0" w:line="15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MN-166 or any other product candidate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8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In addition, if MN-166 or any other product candidate we may develop receives marketing approval and we or others later identify undesirable side effects caused by the product, a number of significant negative consequences could result, including:</w:t>
      </w:r>
    </w:p>
    <w:p>
      <w:pPr>
        <w:spacing w:after="0" w:line="189"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place restrictions on the way it is prescribed;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larger clinical benefit for approval to offset the risk;</w:t>
      </w:r>
    </w:p>
    <w:p>
      <w:pPr>
        <w:spacing w:after="0" w:line="130" w:lineRule="exact"/>
        <w:rPr>
          <w:rFonts w:ascii="Times New Roman" w:cs="Times New Roman" w:eastAsia="Times New Roman" w:hAnsi="Times New Roman"/>
          <w:sz w:val="18"/>
          <w:szCs w:val="18"/>
          <w:color w:val="auto"/>
        </w:rPr>
      </w:pPr>
    </w:p>
    <w:p>
      <w:pPr>
        <w:ind w:left="900" w:right="72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that could diminish the usage of the product or otherwise limit the commercial success of the product;</w:t>
      </w:r>
    </w:p>
    <w:p>
      <w:pPr>
        <w:spacing w:after="0" w:line="67"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 or implement a risk evaluation and mitigation strategy;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discontinue sale of the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our business model;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5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commencement and completion of clinical trials can be delayed for a variety of other reasons, including delays in:</w:t>
      </w:r>
    </w:p>
    <w:p>
      <w:pPr>
        <w:spacing w:after="0" w:line="131"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or amend a clinical trial;</w:t>
      </w:r>
    </w:p>
    <w:p>
      <w:pPr>
        <w:spacing w:after="0" w:line="130"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w:t>
      </w:r>
    </w:p>
    <w:p>
      <w:pPr>
        <w:spacing w:after="0" w:line="130"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 approval or approval from foreign counterparts to conduct or amend a clinical trial at a prospective site.</w:t>
      </w:r>
    </w:p>
    <w:p>
      <w:pPr>
        <w:spacing w:after="0" w:line="225"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In addition, a clinical trial may be delayed, suspended or terminated by us, the FDA or other regulatory authorities due to a number of factors, including:</w:t>
      </w:r>
    </w:p>
    <w:p>
      <w:pPr>
        <w:spacing w:after="0" w:line="189" w:lineRule="exact"/>
        <w:rPr>
          <w:sz w:val="20"/>
          <w:szCs w:val="20"/>
          <w:color w:val="auto"/>
        </w:rPr>
      </w:pPr>
    </w:p>
    <w:p>
      <w:pPr>
        <w:ind w:left="900" w:hanging="446"/>
        <w:spacing w:after="0" w:line="261"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85" w:lineRule="exact"/>
        <w:rPr>
          <w:rFonts w:ascii="Times New Roman" w:cs="Times New Roman" w:eastAsia="Times New Roman" w:hAnsi="Times New Roman"/>
          <w:sz w:val="18"/>
          <w:szCs w:val="18"/>
          <w:color w:val="auto"/>
        </w:rPr>
      </w:pPr>
    </w:p>
    <w:p>
      <w:pPr>
        <w:ind w:left="900" w:right="120" w:hanging="446"/>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81"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enrollment or retention rates of patients in clinical trials;</w:t>
      </w:r>
    </w:p>
    <w:p>
      <w:pPr>
        <w:spacing w:after="0" w:line="130"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information suggesting unacceptable risk to subjects or unforeseen safety issues or any determination that a trial presents unacceptable health risks;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candidates or other materials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rights to develop and market any of our product candidates could significantly harm our business.</w:t>
      </w:r>
    </w:p>
    <w:p>
      <w:pPr>
        <w:spacing w:after="0" w:line="229"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We license the rights to certain compounds to develop and market our product candidates. Currently, we have licensed rights relating to four compounds for the development of eight product candidates.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are obligated to develop and commercialize certain product candidates in accordance with mutually agreed upon terms and conditions. Our ability to satisfy some or all of the terms and conditions of our license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240" w:top="455" w:right="3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If any of our license agreements is terminated, we would have no further rights to develop and commercialize the product candidate that is the subject of the license. The termination of any of the remainder of our license agreements could materially and adversely affect our business.</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7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76"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203" w:lineRule="exact"/>
        <w:rPr>
          <w:sz w:val="20"/>
          <w:szCs w:val="20"/>
          <w:color w:val="auto"/>
        </w:rPr>
      </w:pPr>
    </w:p>
    <w:p>
      <w:pPr>
        <w:ind w:left="900" w:right="40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sufficient resources or decides not to devote the necessary resources due to internal constraints such as limited cash or human resources;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decides to pursue a competitive potential product developed outside of the collaboration;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obtain the necessary regulatory approvals;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market opportunity is not attractive;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manufacture the necessary materials in sufficient quantities from multiple sources or at a reasonable cost.</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under which we raise additional equity or debt financing may harm our business and may significantly dilute stockholders’ ownership interests.</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17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design/or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85" w:lineRule="exact"/>
        <w:rPr>
          <w:sz w:val="20"/>
          <w:szCs w:val="20"/>
          <w:color w:val="auto"/>
        </w:rPr>
      </w:pPr>
    </w:p>
    <w:p>
      <w:pPr>
        <w:ind w:right="14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59"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8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manufacture our product candidates in commercial quantities, which would prevent us from commercializing our product candidates.</w:t>
      </w:r>
    </w:p>
    <w:p>
      <w:pPr>
        <w:spacing w:after="0" w:line="15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59"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203"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efficacy;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cost and potential advantages of alternative treatments, including less expensive generic drugs;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which may be subject to regulatory control;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or any of our partners’ sales and marketing strategies;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labeling or product insert required by the FDA or regulatory authority in other countries;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insurance coverage or reimbursement.</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payers, our ability to generate revenues from that product would be substantially reduced. In addition, our efforts to educate the medical community and third-party payers on the benefits of our product candidates may require significant resources and may never be successful.</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payers, our revenues and profitability will suffer.</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payers are increasingly challenging the prices charged for medical products and services. We cannot provide any assurances that third-party payers will consider our products cost-effective or provide coverage of and reimbursement for our products, in whole or in part.</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Uncertainty exists as to the coverage and reimbursement status of newly approved medical products and services and newly approved indications for existing products. Third-party payers may conclude that our products are less safe, less clinically effective or less cost-effective than existing products, and third-party payers may not approve our products for coverage and reimbursement. If we are unable to obtain adequate coverage of and reimbursement for our products from third-party payers, physicians may limit how much or under what circumstances they will prescribe or administer them. Such reduction or limitation in the use of our products could cause our sales to suffer. Even if third-party payers make reimbursement available, payment levels may not be sufficient to make the sale of our products profitable.</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Market acceptance and sales of our current or future product candidates will depend in large part on global reimbursement policies and may be affected by future healthcare reform measures, both in the U.S. and other key international markets. For example, continuing health care reform in the U.S. will control or significantly influence the purchase of medical services and products, and may result in inadequate coverage of and reimbursement for our products. Many third-party payers are pursuing various ways to reduce pharmaceutical costs, including the use of formularies. The market for our products depends on access to such formularies, which are lists of medications for which third-party payers provide reimbursement. These formularies 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increasingly restricted, and pharmaceutical companies face significant competition in their efforts to place their products on formularies. This increased competition has led to a downward pricing pressure in the industry. The cost containment measures that third-party payers, including government payers, are instituting could have a material adverse effect on our ability to operate profitably.</w:t>
      </w:r>
    </w:p>
    <w:p>
      <w:pPr>
        <w:spacing w:after="0" w:line="17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spacing w:after="0" w:line="17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8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8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172"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159" w:lineRule="exact"/>
        <w:rPr>
          <w:sz w:val="20"/>
          <w:szCs w:val="20"/>
          <w:color w:val="auto"/>
        </w:rPr>
      </w:pPr>
    </w:p>
    <w:p>
      <w:pPr>
        <w:ind w:right="120" w:firstLine="456"/>
        <w:spacing w:after="0" w:line="273" w:lineRule="auto"/>
        <w:rPr>
          <w:sz w:val="20"/>
          <w:szCs w:val="20"/>
          <w:color w:val="auto"/>
        </w:rPr>
      </w:pPr>
      <w:r>
        <w:rPr>
          <w:rFonts w:ascii="Times New Roman" w:cs="Times New Roman" w:eastAsia="Times New Roman" w:hAnsi="Times New Roman"/>
          <w:sz w:val="17"/>
          <w:szCs w:val="17"/>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U.S., we may be required to market our product candidates outside of the U.S. directly if we are unable to establish such collaborations. In that event, we may need to build a corresponding international sales and marketing capability with technical expertise and with supporting distribution capabilities.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adversely affect our business.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business and financial condition of pharmaceutical and biotechnology companies are affected by the efforts of governmental and third-party payers to contain or reduce the costs of health care. In the U.S.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U.S. to continue. Another example of proposed reform that could affect our business is drug reimportation into the U.S.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for product liability, which could result in substantial liabilities that exceed our available resources and damage our reputation.</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203"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clinical trial programs;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which may make it difficult to predict our future performance from period to period.</w:t>
      </w:r>
    </w:p>
    <w:p>
      <w:pPr>
        <w:spacing w:after="0" w:line="229"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89" w:lineRule="exact"/>
        <w:rPr>
          <w:sz w:val="20"/>
          <w:szCs w:val="20"/>
          <w:color w:val="auto"/>
        </w:rPr>
      </w:pPr>
    </w:p>
    <w:p>
      <w:pPr>
        <w:ind w:left="900" w:right="64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67" w:lineRule="exact"/>
        <w:rPr>
          <w:rFonts w:ascii="Times New Roman" w:cs="Times New Roman" w:eastAsia="Times New Roman" w:hAnsi="Times New Roman"/>
          <w:sz w:val="18"/>
          <w:szCs w:val="18"/>
          <w:color w:val="auto"/>
        </w:rPr>
      </w:pPr>
    </w:p>
    <w:p>
      <w:pPr>
        <w:ind w:left="900" w:right="62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other collaboration, licensing and similar arrangements and the timing of payments we may make or receive under these arrangements;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product development programs;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unpredictable effects of collaborations during these periods;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satisfaction of applicable regulatory requirements, if at all;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expansion of our clinical development and other internal research and development efforts;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litigation;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products and market developments;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believe that quarterly or yearly comparisons of our financial results are not necessarily meaningful and should not be relied upon as indications of our future performance.</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Sarbanes-Oxley Act requires that we maintain effective internal controls for financial reporting and disclosure controls and procedures. Our listing obligations under the JASDAQ Market of the Tokyo Stock Exchange, or TSE,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independent registered public accounting firm regarding our internal controls over financial reporting as of December 31, 2014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and natural disasters.</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and marketing our products internationally could materially adversely affect our business.</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203"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or unexpected regulatory requirements for our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30"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taxes, regulations and permit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government tariffs, trade restrictions, price and exchange controls and other regulatory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natural disasters, war, events of terrorism or political instability in particular foreign countries;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result in increased operating expenses and reduced revenues, and other obligations related to doing business in another country;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regulations and restrictions for employees living or traveling abroad;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130"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U.S.</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business, financial condition and results of operations.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22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and MN-001 product candidates, although we do have patent protection for a particular crystalline polymorph of MN-001 and we have composition of matter protection on ibudilast analogs. As a result, competitors that obtain the requisite regulatory approval will be able to offer products with the same API as found in our MN-166 and MN-001 product candidates so long as such competitors do not infringe any methods of use, methods of manufacture, formulation or, in the case of MN-001, specific polymorph patents that we hold or have exclusive rights to through our licensors. For example, we currently rely on method of use patents for MN-166.</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8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89"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patents to protect our product candidates;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any required or desirable licenses to use certain technologies of third parties, which may be protected by patents;</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and know-how;</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intellectual property and proprietary rights of others;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the issued patents under which we hold rights;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proprietary technologies that are patentable.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For example:</w:t>
      </w:r>
    </w:p>
    <w:p>
      <w:pPr>
        <w:spacing w:after="0" w:line="252"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make the inventions covered by each of our pending patent applications or issued patents;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our pending patent applications will result in issued patents;</w:t>
      </w:r>
    </w:p>
    <w:p>
      <w:pPr>
        <w:spacing w:after="0" w:line="130" w:lineRule="exact"/>
        <w:rPr>
          <w:rFonts w:ascii="Times New Roman" w:cs="Times New Roman" w:eastAsia="Times New Roman" w:hAnsi="Times New Roman"/>
          <w:sz w:val="18"/>
          <w:szCs w:val="18"/>
          <w:color w:val="auto"/>
        </w:rPr>
      </w:pPr>
    </w:p>
    <w:p>
      <w:pPr>
        <w:ind w:left="900" w:right="140" w:hanging="446"/>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81" w:lineRule="exact"/>
        <w:rPr>
          <w:rFonts w:ascii="Times New Roman" w:cs="Times New Roman" w:eastAsia="Times New Roman" w:hAnsi="Times New Roman"/>
          <w:sz w:val="18"/>
          <w:szCs w:val="18"/>
          <w:color w:val="auto"/>
        </w:rPr>
      </w:pPr>
    </w:p>
    <w:p>
      <w:pPr>
        <w:ind w:left="900" w:right="66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U.S. may be less willing to protect trade secrets or know-how. The failure to obtain or maintain trade secret protection could adversely affect our competitive position.</w:t>
      </w:r>
    </w:p>
    <w:p>
      <w:pPr>
        <w:spacing w:after="0" w:line="1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5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U.S. may be maintained in secrecy until the patents are issued, and because patent applications in the U.S.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94" w:lineRule="exact"/>
        <w:rPr>
          <w:sz w:val="20"/>
          <w:szCs w:val="20"/>
          <w:color w:val="auto"/>
        </w:rPr>
      </w:pPr>
    </w:p>
    <w:p>
      <w:pPr>
        <w:ind w:left="900" w:right="24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or other equitable relief that may effectively block our ability to further develop, commercialize and sell our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enter into license arrangements that may not be available on reasonable or commercially acceptable terms;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 and expense, as well as distraction of our management from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we could lose our ability to develop and commercialize current or future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Investment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resell our shares at a profit or at all.</w:t>
      </w:r>
    </w:p>
    <w:p>
      <w:pPr>
        <w:spacing w:after="0" w:line="22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Despite the listing of our common stock on The NASDAQ Global Market and the JASDAQ Market of the Tokyo Stock Exchange in Japan, trading volume in our securities has been light and an active trading market may not develop for our common stock. In December 2014, our average trading volume was approximately 41,000 shares per day on The NASDAQ Global Market and approximately 193,500 shares per day on the JASDAQ Market.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2014,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211" w:lineRule="exact"/>
        <w:rPr>
          <w:sz w:val="20"/>
          <w:szCs w:val="20"/>
          <w:color w:val="auto"/>
        </w:rPr>
      </w:pPr>
    </w:p>
    <w:p>
      <w:pPr>
        <w:ind w:left="900" w:right="16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status of our product candidates, including clinical trial results and determinations by regulatory authorities with respect to our product candidates;</w:t>
      </w:r>
    </w:p>
    <w:p>
      <w:pPr>
        <w:spacing w:after="0" w:line="67" w:lineRule="exact"/>
        <w:rPr>
          <w:rFonts w:ascii="Times New Roman" w:cs="Times New Roman" w:eastAsia="Times New Roman" w:hAnsi="Times New Roman"/>
          <w:sz w:val="18"/>
          <w:szCs w:val="18"/>
          <w:color w:val="auto"/>
        </w:rPr>
      </w:pPr>
    </w:p>
    <w:p>
      <w:pPr>
        <w:ind w:left="900" w:right="80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termination, or reduction in the scope of any collaboration arrangements or any disputes or developments regarding such collaborations;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regulatory actions, including failure to receive regulatory approval for any of our product candidates;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other material events by us or our competitors;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securities analysts’ or investors’ expectations of our financial performance;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of our business, management, products, financial performance, prospects or stock price by the financial and scientific press and online investor communities;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30"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and legislative action with respect to, the pricing and availability of prescription drugs or the safety of drugs and drug delivery techniques;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in foreign countries.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Broad market and industry factors, as well as economic and political factors, also may materially adversely affect the market price of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on The NASDAQ Global Market or the JASDAQ Market of the Tokyo Stock Exchange.</w:t>
      </w:r>
    </w:p>
    <w:p>
      <w:pPr>
        <w:spacing w:after="0" w:line="22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In addition, JASDAQ Market listing requirements currently mandate that listed companies achieve a profit or positive cash flow from operations within a five-year period.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additional common stock to Macquarie Capital (USA) Inc. (MCUSA) may cause substantial dilution to our existing stockholders and/or the price of our common stock to decline.</w:t>
      </w:r>
    </w:p>
    <w:p>
      <w:pPr>
        <w:spacing w:after="0" w:line="15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Pursuant to the at-the-market equity distribution agreement with MCUSA dated October 16, 2013, we may sell additional shares of our common stock to MCUSA. Depending upon market liquidity at the time, sales of shares of our common stock under the agreement may cause the trading price of our common stock to decline and may result in substantial dilution to the interests of other holders of our common stock. The sale of a substantial number of shares of our common stock to MCUSA, or anticipation of such sales, could make it more difficult for us to sell equity or equity-related securities in the future at a time and at a price that we might otherwise wish to effect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that could divert management’s attention and harm our business.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 and may make it difficult to sell your shares.</w:t>
      </w:r>
    </w:p>
    <w:p>
      <w:pPr>
        <w:spacing w:after="0" w:line="229"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59"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207" w:lineRule="exact"/>
        <w:rPr>
          <w:sz w:val="20"/>
          <w:szCs w:val="20"/>
          <w:color w:val="auto"/>
        </w:rPr>
      </w:pPr>
    </w:p>
    <w:p>
      <w:pPr>
        <w:ind w:left="900" w:right="500" w:hanging="44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the board of directors may be removed only for cause upon the affirmative vote of stockholders owning at least a majority of our capital stock;</w:t>
      </w:r>
    </w:p>
    <w:p>
      <w:pPr>
        <w:spacing w:after="0" w:line="67"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upon at stockholder meetings;</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making certain changes to our restated certificate of incorporation or amended and restated bylaws except with 66-2/3% stockholder approval;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terms.</w:t>
      </w:r>
    </w:p>
    <w:p>
      <w:pPr>
        <w:spacing w:after="0" w:line="22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executed a sublease agreement for our headquarters effective March 1, 2013 (the “Sublease”) with Denali Advisors, LLC, the sublessor, to which Irvine Company, the master landlord, has provided its consent. The Sublease is for 5,219 square feet, and has a term of four years and nine months and provides that we will pay Irvine Company a monthly base rent of $10,699 for the premises during the first year. In June 2005, we leased office space in Tokyo, Japan under a non-cancelable operating lease with an original expiration date of May 2013 and an auto-renewal two-year extension, which we continued to lease for the remainder of 2013 through May 2015 with the acceptance of the extension.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JASDAQ Market of the Tokyo Stock Exchange and trades under the code “4875,” and is listed on The NASDAQ Global Market and trades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high and low sale prices per share of our common stock as reported on The NASDAQ Global Market.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0" w:type="dxa"/>
            <w:vAlign w:val="bottom"/>
          </w:tcPr>
          <w:p>
            <w:pPr>
              <w:spacing w:after="0"/>
              <w:rPr>
                <w:sz w:val="1"/>
                <w:szCs w:val="1"/>
                <w:color w:val="auto"/>
              </w:rPr>
            </w:pPr>
          </w:p>
        </w:tc>
      </w:tr>
      <w:tr>
        <w:trPr>
          <w:trHeight w:val="210"/>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2013</w:t>
            </w:r>
          </w:p>
        </w:tc>
        <w:tc>
          <w:tcPr>
            <w:tcW w:w="3600" w:type="dxa"/>
            <w:vAlign w:val="bottom"/>
          </w:tcPr>
          <w:p>
            <w:pPr>
              <w:spacing w:after="0"/>
              <w:rPr>
                <w:sz w:val="18"/>
                <w:szCs w:val="18"/>
                <w:color w:val="auto"/>
              </w:rPr>
            </w:pP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60" w:type="dxa"/>
            <w:vAlign w:val="bottom"/>
            <w:gridSpan w:val="3"/>
            <w:vMerge w:val="continue"/>
          </w:tcPr>
          <w:p>
            <w:pPr>
              <w:spacing w:after="0"/>
              <w:rPr>
                <w:sz w:val="17"/>
                <w:szCs w:val="17"/>
                <w:color w:val="auto"/>
              </w:rPr>
            </w:pPr>
          </w:p>
        </w:tc>
        <w:tc>
          <w:tcPr>
            <w:tcW w:w="36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2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$3.67</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4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$4.70</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4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$2.76</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4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$3.10</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414"/>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2014</w:t>
            </w:r>
          </w:p>
        </w:tc>
        <w:tc>
          <w:tcPr>
            <w:tcW w:w="3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2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$5.25</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4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$2.25</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440" w:type="dxa"/>
            <w:vAlign w:val="bottom"/>
            <w:gridSpan w:val="3"/>
            <w:shd w:val="clear" w:color="auto" w:fill="CCEEFF"/>
          </w:tcPr>
          <w:p>
            <w:pPr>
              <w:ind w:left="3600"/>
              <w:spacing w:after="0"/>
              <w:rPr>
                <w:sz w:val="20"/>
                <w:szCs w:val="20"/>
                <w:color w:val="auto"/>
              </w:rPr>
            </w:pPr>
            <w:r>
              <w:rPr>
                <w:rFonts w:ascii="Times New Roman" w:cs="Times New Roman" w:eastAsia="Times New Roman" w:hAnsi="Times New Roman"/>
                <w:sz w:val="18"/>
                <w:szCs w:val="18"/>
                <w:color w:val="auto"/>
              </w:rPr>
              <w:t>$3.38</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440" w:type="dxa"/>
            <w:vAlign w:val="bottom"/>
            <w:gridSpan w:val="3"/>
          </w:tcPr>
          <w:p>
            <w:pPr>
              <w:ind w:left="3600"/>
              <w:spacing w:after="0"/>
              <w:rPr>
                <w:sz w:val="20"/>
                <w:szCs w:val="20"/>
                <w:color w:val="auto"/>
              </w:rPr>
            </w:pPr>
            <w:r>
              <w:rPr>
                <w:rFonts w:ascii="Times New Roman" w:cs="Times New Roman" w:eastAsia="Times New Roman" w:hAnsi="Times New Roman"/>
                <w:sz w:val="18"/>
                <w:szCs w:val="18"/>
                <w:color w:val="auto"/>
              </w:rPr>
              <w:t>$4.80</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date of this filing, there were approximately 8,400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any cash dividends in the foreseeable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retain our future earnings, if any, to fund the growth and development of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securities authorized for issuance under our equity compensation plans can be found under Item 12 of this Annual Report on Form 10-K.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6,658</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(9,195)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24,067,781</w:t>
            </w:r>
          </w:p>
        </w:tc>
        <w:tc>
          <w:tcPr>
            <w:tcW w:w="2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20,697,440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376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4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8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6,700</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10,539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13,922</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27,273</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29,546</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(310,582)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(301,387)</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25,426</w:t>
            </w:r>
          </w:p>
        </w:tc>
      </w:tr>
      <w:tr>
        <w:trPr>
          <w:trHeight w:val="346"/>
        </w:trPr>
        <w:tc>
          <w:tcPr>
            <w:tcW w:w="3760" w:type="dxa"/>
            <w:vAlign w:val="bottom"/>
          </w:tcPr>
          <w:p>
            <w:pPr>
              <w:spacing w:after="0"/>
              <w:rPr>
                <w:sz w:val="24"/>
                <w:szCs w:val="24"/>
                <w:color w:val="auto"/>
              </w:rPr>
            </w:pPr>
          </w:p>
        </w:tc>
        <w:tc>
          <w:tcPr>
            <w:tcW w:w="480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for the treatment of serious diseases with unmet medical needs and a commercial focus on the U.S. market. We were incorporated in Delaware in September 2000.</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year ended December 31, 2014, we had a net loss of $9.2 million. At December 31, 2014, from inception, our accumulated deficit was $310.6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current strategy is to focus our development activities on MN-166 (ibudilast) for neurological disorders such as progressive multiple sclerosis (MS), amyotrophic lateral sclerosis (ALS) and substance dependence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methamphetamine dependence, opioid dependence, and alcohol dependence), and MN-001 (tipelukast) for nonalcoholic steatohepatitis (NASH), idiopathic pulmonary fibrosis (IPF) and other fibrotic diseases. Our pipeline also includes MN-221 (bedoradrine) for the treatment of acute exacerbation of asthma and MN-029 (denibulin) for solid tumor cancers.</w:t>
      </w:r>
    </w:p>
    <w:p>
      <w:pPr>
        <w:spacing w:after="0" w:line="18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Zhejiang Sunmy, in March 2012 we paid $680,000 for our 30% interest in Zhejiang Sunmy. The other parties to the joint venture agreement provided funding for their combined 70% interest. In December 2013, the Board of Directors of the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2014, Beijing Medfron Medical Technologies Co., Ltd. and MediciNova each have a 50% interest in Zhejiang Sunmy. No additional capital was contributed by either remaining party. We have not entered into the sublicense of MN-221 with Zhejiang Sunmy. There is no assurance the sublicense will be executed and there is no assurance that Zhejiang Sunmy will be able to proceed with the development of MN-221 in China.</w:t>
      </w:r>
    </w:p>
    <w:p>
      <w:pPr>
        <w:spacing w:after="0" w:line="19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December 31, 2014 we reflect a long-term asset on our consolidated balance sheet which represents our investment in Zhejiang Sunmy, net of our portion of any generated loss or income.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Upon completion of proof-of-concept Phase 2 clinical trials, we intend to enter into strategic alliances with leading pharmaceutical or biotech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did not recognize any revenue for the year ending December 31, 2014 and recognized $6.0 million in revenue for the ended December 31, 2013. In 2013, we recorded $6.0 million in revenues earned through a licensing arrangement held by Avigen, Inc., or Avigen, which we acquired in December 2009. There were no expenses incurred during 2013 related to this milestone.</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Revenue was recorded in 2014 and 2013 of zero and $3,000, respectively, as the research and development services were delivered. All expenses incurred during 2013 related to these services were recorded as research and development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6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External development expense: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MN-221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MN-166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1,065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MN-001</w:t>
            </w: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MN-029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1,199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3,260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Our focus is on the U.S. market. Key elements of our strategy are as follows:</w:t>
      </w:r>
    </w:p>
    <w:p>
      <w:pPr>
        <w:spacing w:after="0" w:line="187"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for multiple potential indications primarily through non-dilutive financings.</w:t>
      </w:r>
    </w:p>
    <w:p>
      <w:pPr>
        <w:spacing w:after="0" w:line="29" w:lineRule="exact"/>
        <w:rPr>
          <w:sz w:val="20"/>
          <w:szCs w:val="20"/>
          <w:color w:val="auto"/>
        </w:rPr>
      </w:pPr>
    </w:p>
    <w:p>
      <w:pPr>
        <w:ind w:left="920" w:right="40"/>
        <w:spacing w:after="0" w:line="252" w:lineRule="auto"/>
        <w:rPr>
          <w:sz w:val="20"/>
          <w:szCs w:val="20"/>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94"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for fibrotic diseases including NASH and IPF.</w:t>
      </w:r>
    </w:p>
    <w:p>
      <w:pPr>
        <w:spacing w:after="0" w:line="29" w:lineRule="exact"/>
        <w:rPr>
          <w:sz w:val="20"/>
          <w:szCs w:val="20"/>
          <w:color w:val="auto"/>
        </w:rPr>
      </w:pPr>
    </w:p>
    <w:p>
      <w:pPr>
        <w:ind w:left="920" w:right="240"/>
        <w:spacing w:after="0" w:line="261" w:lineRule="auto"/>
        <w:rPr>
          <w:sz w:val="20"/>
          <w:szCs w:val="20"/>
          <w:color w:val="auto"/>
        </w:rPr>
      </w:pPr>
      <w:r>
        <w:rPr>
          <w:rFonts w:ascii="Times New Roman" w:cs="Times New Roman" w:eastAsia="Times New Roman" w:hAnsi="Times New Roman"/>
          <w:sz w:val="18"/>
          <w:szCs w:val="18"/>
          <w:color w:val="auto"/>
        </w:rPr>
        <w:t>We intend to advance development of MN-001 through a combination of investigator-sponsored trials with or without grant funding as well as trials we may fund.</w:t>
      </w:r>
    </w:p>
    <w:p>
      <w:pPr>
        <w:spacing w:after="0" w:line="83" w:lineRule="exact"/>
        <w:rPr>
          <w:sz w:val="20"/>
          <w:szCs w:val="20"/>
          <w:color w:val="auto"/>
        </w:rPr>
      </w:pPr>
    </w:p>
    <w:p>
      <w:pPr>
        <w:ind w:left="900" w:right="760" w:hanging="325"/>
        <w:spacing w:after="0" w:line="26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Strategically partner with one or more leading pharmaceutical companies to complete late-stage product development and successfully commercialize our products.</w:t>
      </w:r>
    </w:p>
    <w:p>
      <w:pPr>
        <w:ind w:left="920" w:right="3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Other income primarily consists of interest earned on our cash, cash equivalents and investments. In 2014 and 2013, other expense primarily consists of losses from the joint venture and net foreign exchange losses related to vendor invoices denominated in foreign currencies. We had no outstanding debt and had no interest expense in 2014 or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stock-based 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subsequently based on a determination made by our board of directors as to the achievement of certain corporate objectives. The grant date of such awards is the date on which our board 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We recorded goodwill and in-process research and development, or IPR&amp;D, of $9.6 million and $4.8 million, respectively, as of December 31, 2014 and 2013.</w:t>
      </w:r>
    </w:p>
    <w:p>
      <w:pPr>
        <w:spacing w:after="0" w:line="185" w:lineRule="exact"/>
        <w:rPr>
          <w:sz w:val="20"/>
          <w:szCs w:val="20"/>
          <w:color w:val="auto"/>
        </w:rPr>
      </w:pPr>
    </w:p>
    <w:p>
      <w:pPr>
        <w:ind w:right="60" w:firstLine="456"/>
        <w:spacing w:after="0" w:line="277" w:lineRule="auto"/>
        <w:rPr>
          <w:sz w:val="20"/>
          <w:szCs w:val="20"/>
          <w:color w:val="auto"/>
        </w:rPr>
      </w:pPr>
      <w:r>
        <w:rPr>
          <w:rFonts w:ascii="Times New Roman" w:cs="Times New Roman" w:eastAsia="Times New Roman" w:hAnsi="Times New Roman"/>
          <w:sz w:val="17"/>
          <w:szCs w:val="17"/>
          <w:color w:val="auto"/>
        </w:rPr>
        <w:t>At least annually in the fourth quarter, or more frequently if indicators of impairment exists,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2014 and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right="300" w:firstLine="456"/>
        <w:spacing w:after="0" w:line="313" w:lineRule="auto"/>
        <w:rPr>
          <w:sz w:val="20"/>
          <w:szCs w:val="20"/>
          <w:color w:val="auto"/>
        </w:rPr>
      </w:pPr>
      <w:r>
        <w:rPr>
          <w:rFonts w:ascii="Times New Roman" w:cs="Times New Roman" w:eastAsia="Times New Roman" w:hAnsi="Times New Roman"/>
          <w:sz w:val="17"/>
          <w:szCs w:val="17"/>
          <w:color w:val="auto"/>
        </w:rPr>
        <w:t>We did not recognize any revenue for the year ended December 31, 2014. We recognized approximately $6.0 million of revenue for the year ending December 31, 2013 related to a license arrangement acquired in December 2009. There were no expenses incurred during 2013 related to the milestone.</w:t>
      </w:r>
    </w:p>
    <w:p>
      <w:pPr>
        <w:spacing w:after="0" w:line="138"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In October 2011 we entered into an agreement with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The $2.5 million was initially recorded as deferred revenue. Revenue was recorded in 2014 and 2013 of zero and $3,000, respectively, as the research and development services were delivered.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 Expenses</w:t>
      </w:r>
    </w:p>
    <w:p>
      <w:pPr>
        <w:spacing w:after="0" w:line="227"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Research, development and patent expenses for the year ended December 31, 2014 were $3.3 million, a decrease of $0.1 million compared to $3.4 million for the year ended December 31, 2013. This decrease in research, development and patent expenses primarily related to a decrease in patent expenses and personnel costs in 2014 as compared to 2013, partially offset by an increase in external development costs associated with MN-166 and MN-001.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2014 were $6.0 million, a decrease of $0.7 million compared to $6.7 million for the year ended December 31, 2013. The decrease in general and administrative expenses primarily related to a decrease in financial accounting consultation fees and personnel costs due to decreased headcount for 2014 as compared to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Other expense for the year ended December 31, 2014 was approximately $13,000, as compared to approximately $25,000 for the year ended December 31, 2013. In 2014 and 2013, other expense consisted of losses from the joint venture accounted for under the equity method according to our percentage ownership, and net foreign exchange losses related to vendor invoices denominated in foreign currencies.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880" w:firstLine="456"/>
        <w:spacing w:after="0" w:line="282" w:lineRule="auto"/>
        <w:rPr>
          <w:sz w:val="20"/>
          <w:szCs w:val="20"/>
          <w:color w:val="auto"/>
        </w:rPr>
      </w:pPr>
      <w:r>
        <w:rPr>
          <w:rFonts w:ascii="Times New Roman" w:cs="Times New Roman" w:eastAsia="Times New Roman" w:hAnsi="Times New Roman"/>
          <w:sz w:val="18"/>
          <w:szCs w:val="18"/>
          <w:color w:val="auto"/>
        </w:rPr>
        <w:t>Other income for the year ended December 31, 2014 was approximately $37,000, as compared to approximately $21,000 for the year ended December 31, 2013. In 2014 and 2013, other income consisted of interest income on our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incurred losses of $9.2 million and $4.0 million for the years ended December 31, 2014, and 2013, respectively. At December 31, 2014, our accumulated deficit was $310.6 million. For the year ended December 31, 2014, net cash of $0.8 million was provided by operating activities. For the year ended December 31, 2013, we used net cash of $10.6 million to fund our operating activities.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8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In March 2011 we announced a firm-commitment underwritten public offering of 2,750,000 units at a price of $3.00 per unit for gross proceeds of $8.25 million. Each unit consists of one share of common stock, and a warrant to purchase one share of common stock at an exercise price of $3.56 and expire on March 29, 2016. The shares of common stock and warrants are immediately separable and were issued separately. On March 24, 2011, the underwriter exercised 50,666 units of its 412,500 unit overallotment. Through December 31, 2014 we have generated gross proceeds of $798,031 from the exercise of 224,166 of these warrants. As of December 31, 2014, 2,576,500 of the March 2011 warrants remain exercisable.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October 2011, pursuant to a stock purchase agreement by and between us and Kissei Pharmaceutical Co., Ltd., or Kissei, Kissei purchased (i) an aggregate of 800,000 shares of our common stock, par value $0.001 per share at a price of $2.50 per share, and (ii) 220,000 shares of our Series B Convertible Preferred Stock, par value $0.01 per share, or Series B Preferred, at a price of $25.00 per share. In October 2011 we received gross proceeds of $7.5 million related to this purchase agreement. The purchase agreement contains a standstill agreement from Kissei that terminates if Kissei beneficially owns less than three percent of our outstanding voting stock. Each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share of the Series B Preferred Stock is convertible into 10 shares of common stock. The Series B Preferred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August 20, 2012, we entered into a common stock purchase agreement with Aspire, pursuant to which we could sell our common stock to Aspire from time to time, up to an aggregate of $20 million of our common stock over the two-year term of the agreement, including $1 million in common stock purchased by Aspire in connection with execution of the agreement. The common stock purchase agreement with Aspire was terminated on October 17, 2013, and as of such date, we had completed sales to Aspire totaling 2,504,532 shares of common stock at prices ranging from $1.60 to $3.82 per share, generating gross proceeds of $5.4 million.</w:t>
      </w:r>
    </w:p>
    <w:p>
      <w:pPr>
        <w:spacing w:after="0" w:line="18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May 9, 2013, we entered into a Securities Purchase Agreement with certain accredited investors pursuant to which we agreed to sell to the investors 1,158,730 shares of our common stock at a price of $3.15 per share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In connection with the purchase by one investor of 158,730 shares of our common stock and a warrant to purchase 119,047 shares of our common stock, on May 29, 2013 the investor provided $51,389 additional consideration for the shares and the warrant, and we entered into an amendment to the warrant with the investor to reflect an exercise price of $3.38 per share. Through December 31, 2014, none of these warrants have been exercised and 869,047 of these warrants remain outstanding.</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April 17, 2013, we entered into an at-the-market equity distribution agreement with Macquarie Capital (USA) Inc., or MCUSA, pursuant to which we could sell our common stock through MCUSA from time to time up to an aggregate offering price of $6.0 million. As of July 25, 2013, we had completed all available sales to MCUSA under this agreement, generating gross and net proceeds of $6.0 million and $5.3 million, respectively, on sales of 1,936,237 shares of common stock at prices ranging from $2.44 to $4.10 per share.</w:t>
      </w:r>
    </w:p>
    <w:p>
      <w:pPr>
        <w:spacing w:after="0" w:line="18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October 16, 2013, we entered into a second at-the-market equity distribution agreement with MCUSA pursuant to which we may sell our common stock through MCUSA from time to time up to an aggregate offering price of $10.0 million. Under the terms of this agreement, unless otherwise mutually agreed, no daily sale of an amount of shares of our common stock is to exceed the lower of $50,000 or 10% of the lower of the 5-day or 3-month average daily traded value of our common stock on NASDAQ (unless 10% of the lower of the 5-day or 3-month average daily traded value of our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 As of December 31, 2014, we have generated gross and net proceeds of $4.4 million and $3.8 million, respectively, under this agreement on sales of 1,902,500 shares of our common stock at prices ranging from $2.01 to $3.64 per share. Between October 16, 2013 and the date of this report, we have generated gross and net proceeds of $5.1 million and $4.4 million, respectively, on the sale of 2,082,500</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shares of our common stock under the at-the-market equity distribution agreement with MCUSA, including gross and net proceeds of $0.7 million and $0.6 million, respectively, on the sale of 180,000 shares of our common stock subsequent to December 31, 2014. We expect to sell additional shares under this agreement during 2015.</w:t>
      </w:r>
    </w:p>
    <w:p>
      <w:pPr>
        <w:spacing w:after="0" w:line="176"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2014, we had available cash and cash equivalents of $11.7 million and working capital of $10.5 million. We expect to have approximately $9.5 million in available cash as of March 31, 2015, and we expect to spend approximately $7.1 million from April 1, 2015 through December 31, 2015 to execute our strategic plan and fund operations. As of the date of this report, we believe we have working capital sufficient to fund operations through March 31, 2016. We are also pursuing other opportunities to raise capital through the sale of our common stock or through other strategic initiatives. We believe certain of our outstanding warrants may provide a source of additional capital including, as of December 31, 2014, 2,576,500 outstanding warrants with an exercise price of $3.56 and an expiration date of March 2016, 750,000 outstanding warrants with an exercise price of $3.15 and an expiration date of May 2018, and 119,047 outstanding warrants with an exercise price of $3.38 and an expiration date of May 2018. These warrants could provide gross proceeds of $11.9 million if exercised. There can be no assurances that any of our outstanding warrants will be exercised, or that there will be adequate financing available to us on acceptable terms, or at all. If we are unable to obtain additional financing, we may have to sell one or more of our programs or cease operations.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31"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and the costs of, future planned clinical trials and other research and development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product development programs;</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7" w:lineRule="exact"/>
        <w:rPr>
          <w:rFonts w:ascii="Times New Roman" w:cs="Times New Roman" w:eastAsia="Times New Roman" w:hAnsi="Times New Roman"/>
          <w:sz w:val="18"/>
          <w:szCs w:val="18"/>
          <w:color w:val="auto"/>
        </w:rPr>
      </w:pPr>
    </w:p>
    <w:p>
      <w:pPr>
        <w:ind w:left="900" w:right="68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 and to complete acquisitions of additional product candidates;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clinical or commercial production of our product candidates;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management, personnel, systems and facilities;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operations or wind-down of any business we may acquire;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prosecuting, enforcing and defending patent claims and other intellectual property rights; and</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and commercialization activities if we obtain regulatory approval to market our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Significant Contractual Obligations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our scheduled long-term contractual obligations that may affect our future liquidity as of December 31, 2014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32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w:t>
            </w:r>
          </w:p>
        </w:tc>
        <w:tc>
          <w:tcPr>
            <w:tcW w:w="5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38"/>
        </w:trPr>
        <w:tc>
          <w:tcPr>
            <w:tcW w:w="51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Pr>
          <w:p>
            <w:pPr>
              <w:spacing w:after="0"/>
              <w:rPr>
                <w:sz w:val="20"/>
                <w:szCs w:val="20"/>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202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services(1)</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3"/>
              </w:rPr>
              <w:t>2,351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3"/>
              </w:rPr>
              <w:t>2,351</w:t>
            </w:r>
          </w:p>
        </w:tc>
        <w:tc>
          <w:tcPr>
            <w:tcW w:w="32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3"/>
              </w:rPr>
              <w:t>2,863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2,661</w:t>
            </w: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10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220" w:hanging="452"/>
        <w:spacing w:after="0" w:line="266"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2011, we entered into an agreement with Kissei to perform research and development services relating to MN-221 in exchange for a non-refundable upfront payment of $2.5 million. We are responsible for all costs to be incurred in the performance of these services. The estimated remaining costs to be incurred in the performance of all such remaining services are included above.</w:t>
      </w:r>
    </w:p>
    <w:p>
      <w:pPr>
        <w:spacing w:after="0" w:line="81"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enter into agreements with third parties to conduct our clinical trials, manufacture our product candidates, and perform data collection, analysis and other services in connection with our product development programs. As our payment obligations under these agreements depend upon the progress of our product development programs, we are unable at this time to estimate the future costs we might incur under these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At December 31, 2014,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219"/>
          </w:cols>
          <w:pgMar w:left="240" w:top="455" w:right="1440"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MediciNova, Inc.</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MediciNova, Inc. as of December 31, 2014 and 2013, and the related consolidated statements of operations and comprehensive loss, stockholders’ equity, and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MediciNova, Inc. at December 31, 2014 and 2013, and the consolidated results of its operations and its cash flows for each of the two years in the period ended December 31, 2014, in conformity with U.S. generally accepted accounting principles.</w:t>
      </w:r>
    </w:p>
    <w:p>
      <w:pPr>
        <w:spacing w:after="0" w:line="176" w:lineRule="exact"/>
        <w:rPr>
          <w:sz w:val="20"/>
          <w:szCs w:val="20"/>
          <w:color w:val="auto"/>
        </w:rPr>
      </w:pPr>
    </w:p>
    <w:p>
      <w:pPr>
        <w:ind w:right="440" w:firstLine="45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MediciNova, Inc.’s internal control over financial reporting as of December 31, 2014, based on criteria established in Internal Control-Integrated Framework issued by the Committee of Sponsoring Organizations of the Treadway Commission (2013 framework) and our report dated March 12, 2015 expressed an unqualified opinion thereon.</w:t>
      </w:r>
    </w:p>
    <w:p>
      <w:pPr>
        <w:spacing w:after="0" w:line="1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86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2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6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11,669,435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6,700,493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6,008,553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463,486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1,673,560</w:t>
            </w:r>
          </w:p>
        </w:tc>
        <w:tc>
          <w:tcPr>
            <w:tcW w:w="0" w:type="dxa"/>
            <w:vAlign w:val="bottom"/>
          </w:tcPr>
          <w:p>
            <w:pPr>
              <w:spacing w:after="0"/>
              <w:rPr>
                <w:sz w:val="1"/>
                <w:szCs w:val="1"/>
                <w:color w:val="auto"/>
              </w:rPr>
            </w:pPr>
          </w:p>
        </w:tc>
      </w:tr>
      <w:tr>
        <w:trPr>
          <w:trHeight w:val="22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12,132,921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14,382,606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9,600,241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684,789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27,273,494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29,546,243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7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461,970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345,530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and other related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786,494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186,393</w:t>
            </w:r>
          </w:p>
        </w:tc>
        <w:tc>
          <w:tcPr>
            <w:tcW w:w="0" w:type="dxa"/>
            <w:vAlign w:val="bottom"/>
          </w:tcPr>
          <w:p>
            <w:pPr>
              <w:spacing w:after="0"/>
              <w:rPr>
                <w:sz w:val="1"/>
                <w:szCs w:val="1"/>
                <w:color w:val="auto"/>
              </w:rPr>
            </w:pPr>
          </w:p>
        </w:tc>
      </w:tr>
      <w:tr>
        <w:trPr>
          <w:trHeight w:val="22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1,593,994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rent and lease liability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1,956,000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1,694,163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1,694,163</w:t>
            </w:r>
          </w:p>
        </w:tc>
        <w:tc>
          <w:tcPr>
            <w:tcW w:w="0" w:type="dxa"/>
            <w:vAlign w:val="bottom"/>
          </w:tcPr>
          <w:p>
            <w:pPr>
              <w:spacing w:after="0"/>
              <w:rPr>
                <w:sz w:val="1"/>
                <w:szCs w:val="1"/>
                <w:color w:val="auto"/>
              </w:rPr>
            </w:pPr>
          </w:p>
        </w:tc>
      </w:tr>
      <w:tr>
        <w:trPr>
          <w:trHeight w:val="22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5,262,905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3,000,000 shares authorized at December 31, 2014 and 2013; 220,000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at December 31, 2014 and 2013</w:t>
            </w: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 December 31, 2014 and 2013;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24,436,317 and 22,495,443 shares issued and outstanding at December 31, 2014 and 2013, respectively</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24,437</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332,666,935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326,868,578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(100,977)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(310,582,006)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(301,386,714)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22,010,589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27,273,494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29,546,243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46"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448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MEDICINOVA, INC.</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98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Borders>
              <w:bottom w:val="single" w:sz="8" w:color="CCEE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License revenue</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Research and development service revenue</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3,259,694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3,365,808</w:t>
            </w:r>
          </w:p>
        </w:tc>
      </w:tr>
      <w:tr>
        <w:trPr>
          <w:trHeight w:val="223"/>
        </w:trPr>
        <w:tc>
          <w:tcPr>
            <w:tcW w:w="20" w:type="dxa"/>
            <w:vAlign w:val="bottom"/>
          </w:tcPr>
          <w:p>
            <w:pPr>
              <w:spacing w:after="0"/>
              <w:rPr>
                <w:sz w:val="19"/>
                <w:szCs w:val="19"/>
                <w:color w:val="auto"/>
              </w:rPr>
            </w:pPr>
          </w:p>
        </w:tc>
        <w:tc>
          <w:tcPr>
            <w:tcW w:w="45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5,963,317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6,657,989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9,223,011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10,023,797</w:t>
            </w: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(9,223,011)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(4,020,540)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36,893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20,565</w:t>
            </w: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(9,199,264)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(4,024,493)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4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(9,195,292)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(4,028,528)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24,067,781</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20,697,440</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(9,195,292)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(4,028,528)</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(20,174)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w:t>
            </w: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3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(9,215,466</w:t>
            </w:r>
          </w:p>
        </w:tc>
        <w:tc>
          <w:tcPr>
            <w:tcW w:w="4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(4,041,374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46"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vMerge w:val="restart"/>
          </w:tcPr>
          <w:p>
            <w:pPr>
              <w:spacing w:after="0"/>
              <w:rPr>
                <w:sz w:val="13"/>
                <w:szCs w:val="13"/>
                <w:color w:val="auto"/>
              </w:rPr>
            </w:pPr>
          </w:p>
        </w:tc>
        <w:tc>
          <w:tcPr>
            <w:tcW w:w="136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0" w:type="dxa"/>
            <w:vAlign w:val="bottom"/>
            <w:tcBorders>
              <w:bottom w:val="single" w:sz="8" w:color="auto"/>
            </w:tcBorders>
            <w:gridSpan w:val="5"/>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3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0"/>
                <w:szCs w:val="10"/>
                <w:color w:val="auto"/>
              </w:rPr>
            </w:pPr>
          </w:p>
        </w:tc>
        <w:tc>
          <w:tcPr>
            <w:tcW w:w="90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6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10"/>
                <w:szCs w:val="10"/>
                <w:color w:val="auto"/>
              </w:rPr>
            </w:pPr>
          </w:p>
        </w:tc>
        <w:tc>
          <w:tcPr>
            <w:tcW w:w="10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0"/>
                <w:szCs w:val="10"/>
                <w:color w:val="auto"/>
              </w:rPr>
            </w:pPr>
          </w:p>
        </w:tc>
        <w:tc>
          <w:tcPr>
            <w:tcW w:w="98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2012</w:t>
            </w: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6"/>
              </w:rPr>
              <w:t>220,000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2,200</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17,407,311</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$ 17,407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$ 312,293,225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(44,705)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(67,957)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$(297,320,178)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14,879,992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stock-based compensation</w:t>
            </w:r>
          </w:p>
        </w:tc>
        <w:tc>
          <w:tcPr>
            <w:tcW w:w="6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1,216,444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Option exercises</w:t>
            </w:r>
          </w:p>
        </w:tc>
        <w:tc>
          <w:tcPr>
            <w:tcW w:w="6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79,462</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193,872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193,951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an employee stock purchase plan</w:t>
            </w:r>
          </w:p>
        </w:tc>
        <w:tc>
          <w:tcPr>
            <w:tcW w:w="6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26,065</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49,764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44,705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(38,008)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56,487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securities purchase</w:t>
            </w: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4,860,939</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4,861</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12,682,264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12,687,125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agreements</w:t>
            </w: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exercises</w:t>
            </w:r>
          </w:p>
        </w:tc>
        <w:tc>
          <w:tcPr>
            <w:tcW w:w="6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121,666</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433,009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433,131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(4,028,528)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(4,028,528)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(12,846)</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2013</w:t>
            </w:r>
          </w:p>
        </w:tc>
        <w:tc>
          <w:tcPr>
            <w:tcW w:w="6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220,000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22,495,443</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22,495</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326,868,578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(80,803)</w:t>
            </w:r>
          </w:p>
        </w:tc>
        <w:tc>
          <w:tcPr>
            <w:tcW w:w="10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(301,386,714)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25,425,756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stock-based compensation</w:t>
            </w:r>
          </w:p>
        </w:tc>
        <w:tc>
          <w:tcPr>
            <w:tcW w:w="6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1,638,038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1,638,038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Option exercises</w:t>
            </w:r>
          </w:p>
        </w:tc>
        <w:tc>
          <w:tcPr>
            <w:tcW w:w="6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51,330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an employee stock purchase plan</w:t>
            </w:r>
          </w:p>
        </w:tc>
        <w:tc>
          <w:tcPr>
            <w:tcW w:w="6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33,374</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60,422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60,456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securities purchase</w:t>
            </w:r>
          </w:p>
        </w:tc>
        <w:tc>
          <w:tcPr>
            <w:tcW w:w="6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1,785,000</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1,785</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3,683,770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3,685,555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agreements</w:t>
            </w: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exercises</w:t>
            </w:r>
          </w:p>
        </w:tc>
        <w:tc>
          <w:tcPr>
            <w:tcW w:w="60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102,500</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364,797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364,900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(9,195,292)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(9,195,292)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(20,174)</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2014</w:t>
            </w:r>
          </w:p>
        </w:tc>
        <w:tc>
          <w:tcPr>
            <w:tcW w:w="6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220,000</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24,436,317</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w w:val="97"/>
              </w:rPr>
              <w:t>$ 24,437</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332,666,935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(100,977)</w:t>
            </w:r>
          </w:p>
        </w:tc>
        <w:tc>
          <w:tcPr>
            <w:tcW w:w="10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(310,582,006)</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22,010,589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Operating activities:</w:t>
            </w:r>
          </w:p>
        </w:tc>
        <w:tc>
          <w:tcPr>
            <w:tcW w:w="2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(9,195,292)</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(4,028,528)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Non-cash stock-based compensation</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1,638,038</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1,216,444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Kissei upfront payment</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40,186</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Gain on disposal of assets</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 benefit from fluctuations in other comprehensive income</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(9,557)</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value of equity method investment</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(3,807)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1,186,352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(1,353,334)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Receivables</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6,008,553</w:t>
            </w: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(6,008,553)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 income tax payable, accrued expenses and deferred rent</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551,955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(509,900)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compensation and related expenses</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600,101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816,529</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(10,646,456)</w:t>
            </w:r>
          </w:p>
        </w:tc>
        <w:tc>
          <w:tcPr>
            <w:tcW w:w="0" w:type="dxa"/>
            <w:vAlign w:val="bottom"/>
          </w:tcPr>
          <w:p>
            <w:pPr>
              <w:spacing w:after="0"/>
              <w:rPr>
                <w:sz w:val="1"/>
                <w:szCs w:val="1"/>
                <w:color w:val="auto"/>
              </w:rPr>
            </w:pPr>
          </w:p>
        </w:tc>
      </w:tr>
      <w:tr>
        <w:trPr>
          <w:trHeight w:val="156"/>
        </w:trPr>
        <w:tc>
          <w:tcPr>
            <w:tcW w:w="7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Investing activities:</w:t>
            </w:r>
          </w:p>
        </w:tc>
        <w:tc>
          <w:tcPr>
            <w:tcW w:w="2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Acquisitions of property and equipment</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(41,554)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(3,523)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(36,754)</w:t>
            </w:r>
          </w:p>
        </w:tc>
        <w:tc>
          <w:tcPr>
            <w:tcW w:w="0" w:type="dxa"/>
            <w:vAlign w:val="bottom"/>
          </w:tcPr>
          <w:p>
            <w:pPr>
              <w:spacing w:after="0"/>
              <w:rPr>
                <w:sz w:val="1"/>
                <w:szCs w:val="1"/>
                <w:color w:val="auto"/>
              </w:rPr>
            </w:pPr>
          </w:p>
        </w:tc>
      </w:tr>
      <w:tr>
        <w:trPr>
          <w:trHeight w:val="156"/>
        </w:trPr>
        <w:tc>
          <w:tcPr>
            <w:tcW w:w="7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Financing activities:</w:t>
            </w:r>
          </w:p>
        </w:tc>
        <w:tc>
          <w:tcPr>
            <w:tcW w:w="2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and warrants, net of issuance costs</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3,797,361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13,363,997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proceeds from issuance of Treasury Stock under ESPP</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warrant exercises</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364,900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7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4,162,261</w:t>
            </w: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13,370,694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Effects of foreign exchange on cash</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(6,325)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4,968,942</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2,689,963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6,700,493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4,010,530</w:t>
            </w:r>
          </w:p>
        </w:tc>
        <w:tc>
          <w:tcPr>
            <w:tcW w:w="0" w:type="dxa"/>
            <w:vAlign w:val="bottom"/>
          </w:tcPr>
          <w:p>
            <w:pPr>
              <w:spacing w:after="0"/>
              <w:rPr>
                <w:sz w:val="1"/>
                <w:szCs w:val="1"/>
                <w:color w:val="auto"/>
              </w:rPr>
            </w:pPr>
          </w:p>
        </w:tc>
      </w:tr>
      <w:tr>
        <w:trPr>
          <w:trHeight w:val="156"/>
        </w:trPr>
        <w:tc>
          <w:tcPr>
            <w:tcW w:w="7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2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11,669,435</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6,700,493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1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paid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5,562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small molecule therapeutics for the treatment of serious diseases with unmet medical needs with a commercial focus on the U.S. market. The Company’s current strategy is to focus our development activities on MN-166 (ibudilast) for neurological disorders such as progressive multiple sclerosis (MS), amyotrophic lateral sclerosis (ALS) and substance dependence (e.g., methamphetamine dependence, opioid dependence, and alcohol dependence), and MN-001 (tipelukast) for nonalcoholic steatohepatitis (NASH), idiopathic pulmonary fibrosis (IPF) and other fibrotic diseases. The Company’s pipeline also includes MN-221 (bedoradrine) for the treatment of acute exacerbation of asthma and MN-029 (denibulin) for solid tumor cancers.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2014, the Company had available cash and cash equivalents of $11.7 million and working capital of $10.5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400" w:firstLine="456"/>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MediciNova, Inc. and its wholly-owned subsidiaries MediciNova (Europe) Limited, MediciNova Japan, Inc. and Avigen, Inc. All intercompany transactions and balances are eliminated in consolidation. MediciNova (Europe) Limited was incorporated under the laws of England in 2006. As of December 31, 2014, there have been no significant transactions related to MediciNova (Europe)</w:t>
      </w:r>
    </w:p>
    <w:p>
      <w:pPr>
        <w:spacing w:after="0" w:line="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Limited. MediciNova Japan, Inc. was incorporated in Japan in 2007. On December 18, 2009, the Company acquired Avigen, Inc., a Delaware corporation (Avigen), and it became a wholly-owned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Company operates in a single industry segment – the acquisition and development of small molecule therapeutics for the treatment of serious diseases with unmet medical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with original maturities of three months or less from the date of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at December 31, 2014 consisted of money market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and Credit Risk</w:t>
      </w:r>
    </w:p>
    <w:p>
      <w:pPr>
        <w:spacing w:after="0" w:line="229"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at various financial institutions and such balances commonly exceed the $250,000 amount insured by the Federal Deposit Insurance Corporation. The Company also maintains money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Financial instruments, including cash and cash equivalents, receivables, accounts payable and accrued liabilities, are carried at cost, which management believes approximates fair value because of the short-term maturity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Intangibles</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Company records goodwill and other intangible assets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7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Company assesses goodwill and indefinite lived intangible assets for impairment using fair value measurement techniques on an annual basis during the fourth quarter of the year, or more frequently if indicators of impairment exist. The Company periodically re-evaluates the original assumptions and rationale utilized in the establishment of the carrying value and estimated lives of its long-lived assets. The criteria used for these evaluations include management’s estimate of the asset’s continuing ability to generate income from operations and positive cash flows in future periods as well as the strategic significance of any intangible assets in the Company’s business objectives. If assets are considered to be impaired, the impairment recognized is the amount by which the carrying value of the assets exceeds the fair value of the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$2.9 million and $2.7 million for the years ended December 31, 2014 and 2013, respectively.</w:t>
      </w:r>
    </w:p>
    <w:p>
      <w:pPr>
        <w:spacing w:after="0" w:line="176"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$0.4 million and $0.7 million for the years ended December 31, 2014 and 2013,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may be issued under the Company’s stock option agreements and warrants. Common share equivalents are excluded from the diluted net loss per share calculation because of their anti-dilutive effect. Due to the net income recorded for the fourth quarter of 2013, the Company considered the impact of using the two-class method for presenting net income per share given the participating nature of the Series B Convertible Preferred Stockholders noting the two-class method was not applicable.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Potentially dilutive outstanding securities excluded from diluted net loss per common share because of their anti-dilutive effect: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spacing w:after="0"/>
              <w:rPr>
                <w:sz w:val="20"/>
                <w:szCs w:val="20"/>
                <w:color w:val="auto"/>
              </w:rPr>
            </w:pPr>
          </w:p>
        </w:tc>
        <w:tc>
          <w:tcPr>
            <w:tcW w:w="206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9360" w:type="dxa"/>
            <w:vAlign w:val="bottom"/>
          </w:tcPr>
          <w:p>
            <w:pPr>
              <w:spacing w:after="0"/>
              <w:rPr>
                <w:sz w:val="18"/>
                <w:szCs w:val="18"/>
                <w:color w:val="auto"/>
              </w:rPr>
            </w:pPr>
          </w:p>
        </w:tc>
        <w:tc>
          <w:tcPr>
            <w:tcW w:w="8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4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3,447,969</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3,217,043</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3,658,567</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3,761,067</w:t>
            </w: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9,306,536</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9,178,110</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in 2017. Early adoption is not permitted. The amendments may be applied retrospectively to each prior period presented or retrospectively with the cumulative effect recognized as of the date of initial application. The Company is currently evaluating the impact these amendments will have on its consolidated financial statements.</w:t>
      </w:r>
    </w:p>
    <w:p>
      <w:pPr>
        <w:spacing w:after="0" w:line="18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July 2013, the FASB issued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The adoption of this guidance did not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229"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Genzyme Corporation</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In December 2005, Avigen and Genzyme entered into an Assignment Agreement (Genzyme Agreement) in which Genzyme acquired certain gene therapy intellectual property, programs and other related assets from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Avigen in exchange for an initial $12.0 million payment, and Avigen could receive additional development milestone payments, sublicensing fees and royalty payments based on the successful development of products by Genzyme utilizing technologies previously developed by us.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in the Genzyme Agreement had been earned, and license revenue and a receivable of $6.0 million were recorded as no future performance obligation exists. The Company received payment of the amount receivable in January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after 2014. The Company assessed the deliverables in accordance with the authoritative guidance and concluded the existence of one deliverable, research and development services. As such, revenue is being recognizing as the research and development services are performed. The amount received from Kissei, net of the amount recorded as revenue, is included on the balance sheet as long-term deferred revenue and will be recognized as revenue as the remaining services are performed. Revenue recorded was zero and $3,000 in 2014 and 2013,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207"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such as quoted prices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5" w:lineRule="exact"/>
        <w:rPr>
          <w:sz w:val="20"/>
          <w:szCs w:val="20"/>
          <w:color w:val="auto"/>
        </w:rPr>
      </w:pPr>
    </w:p>
    <w:p>
      <w:pPr>
        <w:ind w:left="1620" w:right="700" w:hanging="1160"/>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quoted prices for similar items in active markets or inputs are quoted prices for identical or similar items in markets that are not active near the measurement date; and</w:t>
      </w:r>
    </w:p>
    <w:p>
      <w:pPr>
        <w:spacing w:after="0" w:line="16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due to little or no market data, which require the reporting entity to develop its own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66369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Cash equivalents, including money market accounts of $11.5 million and $6.0 million measured at fair value as of December 31, 2014 and 2013, respectively, are classified within Level 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5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Balance Sheet Details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9"/>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253,350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257,945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238,808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506,792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513,607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(461,948)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(431,193)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44,844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40,186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Company uses the straight-line method to record depreciation expense.</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8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9"/>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fees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66,761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38,208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127,643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102,094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345,530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240,148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9"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December 31, 2014, is included on the balance sheet at December 31, 2014 as deferred revenue and will be recognized as revenue in future periods as the Company performs the remaining services.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9, 2013, the Company entered into a securities purchase agreement with certain accredited investors pursuant to which the Company agreed to sell to the investors 1,158,730 shares of common stock and warrants to purchase an aggregate of 869,047 shares of common stock (the “Private Placement”). The Private Placement closed on May 14, 2013. The Private Placement included issuance of shares of common stock and a warrant to purchase shares of common stock to Fountain Erika LLC (“Fountain Erika”), an entity of which Tatsuo Izumi, a member of the Company’s board of directors at that time, is a principal. The warrant was subsequently amended on May 29, 2013. Fountain Erika’s acquisition of the shares of common stock and a warrant to purchase shares of the Company’s common stock was at an “at the market” price.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60"/>
          </w:cols>
          <w:pgMar w:left="240" w:top="446" w:right="2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 subleases its office space under an operating lease with an initial term of four years and nine months, expiring in November 2017. Rent expense for the years ended December 31, 2014 and 2013 was $231,143 and $259,690, respectively. The difference between the minimum lease payments and the straight-line amount of total rent expense is recorded as deferred rent. Deferred rent at December 31, 2014 and 2013 was $16,536 and $9,889, respectively.</w:t>
      </w:r>
    </w:p>
    <w:p>
      <w:pPr>
        <w:spacing w:after="0" w:line="18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2014, the total estimated future annual minimum lease payments under the Company’s non-cancelable building and copier leases for the years ending after December 31, 2014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4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$202,147</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168,403</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140,638</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minimum payments</w:t>
            </w:r>
          </w:p>
        </w:tc>
        <w:tc>
          <w:tcPr>
            <w:tcW w:w="4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512,303</w:t>
            </w:r>
          </w:p>
        </w:tc>
      </w:tr>
      <w:tr>
        <w:trPr>
          <w:trHeight w:val="20"/>
        </w:trPr>
        <w:tc>
          <w:tcPr>
            <w:tcW w:w="5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No amounts have been expended under these agreements during the years ended December 31, 2014 or 2013. For products currently in development, future potential milestone payments based on product development are $10.0 million as of December 31, 2014. For all other products, future potential milestone payments related to development milestones and commercialization milestones totaled $50.8 million as of December 31, 2014.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Joint Venture</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2014, Beijing Medfron Medical Technologies Co., Ltd. and MediciNova each have a 50% interest in Zhejiang Sunmy. No additional capital was contributed by either remaining party.</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December 31, 2014, the investment is reflected as a long-term asset on the Company’s consolidated balance sheet which represents the investment in Zhejiang Sunmy, net of the Company’s portion of any generated loss or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2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2014, 2,359,825 options remain available for future grant under the 2013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Options granted under the 2013 Plan and 2004 Plan have terms of ten years from the date of grant and generally vest over a three or four year period.</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exercise price of all options granted during the years ended December 31, 2014 and 2013 was equal to the market value of the Company’s common stock on the date of grant.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December 31, 2014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w w:val="97"/>
              </w:rPr>
              <w:t>Option Shares</w:t>
            </w:r>
          </w:p>
        </w:tc>
        <w:tc>
          <w:tcPr>
            <w:tcW w:w="140" w:type="dxa"/>
            <w:vAlign w:val="bottom"/>
          </w:tcPr>
          <w:p>
            <w:pPr>
              <w:spacing w:after="0"/>
              <w:rPr>
                <w:sz w:val="20"/>
                <w:szCs w:val="20"/>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4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3,217,043</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3.90</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2.57</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(49,074)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3.30</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3,447,969</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6.08</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3,008,317</w:t>
            </w: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0" w:type="dxa"/>
            <w:vAlign w:val="bottom"/>
          </w:tcPr>
          <w:p>
            <w:pPr>
              <w:spacing w:after="0"/>
              <w:rPr>
                <w:sz w:val="18"/>
                <w:szCs w:val="18"/>
                <w:color w:val="auto"/>
              </w:rPr>
            </w:pPr>
          </w:p>
        </w:tc>
        <w:tc>
          <w:tcPr>
            <w:tcW w:w="14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w w:val="88"/>
              </w:rPr>
              <w:t>5.66</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during 2014 and 2013 was $8,485 and $63,704, respectively. During the year ended December 31, 2014, there were 20,000 stock options exercised, from which proceeds of $51,350 was received. During the years ended December 31, 2014 and 2013, options to purchase 300,000 and 1,608,000 shares of common stock, respectively, were granted.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the year ended December 31, 2014, an aggregate of 33,374 shares were issued under the ESPP, leaving 215,953 shares available for future issuance.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229"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36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368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bottom w:val="single" w:sz="8" w:color="CCEEFF"/>
            </w:tcBorders>
          </w:tcPr>
          <w:p>
            <w:pPr>
              <w:spacing w:after="0"/>
              <w:rPr>
                <w:sz w:val="18"/>
                <w:szCs w:val="18"/>
                <w:color w:val="auto"/>
              </w:rPr>
            </w:pPr>
          </w:p>
        </w:tc>
      </w:tr>
      <w:tr>
        <w:trPr>
          <w:trHeight w:val="196"/>
        </w:trPr>
        <w:tc>
          <w:tcPr>
            <w:tcW w:w="3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Stock Options</w:t>
            </w:r>
          </w:p>
        </w:tc>
        <w:tc>
          <w:tcPr>
            <w:tcW w:w="4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5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76.42%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84.80%</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2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5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w:t>
            </w:r>
          </w:p>
        </w:tc>
      </w:tr>
      <w:tr>
        <w:trPr>
          <w:trHeight w:val="365"/>
        </w:trPr>
        <w:tc>
          <w:tcPr>
            <w:tcW w:w="3680" w:type="dxa"/>
            <w:vAlign w:val="bottom"/>
          </w:tcPr>
          <w:p>
            <w:pPr>
              <w:spacing w:after="0"/>
              <w:rPr>
                <w:sz w:val="24"/>
                <w:szCs w:val="24"/>
                <w:color w:val="auto"/>
              </w:rPr>
            </w:pPr>
          </w:p>
        </w:tc>
        <w:tc>
          <w:tcPr>
            <w:tcW w:w="422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6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900" w:type="dxa"/>
            <w:vAlign w:val="bottom"/>
          </w:tcPr>
          <w:p>
            <w:pPr>
              <w:spacing w:after="0"/>
              <w:rPr>
                <w:sz w:val="20"/>
                <w:szCs w:val="20"/>
                <w:color w:val="auto"/>
              </w:rPr>
            </w:pPr>
          </w:p>
        </w:tc>
        <w:tc>
          <w:tcPr>
            <w:tcW w:w="16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9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6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Borders>
              <w:bottom w:val="single" w:sz="8" w:color="CCEEFF"/>
            </w:tcBorders>
          </w:tcPr>
          <w:p>
            <w:pPr>
              <w:spacing w:after="0"/>
              <w:rPr>
                <w:sz w:val="18"/>
                <w:szCs w:val="18"/>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Employee Stock Purchase Plan</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62.65%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89.66%</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term (in years)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84"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years ended December 31, 2014 and 2013, estimated as of the grant date using the Black-Scholes option valuation model, was $1.58 per option and $2.37 per option, respectively.</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stock option awards and ESPP shares are reflected in total operating expense for each respective year. For the years ended December 31, 2014 and 2013, stock-based compensation expense related to stock options and the ESPP was $1.6 million and $1.2 million, respectively, and was recorded as a component of general and administrative expense ($1.2 million and $0.8 million, respectively) and research and development expense ($0.4 million and $0.4 million, respectively).</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$1.0 million of unamortized compensation cost related to unvested stock option awards which is expected to be recognized over a remaining weighted-average vesting period of 2.1 years, on a straight-line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2011 Unit Offering</w:t>
      </w:r>
    </w:p>
    <w:p>
      <w:pPr>
        <w:spacing w:after="0" w:line="22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March 2011 we announced a firm-commitment underwritten public offering of 2,750,000 units at a price of $3.00 per unit for gross proceeds of $8.25 million. Each unit consists of one share of common stock, and a warrant to purchase one share of common stock at an exercise price of $3.56 and expire on March 29, 2016. The shares of common stock and warrants are immediately separable and were issued separately. On March 24, 2011, the underwriter exercised 50,666 units of its 412,500 unit overallotment. Through December 31, 2014 we have generated gross proceeds of $798,031 from the exercise of 224,166 of these warrants. As of December 31, 2014, 2,576,500 of the March 2011 warrants remain exercisable.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Stock Purchase</w:t>
      </w:r>
    </w:p>
    <w:p>
      <w:pPr>
        <w:spacing w:after="0" w:line="229"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In October 2011, pursuant to a stock purchase agreement by and between the Company and Kissei Pharmaceutical Co., Ltd., or Kissei, Kissei purchased (i) an aggregate of 800,000 shares of the Company’s common stock, par value $0.001 per share at a price of $2.50 per share, and (ii) 220,000 shares of the Company’s Series B Convertible Preferred Stock, par value $0.01 per share, at a price of $25.00 per share. In October 2011</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60"/>
          </w:cols>
          <w:pgMar w:left="240" w:top="455" w:right="2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Company received gross proceeds of $7.5 million related to this purchase agreement. The purchase agreement contains a standstill agreement from Kissei that terminates if Kissei beneficially owns less than three percent of the Company’s outstanding voting stock. Each share of the Series B Preferred Stock is convertible into 10 shares of common stock. The Series B Preferred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(on an as-if-converted-to-common-stock basis) with the common stock in liquidation and dividend rights. The holders of the Series B Preferred do not have voting rights, however, the consent of holders of a majority of the outstanding Series B Preferred is required for certain 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August 20, 2012, the Company entered into a common stock purchase agreement with Aspire pursuant to which the Company could elect sell to Aspire, and Aspire would be obligated to purchase, up to an aggregate of $20 million of common stock over the two-year term of the agreement including $1.0 million in common stock purchased by Aspire in connection with execution of the agreement. The common stock purchase agreement with Aspire was terminated on October 17, 2013, and as of such date, the Company had completed sales to Aspire totaling 2,504,532 shares of common stock at prices ranging from $1.60 to $3.82 per share, generating gross proceeds of $5.4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w:t>
      </w:r>
    </w:p>
    <w:p>
      <w:pPr>
        <w:spacing w:after="0" w:line="229"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On April 17, 2013, the Company entered into an at-the-market equity distribution agreement with Macquarie Capital (USA) Inc., or MCUSA, pursuant to which the Company could sell common stock through MCUSA from time to time up to an aggregate offering price of $6.0 million. As of July 25, 2013, the Company had completed all available sales to MCUSA under this agreement, generating gross and net proceeds of $6.0 million and $5.3 million, respectively, on sales of 1,936,237 shares of common stock at prices ranging from $2.44 to $4.10 per share.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October 16, 2013, the Company entered into a second at-the-market equity distribution agreement with MCUSA pursuant to which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sell common stock through MCUSA from time to time up to an aggregate offering price of $10.0 million. Under the terms of this agreement,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mutually agreed, no daily sale of an amount of shares of the Company’s common stock is to exceed the lower of $50,000 or 10% of the lower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5-day or 3-month average daily traded value of the Company’s common stock on NASDAQ (unless 10% of the lower of the 5-day or 3-month average daily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traded value of the Company’s common stock on the JASDAQ Market of the Tokyo Stock Exchange (“TSE”) is greater, in which case the value from the TSE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used) as of the date of the applicable issuance notice. The price per share is not to be less than the greater of $1.29 or the last available closing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 of the Company’s common stock on NASDAQ. MCUSA agreed to use its commercially reasonable efforts consistent with its customary trading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practices and applicable laws, rules and regulations to sell shares of the Company’s common stock and is to sell such shares by any method permitted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deemed to be “at the market.” The Company agreed to pay MCUSA an aggregate commission rate of 7.0% of the gross proceeds of any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under this agreement. MCUSA is under no obligation to purchase shares pursuant to this agreement and there are no assurances that MCUSA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in selling shares. Proceeds from sales of common stock will depend on the number of shares of common stock sold to MCUSA and the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of each transaction. The agreement with MCUSA provides both MCUSA and the Company the right to terminate the agreement in our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upon giving five business days written notice. As of December 31, 2014, the Company has generated gross and net proceeds of $4.4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million, respectively, under this agreement on sales of 1,902,500 shares of the Company’s common stock at prices ranging from $2.01 to $3.64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October 16, 2013 and the date of this report, the Company has generated gross and net proceeds of $5.1 million and $4.4 million, respectively,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of 2,082,500 shares of the Company’s common stock under the at-the-market equity distribution agreement with MCUSA, including gross and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$0.7 million and $0.6 million, respectively, on the sale of 180,000 shares of common stock subsequent to December 31, 2014.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for Services</w:t>
      </w:r>
    </w:p>
    <w:p>
      <w:pPr>
        <w:spacing w:after="0" w:line="22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August 22, 2012, the Company issued a warrant in exchange for investor relations services to purchase up to 130,000 of common stock of the Company at a price of $1.88 per share, the closing price of the Company’s common stock on that date. The warrant contained provisions whereby it became exercisable for a specified number of shares of common stock as a result of the stock achieving certain share price targets within a 15-month period beginning on August 22, 2012. As of December 31, 2014, the warrant was exercisable for 15,000 shares, and no further shares will vest. The warrant expires five years from the date of issuance. The warrant was valued at its fair value of approximately $100,000 on August 22, 2012, is classified as equity and was amortized over the one-year period beginning August 22, 2012.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ind w:right="20" w:firstLine="456"/>
        <w:spacing w:after="0" w:line="271" w:lineRule="auto"/>
        <w:rPr>
          <w:sz w:val="20"/>
          <w:szCs w:val="20"/>
          <w:color w:val="auto"/>
        </w:rPr>
      </w:pPr>
      <w:r>
        <w:rPr>
          <w:rFonts w:ascii="Times New Roman" w:cs="Times New Roman" w:eastAsia="Times New Roman" w:hAnsi="Times New Roman"/>
          <w:sz w:val="17"/>
          <w:szCs w:val="17"/>
          <w:color w:val="auto"/>
        </w:rPr>
        <w:t>On May 9, 2013, the Company entered into a Securities Purchase Agreement with certain accredited investors (the “Purchase Agreement”) pursuant to which the Company agreed to sell to the investors 1,158,730 shares of the Company’s common stock at a price of $3.15 per share and warrants to purchase an aggregate of 869,047 shares of the Company’s common stock with an exercise price of $3.15 per share (the “Private Placement”). The Private Placement closed on May 14, 2013. The warrants will expire on May 9, 2018 and may be exercised for cash or, if the current market price of common stock of the Company is greater than the per share exercise price, by surrender of a portion of the warrant in a cashless exercise. The aggregate purchase price for the shares and the warrants sold in the Private Placement was $3.7 million and associated expenses incurred were $0.3 million. In connection with the purchase by one investor of 158,730 shares of common stock and a warrant to purchase 119,047 shares of common stock, on May 29, 2013 the investor provided $51,389 additional consideration for the shares and the warrant, and the Company entered into an amendment to the warrant with the investor to reflect an exercise price of $3.38 per share. Through December 31, 2014, none of these warrants have been exercised and 869,047 of these warrants remain outstanding.</w:t>
      </w:r>
    </w:p>
    <w:p>
      <w:pPr>
        <w:spacing w:after="0" w:line="174"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net proceeds for the shares and the warrants sold in the Private Placement of $3.4 million were allocated based on the relative fair value of each instrument. The fair value of the shares was based on the closing price of the Company’s common stock on May 9, 2013, and the fair value of the warrants based on a Black-Scholes valuation model.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The following table summarizes common stock reserved for future issuance at December 31, 2014: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reserved for issuance upon conversion of Series B Convertible Preferred Stock</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issuance under the ESPP</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reserved for issuance upon exercise of warrants outstanding</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reserved for issuance upon exercise of options outstanding (under the 2004 Plan and 2013 Plan)</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reserved for future equity awards (under the 2013 Plan)</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2,359,825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jc w:val="right"/>
              <w:ind w:right="449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3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A reconciliation of income (loss) before income taxes for domestic and foreign locations for the years ended December 31, 2014 and 2013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(9,227,509)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(4,048,522)</w:t>
            </w: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28,245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(9,199,264)</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(4,024,493)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A reconciliation of income tax expense for the years ended December 31, 2014 and 2013 is as follows: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560" w:type="dxa"/>
            <w:vAlign w:val="bottom"/>
            <w:tcBorders>
              <w:top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$(7,517)</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3"/>
              </w:rPr>
              <w:t>5,627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4,035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5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(3,972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4,035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significant components of deferred income taxes at December 31, 2014 and 2013 are as follows: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11"/>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87,370,000</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84,537,000</w:t>
            </w: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licenses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1,576,000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tax credits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7,557,000</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7,448,000</w:t>
            </w: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1,763,000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1,448,000</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1,454,000</w:t>
            </w: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99,850,000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96,778,000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process R&amp;D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(1,956,000)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(1,956,000)</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97,894,000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94,822,000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(99,850,000)</w:t>
            </w:r>
          </w:p>
        </w:tc>
        <w:tc>
          <w:tcPr>
            <w:tcW w:w="80" w:type="dxa"/>
            <w:vAlign w:val="bottom"/>
            <w:shd w:val="clear" w:color="auto" w:fill="CCEEFF"/>
          </w:tcPr>
          <w:p>
            <w:pPr>
              <w:spacing w:after="0"/>
              <w:rPr>
                <w:sz w:val="18"/>
                <w:szCs w:val="18"/>
                <w:color w:val="auto"/>
              </w:rPr>
            </w:pPr>
          </w:p>
        </w:tc>
        <w:tc>
          <w:tcPr>
            <w:tcW w:w="1440" w:type="dxa"/>
            <w:vAlign w:val="bottom"/>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(96,778,000)</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liability</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(1,956,000</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2014, the Company has federal and California net operating losses, or NOL, carryforwards of approximately $215.8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$206.2 million, respectively. The federal NOL carryforwards begin to expire in 2020, and the California NOL carryforwards continue to expire in 2015.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that $99.7 million in California NOL carryforwards will expire by 2017 and the remaining $106.5 million in California NOL carryforwards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begin to expire in 2028. At December 31, 2014, the Company also had federal and California research tax credit carryforwards of approximately $6.5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$1.6 million, respectively. The federal research tax credit carryforwards begin to expire in 2024, and the California research tax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 does not expire and can be carried forward indefinitely until utilized. At December 31, 2014, the Company has both federal and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loss carryovers of approximately $1.7 million. The federal and California capital loss carryovers expire in 2015.</w:t>
      </w:r>
    </w:p>
    <w:p>
      <w:pPr>
        <w:spacing w:after="0" w:line="20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income tax rate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31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4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0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35.0%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0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5.3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2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(33.4)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02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attributes</w:t>
            </w:r>
          </w:p>
        </w:tc>
        <w:tc>
          <w:tcPr>
            <w:tcW w:w="202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(5.4)</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02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0.0%</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2014, there are no unrecognized tax benefits, and there are not significant accruals for interest related to unrecognized tax benefits or tax penalties.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Savings Plan</w:t>
      </w:r>
    </w:p>
    <w:p>
      <w:pPr>
        <w:spacing w:after="0" w:line="22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Company has an employee savings plan available to substantially all employees. Under the plan, an employee may elect salary reductions which are contributed to the plan. The plan provides for discretionary contributions by us, which totaled $63,935 and $87,710 for the years ended December 31, 2014 and 2013.</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Quarterly Financial Data (Unaudited)</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quarterly financial data for eight consecutive quarters ended December 31, 2014. The unaudited quarterly information has been prepared on the same basis as the audited consolidated financial statements and, in the opinion of management, includes all adjustments, necessary for a fair presentation of this data (in thousands, except per share data). As the shares of Series B Convertible Preferred Stock participate equally with the common shares upon payment of dividends, the two-class method is not applicable in the calculation of earnings per share for the fourth quarter of 2013 when net income was recorded.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740" w:type="dxa"/>
            <w:vAlign w:val="bottom"/>
          </w:tcPr>
          <w:p>
            <w:pPr>
              <w:spacing w:after="0"/>
              <w:rPr>
                <w:sz w:val="16"/>
                <w:szCs w:val="16"/>
                <w:color w:val="auto"/>
              </w:rPr>
            </w:pPr>
          </w:p>
        </w:tc>
        <w:tc>
          <w:tcPr>
            <w:tcW w:w="90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1st</w:t>
            </w:r>
          </w:p>
        </w:tc>
        <w:tc>
          <w:tcPr>
            <w:tcW w:w="420" w:type="dxa"/>
            <w:vAlign w:val="bottom"/>
          </w:tcPr>
          <w:p>
            <w:pPr>
              <w:spacing w:after="0"/>
              <w:rPr>
                <w:sz w:val="16"/>
                <w:szCs w:val="16"/>
                <w:color w:val="auto"/>
              </w:rPr>
            </w:pPr>
          </w:p>
        </w:tc>
        <w:tc>
          <w:tcPr>
            <w:tcW w:w="1300" w:type="dxa"/>
            <w:vAlign w:val="bottom"/>
            <w:gridSpan w:val="2"/>
          </w:tcPr>
          <w:p>
            <w:pPr>
              <w:jc w:val="right"/>
              <w:ind w:right="840"/>
              <w:spacing w:after="0" w:line="188" w:lineRule="exact"/>
              <w:rPr>
                <w:sz w:val="20"/>
                <w:szCs w:val="20"/>
                <w:color w:val="auto"/>
              </w:rPr>
            </w:pPr>
            <w:r>
              <w:rPr>
                <w:rFonts w:ascii="Times New Roman" w:cs="Times New Roman" w:eastAsia="Times New Roman" w:hAnsi="Times New Roman"/>
                <w:sz w:val="18"/>
                <w:szCs w:val="18"/>
                <w:b w:val="1"/>
                <w:bCs w:val="1"/>
                <w:color w:val="auto"/>
              </w:rPr>
              <w:t>2nd</w:t>
            </w:r>
          </w:p>
        </w:tc>
        <w:tc>
          <w:tcPr>
            <w:tcW w:w="1320" w:type="dxa"/>
            <w:vAlign w:val="bottom"/>
            <w:gridSpan w:val="2"/>
          </w:tcPr>
          <w:p>
            <w:pPr>
              <w:jc w:val="right"/>
              <w:ind w:right="860"/>
              <w:spacing w:after="0" w:line="188" w:lineRule="exact"/>
              <w:rPr>
                <w:sz w:val="20"/>
                <w:szCs w:val="20"/>
                <w:color w:val="auto"/>
              </w:rPr>
            </w:pPr>
            <w:r>
              <w:rPr>
                <w:rFonts w:ascii="Times New Roman" w:cs="Times New Roman" w:eastAsia="Times New Roman" w:hAnsi="Times New Roman"/>
                <w:sz w:val="18"/>
                <w:szCs w:val="18"/>
                <w:b w:val="1"/>
                <w:bCs w:val="1"/>
                <w:color w:val="auto"/>
              </w:rPr>
              <w:t>3rd</w:t>
            </w:r>
          </w:p>
        </w:tc>
        <w:tc>
          <w:tcPr>
            <w:tcW w:w="64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4th</w:t>
            </w:r>
          </w:p>
        </w:tc>
        <w:tc>
          <w:tcPr>
            <w:tcW w:w="100" w:type="dxa"/>
            <w:vAlign w:val="bottom"/>
          </w:tcPr>
          <w:p>
            <w:pPr>
              <w:spacing w:after="0"/>
              <w:rPr>
                <w:sz w:val="16"/>
                <w:szCs w:val="16"/>
                <w:color w:val="auto"/>
              </w:rPr>
            </w:pPr>
          </w:p>
        </w:tc>
      </w:tr>
      <w:tr>
        <w:trPr>
          <w:trHeight w:val="238"/>
        </w:trPr>
        <w:tc>
          <w:tcPr>
            <w:tcW w:w="674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42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2,364</w:t>
            </w:r>
          </w:p>
        </w:tc>
        <w:tc>
          <w:tcPr>
            <w:tcW w:w="17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2,131</w:t>
            </w: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2,345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(2,352)</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(2,122)</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(2,340)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(2,352)</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(2,122)</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(2,340)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(0.09)</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(0.10)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1st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2nd</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3rd</w:t>
            </w:r>
          </w:p>
        </w:tc>
        <w:tc>
          <w:tcPr>
            <w:tcW w:w="240" w:type="dxa"/>
            <w:vAlign w:val="bottom"/>
          </w:tcPr>
          <w:p>
            <w:pPr>
              <w:spacing w:after="0"/>
              <w:rPr>
                <w:sz w:val="16"/>
                <w:szCs w:val="16"/>
                <w:color w:val="auto"/>
              </w:rPr>
            </w:pPr>
          </w:p>
        </w:tc>
        <w:tc>
          <w:tcPr>
            <w:tcW w:w="6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4th</w:t>
            </w:r>
          </w:p>
        </w:tc>
        <w:tc>
          <w:tcPr>
            <w:tcW w:w="100" w:type="dxa"/>
            <w:vAlign w:val="bottom"/>
          </w:tcPr>
          <w:p>
            <w:pPr>
              <w:spacing w:after="0"/>
              <w:rPr>
                <w:sz w:val="16"/>
                <w:szCs w:val="16"/>
                <w:color w:val="auto"/>
              </w:rPr>
            </w:pPr>
          </w:p>
        </w:tc>
      </w:tr>
      <w:tr>
        <w:trPr>
          <w:trHeight w:val="238"/>
        </w:trPr>
        <w:tc>
          <w:tcPr>
            <w:tcW w:w="5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44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0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5"/>
              </w:rPr>
              <w:t>Quarter</w:t>
            </w: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6,000</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(2,237)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applicable to common stockholders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share(1)</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common share(1)</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0" w:hanging="452"/>
        <w:spacing w:after="0" w:line="282"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loss per share is computed independently for each of the quarters presented. The sum of the quarterly net income and loss per share will not necessarily equal the total for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Subsequent to December 31, 2014 through the date of this report, the Company generated gross and net proceeds of $0.7 million and $0.6 million, respectively, on the sale of 180,000 shares of common stock under the second at-the-market equity distribution agreement with MCUSA.</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On March 5, 2015, the Company received a $100,000 payment from a vendor to offset the costs of manufactured drug product that was inadvertently destroyed by the vendor.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2014, our disclosure controls and procedures were effective.</w:t>
      </w:r>
    </w:p>
    <w:p>
      <w:pPr>
        <w:spacing w:after="0" w:line="18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0" w:lineRule="exact"/>
        <w:rPr>
          <w:sz w:val="20"/>
          <w:szCs w:val="20"/>
          <w:color w:val="auto"/>
        </w:rPr>
      </w:pPr>
    </w:p>
    <w:p>
      <w:pPr>
        <w:ind w:left="1160" w:hanging="257"/>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ind w:left="460" w:right="300" w:firstLine="443"/>
        <w:spacing w:after="0" w:line="266" w:lineRule="auto"/>
        <w:tabs>
          <w:tab w:leader="none" w:pos="11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76" w:lineRule="exact"/>
        <w:rPr>
          <w:rFonts w:ascii="Times New Roman" w:cs="Times New Roman" w:eastAsia="Times New Roman" w:hAnsi="Times New Roman"/>
          <w:sz w:val="18"/>
          <w:szCs w:val="18"/>
          <w:color w:val="auto"/>
        </w:rPr>
      </w:pPr>
    </w:p>
    <w:p>
      <w:pPr>
        <w:ind w:left="460" w:right="20" w:firstLine="443"/>
        <w:spacing w:after="0" w:line="282" w:lineRule="auto"/>
        <w:tabs>
          <w:tab w:leader="none" w:pos="11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20"/>
          </w:cols>
          <w:pgMar w:left="24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80"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(2013 framework) published by the Committee of Sponsoring Organizations of the Treadway Commission (2013 framework), known as COSO, to evaluate the effectiveness of our internal control over financial reporting. Based on this assessment, management has concluded that our internal control over financial reporting was effective as of December 31, 2014.</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audited our consolidated financial statements included in this Annual Report on Form 10-K and has issued an attestation report, included herein, on the effectiveness of our internal control over financial reporting as of December 31, 2014.</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MediciNova, Inc.</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audited MediciNova, Inc.’s internal control over financial reporting as of December 31, 2014, based on criteria established in Internal Control —Integrated Framework issued by the Committee of Sponsoring Organizations of the Treadway Commission (2013 framework) (the COSO criteria). MediciNova,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60" w:firstLine="456"/>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our opinion, MediciNova, Inc. maintained, in all material respects, effective internal control over financial reporting as of December 31, 2014, based on the COSO criteria.</w:t>
      </w:r>
    </w:p>
    <w:p>
      <w:pPr>
        <w:spacing w:after="0" w:line="162"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MediciNova, Inc. as of December 31, 2014 and 2013, and the related consolidated statements of operations and comprehensive loss, stockholders’ equity and cash flows for each of the two years in the period ended December 31, 2014 of MediciNova, Inc. and our report dated March 12, 2015 expressed an unqualified opinion thereon.</w:t>
      </w:r>
    </w:p>
    <w:p>
      <w:pPr>
        <w:spacing w:after="0" w:line="1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219"/>
          </w:cols>
          <w:pgMar w:left="240" w:top="455" w:right="1440"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2015 Annual Meeting of Stockholders to be filed with the SEC within 120 days after the conclusion of our fiscal year ended December 31, 2014 and is incorporated in this Annual Report on Form 10-K by reference.</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Times New Roman" w:cs="Times New Roman" w:eastAsia="Times New Roman" w:hAnsi="Times New Roman"/>
          <w:sz w:val="18"/>
          <w:szCs w:val="18"/>
          <w:i w:val="1"/>
          <w:iCs w:val="1"/>
          <w:color w:val="auto"/>
        </w:rPr>
        <w:t>www.medicinova.com</w:t>
      </w:r>
      <w:r>
        <w:rPr>
          <w:rFonts w:ascii="Times New Roman" w:cs="Times New Roman" w:eastAsia="Times New Roman" w:hAnsi="Times New Roman"/>
          <w:sz w:val="18"/>
          <w:szCs w:val="18"/>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 titled “Executive Compensation” in our Proxy Statement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Certain of the information required by this item will be contained in section titled “Security Ownership of Certain Beneficial Owners and Management” the Proxy Statement and is incorporated in this Annual Report on Form 10-K by reference.</w:t>
      </w:r>
    </w:p>
    <w:p>
      <w:pPr>
        <w:spacing w:after="0" w:line="162"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2014 with respect to the shares of our common stock that may be issued under our existing equity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140" w:type="dxa"/>
            <w:vAlign w:val="bottom"/>
          </w:tcPr>
          <w:p>
            <w:pPr>
              <w:spacing w:after="0"/>
              <w:rPr>
                <w:sz w:val="18"/>
                <w:szCs w:val="18"/>
                <w:color w:val="auto"/>
              </w:rPr>
            </w:pPr>
          </w:p>
        </w:tc>
        <w:tc>
          <w:tcPr>
            <w:tcW w:w="254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1140" w:type="dxa"/>
            <w:vAlign w:val="bottom"/>
          </w:tcPr>
          <w:p>
            <w:pPr>
              <w:spacing w:after="0"/>
              <w:rPr>
                <w:sz w:val="18"/>
                <w:szCs w:val="18"/>
                <w:color w:val="auto"/>
              </w:rPr>
            </w:pPr>
          </w:p>
        </w:tc>
        <w:tc>
          <w:tcPr>
            <w:tcW w:w="254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Upon Exercise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6"/>
        </w:trPr>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c>
          <w:tcPr>
            <w:tcW w:w="0" w:type="dxa"/>
            <w:vAlign w:val="bottom"/>
          </w:tcPr>
          <w:p>
            <w:pPr>
              <w:spacing w:after="0"/>
              <w:rPr>
                <w:sz w:val="1"/>
                <w:szCs w:val="1"/>
                <w:color w:val="auto"/>
              </w:rPr>
            </w:pPr>
          </w:p>
        </w:tc>
      </w:tr>
      <w:tr>
        <w:trPr>
          <w:trHeight w:val="225"/>
        </w:trPr>
        <w:tc>
          <w:tcPr>
            <w:tcW w:w="4380" w:type="dxa"/>
            <w:vAlign w:val="bottom"/>
            <w:gridSpan w:val="4"/>
            <w:vMerge w:val="continue"/>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and Rights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6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3,447,969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5.00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3,447,969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5.00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420" w:hanging="452"/>
        <w:spacing w:after="0" w:line="289" w:lineRule="auto"/>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455" w:right="2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ind w:left="700" w:hanging="23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filed as part of this report.</w:t>
      </w:r>
    </w:p>
    <w:p>
      <w:pPr>
        <w:spacing w:after="0" w:line="225" w:lineRule="exact"/>
        <w:rPr>
          <w:sz w:val="20"/>
          <w:szCs w:val="20"/>
          <w:color w:val="auto"/>
        </w:rPr>
      </w:pPr>
    </w:p>
    <w:p>
      <w:pPr>
        <w:ind w:right="220" w:firstLine="464"/>
        <w:spacing w:after="0" w:line="284" w:lineRule="auto"/>
        <w:tabs>
          <w:tab w:leader="none" w:pos="6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following financial statements of MediciNova, Inc. and Report of Ernst &amp; Young LLP, an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are included in this Annual Report on Form 10-K: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00" w:type="dxa"/>
            <w:vAlign w:val="bottom"/>
            <w:gridSpan w:val="8"/>
            <w:vMerge w:val="restart"/>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Report of Independent Registered Public Accounting Firm</w:t>
              </w:r>
            </w:hyperlink>
          </w:p>
        </w:tc>
        <w:tc>
          <w:tcPr>
            <w:tcW w:w="14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10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55</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4"/>
          </w:tcPr>
          <w:p>
            <w:pPr>
              <w:spacing w:after="0"/>
              <w:rPr>
                <w:sz w:val="18"/>
                <w:szCs w:val="18"/>
                <w:color w:val="auto"/>
              </w:rPr>
            </w:pPr>
          </w:p>
        </w:tc>
        <w:tc>
          <w:tcPr>
            <w:tcW w:w="4880" w:type="dxa"/>
            <w:vAlign w:val="bottom"/>
            <w:gridSpan w:val="2"/>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00" w:type="dxa"/>
            <w:vAlign w:val="bottom"/>
            <w:gridSpan w:val="8"/>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Statements of Operations and Comprehensive Loss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Consolidated Statements of Stockholders’ Equity</w:t>
              </w:r>
            </w:hyperlink>
          </w:p>
        </w:tc>
        <w:tc>
          <w:tcPr>
            <w:tcW w:w="1120" w:type="dxa"/>
            <w:vAlign w:val="bottom"/>
            <w:tcBorders>
              <w:top w:val="single" w:sz="8" w:color="0000EE"/>
            </w:tcBorders>
            <w:gridSpan w:val="2"/>
          </w:tcPr>
          <w:p>
            <w:pPr>
              <w:spacing w:after="0"/>
              <w:rPr>
                <w:sz w:val="17"/>
                <w:szCs w:val="17"/>
                <w:color w:val="auto"/>
              </w:rPr>
            </w:pPr>
          </w:p>
        </w:tc>
        <w:tc>
          <w:tcPr>
            <w:tcW w:w="44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Consolidated Statements of Cash Flows</w:t>
              </w:r>
            </w:hyperlink>
          </w:p>
        </w:tc>
        <w:tc>
          <w:tcPr>
            <w:tcW w:w="62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Notes to Consolidated Financial Statements</w:t>
              </w:r>
            </w:hyperlink>
          </w:p>
        </w:tc>
        <w:tc>
          <w:tcPr>
            <w:tcW w:w="59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None.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20" w:type="dxa"/>
            <w:vAlign w:val="bottom"/>
          </w:tcPr>
          <w:p>
            <w:pPr>
              <w:spacing w:after="0"/>
              <w:rPr>
                <w:sz w:val="21"/>
                <w:szCs w:val="21"/>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80" w:type="dxa"/>
            <w:vAlign w:val="bottom"/>
            <w:tcBorders>
              <w:top w:val="single" w:sz="8" w:color="auto"/>
            </w:tcBorders>
            <w:gridSpan w:val="9"/>
          </w:tcPr>
          <w:p>
            <w:pPr>
              <w:spacing w:after="0" w:line="198" w:lineRule="exact"/>
              <w:rPr>
                <w:sz w:val="20"/>
                <w:szCs w:val="20"/>
                <w:color w:val="auto"/>
              </w:rPr>
            </w:pPr>
            <w:r>
              <w:rPr>
                <w:rFonts w:ascii="Times New Roman" w:cs="Times New Roman" w:eastAsia="Times New Roman" w:hAnsi="Times New Roman"/>
                <w:sz w:val="18"/>
                <w:szCs w:val="18"/>
                <w:color w:val="auto"/>
              </w:rPr>
              <w:t>Restated Certificate of Incorporation of the Registrant, as amended (incorporated by reference to Exhibit 3.1 of the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Quarterly Report on Form 10-Q filed August 9, 2012).</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Amended and Restated Bylaws of the Registrant (incorporated by reference to Exhibit 3.3 of the Registrant’s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S-1 (File No. 333-119433) filed October 1, 2004).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Certificate of Designation, Preferences and Rights of the Series B Convertible Preferred Stock (incorporated by reference to Exhibit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the Registrant’s Current Report on Form 8-K filed September 27, 2011).</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Specimen of Common Stock Certificate (incorporated by reference to Exhibit 4.1 of the Registrant’s Annual Report on Form 10-K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(File No. 001-33185) filed February 15, 2007).</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September 2, 2004, by and among the Registrant, its founders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investors named therein (incorporated by reference to Exhibit 4.2 of the Registrant’s Registration Statement on Form S-1 (File No.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333-119433) filed October 1, 2004).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Warrant, dated May 10, 2010, issued to Oxford Finance Corporation (incorporated by reference to Exhibit 4.1 of the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Report on Form 8-K filed May 14, 2010).</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Warrant to Purchase Common Stock, dated March 29, 2011 (incorporated by reference to Exhibit 4.1 of the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Report 8-K filed March 24, 2011).</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Warrant, dated August 22, 2012, issued to Redington, Inc., as amended (incorporated by reference to Exhibit 4.8 of the Registrant’s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Quarterly Report on Form 10-Q filed November 8, 2012).</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Warrant to Purchase Common Stock, dated May 14, 2013, issued to Samurai Investments San Diego LLC and Fountain Erika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LLC (incorporated by reference to Exhibit 4.1 of the Registrant’s Current Report on Form 8-K filed May 10, 2013).</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Amendment No. 1 to Warrant, dated May 29, 2013, entered into between the Registrant and Fountain Erika LLC (incorporated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reference to Exhibit 4.8 of the Registrant’s Annual Report on Form 10-K filed March 27, 2014).</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8"/>
          </w:tcPr>
          <w:p>
            <w:pPr>
              <w:ind w:left="470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80" w:type="dxa"/>
            <w:vAlign w:val="bottom"/>
          </w:tcPr>
          <w:p>
            <w:pPr>
              <w:spacing w:after="0"/>
              <w:rPr>
                <w:sz w:val="17"/>
                <w:szCs w:val="17"/>
                <w:color w:val="auto"/>
              </w:rPr>
            </w:pPr>
          </w:p>
        </w:tc>
        <w:tc>
          <w:tcPr>
            <w:tcW w:w="9980" w:type="dxa"/>
            <w:vAlign w:val="bottom"/>
          </w:tcPr>
          <w:p>
            <w:pPr>
              <w:spacing w:after="0"/>
              <w:rPr>
                <w:sz w:val="17"/>
                <w:szCs w:val="17"/>
                <w:color w:val="auto"/>
              </w:rPr>
            </w:pPr>
          </w:p>
        </w:tc>
      </w:tr>
      <w:tr>
        <w:trPr>
          <w:trHeight w:val="511"/>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80" w:type="dxa"/>
            <w:vAlign w:val="bottom"/>
          </w:tcPr>
          <w:p>
            <w:pPr>
              <w:spacing w:after="0"/>
              <w:rPr>
                <w:sz w:val="24"/>
                <w:szCs w:val="24"/>
                <w:color w:val="auto"/>
              </w:rPr>
            </w:pPr>
          </w:p>
        </w:tc>
      </w:tr>
      <w:tr>
        <w:trPr>
          <w:trHeight w:val="245"/>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2004 Stock Incentive Plan of the Registrant (incorporated by reference to Exhibit 10.2 of the Registrant’s Annual</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10-K filed March 29, 2012).</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Indemnity Agreement between the Registrant and its officers and directors (incorporated by reference to Exhibit 10.3 of the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Registrant’s Annual Report on Form 10-K filed March 28, 2013).</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March 14, 2002, between the Registrant and Kyorin Pharmaceutical Co., Ltd. (incorporated by reference to</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10.4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June 19, 2002, between the Registrant and Angiogene Pharmaceuticals, Ltd. (incorporated by reference to</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10.5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10.5†</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Exclusive License Agreement, dated February 25, 2004, between the Registrant and Kissei Pharmaceutical Co., Ltd. (incorporated by</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10.7 of the Registrant’s Registration Statement on Form S-1, as amended (File No. 333-119433), originally filed on</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2004).</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April 27, 2004, between the Registrant and Mitsubishi Tanabe Pharma Corporation (incorporated by reference</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10.8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10.7†</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22, 2004, between the Registrant and Kyorin Pharmaceutical Co., Ltd., (incorporated by reference to</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10.18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December 8, 2004, between the Registrant and Mitsubishi Tanabe Pharma Corporation (incorporated by</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10.21 of the Registrant’s Registration Statement on Form S-1, as amended (File No. 333-119433), originally filed on</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2004).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September 1, 2006, between the Registrant and Masatsune Okajima (incorporated by reference to Exhibit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10.12 of the Registrant’s Annual Report on Form 10-K (File No. 001-33185) filed February 15, 2007).</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31, 2006, by and between the Registrant and Meiji Seika Kaisha, Ltd. (incorporated by reference to</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10.1 of the Registrant’s Current Report on Form 8-K (File No. 000-51133) filed November 2, 2006).</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31, 2006, by and between the Registrant and Meiji Seika Kaisha, Ltd. (incorporated by reference to</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10.2 of the Registrant’s Current Report on Form 8-K (File No. 000-51133) filed November 2, 2006).</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Employment Agreement, dated April 1, 2007, between the Registrant and Yuichi Iwaki, M.D., Ph.D. (incorporated by reference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10.1 of the Registrant’s Current Report on Form 8-K (File No. 001-33185) filed April 4, 2007).</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2007 Employee Stock Purchase Plan of the Registrant (incorporated by reference to Appendix A of the Registrant’s Definitive Proxy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Schedule 14A (File No. 001-33185) filed March 13, 2007).</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Supply Agreement, dated as of March 26, 2009, between the Registrant and Hospira Worldwide, Inc.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March 30, 2009).</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Assignment Agreement, dated December 19, 2005, between Genzyme Corporation and Avigen, Inc. (incorporated by reference to Exhibit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10.58 of Avigen, Inc.’s Annual Report on Form 10-K (File No. 000-28272) filed March 16, 2006).</w:t>
            </w:r>
          </w:p>
        </w:tc>
      </w:tr>
      <w:tr>
        <w:trPr>
          <w:trHeight w:val="365"/>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81</w:t>
            </w:r>
          </w:p>
        </w:tc>
      </w:tr>
    </w:tbl>
    <w:p>
      <w:pPr>
        <w:sectPr>
          <w:pgSz w:w="11900" w:h="16838" w:orient="portrait"/>
          <w:cols w:equalWidth="0" w:num="1">
            <w:col w:w="11420"/>
          </w:cols>
          <w:pgMar w:left="240" w:top="446" w:right="23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80" w:type="dxa"/>
            <w:vAlign w:val="bottom"/>
          </w:tcPr>
          <w:p>
            <w:pPr>
              <w:spacing w:after="0"/>
              <w:rPr>
                <w:sz w:val="17"/>
                <w:szCs w:val="17"/>
                <w:color w:val="auto"/>
              </w:rPr>
            </w:pPr>
          </w:p>
        </w:tc>
        <w:tc>
          <w:tcPr>
            <w:tcW w:w="9980" w:type="dxa"/>
            <w:vAlign w:val="bottom"/>
          </w:tcPr>
          <w:p>
            <w:pPr>
              <w:spacing w:after="0"/>
              <w:rPr>
                <w:sz w:val="17"/>
                <w:szCs w:val="17"/>
                <w:color w:val="auto"/>
              </w:rPr>
            </w:pPr>
          </w:p>
        </w:tc>
      </w:tr>
      <w:tr>
        <w:trPr>
          <w:trHeight w:val="511"/>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80" w:type="dxa"/>
            <w:vAlign w:val="bottom"/>
          </w:tcPr>
          <w:p>
            <w:pPr>
              <w:spacing w:after="0"/>
              <w:rPr>
                <w:sz w:val="24"/>
                <w:szCs w:val="24"/>
                <w:color w:val="auto"/>
              </w:rPr>
            </w:pPr>
          </w:p>
        </w:tc>
      </w:tr>
      <w:tr>
        <w:trPr>
          <w:trHeight w:val="245"/>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10.16†</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Asset Purchase Agreement, dated December 17, 2008, between Baxter Healthcare Corporation, Baxter International Inc., and Baxter</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w w:val="99"/>
              </w:rPr>
              <w:t>Healthcare S.A. and Avigen, Inc. (incorporated by reference to Exhibit 2.2 of Avigen, Inc.’s Annual Report on Form 10-K filed March 16,</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Amendment to Employment Agreement, dated December 31, 2011, between the Registrant and Yuichi Iwaki, M.D., Ph.D.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of the Registrant’s Current Report on Form 8-K filed January 4, 2011).</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Agreement, dated June 29, 2011, among the Registrant, Zhejiang Medicine Co., Ltd. and Beijing Make-Friend Medicine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w w:val="99"/>
              </w:rPr>
              <w:t>Technology Co., Ltd. (incorporated by reference to Exhibit 10.44 of the Registrant’s Current Report on Form 10-Q filed August 15, 2011).</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 dated September 26, 2011, between the Registrant and Kissei Pharmaceutical Co. Ltd.,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September 27, 2011).</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Sublease Agreement, dated February 27, 2013, between the Registrant and Denali Advisors LLC (incorporated by reference to Exhibit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10.1 of the Registrant’s Current Report on Form 8-K filed March 1,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Purchase Agreement, dated May 9, 2013, between the Registrant and Samurai Investments San Diego LLC and Fountain Erika</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LLC (incorporated by reference to Exhibit 10.1 of the Registrant’s Current Report on Form 8-K filed May 10,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2013 Equity Incentive Plan of the Registrant (incorporated by reference to Exhibit 4.8 of the Registrant’s Annual Report on Form 10-K</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filed March 27,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Equity Distribution Agreement, dated October 16, 2013, between the Registrant and Macquarie Capital (USA) Inc.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October 16,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Form of Notice of Stock Option Grant and Stock Option Agreement for awards pursuant to the 2013 Equity Incentive Plan (incorporated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10.3 of the Registrant’s Quarterly Report on Form 10-Q filed November 7,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Engagement Agreement, effective April 8, 2014, by and between MediciNova, Inc. and van den Boom &amp; Associates, LLC (incorporated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10.1 of the Registrant’s Current Report on Form 8-K filed April 9,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Dr. Yuichi Iwaki (incorporated by reference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10.2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Masatsune Okajima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10.3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Dr. Kazuko Matsuda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10.4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Geoffrey O’Brien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10.5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21.1 of the Registrant’s Annual Report on Form 10-K filed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March 24, 2010).</w:t>
            </w:r>
          </w:p>
        </w:tc>
      </w:tr>
      <w:tr>
        <w:trPr>
          <w:trHeight w:val="365"/>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82</w:t>
            </w:r>
          </w:p>
        </w:tc>
      </w:tr>
    </w:tbl>
    <w:p>
      <w:pPr>
        <w:sectPr>
          <w:pgSz w:w="11900" w:h="16838" w:orient="portrait"/>
          <w:cols w:equalWidth="0" w:num="1">
            <w:col w:w="11420"/>
          </w:cols>
          <w:pgMar w:left="240" w:top="446" w:right="239" w:bottom="1440" w:gutter="0" w:footer="0" w:header="0"/>
        </w:sectPr>
      </w:pPr>
    </w:p>
    <w:bookmarkStart w:id="84" w:name="page85"/>
    <w:bookmarkEnd w:id="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280" w:type="dxa"/>
            <w:vAlign w:val="bottom"/>
          </w:tcPr>
          <w:p>
            <w:pPr>
              <w:spacing w:after="0"/>
              <w:rPr>
                <w:sz w:val="17"/>
                <w:szCs w:val="17"/>
                <w:color w:val="auto"/>
              </w:rPr>
            </w:pPr>
          </w:p>
        </w:tc>
        <w:tc>
          <w:tcPr>
            <w:tcW w:w="9780" w:type="dxa"/>
            <w:vAlign w:val="bottom"/>
          </w:tcPr>
          <w:p>
            <w:pPr>
              <w:spacing w:after="0"/>
              <w:rPr>
                <w:sz w:val="17"/>
                <w:szCs w:val="17"/>
                <w:color w:val="auto"/>
              </w:rPr>
            </w:pPr>
          </w:p>
        </w:tc>
      </w:tr>
      <w:tr>
        <w:trPr>
          <w:trHeight w:val="511"/>
        </w:trPr>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80" w:type="dxa"/>
            <w:vAlign w:val="bottom"/>
          </w:tcPr>
          <w:p>
            <w:pPr>
              <w:spacing w:after="0"/>
              <w:rPr>
                <w:sz w:val="24"/>
                <w:szCs w:val="24"/>
                <w:color w:val="auto"/>
              </w:rPr>
            </w:pPr>
          </w:p>
        </w:tc>
      </w:tr>
      <w:tr>
        <w:trPr>
          <w:trHeight w:val="245"/>
        </w:trPr>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Powers of Attorney (see signature page).</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Rules 13a-14 and 15d-14 promulgated under the Securities Act of 1933.</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Rules 13a-14 and 15d-14 promulgated under the Securities Act of 1933.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18 U.S.C. Section 1350, as adopted pursuant to Section 906 of the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18 U.S.C. Section 1350, as adopted pursuant to Section 906 of the Sarbanes-</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financial statements from MediciNova, Inc. on Form 10-K as of and for the year ended December 31, 2014 formatted in</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Extensible Business Reporting Language (XBRL): (i) Consolidated Balance Sheets; (ii) Consolidated Statements of Operations; (iii)</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and Comprehensive Loss; (iv) Consolidated Statements of Cash Flows; and (v) the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right="3800" w:firstLine="8"/>
        <w:spacing w:after="0" w:line="282" w:lineRule="auto"/>
        <w:tabs>
          <w:tab w:leader="none" w:pos="4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 * Indicates management contract or compensatory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46"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42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5"/>
                <w:szCs w:val="15"/>
                <w:color w:val="auto"/>
              </w:rPr>
              <w:t>EDICINOVA</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tc>
        <w:tc>
          <w:tcPr>
            <w:tcW w:w="406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422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A Delaware Corporation</w:t>
            </w:r>
          </w:p>
        </w:tc>
        <w:tc>
          <w:tcPr>
            <w:tcW w:w="4060" w:type="dxa"/>
            <w:vAlign w:val="bottom"/>
          </w:tcPr>
          <w:p>
            <w:pPr>
              <w:spacing w:after="0"/>
              <w:rPr>
                <w:sz w:val="20"/>
                <w:szCs w:val="20"/>
                <w:color w:val="auto"/>
              </w:rPr>
            </w:pP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2015</w:t>
            </w:r>
          </w:p>
        </w:tc>
        <w:tc>
          <w:tcPr>
            <w:tcW w:w="422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/s/ Yuichi Iwaki</w:t>
            </w:r>
          </w:p>
        </w:tc>
      </w:tr>
      <w:tr>
        <w:trPr>
          <w:trHeight w:val="205"/>
        </w:trPr>
        <w:tc>
          <w:tcPr>
            <w:tcW w:w="3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1210"/>
              <w:spacing w:after="0" w:line="205" w:lineRule="exact"/>
              <w:rPr>
                <w:sz w:val="20"/>
                <w:szCs w:val="20"/>
                <w:color w:val="auto"/>
              </w:rPr>
            </w:pPr>
            <w:r>
              <w:rPr>
                <w:rFonts w:ascii="Times New Roman" w:cs="Times New Roman" w:eastAsia="Times New Roman" w:hAnsi="Times New Roman"/>
                <w:sz w:val="18"/>
                <w:szCs w:val="18"/>
                <w:color w:val="auto"/>
                <w:w w:val="98"/>
              </w:rPr>
              <w:t>Yuichi Iwaki, M.D., Ph.D.</w:t>
            </w:r>
          </w:p>
        </w:tc>
      </w:tr>
      <w:tr>
        <w:trPr>
          <w:trHeight w:val="234"/>
        </w:trPr>
        <w:tc>
          <w:tcPr>
            <w:tcW w:w="3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432"/>
        </w:trPr>
        <w:tc>
          <w:tcPr>
            <w:tcW w:w="3140" w:type="dxa"/>
            <w:vAlign w:val="bottom"/>
          </w:tcPr>
          <w:p>
            <w:pPr>
              <w:spacing w:after="0"/>
              <w:rPr>
                <w:sz w:val="24"/>
                <w:szCs w:val="24"/>
                <w:color w:val="auto"/>
              </w:rPr>
            </w:pPr>
          </w:p>
        </w:tc>
        <w:tc>
          <w:tcPr>
            <w:tcW w:w="422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4060" w:type="dxa"/>
            <w:vAlign w:val="bottom"/>
          </w:tcPr>
          <w:p>
            <w:pPr>
              <w:spacing w:after="0"/>
              <w:rPr>
                <w:sz w:val="24"/>
                <w:szCs w:val="24"/>
                <w:color w:val="auto"/>
              </w:rPr>
            </w:pPr>
          </w:p>
        </w:tc>
      </w:tr>
    </w:tbl>
    <w:p>
      <w:pPr>
        <w:spacing w:after="0" w:line="198"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80"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4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5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8"/>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Yuichi Iwaki</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Director, President and Chief Executive Officer </w:t>
            </w:r>
            <w:r>
              <w:rPr>
                <w:rFonts w:ascii="Times New Roman" w:cs="Times New Roman" w:eastAsia="Times New Roman" w:hAnsi="Times New Roman"/>
                <w:sz w:val="18"/>
                <w:szCs w:val="18"/>
                <w:i w:val="1"/>
                <w:iCs w:val="1"/>
                <w:color w:val="auto"/>
              </w:rPr>
              <w:t>(Principal</w:t>
            </w:r>
          </w:p>
        </w:tc>
        <w:tc>
          <w:tcPr>
            <w:tcW w:w="19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March 12, 2015</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Yuichi Iwaki, M.D., Ph.D.</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87"/>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Esther van den Boom</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March 12, 2015</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Esther van den Boom</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87"/>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Jeff Himawan</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9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March 12, 2015</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Jeff Himawan, Ph.D.</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87"/>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Yoshio Ishizaka</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March 12, 2015</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Yoshio Ishizaka</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87"/>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Yutaka Kobayashi</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March 12, 2015</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Yutaka Kobayashi</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87"/>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Kousuke Nakata</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March 12, 2015</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Kousuke Nakata</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87"/>
        </w:trPr>
        <w:tc>
          <w:tcPr>
            <w:tcW w:w="3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Hiroaki Shigeta</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March 12, 2015</w:t>
            </w:r>
          </w:p>
        </w:tc>
      </w:tr>
      <w:tr>
        <w:trPr>
          <w:trHeight w:val="228"/>
        </w:trPr>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Hiroaki Shigeta</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0"/>
        </w:trPr>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6" w:name="page87"/>
    <w:bookmarkEnd w:id="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54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9880" w:type="dxa"/>
            <w:vAlign w:val="bottom"/>
          </w:tcPr>
          <w:p>
            <w:pPr>
              <w:spacing w:after="0"/>
              <w:rPr>
                <w:sz w:val="17"/>
                <w:szCs w:val="17"/>
                <w:color w:val="auto"/>
              </w:rPr>
            </w:pPr>
          </w:p>
        </w:tc>
      </w:tr>
      <w:tr>
        <w:trPr>
          <w:trHeight w:val="534"/>
        </w:trPr>
        <w:tc>
          <w:tcPr>
            <w:tcW w:w="6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7"/>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tcPr>
          <w:p>
            <w:pPr>
              <w:spacing w:after="0"/>
              <w:rPr>
                <w:sz w:val="24"/>
                <w:szCs w:val="24"/>
                <w:color w:val="auto"/>
              </w:rPr>
            </w:pPr>
          </w:p>
        </w:tc>
      </w:tr>
      <w:tr>
        <w:trPr>
          <w:trHeight w:val="258"/>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5"/>
        </w:trPr>
        <w:tc>
          <w:tcPr>
            <w:tcW w:w="640" w:type="dxa"/>
            <w:vAlign w:val="bottom"/>
            <w:tcBorders>
              <w:top w:val="single" w:sz="8" w:color="auto"/>
            </w:tcBorders>
          </w:tcPr>
          <w:p>
            <w:pPr>
              <w:jc w:val="center"/>
              <w:ind w:right="130"/>
              <w:spacing w:after="0" w:line="185" w:lineRule="exact"/>
              <w:rPr>
                <w:sz w:val="20"/>
                <w:szCs w:val="20"/>
                <w:color w:val="auto"/>
              </w:rPr>
            </w:pPr>
            <w:r>
              <w:rPr>
                <w:rFonts w:ascii="Times New Roman" w:cs="Times New Roman" w:eastAsia="Times New Roman" w:hAnsi="Times New Roman"/>
                <w:sz w:val="18"/>
                <w:szCs w:val="18"/>
                <w:color w:val="auto"/>
                <w:w w:val="97"/>
              </w:rPr>
              <w:t>3.1</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Restated Certificate of Incorporation of the Registrant, as amended (incorporated by reference to Exhibit 3.1 of the Registrant’s</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filed August 9, 2012).</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3.3 of the Registrant’s Registration Statement on</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Form S-1 (File No. 333-119433) filed October 1, 2004).</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3.3</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Designation, Preferences and Rights of the Series B Convertible Preferred Stock (incorporated by reference to Exhibit 3.1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of the Registrant’s Current Report on Form 8-K filed September 27, 2011).</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4.1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Specimen of Common Stock Certificate (incorporated by reference to Exhibit 4.1 of the Registrant’s Annual Report on Form 10-K (File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No. 001-33185) filed February 15, 2007).</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4.2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September 2, 2004, by and among the Registrant, its founders and the</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investors named therein (incorporated by reference to Exhibit 4.2 of the Registrant’s Registration Statement on Form S-1 (File No. 333-</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119433) filed October 1, 2004).</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4.3</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w w:val="99"/>
              </w:rPr>
              <w:t>Warrant, dated May 10, 2010, issued to Oxford Finance Corporation (incorporated by reference to Exhibit 4.1 of the Registrant’s Current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May 14, 2010).</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4.4</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 of Warrant to Purchase Common Stock, dated March 29, 2011 (incorporated by reference to Exhibit 4.1 of the Registrant’s Current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Report 8-K filed March 24, 2011).</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4.5</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Warrant, dated August 22, 2012, issued to Redington, Inc., as amended (incorporated by reference to Exhibit 4.8 of the Registrant’s</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filed November 8, 2012).</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4.6</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to Purchase Common Stock, dated May 14, 2013, issued to Samurai Investments San Diego LLC and Fountain Erika</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LLC (incorporated by reference to Exhibit 4.1 of the Registrant’s Current Report on Form 8-K filed May 10, 2013).</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4.7</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Warrant, dated May 29, 2013, entered into between the Registrant and Fountain Erika LLC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4.8 of the Registrant’s Annual Report on Form 10-K filed March 27, 2014).</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Amended and Restated 2004 Stock Incentive Plan of the Registrant (incorporated by reference to Exhibit 10.2 of the Registrant’s Annual</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10-K filed March 29, 2012).</w:t>
            </w:r>
          </w:p>
        </w:tc>
      </w:tr>
      <w:tr>
        <w:trPr>
          <w:trHeight w:val="306"/>
        </w:trPr>
        <w:tc>
          <w:tcPr>
            <w:tcW w:w="6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Indemnity Agreement between the Registrant and its officers and directors (incorporated by reference to Exhibit 10.3 of the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Registrant’s Annual Report on Form 10-K filed March 28, 2013).</w:t>
            </w:r>
          </w:p>
        </w:tc>
      </w:tr>
      <w:tr>
        <w:trPr>
          <w:trHeight w:val="306"/>
        </w:trPr>
        <w:tc>
          <w:tcPr>
            <w:tcW w:w="154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March 14, 2002, between the Registrant and Kyorin Pharmaceutical Co., Ltd. (incorporated by reference to</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Exhibit 10.4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54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June 19, 2002, between the Registrant and Angiogene Pharmaceuticals, Ltd. (incorporated by reference to</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Exhibit 10.5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54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10.5†</w:t>
            </w: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Exclusive License Agreement, dated February 25, 2004, between the Registrant and Kissei Pharmaceutical Co., Ltd. (incorporated by</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10.7 of the Registrant’s Registration Statement on Form S-1, as amended (File No. 333-119433), originally filed on</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2004).</w:t>
            </w:r>
          </w:p>
        </w:tc>
      </w:tr>
      <w:tr>
        <w:trPr>
          <w:trHeight w:val="365"/>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85</w:t>
            </w:r>
          </w:p>
        </w:tc>
      </w:tr>
    </w:tbl>
    <w:p>
      <w:pPr>
        <w:sectPr>
          <w:pgSz w:w="11900" w:h="16838" w:orient="portrait"/>
          <w:cols w:equalWidth="0" w:num="1">
            <w:col w:w="11420"/>
          </w:cols>
          <w:pgMar w:left="240" w:top="446" w:right="239" w:bottom="1440" w:gutter="0" w:footer="0" w:header="0"/>
        </w:sectPr>
      </w:pPr>
    </w:p>
    <w:bookmarkStart w:id="87" w:name="page88"/>
    <w:bookmarkEnd w:id="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80" w:type="dxa"/>
            <w:vAlign w:val="bottom"/>
          </w:tcPr>
          <w:p>
            <w:pPr>
              <w:spacing w:after="0"/>
              <w:rPr>
                <w:sz w:val="17"/>
                <w:szCs w:val="17"/>
                <w:color w:val="auto"/>
              </w:rPr>
            </w:pPr>
          </w:p>
        </w:tc>
        <w:tc>
          <w:tcPr>
            <w:tcW w:w="9980" w:type="dxa"/>
            <w:vAlign w:val="bottom"/>
          </w:tcPr>
          <w:p>
            <w:pPr>
              <w:spacing w:after="0"/>
              <w:rPr>
                <w:sz w:val="17"/>
                <w:szCs w:val="17"/>
                <w:color w:val="auto"/>
              </w:rPr>
            </w:pPr>
          </w:p>
        </w:tc>
      </w:tr>
      <w:tr>
        <w:trPr>
          <w:trHeight w:val="511"/>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80" w:type="dxa"/>
            <w:vAlign w:val="bottom"/>
          </w:tcPr>
          <w:p>
            <w:pPr>
              <w:spacing w:after="0"/>
              <w:rPr>
                <w:sz w:val="24"/>
                <w:szCs w:val="24"/>
                <w:color w:val="auto"/>
              </w:rPr>
            </w:pPr>
          </w:p>
        </w:tc>
      </w:tr>
      <w:tr>
        <w:trPr>
          <w:trHeight w:val="258"/>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5"/>
        </w:trPr>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10.6†</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9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License Agreement, dated April 27, 2004, between the Registrant and Mitsubishi Tanabe Pharma Corporation (incorporated by reference</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10.8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10.7†</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22, 2004, between the Registrant and Kyorin Pharmaceutical Co., Ltd., (incorporated by reference to</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10.18 of the Registrant’s Registration Statement on Form S-1, as amended (File No. 333-119433), originally filed on October 1,</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December 8, 2004, between the Registrant and Mitsubishi Tanabe Pharma Corporation (incorporated by</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10.21 of the Registrant’s Registration Statement on Form S-1, as amended (File No. 333-119433), originally filed on</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2004).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September 1, 2006, between the Registrant and Masatsune Okajima (incorporated by reference to Exhibit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10.12 of the Registrant’s Annual Report on Form 10-K (File No. 001-33185) filed February 15, 2007).</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31, 2006, by and between the Registrant and Meiji Seika Kaisha, Ltd. (incorporated by reference to</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10.1 of the Registrant’s Current Report on Form 8-K (File No. 000-51133) filed November 2, 2006).</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dated October 31, 2006, by and between the Registrant and Meiji Seika Kaisha, Ltd. (incorporated by reference to</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Exhibit 10.2 of the Registrant’s Current Report on Form 8-K (File No. 000-51133) filed November 2, 2006).</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Employment Agreement, dated April 1, 2007, between the Registrant and Yuichi Iwaki, M.D., Ph.D. (incorporated by reference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to Exhibit 10.1 of the Registrant’s Current Report on Form 8-K (File No. 001-33185) filed April 4, 2007).</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2007 Employee Stock Purchase Plan of the Registrant (incorporated by reference to Appendix A of the Registrant’s Definitive Proxy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Schedule 14A (File No. 001-33185) filed March 13, 2007).</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Supply Agreement, dated as of March 26, 2009, between the Registrant and Hospira Worldwide, Inc.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March 30, 2009).</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Assignment Agreement, dated December 19, 2005, between Genzyme Corporation and Avigen, Inc. (incorporated by reference to Exhibit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10.58 of Avigen, Inc.’s Annual Report on Form 10-K (File No. 000-28272) filed March 16, 2006).</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Asset Purchase Agreement, dated December 17, 2008, between Baxter Healthcare Corporation, Baxter International Inc., and Baxter</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w w:val="99"/>
              </w:rPr>
              <w:t>Healthcare S.A. and Avigen, Inc. (incorporated by reference to Exhibit 2.2 of Avigen, Inc.’s Annual Report on Form 10-K filed March 16,</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Amendment to Employment Agreement, dated December 31, 2011, between the Registrant and Yuichi Iwaki, M.D., Ph.D.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of the Registrant’s Current Report on Form 8-K filed January 4, 2011).</w:t>
            </w:r>
          </w:p>
        </w:tc>
      </w:tr>
      <w:tr>
        <w:trPr>
          <w:trHeight w:val="30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Agreement, dated June 29, 2011, among the Registrant, Zhejiang Medicine Co., Ltd. and Beijing Make-Friend Medicine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w w:val="99"/>
              </w:rPr>
              <w:t>Technology Co., Ltd. (incorporated by reference to Exhibit 10.44 of the Registrant’s Current Report on Form 10-Q filed August 15, 2011).</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 dated September 26, 2011, between the Registrant and Kissei Pharmaceutical Co. Ltd.,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September 27, 2011).</w:t>
            </w:r>
          </w:p>
        </w:tc>
      </w:tr>
      <w:tr>
        <w:trPr>
          <w:trHeight w:val="365"/>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8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86</w:t>
            </w:r>
          </w:p>
        </w:tc>
      </w:tr>
    </w:tbl>
    <w:p>
      <w:pPr>
        <w:sectPr>
          <w:pgSz w:w="11900" w:h="16838" w:orient="portrait"/>
          <w:cols w:equalWidth="0" w:num="1">
            <w:col w:w="11420"/>
          </w:cols>
          <w:pgMar w:left="240" w:top="446" w:right="239"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18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511"/>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tcPr>
          <w:p>
            <w:pPr>
              <w:spacing w:after="0"/>
              <w:rPr>
                <w:sz w:val="24"/>
                <w:szCs w:val="24"/>
                <w:color w:val="auto"/>
              </w:rPr>
            </w:pPr>
          </w:p>
        </w:tc>
      </w:tr>
      <w:tr>
        <w:trPr>
          <w:trHeight w:val="258"/>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5"/>
        </w:trPr>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10.20</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Sublease Agreement, dated February 27, 2013, between the Registrant and Denali Advisors LLC (incorporated by reference to Exhibit</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10.1 of the Registrant’s Current Report on Form 8-K filed March 1,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Securities Purchase Agreement, dated May 9, 2013, between the Registrant and Samurai Investments San Diego LLC and Fountain</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Erika LLC (incorporated by reference to Exhibit 10.1 of the Registrant’s Current Report on Form 8-K filed May 10,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2013 Equity Incentive Plan of the Registrant (incorporated by reference to Exhibit 4.8 of the Registrant’s Annual Report on Form 10-K</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filed March 27,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Equity Distribution Agreement, dated October 16, 2013, between the Registrant and Macquarie Capital (USA) Inc.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October 16,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Form of Notice of Stock Option Grant and Stock Option Agreement for awards pursuant to the 2013 Equity Incentive Plan (incorporated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10.3 of the Registrant’s Quarterly Report on Form 10-Q filed November 7, 2013).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Engagement Agreement, effective April 8, 2014, by and between MediciNova, Inc. and van den Boom &amp; Associates, LLC (incorporated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10.1 of the Registrant’s Current Report on Form 8-K filed April 9,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Dr. Yuichi Iwaki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10.2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Masatsune Okajima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10.3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Dr. Kazuko Matsuda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10.4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Severance Protection Agreement, dated July 14, 2014, by and between MediciNova, Inc. and Geoffrey O’Brien (incorporated by</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10.5 of the Registrant’s Quarterly Report on Form 10-Q filed August 13, 2014).</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21.1 of the Registrant’s Annual Report on Form 10-K filed</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March 24, 2010).</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Powers of Attorney (see signature page).</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Rules 13a-14 and 15d-14 promulgated under the Securities Act of 1933.</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Rules 13a-14 and 15d-14 promulgated under the Securities Act of 1933.</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18 U.S.C. Section 1350, as adopted pursuant to Section 906 of the Sarbanes-</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0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18 U.S.C. Section 1350, as adopted pursuant to Section 906 of the Sarbanes-</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65"/>
        </w:trPr>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87</w:t>
            </w:r>
          </w:p>
        </w:tc>
      </w:tr>
    </w:tbl>
    <w:p>
      <w:pPr>
        <w:sectPr>
          <w:pgSz w:w="11900" w:h="16838" w:orient="portrait"/>
          <w:cols w:equalWidth="0" w:num="1">
            <w:col w:w="11420"/>
          </w:cols>
          <w:pgMar w:left="240" w:top="446" w:right="239" w:bottom="144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280" w:type="dxa"/>
            <w:vAlign w:val="bottom"/>
          </w:tcPr>
          <w:p>
            <w:pPr>
              <w:spacing w:after="0"/>
              <w:rPr>
                <w:sz w:val="17"/>
                <w:szCs w:val="17"/>
                <w:color w:val="auto"/>
              </w:rPr>
            </w:pPr>
          </w:p>
        </w:tc>
        <w:tc>
          <w:tcPr>
            <w:tcW w:w="9780" w:type="dxa"/>
            <w:vAlign w:val="bottom"/>
          </w:tcPr>
          <w:p>
            <w:pPr>
              <w:spacing w:after="0"/>
              <w:rPr>
                <w:sz w:val="17"/>
                <w:szCs w:val="17"/>
                <w:color w:val="auto"/>
              </w:rPr>
            </w:pPr>
          </w:p>
        </w:tc>
      </w:tr>
      <w:tr>
        <w:trPr>
          <w:trHeight w:val="511"/>
        </w:trPr>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80" w:type="dxa"/>
            <w:vAlign w:val="bottom"/>
          </w:tcPr>
          <w:p>
            <w:pPr>
              <w:spacing w:after="0"/>
              <w:rPr>
                <w:sz w:val="24"/>
                <w:szCs w:val="24"/>
                <w:color w:val="auto"/>
              </w:rPr>
            </w:pPr>
          </w:p>
        </w:tc>
      </w:tr>
      <w:tr>
        <w:trPr>
          <w:trHeight w:val="258"/>
        </w:trPr>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5"/>
        </w:trPr>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7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The following financial statements from MediciNova, Inc. on Form 10-K as of and for the year ended December 31, 2014 formatted in</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Extensible Business Reporting Language (XBRL): (i) Consolidated Balance Sheets; (ii) Consolidated Statements of Operations; (iii)</w:t>
            </w:r>
          </w:p>
        </w:tc>
      </w:tr>
      <w:tr>
        <w:trPr>
          <w:trHeight w:val="216"/>
        </w:trPr>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and Comprehensive Loss; (iv) Consolidated Statements of Cash Flows; and (v) the</w:t>
            </w:r>
          </w:p>
        </w:tc>
      </w:tr>
      <w:tr>
        <w:trPr>
          <w:trHeight w:val="234"/>
        </w:trPr>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right="3800" w:firstLine="8"/>
        <w:spacing w:after="0" w:line="282" w:lineRule="auto"/>
        <w:tabs>
          <w:tab w:leader="none" w:pos="4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grant of confidential treatment by the SEC. * Indicates management contract or compensatory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46"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333-163116 and 333-185022) of MediciNova, Inc.,</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333-190490) pertaining to the 2013 Equity Incentive Plan of MediciNova, Inc.,</w:t>
      </w:r>
    </w:p>
    <w:p>
      <w:pPr>
        <w:spacing w:after="0" w:line="117" w:lineRule="exact"/>
        <w:rPr>
          <w:rFonts w:ascii="Times New Roman" w:cs="Times New Roman" w:eastAsia="Times New Roman" w:hAnsi="Times New Roman"/>
          <w:sz w:val="18"/>
          <w:szCs w:val="18"/>
          <w:color w:val="auto"/>
        </w:rPr>
      </w:pPr>
    </w:p>
    <w:p>
      <w:pPr>
        <w:ind w:right="80" w:firstLine="8"/>
        <w:spacing w:after="0" w:line="28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333-151808 and 333-122665) pertaining to the Amended and Restated 2004 Stock Incentive Plan of MediciNova, Inc., and</w:t>
      </w:r>
    </w:p>
    <w:p>
      <w:pPr>
        <w:spacing w:after="0" w:line="53" w:lineRule="exact"/>
        <w:rPr>
          <w:rFonts w:ascii="Times New Roman" w:cs="Times New Roman" w:eastAsia="Times New Roman" w:hAnsi="Times New Roman"/>
          <w:sz w:val="18"/>
          <w:szCs w:val="18"/>
          <w:color w:val="auto"/>
        </w:rPr>
      </w:pPr>
    </w:p>
    <w:p>
      <w:pPr>
        <w:ind w:right="620" w:firstLine="8"/>
        <w:spacing w:after="0" w:line="28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333-141694) pertaining to the Amended and Restated 2004 Stock Incentive Plan and 2007 Employee Stock Purchase Plan of MediciNova, Inc.;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March 12, 2015, with respect to the consolidated financial statements of MediciNova, Inc. and to the effectiveness of internal control over financial reporting of MediciNova, Inc. included in this Annual Report (Form 10-K) for the year ended December 31, 2014.</w:t>
      </w:r>
    </w:p>
    <w:p>
      <w:pPr>
        <w:spacing w:after="0" w:line="16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2015</w:t>
      </w:r>
    </w:p>
    <w:p>
      <w:pPr>
        <w:sectPr>
          <w:pgSz w:w="11900" w:h="16838" w:orient="portrait"/>
          <w:cols w:equalWidth="0" w:num="1">
            <w:col w:w="11420"/>
          </w:cols>
          <w:pgMar w:left="240" w:top="117"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225" w:lineRule="exact"/>
        <w:rPr>
          <w:sz w:val="20"/>
          <w:szCs w:val="20"/>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2014 of MediciNova,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40" w:firstLine="464"/>
        <w:spacing w:after="0" w:line="266" w:lineRule="auto"/>
        <w:tabs>
          <w:tab w:leader="none" w:pos="6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20" w:firstLine="464"/>
        <w:spacing w:after="0" w:line="266" w:lineRule="auto"/>
        <w:tabs>
          <w:tab w:leader="none" w:pos="6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0" w:firstLine="464"/>
        <w:spacing w:after="0" w:line="282" w:lineRule="auto"/>
        <w:tabs>
          <w:tab w:leader="none" w:pos="6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00" w:firstLine="464"/>
        <w:spacing w:after="0" w:line="266" w:lineRule="auto"/>
        <w:tabs>
          <w:tab w:leader="none" w:pos="6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64"/>
        <w:spacing w:after="0" w:line="282" w:lineRule="auto"/>
        <w:tabs>
          <w:tab w:leader="none" w:pos="6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 w:firstLine="464"/>
        <w:spacing w:after="0" w:line="282" w:lineRule="auto"/>
        <w:tabs>
          <w:tab w:leader="none" w:pos="6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Yuichi Iwaki</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50685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2015</w:t>
      </w:r>
    </w:p>
    <w:p>
      <w:pPr>
        <w:sectPr>
          <w:pgSz w:w="11900" w:h="16838" w:orient="portrait"/>
          <w:cols w:equalWidth="0" w:num="1">
            <w:col w:w="11420"/>
          </w:cols>
          <w:pgMar w:left="240" w:top="117"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van den Boom,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2014 of MediciNova,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right="40" w:firstLine="464"/>
        <w:spacing w:after="0" w:line="266" w:lineRule="auto"/>
        <w:tabs>
          <w:tab w:leader="none" w:pos="6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right="20" w:firstLine="464"/>
        <w:spacing w:after="0" w:line="266" w:lineRule="auto"/>
        <w:tabs>
          <w:tab w:leader="none" w:pos="6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80" w:firstLine="464"/>
        <w:spacing w:after="0" w:line="282" w:lineRule="auto"/>
        <w:tabs>
          <w:tab w:leader="none" w:pos="6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00" w:firstLine="464"/>
        <w:spacing w:after="0" w:line="266" w:lineRule="auto"/>
        <w:tabs>
          <w:tab w:leader="none" w:pos="6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64"/>
        <w:spacing w:after="0" w:line="282" w:lineRule="auto"/>
        <w:tabs>
          <w:tab w:leader="none" w:pos="64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 w:firstLine="464"/>
        <w:spacing w:after="0" w:line="282" w:lineRule="auto"/>
        <w:tabs>
          <w:tab w:leader="none" w:pos="6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Esther van den Boom</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50685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2015</w:t>
      </w:r>
    </w:p>
    <w:p>
      <w:pPr>
        <w:sectPr>
          <w:pgSz w:w="11900" w:h="16838" w:orient="portrait"/>
          <w:cols w:equalWidth="0" w:num="1">
            <w:col w:w="11420"/>
          </w:cols>
          <w:pgMar w:left="240" w:top="117"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75"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2014,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40" w:hanging="17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8"/>
          <w:szCs w:val="18"/>
          <w:color w:val="auto"/>
        </w:rPr>
        <w:t>Date: March 12, 2015</w:t>
      </w:r>
      <w:r>
        <w:rPr>
          <w:sz w:val="20"/>
          <w:szCs w:val="20"/>
          <w:color w:val="auto"/>
        </w:rPr>
        <w:tab/>
      </w:r>
      <w:r>
        <w:rPr>
          <w:rFonts w:ascii="Times New Roman" w:cs="Times New Roman" w:eastAsia="Times New Roman" w:hAnsi="Times New Roman"/>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50685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right="3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7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MediciNova, Inc. (the “Company”) for the period ended December 31, 2014, as filed with the Securities and Exchange Commission on the date hereof (the “Report”), I, Esther van den Boom, as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40" w:hanging="17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18"/>
          <w:szCs w:val="18"/>
          <w:color w:val="auto"/>
        </w:rPr>
        <w:t>Date: March 12, 2015</w:t>
      </w:r>
      <w:r>
        <w:rPr>
          <w:sz w:val="20"/>
          <w:szCs w:val="20"/>
          <w:color w:val="auto"/>
        </w:rPr>
        <w:tab/>
      </w:r>
      <w:r>
        <w:rPr>
          <w:rFonts w:ascii="Times New Roman" w:cs="Times New Roman" w:eastAsia="Times New Roman" w:hAnsi="Times New Roman"/>
          <w:sz w:val="18"/>
          <w:szCs w:val="18"/>
          <w:color w:val="auto"/>
        </w:rPr>
        <w:t>/s/ 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wp:posOffset>
            </wp:positionV>
            <wp:extent cx="49999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Esther van den Boom</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5" w:lineRule="exact"/>
        <w:rPr>
          <w:sz w:val="20"/>
          <w:szCs w:val="20"/>
          <w:color w:val="auto"/>
        </w:rPr>
      </w:pPr>
    </w:p>
    <w:p>
      <w:pPr>
        <w:ind w:right="3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66"/>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2019-12-29T17:59:06Z</dcterms:created>
  <dcterms:modified xsi:type="dcterms:W3CDTF">2019-12-29T17:59:06Z</dcterms:modified>
</cp:coreProperties>
</file>