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double" w:sz="6" w:space="1" w:color="000000"/>
        </w:pBdr>
        <w:spacing w:before="0" w:after="0"/>
        <w:rPr/>
      </w:pPr>
      <w:bookmarkStart w:id="0" w:name="mnov-10q_20220331.htm"/>
      <w:bookmarkStart w:id="1" w:name="ksmnov10q_20220331"/>
      <w:bookmarkEnd w:id="0"/>
      <w:bookmarkEnd w:id="1"/>
      <w:r>
        <w:rPr/>
        <w:t> </w:t>
      </w:r>
    </w:p>
    <w:p>
      <w:pPr>
        <w:pStyle w:val="TextBody"/>
        <w:spacing w:before="80" w:after="0"/>
        <w:jc w:val="center"/>
        <w:rPr>
          <w:rFonts w:ascii="Times New Roman" w:hAnsi="Times New Roman"/>
          <w:b/>
          <w:i w:val="false"/>
          <w:caps w:val="false"/>
          <w:smallCaps w:val="false"/>
          <w:sz w:val="32"/>
        </w:rPr>
      </w:pPr>
      <w:r>
        <w:rPr>
          <w:rFonts w:ascii="Times New Roman" w:hAnsi="Times New Roman"/>
          <w:b/>
          <w:i w:val="false"/>
          <w:caps w:val="false"/>
          <w:smallCaps w:val="false"/>
          <w:sz w:val="32"/>
        </w:rPr>
        <w:t>UNITED STATES</w:t>
      </w:r>
    </w:p>
    <w:p>
      <w:pPr>
        <w:pStyle w:val="TextBody"/>
        <w:spacing w:before="0" w:after="0"/>
        <w:jc w:val="center"/>
        <w:rPr>
          <w:rFonts w:ascii="Times New Roman" w:hAnsi="Times New Roman"/>
          <w:b/>
          <w:i w:val="false"/>
          <w:caps w:val="false"/>
          <w:smallCaps w:val="false"/>
          <w:sz w:val="32"/>
        </w:rPr>
      </w:pPr>
      <w:r>
        <w:rPr>
          <w:rFonts w:ascii="Times New Roman" w:hAnsi="Times New Roman"/>
          <w:b/>
          <w:i w:val="false"/>
          <w:caps w:val="false"/>
          <w:smallCaps w:val="false"/>
          <w:sz w:val="32"/>
        </w:rPr>
        <w:t>SECURITIES AND EXCHANGE COMMISSION</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WASHINGTON, DC 20549</w:t>
      </w:r>
    </w:p>
    <w:p>
      <w:pPr>
        <w:pStyle w:val="TextBody"/>
        <w:pBdr>
          <w:bottom w:val="single" w:sz="6" w:space="1" w:color="000000"/>
        </w:pBdr>
        <w:spacing w:before="0" w:after="0"/>
        <w:jc w:val="center"/>
        <w:rPr/>
      </w:pPr>
      <w:r>
        <w:rPr/>
        <w:t> </w:t>
      </w:r>
    </w:p>
    <w:p>
      <w:pPr>
        <w:pStyle w:val="TextBody"/>
        <w:spacing w:before="80" w:after="0"/>
        <w:jc w:val="center"/>
        <w:rPr>
          <w:rFonts w:ascii="Times New Roman" w:hAnsi="Times New Roman"/>
          <w:b/>
          <w:i w:val="false"/>
          <w:caps w:val="false"/>
          <w:smallCaps w:val="false"/>
          <w:sz w:val="32"/>
        </w:rPr>
      </w:pPr>
      <w:r>
        <w:rPr>
          <w:rFonts w:ascii="Times New Roman" w:hAnsi="Times New Roman"/>
          <w:b/>
          <w:i w:val="false"/>
          <w:caps w:val="false"/>
          <w:smallCaps w:val="false"/>
          <w:sz w:val="32"/>
        </w:rPr>
        <w:t>FORM 10-Q</w:t>
      </w:r>
    </w:p>
    <w:p>
      <w:pPr>
        <w:pStyle w:val="TextBody"/>
        <w:pBdr>
          <w:bottom w:val="single" w:sz="6" w:space="1" w:color="000000"/>
        </w:pBdr>
        <w:spacing w:before="0" w:after="0"/>
        <w:jc w:val="center"/>
        <w:rPr/>
      </w:pPr>
      <w:r>
        <w:rPr/>
        <w:t> </w:t>
      </w:r>
    </w:p>
    <w:p>
      <w:pPr>
        <w:pStyle w:val="TextBody"/>
        <w:spacing w:before="80" w:after="0"/>
        <w:rPr>
          <w:rFonts w:ascii="Times New Roman" w:hAnsi="Times New Roman"/>
          <w:b/>
          <w:i w:val="false"/>
          <w:caps w:val="false"/>
          <w:smallCaps w:val="false"/>
          <w:sz w:val="20"/>
        </w:rPr>
      </w:pPr>
      <w:r>
        <w:rPr>
          <w:rFonts w:ascii="Times New Roman" w:hAnsi="Times New Roman"/>
          <w:b/>
          <w:i w:val="false"/>
          <w:caps w:val="false"/>
          <w:smallCaps w:val="false"/>
          <w:sz w:val="20"/>
        </w:rPr>
        <w:t>(Mark One)</w:t>
      </w:r>
    </w:p>
    <w:tbl>
      <w:tblPr>
        <w:tblW w:w="10105" w:type="dxa"/>
        <w:jc w:val="left"/>
        <w:tblInd w:w="0" w:type="dxa"/>
        <w:tblCellMar>
          <w:top w:w="0" w:type="dxa"/>
          <w:left w:w="0" w:type="dxa"/>
          <w:bottom w:w="0" w:type="dxa"/>
          <w:right w:w="0" w:type="dxa"/>
        </w:tblCellMar>
      </w:tblPr>
      <w:tblGrid>
        <w:gridCol w:w="230"/>
        <w:gridCol w:w="9875"/>
      </w:tblGrid>
      <w:tr>
        <w:trPr/>
        <w:tc>
          <w:tcPr>
            <w:tcW w:w="230" w:type="dxa"/>
            <w:tcBorders/>
            <w:shd w:fill="auto" w:val="clear"/>
          </w:tcPr>
          <w:p>
            <w:pPr>
              <w:pStyle w:val="TableContents"/>
              <w:spacing w:before="0" w:after="0"/>
              <w:rPr>
                <w:caps w:val="false"/>
                <w:smallCaps w:val="false"/>
              </w:rPr>
            </w:pPr>
            <w:r>
              <w:rPr>
                <w:caps w:val="false"/>
                <w:smallCaps w:val="false"/>
              </w:rPr>
              <w:t>☒</w:t>
            </w:r>
          </w:p>
        </w:tc>
        <w:tc>
          <w:tcPr>
            <w:tcW w:w="9875" w:type="dxa"/>
            <w:tcBorders/>
            <w:shd w:fill="auto" w:val="clear"/>
          </w:tcPr>
          <w:p>
            <w:pPr>
              <w:pStyle w:val="TableContents"/>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QUARTERLY REPORT PURSUANT TO SECTION 13 OR 15(d) OF THE SECURITIES EXCHANGE ACT OF 1934</w:t>
            </w:r>
          </w:p>
        </w:tc>
      </w:tr>
    </w:tbl>
    <w:p>
      <w:pPr>
        <w:pStyle w:val="TextBody"/>
        <w:spacing w:before="8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FOR THE QUARTERLY PERIOD ENDED March 31, 2022</w:t>
      </w:r>
    </w:p>
    <w:tbl>
      <w:tblPr>
        <w:tblW w:w="10090" w:type="dxa"/>
        <w:jc w:val="left"/>
        <w:tblInd w:w="0" w:type="dxa"/>
        <w:tblCellMar>
          <w:top w:w="0" w:type="dxa"/>
          <w:left w:w="0" w:type="dxa"/>
          <w:bottom w:w="0" w:type="dxa"/>
          <w:right w:w="0" w:type="dxa"/>
        </w:tblCellMar>
      </w:tblPr>
      <w:tblGrid>
        <w:gridCol w:w="230"/>
        <w:gridCol w:w="9860"/>
      </w:tblGrid>
      <w:tr>
        <w:trPr/>
        <w:tc>
          <w:tcPr>
            <w:tcW w:w="230" w:type="dxa"/>
            <w:tcBorders/>
            <w:shd w:fill="auto" w:val="clear"/>
          </w:tcPr>
          <w:p>
            <w:pPr>
              <w:pStyle w:val="TableContents"/>
              <w:spacing w:before="80" w:after="0"/>
              <w:rPr>
                <w:caps w:val="false"/>
                <w:smallCaps w:val="false"/>
              </w:rPr>
            </w:pPr>
            <w:r>
              <w:rPr>
                <w:caps w:val="false"/>
                <w:smallCaps w:val="false"/>
              </w:rPr>
              <w:t>☐</w:t>
            </w:r>
          </w:p>
        </w:tc>
        <w:tc>
          <w:tcPr>
            <w:tcW w:w="9860" w:type="dxa"/>
            <w:tcBorders/>
            <w:shd w:fill="auto" w:val="clear"/>
          </w:tcPr>
          <w:p>
            <w:pPr>
              <w:pStyle w:val="TableContents"/>
              <w:spacing w:before="80" w:after="0"/>
              <w:rPr>
                <w:rFonts w:ascii="Times New Roman" w:hAnsi="Times New Roman"/>
                <w:b/>
                <w:i w:val="false"/>
                <w:caps w:val="false"/>
                <w:smallCaps w:val="false"/>
                <w:sz w:val="20"/>
              </w:rPr>
            </w:pPr>
            <w:r>
              <w:rPr>
                <w:rFonts w:ascii="Times New Roman" w:hAnsi="Times New Roman"/>
                <w:b/>
                <w:i w:val="false"/>
                <w:caps w:val="false"/>
                <w:smallCaps w:val="false"/>
                <w:sz w:val="20"/>
              </w:rPr>
              <w:t>TRANSITION REPORT PURSUANT TO SECTION 13 OR 15(d) OF THE SECURITIES EXCHANGE ACT OF 1934</w:t>
            </w:r>
          </w:p>
        </w:tc>
      </w:tr>
    </w:tbl>
    <w:p>
      <w:pPr>
        <w:pStyle w:val="TextBody"/>
        <w:spacing w:before="8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FOR THE TRANSITION PERIOD FROM                      TO                     </w:t>
      </w:r>
    </w:p>
    <w:p>
      <w:pPr>
        <w:pStyle w:val="TextBody"/>
        <w:spacing w:before="8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Commission file number: 001-33185</w:t>
      </w:r>
    </w:p>
    <w:p>
      <w:pPr>
        <w:pStyle w:val="TextBody"/>
        <w:pBdr>
          <w:bottom w:val="single" w:sz="6" w:space="1" w:color="000000"/>
        </w:pBdr>
        <w:spacing w:before="0" w:after="0"/>
        <w:jc w:val="center"/>
        <w:rPr/>
      </w:pPr>
      <w:r>
        <w:rPr/>
        <w:t> </w:t>
      </w:r>
    </w:p>
    <w:p>
      <w:pPr>
        <w:pStyle w:val="TextBody"/>
        <w:spacing w:before="80" w:after="0"/>
        <w:jc w:val="center"/>
        <w:rPr>
          <w:rFonts w:ascii="Times New Roman" w:hAnsi="Times New Roman"/>
          <w:b/>
          <w:i w:val="false"/>
          <w:caps w:val="false"/>
          <w:smallCaps w:val="false"/>
          <w:sz w:val="40"/>
        </w:rPr>
      </w:pPr>
      <w:r>
        <w:rPr>
          <w:rFonts w:ascii="Times New Roman" w:hAnsi="Times New Roman"/>
          <w:b/>
          <w:i w:val="false"/>
          <w:caps w:val="false"/>
          <w:smallCaps w:val="false"/>
          <w:sz w:val="40"/>
        </w:rPr>
        <w:t>MEDICINOVA, INC.</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(Exact name of registrant as specified in its charter)</w:t>
      </w:r>
    </w:p>
    <w:p>
      <w:pPr>
        <w:pStyle w:val="TextBody"/>
        <w:pBdr>
          <w:bottom w:val="single" w:sz="6" w:space="1" w:color="000000"/>
        </w:pBdr>
        <w:spacing w:before="0" w:after="0"/>
        <w:jc w:val="center"/>
        <w:rPr/>
      </w:pPr>
      <w:r>
        <w:rPr/>
        <w:t> </w:t>
      </w:r>
    </w:p>
    <w:p>
      <w:pPr>
        <w:pStyle w:val="TextBody"/>
        <w:spacing w:before="0" w:after="0"/>
        <w:rPr/>
      </w:pPr>
      <w:r>
        <w:rPr/>
        <w:t> </w:t>
      </w:r>
    </w:p>
    <w:tbl>
      <w:tblPr>
        <w:tblW w:w="4330" w:type="dxa"/>
        <w:jc w:val="left"/>
        <w:tblInd w:w="0" w:type="dxa"/>
        <w:tblCellMar>
          <w:top w:w="0" w:type="dxa"/>
          <w:left w:w="0" w:type="dxa"/>
          <w:bottom w:w="0" w:type="dxa"/>
          <w:right w:w="0" w:type="dxa"/>
        </w:tblCellMar>
      </w:tblPr>
      <w:tblGrid>
        <w:gridCol w:w="2915"/>
        <w:gridCol w:w="60"/>
        <w:gridCol w:w="1355"/>
      </w:tblGrid>
      <w:tr>
        <w:trPr/>
        <w:tc>
          <w:tcPr>
            <w:tcW w:w="2915" w:type="dxa"/>
            <w:tcBorders/>
            <w:shd w:fill="auto" w:val="cle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Delaware</w:t>
            </w:r>
          </w:p>
        </w:tc>
        <w:tc>
          <w:tcPr>
            <w:tcW w:w="60" w:type="dxa"/>
            <w:tcBorders/>
            <w:shd w:fill="auto" w:val="clear"/>
            <w:vAlign w:val="bottom"/>
          </w:tcPr>
          <w:p>
            <w:pPr>
              <w:pStyle w:val="TableContents"/>
              <w:spacing w:before="0" w:after="0"/>
              <w:ind w:left="0" w:right="0" w:hanging="0"/>
              <w:jc w:val="center"/>
              <w:rPr/>
            </w:pPr>
            <w:r>
              <w:rPr/>
              <w:t> </w:t>
            </w:r>
          </w:p>
        </w:tc>
        <w:tc>
          <w:tcPr>
            <w:tcW w:w="1355" w:type="dxa"/>
            <w:tcBorders/>
            <w:shd w:fill="auto" w:val="cle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33-0927979</w:t>
            </w:r>
          </w:p>
        </w:tc>
      </w:tr>
      <w:tr>
        <w:trPr/>
        <w:tc>
          <w:tcPr>
            <w:tcW w:w="2915" w:type="dxa"/>
            <w:tcBorders/>
            <w:shd w:fill="auto" w:val="cle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(State or Other Jurisdiction of</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Incorporation or Organization)</w:t>
            </w:r>
          </w:p>
        </w:tc>
        <w:tc>
          <w:tcPr>
            <w:tcW w:w="60" w:type="dxa"/>
            <w:tcBorders/>
            <w:shd w:fill="auto" w:val="clear"/>
            <w:vAlign w:val="bottom"/>
          </w:tcPr>
          <w:p>
            <w:pPr>
              <w:pStyle w:val="TableContents"/>
              <w:spacing w:before="0" w:after="0"/>
              <w:ind w:left="0" w:right="0" w:hanging="0"/>
              <w:jc w:val="center"/>
              <w:rPr/>
            </w:pPr>
            <w:r>
              <w:rPr/>
              <w:t> </w:t>
            </w:r>
          </w:p>
        </w:tc>
        <w:tc>
          <w:tcPr>
            <w:tcW w:w="1355" w:type="dxa"/>
            <w:tcBorders/>
            <w:shd w:fill="auto" w:val="cle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(I.R.S. Employer</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Identification No.)</w:t>
            </w:r>
          </w:p>
        </w:tc>
      </w:tr>
      <w:tr>
        <w:trPr/>
        <w:tc>
          <w:tcPr>
            <w:tcW w:w="2915" w:type="dxa"/>
            <w:tcBorders/>
            <w:shd w:fill="auto" w:val="clear"/>
            <w:vAlign w:val="cente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jc w:val="center"/>
              <w:rPr/>
            </w:pPr>
            <w:r>
              <w:rPr/>
              <w:t> </w:t>
            </w:r>
          </w:p>
        </w:tc>
        <w:tc>
          <w:tcPr>
            <w:tcW w:w="1355" w:type="dxa"/>
            <w:tcBorders/>
            <w:shd w:fill="auto" w:val="clear"/>
            <w:vAlign w:val="center"/>
          </w:tcPr>
          <w:p>
            <w:pPr>
              <w:pStyle w:val="TableContents"/>
              <w:spacing w:before="0" w:after="0"/>
              <w:ind w:left="0" w:right="0" w:hanging="0"/>
              <w:rPr/>
            </w:pPr>
            <w:r>
              <w:rPr/>
              <w:t> </w:t>
            </w:r>
          </w:p>
        </w:tc>
      </w:tr>
      <w:tr>
        <w:trPr/>
        <w:tc>
          <w:tcPr>
            <w:tcW w:w="2915" w:type="dxa"/>
            <w:tcBorders/>
            <w:shd w:fill="auto" w:val="cle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4275 Executive Square, Suite 300</w:t>
            </w:r>
          </w:p>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La Jolla, CA</w:t>
            </w:r>
          </w:p>
        </w:tc>
        <w:tc>
          <w:tcPr>
            <w:tcW w:w="60" w:type="dxa"/>
            <w:tcBorders/>
            <w:shd w:fill="auto" w:val="clear"/>
            <w:vAlign w:val="bottom"/>
          </w:tcPr>
          <w:p>
            <w:pPr>
              <w:pStyle w:val="TableContents"/>
              <w:spacing w:before="0" w:after="0"/>
              <w:ind w:left="0" w:right="0" w:hanging="0"/>
              <w:jc w:val="center"/>
              <w:rPr/>
            </w:pPr>
            <w:r>
              <w:rPr/>
              <w:t> </w:t>
            </w:r>
          </w:p>
        </w:tc>
        <w:tc>
          <w:tcPr>
            <w:tcW w:w="135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92037</w:t>
            </w:r>
          </w:p>
        </w:tc>
      </w:tr>
      <w:tr>
        <w:trPr/>
        <w:tc>
          <w:tcPr>
            <w:tcW w:w="2915" w:type="dxa"/>
            <w:tcBorders/>
            <w:shd w:fill="auto" w:val="cle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(Address of Principal Executive Offices)</w:t>
            </w:r>
          </w:p>
        </w:tc>
        <w:tc>
          <w:tcPr>
            <w:tcW w:w="60" w:type="dxa"/>
            <w:tcBorders/>
            <w:shd w:fill="auto" w:val="clear"/>
            <w:vAlign w:val="bottom"/>
          </w:tcPr>
          <w:p>
            <w:pPr>
              <w:pStyle w:val="TableContents"/>
              <w:spacing w:before="0" w:after="0"/>
              <w:ind w:left="0" w:right="0" w:hanging="0"/>
              <w:jc w:val="center"/>
              <w:rPr/>
            </w:pPr>
            <w:r>
              <w:rPr/>
              <w:t> </w:t>
            </w:r>
          </w:p>
        </w:tc>
        <w:tc>
          <w:tcPr>
            <w:tcW w:w="1355" w:type="dxa"/>
            <w:tcBorders/>
            <w:shd w:fill="auto" w:val="cle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(Zip Code)</w:t>
            </w:r>
          </w:p>
        </w:tc>
      </w:tr>
    </w:tbl>
    <w:p>
      <w:pPr>
        <w:pStyle w:val="TextBody"/>
        <w:spacing w:before="0" w:after="0"/>
        <w:rPr/>
      </w:pPr>
      <w:r>
        <w:rPr/>
        <w:t> </w:t>
      </w:r>
    </w:p>
    <w:p>
      <w:pPr>
        <w:pStyle w:val="TextBody"/>
        <w:spacing w:before="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(858) 373-1500</w:t>
      </w:r>
    </w:p>
    <w:p>
      <w:pPr>
        <w:pStyle w:val="TextBody"/>
        <w:spacing w:before="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(Registrant’s Telephone Number, Including Area Code)</w:t>
      </w:r>
    </w:p>
    <w:p>
      <w:pPr>
        <w:pStyle w:val="TextBody"/>
        <w:spacing w:before="0" w:after="0"/>
        <w:jc w:val="center"/>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Securities registered pursuant to Section 12(b) of the Act:</w:t>
      </w:r>
    </w:p>
    <w:p>
      <w:pPr>
        <w:pStyle w:val="TextBody"/>
        <w:spacing w:before="0" w:after="0"/>
        <w:jc w:val="center"/>
        <w:rPr/>
      </w:pPr>
      <w:r>
        <w:rPr/>
        <w:t> </w:t>
      </w:r>
    </w:p>
    <w:tbl>
      <w:tblPr>
        <w:tblW w:w="7890" w:type="dxa"/>
        <w:jc w:val="left"/>
        <w:tblInd w:w="0" w:type="dxa"/>
        <w:tblCellMar>
          <w:top w:w="0" w:type="dxa"/>
          <w:left w:w="0" w:type="dxa"/>
          <w:bottom w:w="0" w:type="dxa"/>
          <w:right w:w="0" w:type="dxa"/>
        </w:tblCellMar>
      </w:tblPr>
      <w:tblGrid>
        <w:gridCol w:w="2450"/>
        <w:gridCol w:w="60"/>
        <w:gridCol w:w="1625"/>
        <w:gridCol w:w="60"/>
        <w:gridCol w:w="3695"/>
      </w:tblGrid>
      <w:tr>
        <w:trPr/>
        <w:tc>
          <w:tcPr>
            <w:tcW w:w="24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95" w:type="dxa"/>
            <w:tcBorders/>
            <w:shd w:fill="auto" w:val="clear"/>
            <w:vAlign w:val="center"/>
          </w:tcPr>
          <w:p>
            <w:pPr>
              <w:pStyle w:val="TableContents"/>
              <w:spacing w:before="0" w:after="283"/>
              <w:rPr>
                <w:sz w:val="4"/>
                <w:szCs w:val="4"/>
              </w:rPr>
            </w:pPr>
            <w:r>
              <w:rPr>
                <w:sz w:val="4"/>
                <w:szCs w:val="4"/>
              </w:rPr>
            </w:r>
          </w:p>
        </w:tc>
      </w:tr>
      <w:tr>
        <w:trPr/>
        <w:tc>
          <w:tcPr>
            <w:tcW w:w="245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 Stock, $0.001 par value</w:t>
            </w:r>
          </w:p>
        </w:tc>
        <w:tc>
          <w:tcPr>
            <w:tcW w:w="60"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62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MNOV</w:t>
            </w:r>
          </w:p>
        </w:tc>
        <w:tc>
          <w:tcPr>
            <w:tcW w:w="60"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369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The Nasdaq Stock Market LLC</w:t>
            </w:r>
          </w:p>
        </w:tc>
      </w:tr>
      <w:tr>
        <w:trPr/>
        <w:tc>
          <w:tcPr>
            <w:tcW w:w="2450"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(Title of each class)</w:t>
            </w:r>
          </w:p>
        </w:tc>
        <w:tc>
          <w:tcPr>
            <w:tcW w:w="60" w:type="dxa"/>
            <w:tcBorders/>
            <w:shd w:fill="auto" w:val="clear"/>
          </w:tcPr>
          <w:p>
            <w:pPr>
              <w:pStyle w:val="TableContents"/>
              <w:spacing w:before="0" w:after="0"/>
              <w:ind w:left="0" w:right="0" w:hanging="0"/>
              <w:rPr/>
            </w:pPr>
            <w:r>
              <w:rPr/>
              <w:t> </w:t>
            </w:r>
          </w:p>
        </w:tc>
        <w:tc>
          <w:tcPr>
            <w:tcW w:w="1625"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(Trading symbol(s))</w:t>
            </w:r>
          </w:p>
        </w:tc>
        <w:tc>
          <w:tcPr>
            <w:tcW w:w="60" w:type="dxa"/>
            <w:tcBorders/>
            <w:shd w:fill="auto" w:val="clear"/>
          </w:tcPr>
          <w:p>
            <w:pPr>
              <w:pStyle w:val="TableContents"/>
              <w:spacing w:before="0" w:after="0"/>
              <w:ind w:left="0" w:right="0" w:hanging="0"/>
              <w:rPr/>
            </w:pPr>
            <w:r>
              <w:rPr/>
              <w:t> </w:t>
            </w:r>
          </w:p>
        </w:tc>
        <w:tc>
          <w:tcPr>
            <w:tcW w:w="3695"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(Name of each exchange on which registered)</w:t>
            </w:r>
          </w:p>
        </w:tc>
      </w:tr>
    </w:tbl>
    <w:p>
      <w:pPr>
        <w:pStyle w:val="TextBody"/>
        <w:pBdr>
          <w:bottom w:val="single" w:sz="6" w:space="1" w:color="000000"/>
        </w:pBdr>
        <w:spacing w:before="0" w:after="0"/>
        <w:jc w:val="center"/>
        <w:rPr/>
      </w:pPr>
      <w:r>
        <w:rPr/>
        <w:t> </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8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8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pStyle w:val="TextBody"/>
        <w:spacing w:before="0" w:after="0"/>
        <w:rPr/>
      </w:pPr>
      <w:r>
        <w:rPr/>
        <w:t> </w:t>
      </w:r>
    </w:p>
    <w:tbl>
      <w:tblPr>
        <w:tblW w:w="4070" w:type="dxa"/>
        <w:jc w:val="left"/>
        <w:tblInd w:w="0" w:type="dxa"/>
        <w:tblCellMar>
          <w:top w:w="0" w:type="dxa"/>
          <w:left w:w="0" w:type="dxa"/>
          <w:bottom w:w="0" w:type="dxa"/>
          <w:right w:w="0" w:type="dxa"/>
        </w:tblCellMar>
      </w:tblPr>
      <w:tblGrid>
        <w:gridCol w:w="1565"/>
        <w:gridCol w:w="350"/>
        <w:gridCol w:w="1925"/>
        <w:gridCol w:w="230"/>
      </w:tblGrid>
      <w:tr>
        <w:trPr/>
        <w:tc>
          <w:tcPr>
            <w:tcW w:w="156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Large accelerated filer</w:t>
            </w:r>
          </w:p>
        </w:tc>
        <w:tc>
          <w:tcPr>
            <w:tcW w:w="350" w:type="dxa"/>
            <w:tcBorders/>
            <w:shd w:fill="auto" w:val="clear"/>
            <w:vAlign w:val="bottom"/>
          </w:tcPr>
          <w:p>
            <w:pPr>
              <w:pStyle w:val="TableContents"/>
              <w:spacing w:before="0" w:after="0"/>
              <w:ind w:left="0" w:right="0" w:hanging="0"/>
              <w:rPr>
                <w:caps w:val="false"/>
                <w:smallCaps w:val="false"/>
              </w:rPr>
            </w:pPr>
            <w:r>
              <w:rPr>
                <w:caps w:val="false"/>
                <w:smallCaps w:val="false"/>
              </w:rPr>
              <w:t>☐</w:t>
            </w:r>
          </w:p>
        </w:tc>
        <w:tc>
          <w:tcPr>
            <w:tcW w:w="192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Accelerated filer</w:t>
            </w:r>
          </w:p>
        </w:tc>
        <w:tc>
          <w:tcPr>
            <w:tcW w:w="230" w:type="dxa"/>
            <w:tcBorders/>
            <w:shd w:fill="auto" w:val="clear"/>
            <w:vAlign w:val="bottom"/>
          </w:tcPr>
          <w:p>
            <w:pPr>
              <w:pStyle w:val="TableContents"/>
              <w:spacing w:before="0" w:after="0"/>
              <w:ind w:left="0" w:right="0" w:hanging="0"/>
              <w:rPr>
                <w:caps w:val="false"/>
                <w:smallCaps w:val="false"/>
              </w:rPr>
            </w:pPr>
            <w:r>
              <w:rPr>
                <w:caps w:val="false"/>
                <w:smallCaps w:val="false"/>
              </w:rPr>
              <w:t>☐</w:t>
            </w:r>
          </w:p>
        </w:tc>
      </w:tr>
      <w:tr>
        <w:trPr/>
        <w:tc>
          <w:tcPr>
            <w:tcW w:w="1565" w:type="dxa"/>
            <w:tcBorders/>
            <w:shd w:fill="auto" w:val="clear"/>
            <w:vAlign w:val="center"/>
          </w:tcPr>
          <w:p>
            <w:pPr>
              <w:pStyle w:val="TableContents"/>
              <w:spacing w:before="0" w:after="0"/>
              <w:ind w:left="0" w:right="0" w:hanging="0"/>
              <w:rPr/>
            </w:pPr>
            <w:r>
              <w:rPr/>
              <w:t> </w:t>
            </w:r>
          </w:p>
        </w:tc>
        <w:tc>
          <w:tcPr>
            <w:tcW w:w="350" w:type="dxa"/>
            <w:tcBorders/>
            <w:shd w:fill="auto" w:val="clear"/>
            <w:vAlign w:val="center"/>
          </w:tcPr>
          <w:p>
            <w:pPr>
              <w:pStyle w:val="TableContents"/>
              <w:spacing w:before="0" w:after="0"/>
              <w:ind w:left="0" w:right="0" w:hanging="0"/>
              <w:rPr/>
            </w:pPr>
            <w:r>
              <w:rPr/>
              <w:t> </w:t>
            </w:r>
          </w:p>
        </w:tc>
        <w:tc>
          <w:tcPr>
            <w:tcW w:w="1925"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rPr/>
            </w:pPr>
            <w:r>
              <w:rPr/>
              <w:t> </w:t>
            </w:r>
          </w:p>
        </w:tc>
      </w:tr>
      <w:tr>
        <w:trPr/>
        <w:tc>
          <w:tcPr>
            <w:tcW w:w="156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Non-accelerated filer</w:t>
            </w:r>
          </w:p>
        </w:tc>
        <w:tc>
          <w:tcPr>
            <w:tcW w:w="35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92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Smaller reporting company</w:t>
            </w:r>
          </w:p>
        </w:tc>
        <w:tc>
          <w:tcPr>
            <w:tcW w:w="230" w:type="dxa"/>
            <w:tcBorders/>
            <w:shd w:fill="auto" w:val="clear"/>
            <w:vAlign w:val="bottom"/>
          </w:tcPr>
          <w:p>
            <w:pPr>
              <w:pStyle w:val="TableContents"/>
              <w:spacing w:before="0" w:after="0"/>
              <w:ind w:left="0" w:right="0" w:hanging="0"/>
              <w:rPr>
                <w:caps w:val="false"/>
                <w:smallCaps w:val="false"/>
              </w:rPr>
            </w:pPr>
            <w:r>
              <w:rPr>
                <w:caps w:val="false"/>
                <w:smallCaps w:val="false"/>
              </w:rPr>
              <w:t>☒</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Emerging growth company ☐</w:t>
      </w:r>
    </w:p>
    <w:p>
      <w:pPr>
        <w:pStyle w:val="TextBody"/>
        <w:spacing w:before="8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highlight w:val="whit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b w:val="false"/>
          <w:i w:val="false"/>
          <w:caps w:val="false"/>
          <w:smallCaps w:val="false"/>
          <w:color w:val="000000"/>
          <w:sz w:val="16"/>
        </w:rPr>
        <w:t>☐</w:t>
      </w:r>
    </w:p>
    <w:p>
      <w:pPr>
        <w:pStyle w:val="TextBody"/>
        <w:spacing w:before="0" w:after="0"/>
        <w:rPr/>
      </w:pPr>
      <w:r>
        <w:rPr/>
        <w:t> </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whether the registrant is a shell company (as defined in Rule 12b-2 of the Exchange Act).    Yes  ☐    No  ☒</w:t>
      </w:r>
    </w:p>
    <w:p>
      <w:pPr>
        <w:pStyle w:val="TextBody"/>
        <w:spacing w:before="8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As of May 12, 2022, the registrant had 49,046,246 shares of Common Stock ($0.001 par value) outstanding. </w:t>
      </w:r>
    </w:p>
    <w:p>
      <w:pPr>
        <w:pStyle w:val="TextBody"/>
        <w:pBdr>
          <w:bottom w:val="double" w:sz="6" w:space="1" w:color="000000"/>
        </w:pBdr>
        <w:spacing w:before="0" w:after="0"/>
        <w:rPr/>
      </w:pPr>
      <w:r>
        <w:rPr/>
        <w:t> </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CAUTIONARY NOTE REGARDING FORWARD-LOOKING STATEMENTS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factors are among those that may cause actual results to differ materially from our forward-looking statements:</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035"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Inability to raise additional capital if needed;</w:t>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Inability to generate revenues from product sales to continue business operations;</w:t>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Inability to develop and commercialize our product candidates;</w:t>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Failure or delay in completing clinical trials or obtaining Food and Drug Administration or foreign regulatory approval for our product candidates in a timely manner;</w:t>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Unsuccessful clinical trials stemming from clinical trial designs, failure to enroll a sufficient number of patients, undesirable side effects and other safety concerns;</w:t>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Inability to demonstrate sufficient efficacy of product candidates;</w:t>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Reliance on the success of our MN-166 (ibudilast) and MN-001 (tipelukast) product candidates;</w:t>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Delays in commencement or completion of clinical trials or suspension or termination of clinical trials;</w:t>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of our licensed rights to develop and commercialize a product candidate as a result of the termination of the underlying licensing agreement;</w:t>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Competitors may develop products rendering our product candidates obsolete and noncompetitive;</w:t>
            </w:r>
          </w:p>
        </w:tc>
      </w:tr>
      <w:tr>
        <w:trPr/>
        <w:tc>
          <w:tcPr>
            <w:tcW w:w="60" w:type="dxa"/>
            <w:tcBorders/>
            <w:shd w:fill="auto" w:val="clear"/>
          </w:tcPr>
          <w:p>
            <w:pPr>
              <w:pStyle w:val="TableContents"/>
              <w:spacing w:before="120" w:after="0"/>
              <w:ind w:left="0" w:right="0" w:hanging="0"/>
              <w:rPr/>
            </w:pPr>
            <w:r>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widespread outbreak of an illness or any other communicable disease, such as COVID-19, which has lead to key employees becoming ill for a period of time;</w:t>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Inability to successfully attract partners and enter into collaborations on acceptable terms;</w:t>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Dependence on third parties to conduct clinical trials and to manufacture product candidates;</w:t>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Dependence on third parties to market and distribute products;</w:t>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product candidates, if approved, may not gain market acceptance or obtain adequate coverage for third party reimbursement;</w:t>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Disputes or other developments concerning our intellectual property rights;</w:t>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Actual and anticipated fluctuations in our quarterly or annual operating results;</w:t>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Price and volume fluctuations in the overall stock markets;</w:t>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Litigation or public concern about the safety of our potential products;</w:t>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International trade or foreign exchange restrictions, increased tariffs, foreign currency exchange;</w:t>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High quality material for our products may become difficult to obtain or expensive;</w:t>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Strict government regulations on our business;</w:t>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Regulations governing the production or marketing of our product candidates;</w:t>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of, or inability to attract, key personnel; and</w:t>
            </w:r>
          </w:p>
        </w:tc>
      </w:tr>
      <w:tr>
        <w:trPr/>
        <w:tc>
          <w:tcPr>
            <w:tcW w:w="6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ind w:left="0" w:right="0" w:hanging="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Economic, political, foreign exchange and other risks associated with international operations. </w:t>
            </w:r>
          </w:p>
        </w:tc>
      </w:tr>
    </w:tbl>
    <w:p>
      <w:pPr>
        <w:pStyle w:val="TextBody"/>
        <w:spacing w:before="0" w:after="0"/>
        <w:rPr>
          <w:caps w:val="false"/>
          <w:smallCaps w:val="false"/>
          <w:color w:val="000000"/>
        </w:rPr>
      </w:pPr>
      <w:r>
        <w:rPr>
          <w:caps w:val="false"/>
          <w:smallCaps w:val="false"/>
          <w:color w:val="000000"/>
        </w:rPr>
        <w:t>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MEDICINOVA, INC.</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TABLE OF CONTENTS</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830"/>
        <w:gridCol w:w="60"/>
        <w:gridCol w:w="9085"/>
        <w:gridCol w:w="230"/>
      </w:tblGrid>
      <w:tr>
        <w:trPr/>
        <w:tc>
          <w:tcPr>
            <w:tcW w:w="9975" w:type="dxa"/>
            <w:gridSpan w:val="3"/>
            <w:tcBorders/>
            <w:shd w:fill="FFFFFF" w:val="clear"/>
            <w:vAlign w:val="center"/>
          </w:tcPr>
          <w:p>
            <w:pPr>
              <w:pStyle w:val="TableContents"/>
              <w:spacing w:before="0" w:after="0"/>
              <w:ind w:left="0" w:right="0" w:hanging="0"/>
              <w:rPr/>
            </w:pPr>
            <w:hyperlink w:anchor="PART_I_FINANCIAL_INFORMATION">
              <w:r>
                <w:rPr>
                  <w:rStyle w:val="InternetLink"/>
                  <w:rFonts w:ascii="Times New Roman" w:hAnsi="Times New Roman"/>
                  <w:b w:val="false"/>
                  <w:i w:val="false"/>
                  <w:caps w:val="false"/>
                  <w:smallCaps w:val="false"/>
                  <w:sz w:val="20"/>
                  <w:u w:val="single"/>
                </w:rPr>
                <w:t>PART I. FINANCIAL INFORMATION</w:t>
              </w:r>
            </w:hyperlink>
          </w:p>
        </w:tc>
        <w:tc>
          <w:tcPr>
            <w:tcW w:w="230" w:type="dxa"/>
            <w:tcBorders/>
            <w:shd w:fill="FFFFFF" w:val="cle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r>
      <w:tr>
        <w:trPr/>
        <w:tc>
          <w:tcPr>
            <w:tcW w:w="890" w:type="dxa"/>
            <w:gridSpan w:val="2"/>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085" w:type="dxa"/>
            <w:tcBorders/>
            <w:shd w:fill="FFFFFF" w:val="clear"/>
            <w:vAlign w:val="center"/>
          </w:tcPr>
          <w:p>
            <w:pPr>
              <w:pStyle w:val="TableContents"/>
              <w:spacing w:before="0" w:after="0"/>
              <w:ind w:left="0" w:right="0" w:hanging="0"/>
              <w:rPr/>
            </w:pPr>
            <w:r>
              <w:rPr/>
              <w:t> </w:t>
            </w:r>
          </w:p>
        </w:tc>
        <w:tc>
          <w:tcPr>
            <w:tcW w:w="230" w:type="dxa"/>
            <w:tcBorders/>
            <w:shd w:fill="FFFFFF" w:val="clear"/>
          </w:tcPr>
          <w:p>
            <w:pPr>
              <w:pStyle w:val="TableContents"/>
              <w:spacing w:before="0" w:after="0"/>
              <w:ind w:left="0" w:right="0" w:hanging="0"/>
              <w:jc w:val="right"/>
              <w:rPr/>
            </w:pPr>
            <w:r>
              <w:rPr/>
              <w:t> </w:t>
            </w:r>
          </w:p>
        </w:tc>
      </w:tr>
      <w:tr>
        <w:trPr/>
        <w:tc>
          <w:tcPr>
            <w:tcW w:w="830" w:type="dxa"/>
            <w:tcBorders/>
            <w:shd w:fill="FFFFFF" w:val="clear"/>
            <w:vAlign w:val="center"/>
          </w:tcPr>
          <w:p>
            <w:pPr>
              <w:pStyle w:val="TableContents"/>
              <w:spacing w:before="0" w:after="0"/>
              <w:ind w:left="115"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085" w:type="dxa"/>
            <w:tcBorders/>
            <w:shd w:fill="FFFFFF" w:val="clear"/>
            <w:vAlign w:val="center"/>
          </w:tcPr>
          <w:p>
            <w:pPr>
              <w:pStyle w:val="TableContents"/>
              <w:spacing w:before="0" w:after="0"/>
              <w:ind w:left="245" w:right="0" w:hanging="245"/>
              <w:rPr/>
            </w:pPr>
            <w:hyperlink w:anchor="ITEM_1_CONSOLIDATED_FINANCIAL_STATEMENTS">
              <w:r>
                <w:rPr>
                  <w:rStyle w:val="InternetLink"/>
                  <w:rFonts w:ascii="Times New Roman" w:hAnsi="Times New Roman"/>
                  <w:b w:val="false"/>
                  <w:i w:val="false"/>
                  <w:caps w:val="false"/>
                  <w:smallCaps w:val="false"/>
                  <w:sz w:val="20"/>
                  <w:u w:val="single"/>
                </w:rPr>
                <w:t>CONDENSED CONSOLIDATED FINANCIAL STATEMENTS (unaudited)</w:t>
              </w:r>
            </w:hyperlink>
          </w:p>
        </w:tc>
        <w:tc>
          <w:tcPr>
            <w:tcW w:w="230" w:type="dxa"/>
            <w:tcBorders/>
            <w:shd w:fill="FFFFFF" w:val="cle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r>
      <w:tr>
        <w:trPr/>
        <w:tc>
          <w:tcPr>
            <w:tcW w:w="830" w:type="dxa"/>
            <w:tcBorders/>
            <w:shd w:fill="FFFFFF" w:val="clear"/>
          </w:tcPr>
          <w:p>
            <w:pPr>
              <w:pStyle w:val="TableContents"/>
              <w:spacing w:before="0" w:after="0"/>
              <w:ind w:left="115"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2.</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085" w:type="dxa"/>
            <w:tcBorders/>
            <w:shd w:fill="FFFFFF" w:val="clear"/>
            <w:vAlign w:val="center"/>
          </w:tcPr>
          <w:p>
            <w:pPr>
              <w:pStyle w:val="TableContents"/>
              <w:spacing w:before="0" w:after="0"/>
              <w:ind w:left="245" w:right="0" w:hanging="245"/>
              <w:rPr/>
            </w:pPr>
            <w:hyperlink w:anchor="ITEM_2_MANAGEMENTS_DISCUSSION_ANALYSIS_F">
              <w:r>
                <w:rPr>
                  <w:rStyle w:val="InternetLink"/>
                  <w:rFonts w:ascii="Times New Roman" w:hAnsi="Times New Roman"/>
                  <w:b w:val="false"/>
                  <w:i w:val="false"/>
                  <w:caps w:val="false"/>
                  <w:smallCaps w:val="false"/>
                  <w:sz w:val="20"/>
                  <w:u w:val="single"/>
                </w:rPr>
                <w:t>MANAGEMENT’S DISCUSSION AND ANALYSIS OF FINANCIAL CONDITION AND RESULTS OF OPERATIONS</w:t>
              </w:r>
            </w:hyperlink>
          </w:p>
        </w:tc>
        <w:tc>
          <w:tcPr>
            <w:tcW w:w="2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w:t>
            </w:r>
          </w:p>
        </w:tc>
      </w:tr>
      <w:tr>
        <w:trPr/>
        <w:tc>
          <w:tcPr>
            <w:tcW w:w="830" w:type="dxa"/>
            <w:tcBorders/>
            <w:shd w:fill="FFFFFF" w:val="clear"/>
            <w:vAlign w:val="center"/>
          </w:tcPr>
          <w:p>
            <w:pPr>
              <w:pStyle w:val="TableContents"/>
              <w:spacing w:before="0" w:after="0"/>
              <w:ind w:left="115"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3.</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085" w:type="dxa"/>
            <w:tcBorders/>
            <w:shd w:fill="FFFFFF" w:val="clear"/>
            <w:vAlign w:val="center"/>
          </w:tcPr>
          <w:p>
            <w:pPr>
              <w:pStyle w:val="TableContents"/>
              <w:spacing w:before="0" w:after="0"/>
              <w:ind w:left="245" w:right="0" w:hanging="245"/>
              <w:rPr/>
            </w:pPr>
            <w:hyperlink w:anchor="ITEM_3_QUANTITATIVE_QUALITATIVE_DISCLOSU">
              <w:r>
                <w:rPr>
                  <w:rStyle w:val="InternetLink"/>
                  <w:rFonts w:ascii="Times New Roman" w:hAnsi="Times New Roman"/>
                  <w:b w:val="false"/>
                  <w:i w:val="false"/>
                  <w:caps w:val="false"/>
                  <w:smallCaps w:val="false"/>
                  <w:sz w:val="20"/>
                  <w:u w:val="single"/>
                </w:rPr>
                <w:t>QUANTITATIVE AND QUALITATIVE DISCLOSURES ABOUT MARKET RISK</w:t>
              </w:r>
            </w:hyperlink>
          </w:p>
        </w:tc>
        <w:tc>
          <w:tcPr>
            <w:tcW w:w="230" w:type="dxa"/>
            <w:tcBorders/>
            <w:shd w:fill="FFFFFF" w:val="cle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w:t>
            </w:r>
          </w:p>
        </w:tc>
      </w:tr>
      <w:tr>
        <w:trPr/>
        <w:tc>
          <w:tcPr>
            <w:tcW w:w="830" w:type="dxa"/>
            <w:tcBorders/>
            <w:shd w:fill="FFFFFF" w:val="clear"/>
            <w:vAlign w:val="center"/>
          </w:tcPr>
          <w:p>
            <w:pPr>
              <w:pStyle w:val="TableContents"/>
              <w:spacing w:before="0" w:after="0"/>
              <w:ind w:left="115"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4.</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085" w:type="dxa"/>
            <w:tcBorders/>
            <w:shd w:fill="FFFFFF" w:val="clear"/>
            <w:vAlign w:val="center"/>
          </w:tcPr>
          <w:p>
            <w:pPr>
              <w:pStyle w:val="TableContents"/>
              <w:spacing w:before="0" w:after="0"/>
              <w:ind w:left="245" w:right="0" w:hanging="245"/>
              <w:rPr/>
            </w:pPr>
            <w:hyperlink w:anchor="ITEM_4_CONTROLS_PROCEDURES">
              <w:r>
                <w:rPr>
                  <w:rStyle w:val="InternetLink"/>
                  <w:rFonts w:ascii="Times New Roman" w:hAnsi="Times New Roman"/>
                  <w:b w:val="false"/>
                  <w:i w:val="false"/>
                  <w:caps w:val="false"/>
                  <w:smallCaps w:val="false"/>
                  <w:sz w:val="20"/>
                  <w:u w:val="single"/>
                </w:rPr>
                <w:t>CONTROLS AND PROCEDURES</w:t>
              </w:r>
            </w:hyperlink>
          </w:p>
        </w:tc>
        <w:tc>
          <w:tcPr>
            <w:tcW w:w="230" w:type="dxa"/>
            <w:tcBorders/>
            <w:shd w:fill="FFFFFF" w:val="cle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w:t>
            </w:r>
          </w:p>
        </w:tc>
      </w:tr>
      <w:tr>
        <w:trPr/>
        <w:tc>
          <w:tcPr>
            <w:tcW w:w="830" w:type="dxa"/>
            <w:tcBorders/>
            <w:shd w:fill="FFFFFF" w:val="clear"/>
            <w:vAlign w:val="center"/>
          </w:tcPr>
          <w:p>
            <w:pPr>
              <w:pStyle w:val="TableContents"/>
              <w:spacing w:before="0" w:after="0"/>
              <w:ind w:left="115"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08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Pr>
          <w:p>
            <w:pPr>
              <w:pStyle w:val="TableContents"/>
              <w:spacing w:before="0" w:after="0"/>
              <w:ind w:left="0" w:right="0" w:hanging="0"/>
              <w:jc w:val="right"/>
              <w:rPr/>
            </w:pPr>
            <w:r>
              <w:rPr/>
              <w:t> </w:t>
            </w:r>
          </w:p>
        </w:tc>
      </w:tr>
      <w:tr>
        <w:trPr/>
        <w:tc>
          <w:tcPr>
            <w:tcW w:w="9975" w:type="dxa"/>
            <w:gridSpan w:val="3"/>
            <w:tcBorders/>
            <w:shd w:fill="FFFFFF" w:val="clear"/>
            <w:vAlign w:val="center"/>
          </w:tcPr>
          <w:p>
            <w:pPr>
              <w:pStyle w:val="TableContents"/>
              <w:spacing w:before="0" w:after="0"/>
              <w:ind w:left="0" w:right="0" w:hanging="0"/>
              <w:rPr/>
            </w:pPr>
            <w:hyperlink w:anchor="PART_II_OR_INFORMATION">
              <w:r>
                <w:rPr>
                  <w:rStyle w:val="InternetLink"/>
                  <w:rFonts w:ascii="Times New Roman" w:hAnsi="Times New Roman"/>
                  <w:b w:val="false"/>
                  <w:i w:val="false"/>
                  <w:caps w:val="false"/>
                  <w:smallCaps w:val="false"/>
                  <w:sz w:val="20"/>
                  <w:u w:val="single"/>
                </w:rPr>
                <w:t>PART II. OTHER INFORMATION</w:t>
              </w:r>
            </w:hyperlink>
          </w:p>
        </w:tc>
        <w:tc>
          <w:tcPr>
            <w:tcW w:w="230" w:type="dxa"/>
            <w:tcBorders/>
            <w:shd w:fill="FFFFFF" w:val="cle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w:t>
            </w:r>
          </w:p>
        </w:tc>
      </w:tr>
      <w:tr>
        <w:trPr/>
        <w:tc>
          <w:tcPr>
            <w:tcW w:w="83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08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Pr>
          <w:p>
            <w:pPr>
              <w:pStyle w:val="TableContents"/>
              <w:spacing w:before="0" w:after="0"/>
              <w:ind w:left="0" w:right="0" w:hanging="0"/>
              <w:jc w:val="right"/>
              <w:rPr/>
            </w:pPr>
            <w:r>
              <w:rPr/>
              <w:t> </w:t>
            </w:r>
          </w:p>
        </w:tc>
      </w:tr>
      <w:tr>
        <w:trPr/>
        <w:tc>
          <w:tcPr>
            <w:tcW w:w="830" w:type="dxa"/>
            <w:tcBorders/>
            <w:shd w:fill="FFFFFF" w:val="clear"/>
            <w:vAlign w:val="center"/>
          </w:tcPr>
          <w:p>
            <w:pPr>
              <w:pStyle w:val="TableContents"/>
              <w:spacing w:before="0" w:after="0"/>
              <w:ind w:left="115"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w:t>
            </w:r>
          </w:p>
        </w:tc>
        <w:tc>
          <w:tcPr>
            <w:tcW w:w="60" w:type="dxa"/>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9085" w:type="dxa"/>
            <w:tcBorders/>
            <w:shd w:fill="FFFFFF" w:val="clear"/>
            <w:vAlign w:val="center"/>
          </w:tcPr>
          <w:p>
            <w:pPr>
              <w:pStyle w:val="TableContents"/>
              <w:spacing w:before="0" w:after="0"/>
              <w:ind w:left="245" w:right="0" w:hanging="245"/>
              <w:rPr/>
            </w:pPr>
            <w:hyperlink w:anchor="ITEM_1_LEGAL_PROCEEDINGS">
              <w:r>
                <w:rPr>
                  <w:rStyle w:val="InternetLink"/>
                  <w:rFonts w:ascii="Times New Roman" w:hAnsi="Times New Roman"/>
                  <w:b w:val="false"/>
                  <w:i w:val="false"/>
                  <w:caps w:val="false"/>
                  <w:smallCaps w:val="false"/>
                  <w:sz w:val="20"/>
                  <w:u w:val="single"/>
                </w:rPr>
                <w:t>LEGAL PROCEEDINGS</w:t>
              </w:r>
            </w:hyperlink>
          </w:p>
        </w:tc>
        <w:tc>
          <w:tcPr>
            <w:tcW w:w="230" w:type="dxa"/>
            <w:tcBorders/>
            <w:shd w:fill="FFFFFF" w:val="clear"/>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w:t>
            </w:r>
          </w:p>
        </w:tc>
      </w:tr>
      <w:tr>
        <w:trPr/>
        <w:tc>
          <w:tcPr>
            <w:tcW w:w="830" w:type="dxa"/>
            <w:tcBorders/>
            <w:shd w:fill="FFFFFF" w:val="clear"/>
            <w:vAlign w:val="center"/>
          </w:tcPr>
          <w:p>
            <w:pPr>
              <w:pStyle w:val="TableContents"/>
              <w:spacing w:before="0" w:after="0"/>
              <w:ind w:left="115"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1A.</w:t>
            </w:r>
          </w:p>
        </w:tc>
        <w:tc>
          <w:tcPr>
            <w:tcW w:w="60" w:type="dxa"/>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9085" w:type="dxa"/>
            <w:tcBorders/>
            <w:shd w:fill="FFFFFF" w:val="clear"/>
            <w:vAlign w:val="center"/>
          </w:tcPr>
          <w:p>
            <w:pPr>
              <w:pStyle w:val="TableContents"/>
              <w:spacing w:before="0" w:after="0"/>
              <w:ind w:left="245" w:right="0" w:hanging="245"/>
              <w:rPr/>
            </w:pPr>
            <w:hyperlink w:anchor="ITEM_1A_RISK_FACTORS">
              <w:r>
                <w:rPr>
                  <w:rStyle w:val="InternetLink"/>
                  <w:rFonts w:ascii="Times New Roman" w:hAnsi="Times New Roman"/>
                  <w:b w:val="false"/>
                  <w:i w:val="false"/>
                  <w:caps w:val="false"/>
                  <w:smallCaps w:val="false"/>
                  <w:sz w:val="20"/>
                  <w:u w:val="single"/>
                </w:rPr>
                <w:t>RISK FACTORS</w:t>
              </w:r>
            </w:hyperlink>
          </w:p>
        </w:tc>
        <w:tc>
          <w:tcPr>
            <w:tcW w:w="230" w:type="dxa"/>
            <w:tcBorders/>
            <w:shd w:fill="FFFFFF" w:val="clear"/>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w:t>
            </w:r>
          </w:p>
        </w:tc>
      </w:tr>
      <w:tr>
        <w:trPr/>
        <w:tc>
          <w:tcPr>
            <w:tcW w:w="830" w:type="dxa"/>
            <w:tcBorders/>
            <w:shd w:fill="FFFFFF" w:val="clear"/>
            <w:vAlign w:val="center"/>
          </w:tcPr>
          <w:p>
            <w:pPr>
              <w:pStyle w:val="TableContents"/>
              <w:spacing w:before="0" w:after="0"/>
              <w:ind w:left="115"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2.</w:t>
            </w:r>
          </w:p>
        </w:tc>
        <w:tc>
          <w:tcPr>
            <w:tcW w:w="60" w:type="dxa"/>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9085" w:type="dxa"/>
            <w:tcBorders/>
            <w:shd w:fill="FFFFFF" w:val="clear"/>
            <w:vAlign w:val="center"/>
          </w:tcPr>
          <w:p>
            <w:pPr>
              <w:pStyle w:val="TableContents"/>
              <w:spacing w:before="0" w:after="0"/>
              <w:ind w:left="245" w:right="0" w:hanging="245"/>
              <w:rPr/>
            </w:pPr>
            <w:hyperlink w:anchor="ITEM_2_UNREGISTERED_SALES_EQUITY_SECUTIT">
              <w:r>
                <w:rPr>
                  <w:rStyle w:val="InternetLink"/>
                  <w:rFonts w:ascii="Times New Roman" w:hAnsi="Times New Roman"/>
                  <w:b w:val="false"/>
                  <w:i w:val="false"/>
                  <w:caps w:val="false"/>
                  <w:smallCaps w:val="false"/>
                  <w:sz w:val="20"/>
                  <w:u w:val="single"/>
                </w:rPr>
                <w:t>UNREGISTERED SALES OF EQUITY SECURITIES AND USE OF PROCEEDS</w:t>
              </w:r>
            </w:hyperlink>
          </w:p>
        </w:tc>
        <w:tc>
          <w:tcPr>
            <w:tcW w:w="230" w:type="dxa"/>
            <w:tcBorders/>
            <w:shd w:fill="FFFFFF" w:val="clear"/>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w:t>
            </w:r>
          </w:p>
        </w:tc>
      </w:tr>
      <w:tr>
        <w:trPr/>
        <w:tc>
          <w:tcPr>
            <w:tcW w:w="830" w:type="dxa"/>
            <w:tcBorders/>
            <w:shd w:fill="FFFFFF" w:val="clear"/>
            <w:vAlign w:val="center"/>
          </w:tcPr>
          <w:p>
            <w:pPr>
              <w:pStyle w:val="TableContents"/>
              <w:spacing w:before="0" w:after="0"/>
              <w:ind w:left="115"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3.</w:t>
            </w:r>
          </w:p>
        </w:tc>
        <w:tc>
          <w:tcPr>
            <w:tcW w:w="60" w:type="dxa"/>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9085" w:type="dxa"/>
            <w:tcBorders/>
            <w:shd w:fill="FFFFFF" w:val="clear"/>
            <w:vAlign w:val="center"/>
          </w:tcPr>
          <w:p>
            <w:pPr>
              <w:pStyle w:val="TableContents"/>
              <w:spacing w:before="0" w:after="0"/>
              <w:ind w:left="245" w:right="0" w:hanging="245"/>
              <w:rPr/>
            </w:pPr>
            <w:hyperlink w:anchor="ITEM_3_DEFAULTS_UPON_SENIOR_SECURITIES">
              <w:r>
                <w:rPr>
                  <w:rStyle w:val="InternetLink"/>
                  <w:rFonts w:ascii="Times New Roman" w:hAnsi="Times New Roman"/>
                  <w:b w:val="false"/>
                  <w:i w:val="false"/>
                  <w:caps w:val="false"/>
                  <w:smallCaps w:val="false"/>
                  <w:sz w:val="20"/>
                  <w:u w:val="single"/>
                </w:rPr>
                <w:t>DEFAULTS UPON SENIOR SECURITIES</w:t>
              </w:r>
            </w:hyperlink>
          </w:p>
        </w:tc>
        <w:tc>
          <w:tcPr>
            <w:tcW w:w="230" w:type="dxa"/>
            <w:tcBorders/>
            <w:shd w:fill="FFFFFF" w:val="clear"/>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w:t>
            </w:r>
          </w:p>
        </w:tc>
      </w:tr>
      <w:tr>
        <w:trPr/>
        <w:tc>
          <w:tcPr>
            <w:tcW w:w="830" w:type="dxa"/>
            <w:tcBorders/>
            <w:shd w:fill="FFFFFF" w:val="clear"/>
            <w:vAlign w:val="center"/>
          </w:tcPr>
          <w:p>
            <w:pPr>
              <w:pStyle w:val="TableContents"/>
              <w:spacing w:before="0" w:after="0"/>
              <w:ind w:left="115"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4.</w:t>
            </w:r>
          </w:p>
        </w:tc>
        <w:tc>
          <w:tcPr>
            <w:tcW w:w="60" w:type="dxa"/>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9085" w:type="dxa"/>
            <w:tcBorders/>
            <w:shd w:fill="FFFFFF" w:val="clear"/>
            <w:vAlign w:val="center"/>
          </w:tcPr>
          <w:p>
            <w:pPr>
              <w:pStyle w:val="TableContents"/>
              <w:spacing w:before="0" w:after="0"/>
              <w:ind w:left="245" w:right="0" w:hanging="245"/>
              <w:rPr/>
            </w:pPr>
            <w:hyperlink w:anchor="ITEM_4_MINE_SAFETY_DISCLOSURES">
              <w:r>
                <w:rPr>
                  <w:rStyle w:val="InternetLink"/>
                  <w:rFonts w:ascii="Times New Roman" w:hAnsi="Times New Roman"/>
                  <w:b w:val="false"/>
                  <w:i w:val="false"/>
                  <w:caps w:val="false"/>
                  <w:smallCaps w:val="false"/>
                  <w:sz w:val="20"/>
                  <w:u w:val="single"/>
                </w:rPr>
                <w:t>MINE SAFETY DISCLOSURES</w:t>
              </w:r>
            </w:hyperlink>
          </w:p>
        </w:tc>
        <w:tc>
          <w:tcPr>
            <w:tcW w:w="230" w:type="dxa"/>
            <w:tcBorders/>
            <w:shd w:fill="FFFFFF" w:val="clear"/>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w:t>
            </w:r>
          </w:p>
        </w:tc>
      </w:tr>
      <w:tr>
        <w:trPr/>
        <w:tc>
          <w:tcPr>
            <w:tcW w:w="830" w:type="dxa"/>
            <w:tcBorders/>
            <w:shd w:fill="FFFFFF" w:val="clear"/>
            <w:vAlign w:val="center"/>
          </w:tcPr>
          <w:p>
            <w:pPr>
              <w:pStyle w:val="TableContents"/>
              <w:spacing w:before="0" w:after="0"/>
              <w:ind w:left="115"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5.</w:t>
            </w:r>
          </w:p>
        </w:tc>
        <w:tc>
          <w:tcPr>
            <w:tcW w:w="60" w:type="dxa"/>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9085" w:type="dxa"/>
            <w:tcBorders/>
            <w:shd w:fill="FFFFFF" w:val="clear"/>
            <w:vAlign w:val="center"/>
          </w:tcPr>
          <w:p>
            <w:pPr>
              <w:pStyle w:val="TableContents"/>
              <w:spacing w:before="0" w:after="0"/>
              <w:ind w:left="245" w:right="0" w:hanging="245"/>
              <w:rPr/>
            </w:pPr>
            <w:hyperlink w:anchor="ITEM_5_OR_INFORMATION">
              <w:r>
                <w:rPr>
                  <w:rStyle w:val="InternetLink"/>
                  <w:rFonts w:ascii="Times New Roman" w:hAnsi="Times New Roman"/>
                  <w:b w:val="false"/>
                  <w:i w:val="false"/>
                  <w:caps w:val="false"/>
                  <w:smallCaps w:val="false"/>
                  <w:sz w:val="20"/>
                  <w:u w:val="single"/>
                </w:rPr>
                <w:t>OTHER INFORMATION</w:t>
              </w:r>
            </w:hyperlink>
          </w:p>
        </w:tc>
        <w:tc>
          <w:tcPr>
            <w:tcW w:w="230" w:type="dxa"/>
            <w:tcBorders/>
            <w:shd w:fill="FFFFFF" w:val="clear"/>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w:t>
            </w:r>
          </w:p>
        </w:tc>
      </w:tr>
      <w:tr>
        <w:trPr/>
        <w:tc>
          <w:tcPr>
            <w:tcW w:w="830" w:type="dxa"/>
            <w:tcBorders/>
            <w:shd w:fill="FFFFFF" w:val="clear"/>
            <w:vAlign w:val="center"/>
          </w:tcPr>
          <w:p>
            <w:pPr>
              <w:pStyle w:val="TableContents"/>
              <w:spacing w:before="0" w:after="0"/>
              <w:ind w:left="115"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6.</w:t>
            </w:r>
          </w:p>
        </w:tc>
        <w:tc>
          <w:tcPr>
            <w:tcW w:w="60" w:type="dxa"/>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9085" w:type="dxa"/>
            <w:tcBorders/>
            <w:shd w:fill="FFFFFF" w:val="clear"/>
            <w:vAlign w:val="center"/>
          </w:tcPr>
          <w:p>
            <w:pPr>
              <w:pStyle w:val="TableContents"/>
              <w:spacing w:before="0" w:after="0"/>
              <w:ind w:left="245" w:right="0" w:hanging="245"/>
              <w:rPr/>
            </w:pPr>
            <w:hyperlink w:anchor="ITEM_6_EXHIBITS">
              <w:r>
                <w:rPr>
                  <w:rStyle w:val="InternetLink"/>
                  <w:rFonts w:ascii="Times New Roman" w:hAnsi="Times New Roman"/>
                  <w:b w:val="false"/>
                  <w:i w:val="false"/>
                  <w:caps w:val="false"/>
                  <w:smallCaps w:val="false"/>
                  <w:sz w:val="20"/>
                  <w:u w:val="single"/>
                </w:rPr>
                <w:t>EXHIBITS</w:t>
              </w:r>
            </w:hyperlink>
          </w:p>
        </w:tc>
        <w:tc>
          <w:tcPr>
            <w:tcW w:w="230" w:type="dxa"/>
            <w:tcBorders/>
            <w:shd w:fill="FFFFFF" w:val="clear"/>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tc>
      </w:tr>
      <w:tr>
        <w:trPr/>
        <w:tc>
          <w:tcPr>
            <w:tcW w:w="9975" w:type="dxa"/>
            <w:gridSpan w:val="3"/>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230" w:type="dxa"/>
            <w:tcBorders/>
            <w:shd w:fill="FFFFFF" w:val="clear"/>
          </w:tcPr>
          <w:p>
            <w:pPr>
              <w:pStyle w:val="TableContents"/>
              <w:spacing w:before="0" w:after="0"/>
              <w:ind w:left="0" w:right="0" w:hanging="0"/>
              <w:jc w:val="right"/>
              <w:rPr/>
            </w:pPr>
            <w:r>
              <w:rPr/>
              <w:t> </w:t>
            </w:r>
          </w:p>
        </w:tc>
      </w:tr>
      <w:tr>
        <w:trPr/>
        <w:tc>
          <w:tcPr>
            <w:tcW w:w="9975" w:type="dxa"/>
            <w:gridSpan w:val="3"/>
            <w:tcBorders/>
            <w:shd w:fill="FFFFFF" w:val="clear"/>
            <w:vAlign w:val="center"/>
          </w:tcPr>
          <w:p>
            <w:pPr>
              <w:pStyle w:val="TableContents"/>
              <w:spacing w:before="0" w:after="0"/>
              <w:ind w:left="0" w:right="0" w:hanging="0"/>
              <w:rPr/>
            </w:pPr>
            <w:hyperlink w:anchor="SIGNATURES">
              <w:r>
                <w:rPr>
                  <w:rStyle w:val="InternetLink"/>
                  <w:strike w:val="false"/>
                  <w:dstrike w:val="false"/>
                  <w:u w:val="none"/>
                  <w:effect w:val="none"/>
                </w:rPr>
                <w:t>SIGNATURES</w:t>
              </w:r>
            </w:hyperlink>
          </w:p>
        </w:tc>
        <w:tc>
          <w:tcPr>
            <w:tcW w:w="230" w:type="dxa"/>
            <w:tcBorders/>
            <w:shd w:fill="FFFFFF" w:val="clear"/>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2" w:name="PART_I_FINANCIAL_INFORMATION"/>
      <w:bookmarkEnd w:id="2"/>
      <w:r>
        <w:rPr>
          <w:rFonts w:ascii="Times New Roman" w:hAnsi="Times New Roman"/>
          <w:b/>
          <w:i w:val="false"/>
          <w:caps w:val="false"/>
          <w:smallCaps w:val="false"/>
          <w:sz w:val="20"/>
        </w:rPr>
        <w:t>PART I. FINANCIAL INFORMATION</w:t>
      </w:r>
    </w:p>
    <w:tbl>
      <w:tblPr>
        <w:tblW w:w="6115" w:type="dxa"/>
        <w:jc w:val="left"/>
        <w:tblInd w:w="0" w:type="dxa"/>
        <w:tblCellMar>
          <w:top w:w="0" w:type="dxa"/>
          <w:left w:w="0" w:type="dxa"/>
          <w:bottom w:w="0" w:type="dxa"/>
          <w:right w:w="0" w:type="dxa"/>
        </w:tblCellMar>
      </w:tblPr>
      <w:tblGrid>
        <w:gridCol w:w="740"/>
        <w:gridCol w:w="5375"/>
      </w:tblGrid>
      <w:tr>
        <w:trPr/>
        <w:tc>
          <w:tcPr>
            <w:tcW w:w="740" w:type="dxa"/>
            <w:tcBorders/>
            <w:shd w:fill="auto" w:val="clear"/>
          </w:tcPr>
          <w:p>
            <w:pPr>
              <w:pStyle w:val="TableContents"/>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ITEM 1.</w:t>
            </w:r>
          </w:p>
        </w:tc>
        <w:tc>
          <w:tcPr>
            <w:tcW w:w="5375" w:type="dxa"/>
            <w:tcBorders/>
            <w:shd w:fill="auto" w:val="clear"/>
          </w:tcPr>
          <w:p>
            <w:pPr>
              <w:pStyle w:val="TableContents"/>
              <w:spacing w:before="240" w:after="0"/>
              <w:rPr>
                <w:rFonts w:ascii="Times New Roman" w:hAnsi="Times New Roman"/>
                <w:b/>
                <w:i w:val="false"/>
                <w:caps w:val="false"/>
                <w:smallCaps w:val="false"/>
                <w:sz w:val="20"/>
              </w:rPr>
            </w:pPr>
            <w:bookmarkStart w:id="3" w:name="ITEM_1_CONSOLIDATED_FINANCIAL_STATEMENTS"/>
            <w:bookmarkEnd w:id="3"/>
            <w:r>
              <w:rPr>
                <w:rFonts w:ascii="Times New Roman" w:hAnsi="Times New Roman"/>
                <w:b/>
                <w:i w:val="false"/>
                <w:caps w:val="false"/>
                <w:smallCaps w:val="false"/>
                <w:sz w:val="20"/>
              </w:rPr>
              <w:t>CONDENSED CONSOLIDATED FINANCIAL STATEMENTS.</w:t>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MEDICINOVA, INC.</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CONDENSED CONSOLIDATED BALANCE SHEETS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w:t>
      </w:r>
    </w:p>
    <w:p>
      <w:pPr>
        <w:pStyle w:val="TextBody"/>
        <w:spacing w:before="0" w:after="0"/>
        <w:jc w:val="center"/>
        <w:rPr/>
      </w:pPr>
      <w:r>
        <w:rPr/>
        <w:t> </w:t>
      </w:r>
    </w:p>
    <w:tbl>
      <w:tblPr>
        <w:tblW w:w="8690" w:type="dxa"/>
        <w:jc w:val="left"/>
        <w:tblInd w:w="0" w:type="dxa"/>
        <w:tblCellMar>
          <w:top w:w="0" w:type="dxa"/>
          <w:left w:w="0" w:type="dxa"/>
          <w:bottom w:w="0" w:type="dxa"/>
          <w:right w:w="0" w:type="dxa"/>
        </w:tblCellMar>
      </w:tblPr>
      <w:tblGrid>
        <w:gridCol w:w="5810"/>
        <w:gridCol w:w="60"/>
        <w:gridCol w:w="125"/>
        <w:gridCol w:w="1115"/>
        <w:gridCol w:w="80"/>
        <w:gridCol w:w="60"/>
        <w:gridCol w:w="60"/>
        <w:gridCol w:w="60"/>
        <w:gridCol w:w="125"/>
        <w:gridCol w:w="1115"/>
        <w:gridCol w:w="80"/>
      </w:tblGrid>
      <w:tr>
        <w:trPr/>
        <w:tc>
          <w:tcPr>
            <w:tcW w:w="581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40"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0"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4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Assets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assets: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shd w:fill="CFF0FC" w:val="cle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67,695,253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71,430,954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bottom w:val="single" w:sz="6" w:space="0" w:color="000000"/>
            </w:tcBorders>
            <w:shd w:fill="FFFFFF" w:val="clear"/>
            <w:tcMar>
              <w:bottom w:w="28" w:type="dxa"/>
            </w:tcM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 and other current assets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1,135,900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577,992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assets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68,831,153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72,008,946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Goodwill</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9,600,240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9,600,240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In-process research and development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4,800,000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4,800,000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Property and equipment, net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53,002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57,565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Right-of-use asset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779,036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824,215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non-current assets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111,756</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115,492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assets</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1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84,175,187</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1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87,406,458</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Liabilities and Stockholders’ Equity</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liabilities: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shd w:fill="FFFFFF" w:val="cle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1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665,249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1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402,740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shd w:fill="CFF0FC" w:val="cle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liabilities and other current liabilities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2,147,047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2,298,203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bottom w:val="single" w:sz="6" w:space="0" w:color="000000"/>
            </w:tcBorders>
            <w:shd w:fill="FFFFFF" w:val="clear"/>
            <w:tcMar>
              <w:bottom w:w="28" w:type="dxa"/>
            </w:tcM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liability</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163,945</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131,965</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liabilities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2,976,241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2,832,908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tax liability</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201,792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201,792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non-current liabilities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632,869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694,674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liabilities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3,810,902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3,729,374</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Commitments and contingencies (Note 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Stockholders’ equity:</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shd w:fill="CFF0FC" w:val="cle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$0.001 par value; 100,000,000 shares authorized at</w:t>
            </w:r>
          </w:p>
          <w:p>
            <w:pPr>
              <w:pStyle w:val="TableContents"/>
              <w:spacing w:before="0" w:after="0"/>
              <w:ind w:left="41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March 31, 2022 and December 31, 2021; 49,043,246 and 49,043,246</w:t>
            </w:r>
          </w:p>
          <w:p>
            <w:pPr>
              <w:pStyle w:val="TableContents"/>
              <w:spacing w:before="0" w:after="0"/>
              <w:ind w:left="41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shares issued and outstanding at March 31, 2022 and December</w:t>
            </w:r>
          </w:p>
          <w:p>
            <w:pPr>
              <w:pStyle w:val="TableContents"/>
              <w:spacing w:before="0" w:after="0"/>
              <w:ind w:left="41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31, 2021, respectively</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49,043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49,043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shd w:fill="FFFFFF" w:val="cle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Additional paid-in capital</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476,869,065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476,788,012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shd w:fill="CFF0FC" w:val="cle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other comprehensive loss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(106,312</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(98,877</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810" w:type="dxa"/>
            <w:tcBorders>
              <w:bottom w:val="single" w:sz="6" w:space="0" w:color="000000"/>
            </w:tcBorders>
            <w:shd w:fill="FFFFFF" w:val="clear"/>
            <w:tcMar>
              <w:bottom w:w="28" w:type="dxa"/>
            </w:tcM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deficit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(396,447,511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(393,061,094</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81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stockholders’ equity</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80,364,285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83,677,084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1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liabilities and stockholders' equity</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1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84,175,187</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1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87,406,458</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See accompanying notes.</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MEDICINOVA, INC.</w:t>
      </w:r>
    </w:p>
    <w:p>
      <w:pPr>
        <w:pStyle w:val="TextBody"/>
        <w:spacing w:before="0" w:after="0"/>
        <w:jc w:val="center"/>
        <w:rPr>
          <w:rFonts w:ascii="Times New Roman" w:hAnsi="Times New Roman"/>
          <w:b/>
          <w:i w:val="false"/>
          <w:caps w:val="false"/>
          <w:smallCaps w:val="false"/>
          <w:sz w:val="20"/>
        </w:rPr>
      </w:pPr>
      <w:bookmarkStart w:id="4" w:name="CONDENSED_CONSOLIDATED_STATEMENTS_OPERAT"/>
      <w:bookmarkEnd w:id="4"/>
      <w:r>
        <w:rPr>
          <w:rFonts w:ascii="Times New Roman" w:hAnsi="Times New Roman"/>
          <w:b/>
          <w:i w:val="false"/>
          <w:caps w:val="false"/>
          <w:smallCaps w:val="false"/>
          <w:sz w:val="20"/>
        </w:rPr>
        <w:t>CONDENSED CONSOLIDATED STATEMENTS OF OPERATIONS AND COMPREHENSIVE LOSS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w:t>
      </w:r>
    </w:p>
    <w:p>
      <w:pPr>
        <w:pStyle w:val="TextBody"/>
        <w:spacing w:before="0" w:after="0"/>
        <w:rPr/>
      </w:pPr>
      <w:r>
        <w:rPr/>
        <w:t> </w:t>
      </w:r>
    </w:p>
    <w:tbl>
      <w:tblPr>
        <w:tblW w:w="8030" w:type="dxa"/>
        <w:jc w:val="left"/>
        <w:tblInd w:w="0" w:type="dxa"/>
        <w:tblCellMar>
          <w:top w:w="0" w:type="dxa"/>
          <w:left w:w="0" w:type="dxa"/>
          <w:bottom w:w="0" w:type="dxa"/>
          <w:right w:w="0" w:type="dxa"/>
        </w:tblCellMar>
      </w:tblPr>
      <w:tblGrid>
        <w:gridCol w:w="5540"/>
        <w:gridCol w:w="60"/>
        <w:gridCol w:w="125"/>
        <w:gridCol w:w="950"/>
        <w:gridCol w:w="80"/>
        <w:gridCol w:w="60"/>
        <w:gridCol w:w="125"/>
        <w:gridCol w:w="950"/>
        <w:gridCol w:w="80"/>
        <w:gridCol w:w="60"/>
      </w:tblGrid>
      <w:tr>
        <w:trPr/>
        <w:tc>
          <w:tcPr>
            <w:tcW w:w="554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90"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4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90"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4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4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Revenues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4,000,000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4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expenses: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40" w:type="dxa"/>
            <w:tcBorders/>
            <w:shd w:fill="CFF0FC" w:val="clear"/>
            <w:vAlign w:val="center"/>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development and patents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2,111,996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2,145,274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40" w:type="dxa"/>
            <w:tcBorders>
              <w:bottom w:val="single" w:sz="6" w:space="0" w:color="000000"/>
            </w:tcBorders>
            <w:shd w:fill="FFFFFF" w:val="clear"/>
            <w:tcMar>
              <w:bottom w:w="28" w:type="dxa"/>
            </w:tcM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1,298,016</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2,056,255</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4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expenses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3,410,012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4,201,529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4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loss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(3,410,012</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(201,529</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4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37,339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36,668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4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expense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(13,744</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(22,938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4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applicable to common stockholders</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(3,386,417</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(187,799</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4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Basic and diluted net loss per common share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(0.07</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(0.00</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4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Shares used to compute basic and diluted net loss per common share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49,043,246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47,535,307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4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applicable to common stockholders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(3,386,417</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(187,799</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4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comprehensive loss, net of tax:</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40" w:type="dxa"/>
            <w:tcBorders>
              <w:bottom w:val="single" w:sz="6" w:space="0" w:color="000000"/>
            </w:tcBorders>
            <w:shd w:fill="FFFFFF" w:val="clear"/>
            <w:tcMar>
              <w:bottom w:w="28" w:type="dxa"/>
            </w:tcM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 currency translation adjustments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(7,435</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(6,821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4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Comprehensive loss</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(3,393,852</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(194,620</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center"/>
        <w:rPr/>
      </w:pPr>
      <w:r>
        <w:rPr/>
        <w:t> </w:t>
      </w:r>
    </w:p>
    <w:p>
      <w:pPr>
        <w:pStyle w:val="TextBody"/>
        <w:spacing w:before="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See accompanying notes.</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MEDICINOVA, INC.</w:t>
      </w:r>
    </w:p>
    <w:p>
      <w:pPr>
        <w:pStyle w:val="TextBody"/>
        <w:spacing w:before="0" w:after="0"/>
        <w:jc w:val="center"/>
        <w:rPr>
          <w:rFonts w:ascii="Times New Roman" w:hAnsi="Times New Roman"/>
          <w:b/>
          <w:i w:val="false"/>
          <w:caps w:val="false"/>
          <w:smallCaps w:val="false"/>
          <w:color w:val="000000"/>
          <w:sz w:val="20"/>
        </w:rPr>
      </w:pPr>
      <w:bookmarkStart w:id="5" w:name="CONDENSED_CONSOLIDATED_STATEMENTS_STOCKH"/>
      <w:bookmarkEnd w:id="5"/>
      <w:r>
        <w:rPr>
          <w:rFonts w:ascii="Times New Roman" w:hAnsi="Times New Roman"/>
          <w:b/>
          <w:i w:val="false"/>
          <w:caps w:val="false"/>
          <w:smallCaps w:val="false"/>
          <w:color w:val="000000"/>
          <w:sz w:val="20"/>
        </w:rPr>
        <w:t xml:space="preserve">CONDENSED CONSOLIDATED STATEMENTS OF STOCKHOLDERS’ EQUITY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w:t>
      </w:r>
    </w:p>
    <w:p>
      <w:pPr>
        <w:pStyle w:val="TextBody"/>
        <w:spacing w:before="0" w:after="0"/>
        <w:rPr/>
      </w:pPr>
      <w:r>
        <w:rPr/>
        <w:t> </w:t>
      </w:r>
    </w:p>
    <w:tbl>
      <w:tblPr>
        <w:tblW w:w="9319" w:type="dxa"/>
        <w:jc w:val="left"/>
        <w:tblInd w:w="0" w:type="dxa"/>
        <w:tblCellMar>
          <w:top w:w="0" w:type="dxa"/>
          <w:left w:w="0" w:type="dxa"/>
          <w:bottom w:w="28" w:type="dxa"/>
          <w:right w:w="0" w:type="dxa"/>
        </w:tblCellMar>
      </w:tblPr>
      <w:tblGrid>
        <w:gridCol w:w="2840"/>
        <w:gridCol w:w="60"/>
        <w:gridCol w:w="60"/>
        <w:gridCol w:w="830"/>
        <w:gridCol w:w="60"/>
        <w:gridCol w:w="60"/>
        <w:gridCol w:w="110"/>
        <w:gridCol w:w="515"/>
        <w:gridCol w:w="60"/>
        <w:gridCol w:w="60"/>
        <w:gridCol w:w="110"/>
        <w:gridCol w:w="920"/>
        <w:gridCol w:w="60"/>
        <w:gridCol w:w="60"/>
        <w:gridCol w:w="154"/>
        <w:gridCol w:w="931"/>
        <w:gridCol w:w="80"/>
        <w:gridCol w:w="60"/>
        <w:gridCol w:w="110"/>
        <w:gridCol w:w="980"/>
        <w:gridCol w:w="80"/>
        <w:gridCol w:w="60"/>
        <w:gridCol w:w="114"/>
        <w:gridCol w:w="865"/>
        <w:gridCol w:w="80"/>
      </w:tblGrid>
      <w:tr>
        <w:trPr/>
        <w:tc>
          <w:tcPr>
            <w:tcW w:w="284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339" w:type="dxa"/>
            <w:gridSpan w:val="2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 2022</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35"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0"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Additional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paid-in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8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other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comprehensive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stockholders’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capital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loss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9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deficit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7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equity</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Balance at December 31, 2021</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49,043,246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49,043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92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476,788,012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93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(98,877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98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(393,061,094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83,677,084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Share-based compensation</w:t>
            </w:r>
          </w:p>
        </w:tc>
        <w:tc>
          <w:tcPr>
            <w:tcW w:w="60" w:type="dxa"/>
            <w:tcBorders/>
            <w:shd w:fill="FFFFFF"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90" w:type="dxa"/>
            <w:gridSpan w:val="2"/>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25" w:type="dxa"/>
            <w:gridSpan w:val="2"/>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81,053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gridSpan w:val="2"/>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0" w:type="dxa"/>
            <w:gridSpan w:val="2"/>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81,053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Net loss</w:t>
            </w:r>
          </w:p>
        </w:tc>
        <w:tc>
          <w:tcPr>
            <w:tcW w:w="60" w:type="dxa"/>
            <w:tcBorders/>
            <w:shd w:fill="CFF0FC"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90" w:type="dxa"/>
            <w:gridSpan w:val="2"/>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25" w:type="dxa"/>
            <w:gridSpan w:val="2"/>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30" w:type="dxa"/>
            <w:gridSpan w:val="2"/>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gridSpan w:val="2"/>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(3,386,417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(3,386,417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84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Foreign currency translation adjustments</w:t>
            </w:r>
          </w:p>
        </w:tc>
        <w:tc>
          <w:tcPr>
            <w:tcW w:w="60" w:type="dxa"/>
            <w:tcBorders>
              <w:bottom w:val="single" w:sz="6" w:space="0" w:color="000000"/>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90" w:type="dxa"/>
            <w:gridSpan w:val="2"/>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25" w:type="dxa"/>
            <w:gridSpan w:val="2"/>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30" w:type="dxa"/>
            <w:gridSpan w:val="2"/>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(7,435</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0" w:type="dxa"/>
            <w:gridSpan w:val="2"/>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(7,435</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840" w:type="dxa"/>
            <w:tcBorders>
              <w:bottom w:val="sing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Balance at March 31, 2022</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49,043,246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49,043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476,869,065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(106,312</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(396,447,511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80,364,285</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9664" w:type="dxa"/>
        <w:jc w:val="left"/>
        <w:tblInd w:w="0" w:type="dxa"/>
        <w:tblCellMar>
          <w:top w:w="0" w:type="dxa"/>
          <w:left w:w="0" w:type="dxa"/>
          <w:bottom w:w="28" w:type="dxa"/>
          <w:right w:w="0" w:type="dxa"/>
        </w:tblCellMar>
      </w:tblPr>
      <w:tblGrid>
        <w:gridCol w:w="3185"/>
        <w:gridCol w:w="60"/>
        <w:gridCol w:w="60"/>
        <w:gridCol w:w="830"/>
        <w:gridCol w:w="60"/>
        <w:gridCol w:w="60"/>
        <w:gridCol w:w="110"/>
        <w:gridCol w:w="515"/>
        <w:gridCol w:w="60"/>
        <w:gridCol w:w="60"/>
        <w:gridCol w:w="110"/>
        <w:gridCol w:w="920"/>
        <w:gridCol w:w="60"/>
        <w:gridCol w:w="60"/>
        <w:gridCol w:w="174"/>
        <w:gridCol w:w="911"/>
        <w:gridCol w:w="80"/>
        <w:gridCol w:w="60"/>
        <w:gridCol w:w="110"/>
        <w:gridCol w:w="980"/>
        <w:gridCol w:w="80"/>
        <w:gridCol w:w="60"/>
        <w:gridCol w:w="114"/>
        <w:gridCol w:w="865"/>
        <w:gridCol w:w="80"/>
      </w:tblGrid>
      <w:tr>
        <w:trPr/>
        <w:tc>
          <w:tcPr>
            <w:tcW w:w="31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339" w:type="dxa"/>
            <w:gridSpan w:val="2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 2021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35"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0"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Additional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paid-in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8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other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comprehensive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stockholders’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capital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loss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9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deficit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7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equity</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85"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Balance at December 31, 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45,024,560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45,025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92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454,296,536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91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(88,219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98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(382,926,842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71,326,500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Share-based compensation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gridSpan w:val="2"/>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25" w:type="dxa"/>
            <w:gridSpan w:val="2"/>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1,139,636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gridSpan w:val="2"/>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0" w:type="dxa"/>
            <w:gridSpan w:val="2"/>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1,139,636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Issuance of common stock for option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exercises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86,250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212,089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212,175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Issuance of shares under an employee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purchase plan (ESPP)</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1,424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6,108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gridSpan w:val="2"/>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0" w:type="dxa"/>
            <w:gridSpan w:val="2"/>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6,110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Issuance of common stock in a private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placement transaction, net of issuance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3,656,307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3,656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19,877,992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19,881,648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Net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gridSpan w:val="2"/>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25" w:type="dxa"/>
            <w:gridSpan w:val="2"/>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30" w:type="dxa"/>
            <w:gridSpan w:val="2"/>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gridSpan w:val="2"/>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(187,799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(187,799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318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Foreign currency translation adjustments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gridSpan w:val="2"/>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25" w:type="dxa"/>
            <w:gridSpan w:val="2"/>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30" w:type="dxa"/>
            <w:gridSpan w:val="2"/>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(6,821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0" w:type="dxa"/>
            <w:gridSpan w:val="2"/>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(6,821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3185" w:type="dxa"/>
            <w:tcBorders>
              <w:bottom w:val="single" w:sz="6" w:space="0" w:color="000000"/>
            </w:tcBorders>
            <w:shd w:fill="FFFFFF" w:val="clear"/>
            <w:vAlign w:val="bottom"/>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Balance at March 31,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48,768,541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48,769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475,532,361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(95,040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(383,114,641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92,371,449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See accompanying notes.</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MEDICINOVA, INC.</w:t>
      </w:r>
    </w:p>
    <w:p>
      <w:pPr>
        <w:pStyle w:val="TextBody"/>
        <w:spacing w:before="0" w:after="0"/>
        <w:jc w:val="center"/>
        <w:rPr>
          <w:rFonts w:ascii="Times New Roman" w:hAnsi="Times New Roman"/>
          <w:b/>
          <w:i w:val="false"/>
          <w:caps w:val="false"/>
          <w:smallCaps w:val="false"/>
          <w:sz w:val="20"/>
        </w:rPr>
      </w:pPr>
      <w:bookmarkStart w:id="6" w:name="CONDENSED_CONSOLIDATED_STATEMENTS_CASH_F"/>
      <w:bookmarkEnd w:id="6"/>
      <w:r>
        <w:rPr>
          <w:rFonts w:ascii="Times New Roman" w:hAnsi="Times New Roman"/>
          <w:b/>
          <w:i w:val="false"/>
          <w:caps w:val="false"/>
          <w:smallCaps w:val="false"/>
          <w:sz w:val="20"/>
        </w:rPr>
        <w:t>CONDENSED CONSOLIDATED STATEMENTS OF CASH FLOWS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w:t>
      </w:r>
    </w:p>
    <w:p>
      <w:pPr>
        <w:pStyle w:val="TextBody"/>
        <w:spacing w:before="0" w:after="0"/>
        <w:rPr>
          <w:caps w:val="false"/>
          <w:smallCaps w:val="false"/>
        </w:rPr>
      </w:pPr>
      <w:r>
        <w:rPr>
          <w:caps w:val="false"/>
          <w:smallCaps w:val="false"/>
        </w:rPr>
        <w:t> </w:t>
      </w:r>
    </w:p>
    <w:tbl>
      <w:tblPr>
        <w:tblW w:w="8480" w:type="dxa"/>
        <w:jc w:val="left"/>
        <w:tblInd w:w="0" w:type="dxa"/>
        <w:tblCellMar>
          <w:top w:w="0" w:type="dxa"/>
          <w:left w:w="0" w:type="dxa"/>
          <w:bottom w:w="0" w:type="dxa"/>
          <w:right w:w="0" w:type="dxa"/>
        </w:tblCellMar>
      </w:tblPr>
      <w:tblGrid>
        <w:gridCol w:w="5930"/>
        <w:gridCol w:w="60"/>
        <w:gridCol w:w="125"/>
        <w:gridCol w:w="950"/>
        <w:gridCol w:w="80"/>
        <w:gridCol w:w="60"/>
        <w:gridCol w:w="60"/>
        <w:gridCol w:w="60"/>
        <w:gridCol w:w="125"/>
        <w:gridCol w:w="950"/>
        <w:gridCol w:w="80"/>
      </w:tblGrid>
      <w:tr>
        <w:trPr/>
        <w:tc>
          <w:tcPr>
            <w:tcW w:w="593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410" w:type="dxa"/>
            <w:gridSpan w:val="8"/>
            <w:tcBorders/>
            <w:shd w:fill="FFFFFF" w:val="cle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8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410" w:type="dxa"/>
            <w:gridSpan w:val="8"/>
            <w:tcBorders/>
            <w:shd w:fill="FFFFFF" w:val="cle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8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075" w:type="dxa"/>
            <w:gridSpan w:val="2"/>
            <w:tcBorders>
              <w:top w:val="single" w:sz="6" w:space="0" w:color="000000"/>
              <w:bottom w:val="single" w:sz="6" w:space="0" w:color="000000"/>
            </w:tcBorders>
            <w:shd w:fill="FFFFFF" w:val="clear"/>
            <w:tcMar>
              <w:top w:w="28" w:type="dxa"/>
              <w:bottom w:w="28" w:type="dxa"/>
            </w:tcM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075" w:type="dxa"/>
            <w:gridSpan w:val="2"/>
            <w:tcBorders>
              <w:top w:val="single" w:sz="6" w:space="0" w:color="000000"/>
              <w:bottom w:val="single" w:sz="6" w:space="0" w:color="000000"/>
            </w:tcBorders>
            <w:shd w:fill="FFFFFF" w:val="clear"/>
            <w:tcMar>
              <w:top w:w="28" w:type="dxa"/>
              <w:bottom w:w="28" w:type="dxa"/>
            </w:tcM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activities: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(3,386,417</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(187,799</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shd w:fill="CFF0FC" w:val="cle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Adjustments to reconcile net loss to net cash used in operating activities: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vAlign w:val="bottom"/>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Non-cash stock-based compensation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81,053</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1,139,636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vAlign w:val="bottom"/>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Depreciation and amortization</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4,429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6,453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vAlign w:val="bottom"/>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Reduction in carrying amount of right-of-use asset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45,179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55,806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vAlign w:val="bottom"/>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Changes in assets and liabilities: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vAlign w:val="bottom"/>
          </w:tcPr>
          <w:p>
            <w:pPr>
              <w:pStyle w:val="TableContents"/>
              <w:spacing w:before="0" w:after="0"/>
              <w:ind w:left="123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receivable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(4,000,000</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shd w:fill="CFF0FC" w:val="clear"/>
            <w:vAlign w:val="bottom"/>
          </w:tcPr>
          <w:p>
            <w:pPr>
              <w:pStyle w:val="TableContents"/>
              <w:spacing w:before="0" w:after="0"/>
              <w:ind w:left="123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 and other assets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(554,172</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(489,180</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shd w:fill="FFFFFF" w:val="clear"/>
            <w:vAlign w:val="bottom"/>
          </w:tcPr>
          <w:p>
            <w:pPr>
              <w:pStyle w:val="TableContents"/>
              <w:spacing w:before="0" w:after="0"/>
              <w:ind w:left="123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 accrued liabilities and other liabilities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111,353</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(319,409</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bottom w:val="single" w:sz="6" w:space="0" w:color="000000"/>
            </w:tcBorders>
            <w:shd w:fill="CFF0FC" w:val="clear"/>
            <w:tcMar>
              <w:bottom w:w="28" w:type="dxa"/>
            </w:tcMar>
            <w:vAlign w:val="bottom"/>
          </w:tcPr>
          <w:p>
            <w:pPr>
              <w:pStyle w:val="TableContents"/>
              <w:spacing w:before="0" w:after="0"/>
              <w:ind w:left="123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(29,825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(59,459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operating activities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(3,728,400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(3,853,952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Financing activities: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issuance of common stock and exercise of common</w:t>
            </w:r>
          </w:p>
          <w:p>
            <w:pPr>
              <w:pStyle w:val="TableContents"/>
              <w:spacing w:before="0" w:after="0"/>
              <w:ind w:left="41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stock options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20,212,175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issuance costs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(118,352</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bottom w:val="single" w:sz="6" w:space="0" w:color="000000"/>
            </w:tcBorders>
            <w:shd w:fill="FFFFFF" w:val="clear"/>
            <w:tcMar>
              <w:bottom w:w="28" w:type="dxa"/>
            </w:tcM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issuance of equity awards under ESPP</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6,110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provided by financing activities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20,099,933</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Effect of exchange rate changes on cash and cash equivalents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(7,301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19,096</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change in cash and cash equivalents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(3,735,701</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16,265,077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 beginning of period</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71,430,954</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60,036,763</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 end of period</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67,695,253</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76,301,840</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See accompanying notes.</w:t>
      </w:r>
    </w:p>
    <w:p>
      <w:pPr>
        <w:pStyle w:val="TextBody"/>
        <w:spacing w:before="0" w:after="0"/>
        <w:rPr/>
      </w:pPr>
      <w:r>
        <w:rPr/>
        <w:t>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MEDICINOVA, INC.</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Notes to Condensed Consolidated Financial Statements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1. Interim Financial Information</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Organization and Business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MediciNova, Inc. (the “Company” or “MediciNova”) was incorporated in the state of Delaware in September 2000. The Company’s common stock is listed in both the United States and Japan and trades on the NASDAQ Global Market and the JASDAQ Market of the Tokyo Stock Exchange. The Company is a biopharmaceutical company focused on developing novel therapeutics for the treatment of serious diseases with unmet medical needs with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and MN-001 (tipelukast) for fibrotic and other diseases such as nonalcoholic fatty liver disease (NAFLD), nonalcoholic steatohepatitis (NASH) and idiopathic pulmonary fibrosis (IPF). The Company’s pipeline also includes MN-221 (bedoradrine) for the treatment of acute exacerbation of asthma, and MN-029 (denibulin) for solid tumor cancers.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Basis of Presentation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unaudited condensed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the information and disclosures required by GAAP for complete financial statements. In the opinion of management, the condensed consolidated financial statements include all adjustments necessary, which are of a normal and recurring nature, for the fair presentation of the Company’s financial position and of the results of operations and cash flows for the periods presented. The accompanying unaudited condensed consolidated financial statements include the accounts of the Company and its wholly owned subsidiaries.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These financial statements should be read in conjunction with the audited consolidated financial statements and notes thereto for the year ended December 31, 2021 included in the Company’s Annual Report on Form 10-K filed with the SEC. The results of operations for the interim period shown in this report are not necessarily indicative of the results that may be expected for any other interim period or for the full year. The balance sheet at December 31, 2021 has been derived from the audited financial statements at that date but does not include all the information and footnotes required by GAAP for complete financial statements.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Reclassification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Certain reclassifications have been made to the prior year financial statements to conform to the current year presentation. The reduction in carrying amount of right-of-use asset was reclassified from the change in prepaid expenses and other assets, and the change in operating lease liabilities was reclassified from the change in accounts payable, accrued liabilities and other liabilities within operating activities in the statement of cash flows for the three months ended March 31, 2021. There was no change to total net cash used in operating activities. These reclassifications had no effect on previously reported results of operations, cash flows, or retained earnings. </w:t>
      </w:r>
    </w:p>
    <w:p>
      <w:pPr>
        <w:pStyle w:val="TextBody"/>
        <w:spacing w:before="38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Principles of Consolidation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consolidated financial statements include the accounts of MediciNova, Inc. and its wholly owned subsidiaries, MediciNova Japan, Inc., MediciNova (Europe) Limited, MediciNova Europe GmbH and Avigen Inc. The financial statements of the Company’s foreign subsidiaries are measured using their local currency as the functional currency. The resulting translation adjustments are recorded as a component of other comprehensive income or loss. Intercompany transaction gains or losses at each period end are included as translation adjustments and recorded within other comprehensive income or loss. All intercompany transactions and balances are eliminated in consolidation.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p>
      <w:pPr>
        <w:pStyle w:val="HorizontalLine"/>
        <w:rPr/>
      </w:pPr>
      <w:r>
        <w:rPr/>
      </w:r>
    </w:p>
    <w:p>
      <w:pPr>
        <w:pStyle w:val="TextBody"/>
        <w:spacing w:before="0" w:after="0"/>
        <w:rPr/>
      </w:pPr>
      <w:r>
        <w:rPr/>
        <w:t> </w:t>
      </w:r>
    </w:p>
    <w:p>
      <w:pPr>
        <w:pStyle w:val="TextBody"/>
        <w:spacing w:before="38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Segment Reporting</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segments are identified as components of an enterprise about which separate discrete financial information is available for evaluation by the chief operating decision-maker in making decisions regarding resource allocation and assessing performance. The Company operates in a single operating segment – the acquisition and development of small molecule therapeutics for the treatment of serious diseases with unmet medical needs.</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Cash and Cash Equivalents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Cash and cash equivalents consist of cash and other highly liquid investments including money market accounts, with original maturities of three months or less from the date of purchase.</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Research, Development and Patents</w:t>
      </w:r>
    </w:p>
    <w:p>
      <w:pPr>
        <w:pStyle w:val="TextBody"/>
        <w:shd w:fill="FFFFFF" w:val="clear"/>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$2.0 million  for the three months ended March 31, 2022 and 2021, respectively. </w:t>
      </w:r>
    </w:p>
    <w:p>
      <w:pPr>
        <w:pStyle w:val="TextBody"/>
        <w:shd w:fill="FFFFFF" w:val="clear"/>
        <w:spacing w:before="0" w:after="0"/>
        <w:rPr/>
      </w:pPr>
      <w:r>
        <w:rPr/>
        <w:t> </w:t>
      </w:r>
    </w:p>
    <w:p>
      <w:pPr>
        <w:pStyle w:val="TextBody"/>
        <w:shd w:fill="FFFFFF" w:val="clear"/>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Costs related to filing and pursuing patent applications are expensed as incurred, as recoverability of such expenditures is uncertain. The Company includes all external costs related to the filing of patents in Research, Development and Patents expenses. Such patent-related expenses totaled $0.1 million for the three months ended March 31, 2022 and 2021, respectively.  </w:t>
      </w:r>
    </w:p>
    <w:p>
      <w:pPr>
        <w:pStyle w:val="TextBody"/>
        <w:spacing w:before="360" w:after="0"/>
        <w:rPr>
          <w:rFonts w:ascii="Times New Roman" w:hAnsi="Times New Roman"/>
          <w:b/>
          <w:i/>
          <w:caps w:val="false"/>
          <w:smallCaps w:val="false"/>
          <w:color w:val="212529"/>
          <w:sz w:val="20"/>
        </w:rPr>
      </w:pPr>
      <w:r>
        <w:rPr>
          <w:rFonts w:ascii="Times New Roman" w:hAnsi="Times New Roman"/>
          <w:b/>
          <w:i/>
          <w:caps w:val="false"/>
          <w:smallCaps w:val="false"/>
          <w:color w:val="212529"/>
          <w:sz w:val="20"/>
        </w:rPr>
        <w:t>Clinical Trial Accruals and Prepaid Expenses</w:t>
      </w:r>
    </w:p>
    <w:p>
      <w:pPr>
        <w:pStyle w:val="TextBody"/>
        <w:spacing w:before="120" w:after="0"/>
        <w:rPr>
          <w:rFonts w:ascii="Times New Roman" w:hAnsi="Times New Roman"/>
          <w:b w:val="false"/>
          <w:i w:val="false"/>
          <w:caps w:val="false"/>
          <w:smallCaps w:val="false"/>
          <w:color w:val="212529"/>
          <w:sz w:val="20"/>
        </w:rPr>
      </w:pPr>
      <w:r>
        <w:rPr>
          <w:rFonts w:ascii="Times New Roman" w:hAnsi="Times New Roman"/>
          <w:b w:val="false"/>
          <w:i w:val="false"/>
          <w:caps w:val="false"/>
          <w:smallCaps w:val="false"/>
          <w:color w:val="212529"/>
          <w:sz w:val="20"/>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w:t>
      </w:r>
    </w:p>
    <w:p>
      <w:pPr>
        <w:pStyle w:val="TextBody"/>
        <w:spacing w:before="360" w:after="0"/>
        <w:rPr>
          <w:rFonts w:ascii="Times New Roman" w:hAnsi="Times New Roman"/>
          <w:b/>
          <w:i/>
          <w:caps w:val="false"/>
          <w:smallCaps w:val="false"/>
          <w:color w:val="212529"/>
          <w:sz w:val="20"/>
        </w:rPr>
      </w:pPr>
      <w:r>
        <w:rPr>
          <w:rFonts w:ascii="Times New Roman" w:hAnsi="Times New Roman"/>
          <w:b/>
          <w:i/>
          <w:caps w:val="false"/>
          <w:smallCaps w:val="false"/>
          <w:color w:val="212529"/>
          <w:sz w:val="20"/>
        </w:rPr>
        <w:t>Leases</w:t>
      </w:r>
    </w:p>
    <w:p>
      <w:pPr>
        <w:pStyle w:val="TextBody"/>
        <w:spacing w:before="120" w:after="0"/>
        <w:rPr>
          <w:rFonts w:ascii="Times New Roman" w:hAnsi="Times New Roman"/>
          <w:b w:val="false"/>
          <w:i w:val="false"/>
          <w:caps w:val="false"/>
          <w:smallCaps w:val="false"/>
          <w:color w:val="212529"/>
          <w:sz w:val="20"/>
        </w:rPr>
      </w:pPr>
      <w:r>
        <w:rPr>
          <w:rFonts w:ascii="Times New Roman" w:hAnsi="Times New Roman"/>
          <w:b w:val="false"/>
          <w:i w:val="false"/>
          <w:caps w:val="false"/>
          <w:smallCaps w:val="false"/>
          <w:color w:val="212529"/>
          <w:sz w:val="20"/>
        </w:rPr>
        <w:t>The Company determines if an arrangement is a lease at inception and if so, determines whether the lease qualifies as an operating or finance lease. The Company does not recognize right-of-use assets and lease liabilities for leases with a term of 12 months or less and does not separate non-lease components from lease components. Operating lease right-of-use assets and liabilities are recognized at commencement date based on the present value of lease payments over the lease term. Operating lease expense is recognized on a straight-line basis over the lease term and is included in general and administrative expenses. As most of the Company’s operating leases do not provide an implicit rate, the Company uses its incremental borrowing rate based on the information available at commencement date in determining the present value of lease payments. The incremental borrowing rate is the rate that the Company would expect to pay to borrow on a collateralized and fully amortizing basis over a similar term an amount equal to the lease payments in a similar economic environment.</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Impact of COVID-19 on the Company’s Business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pandemic caused by an outbreak of a new strain of coronavirus (“COVID-19” or “the pandemic”) has resulted, and is likely to continue to result, in significant national and global economic disruption and may adversely affect the Company’s business. Although the pandemic resulted in a decrease in the number of patient visits at certain of the Company’s clinical trial sites, the Company expects this effect to be temporary. The Company has seen an increase in the number of patient visits compared to earlier in the pandemic and the Company continues to enroll patients in clinical trials. Throughout the pandemic, the Company has continued with routine clinical trial activities including executing new clinical trial agreements, negotiating budgets, institutional review board (IRB) approvals, site training, and other activities related to the initiation of new clinical trial sites. In addition, following the outbreak of the pandemic, the Company designed a clinical trial to evaluate MN-166 (ibudilast) for prevention of acute respiratory distress syndrome (ARDS) caused by COVID-19. Based on the Company’s current assessment, the Company does not expect a material negative impact on its clinical development plans, long-term development timeline or liquidity due to the worldwide spread of the COVID-19 virus. However, the Company is actively monitoring this situation and the possible effects on its financial condition, liquidity, operations, suppliers, industry, and workforce.</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preparation of the consolidated financial statements in conformity with GAAP requires management to make estimates and assumptions that affect the amounts reported in the condensed consolidated financial statements and the accompanying notes. Actual results could differ from those estimates.</w:t>
      </w:r>
    </w:p>
    <w:p>
      <w:pPr>
        <w:pStyle w:val="TextBody"/>
        <w:spacing w:before="0" w:after="0"/>
        <w:jc w:val="both"/>
        <w:rPr/>
      </w:pPr>
      <w:r>
        <w:rPr/>
        <w:t> </w:t>
      </w:r>
    </w:p>
    <w:p>
      <w:pPr>
        <w:pStyle w:val="TextBody"/>
        <w:spacing w:before="0" w:after="0"/>
        <w:rPr/>
      </w:pPr>
      <w:r>
        <w:rPr/>
        <w:t> </w:t>
      </w:r>
    </w:p>
    <w:p>
      <w:pPr>
        <w:pStyle w:val="TextBody"/>
        <w:spacing w:before="0" w:after="0"/>
        <w:rPr>
          <w:rFonts w:ascii="Times New Roman" w:hAnsi="Times New Roman"/>
          <w:b/>
          <w:i/>
          <w:caps w:val="false"/>
          <w:smallCaps w:val="false"/>
          <w:sz w:val="20"/>
        </w:rPr>
      </w:pPr>
      <w:r>
        <w:rPr>
          <w:rFonts w:ascii="Times New Roman" w:hAnsi="Times New Roman"/>
          <w:b/>
          <w:i/>
          <w:caps w:val="false"/>
          <w:smallCaps w:val="false"/>
          <w:sz w:val="20"/>
        </w:rPr>
        <w:t>Recently Issued Accounting Pronouncements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June 2016, the FASB issued Accounting Standards Update (“ASU”) No. 2016-13, </w:t>
      </w:r>
      <w:r>
        <w:rPr>
          <w:rFonts w:ascii="Times New Roman" w:hAnsi="Times New Roman"/>
          <w:b w:val="false"/>
          <w:i/>
          <w:caps w:val="false"/>
          <w:smallCaps w:val="false"/>
          <w:color w:val="000000"/>
          <w:sz w:val="20"/>
        </w:rPr>
        <w:t>Financial Instruments— Credit Losses (Topic 326): Measurement of Credit Losses on Financial Instruments</w:t>
      </w:r>
      <w:r>
        <w:rPr>
          <w:rFonts w:ascii="Times New Roman" w:hAnsi="Times New Roman"/>
          <w:b w:val="false"/>
          <w:i w:val="false"/>
          <w:caps w:val="false"/>
          <w:smallCaps w:val="false"/>
          <w:color w:val="000000"/>
          <w:sz w:val="20"/>
        </w:rPr>
        <w:t xml:space="preserve"> (“ASU 2016-13”). The ASU introduced a new credit loss methodology, the Current Expected 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In November 2019, the FASB issued an amendment making this ASU effective for fiscal years beginning after December 15, 2022 for smaller reporting companies. The new standard will be effective for the Company on January 1, 2023 or at such earlier time where it is no longer a smaller reporting company. The Company is currently evaluating the potential impact that this standard may have on its consolidated financial statements and related disclosures.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August 2020, the FASB issued ASU No. 2020-06</w:t>
      </w:r>
      <w:r>
        <w:rPr>
          <w:rFonts w:ascii="Times New Roman" w:hAnsi="Times New Roman"/>
          <w:b w:val="false"/>
          <w:i/>
          <w:caps w:val="false"/>
          <w:smallCaps w:val="false"/>
          <w:color w:val="000000"/>
          <w:sz w:val="20"/>
        </w:rPr>
        <w:t>, Debt – Debt with Conversion and Other Options (Subtopic 470-20) and Derivatives and Hedging – Contracts in Entity’s Own Equity (Subtopic 815-40)</w:t>
      </w:r>
      <w:r>
        <w:rPr>
          <w:rFonts w:ascii="Times New Roman" w:hAnsi="Times New Roman"/>
          <w:b w:val="false"/>
          <w:i w:val="false"/>
          <w:caps w:val="false"/>
          <w:smallCaps w:val="false"/>
          <w:color w:val="000000"/>
          <w:sz w:val="20"/>
        </w:rPr>
        <w:t xml:space="preserve"> (“ASU 2020-06”). ASU 2020-06 simplifies the accounting for convertible debt instruments by reducing the number of accounting models and the number of embedded features that could be recognized separately from the host contract. Consequently, more convertible debt instruments will be accounted for as a single liability measured at its amortized cost, as long as no other features require bifurcation and recognition as derivatives. ASU 2020-06 also requires use of the if-converted method in the diluted earnings per share calculation for convertible instruments. ASU 2020-06 is effective for fiscal years beginning after December 15, 2023, and interim periods within those fiscal years for smaller reporting companies, with early adoption permitted. The new standard will be effective for the Company on January 1, 2024 or at such earlier time where it is no longer a smaller reporting company. The Company is currently evaluating the potential impact that this standard may have on its consolidated financial statements and related disclosures.</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2. Revenue Recognition</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Revenue Recognition Policy</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Revenues historically have consisted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at a point in time or over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(4) the vendor has an enforceable right to payment for performance completed to date.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Kissei Pharmaceutical Co., Ltd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October 2011, the Company entered into a collaboration agreement with Kissei Pharmaceutical Co., Ltd., (“Kissei”), to perform research and development services relating to MN-221 (bedoradrine) in exchange for a non-refundable upfront payment of $2.5 million. The Company assessed the services in accordance with the authoritative guidance and concluded that it met the definition of a collaborative arrangement per Accounting Standards Codification (“ASC”) 808, </w:t>
      </w:r>
      <w:r>
        <w:rPr>
          <w:rFonts w:ascii="Times New Roman" w:hAnsi="Times New Roman"/>
          <w:b w:val="false"/>
          <w:i/>
          <w:caps w:val="false"/>
          <w:smallCaps w:val="false"/>
          <w:color w:val="000000"/>
          <w:sz w:val="20"/>
        </w:rPr>
        <w:t>Collaborative Arrangements</w:t>
      </w:r>
      <w:r>
        <w:rPr>
          <w:rFonts w:ascii="Times New Roman" w:hAnsi="Times New Roman"/>
          <w:b w:val="false"/>
          <w:i w:val="false"/>
          <w:caps w:val="false"/>
          <w:smallCaps w:val="false"/>
          <w:color w:val="000000"/>
          <w:sz w:val="20"/>
        </w:rPr>
        <w:t xml:space="preserve"> (“ASC 808”), which was outside the scope of ASC 606, </w:t>
      </w:r>
      <w:r>
        <w:rPr>
          <w:rFonts w:ascii="Times New Roman" w:hAnsi="Times New Roman"/>
          <w:b w:val="false"/>
          <w:i/>
          <w:caps w:val="false"/>
          <w:smallCaps w:val="false"/>
          <w:color w:val="000000"/>
          <w:sz w:val="20"/>
        </w:rPr>
        <w:t xml:space="preserve">Revenue from Contracts with </w:t>
      </w:r>
      <w:r>
        <w:rPr>
          <w:rFonts w:ascii="Times New Roman" w:hAnsi="Times New Roman"/>
          <w:b w:val="false"/>
          <w:i w:val="false"/>
          <w:caps w:val="false"/>
          <w:smallCaps w:val="false"/>
          <w:color w:val="000000"/>
          <w:sz w:val="20"/>
        </w:rPr>
        <w:t xml:space="preserve">Customers (“ASC 606”). Since ASC 808 did not provide recognition and measurement guidance for collaborative arrangements, the Company analogized to ASC 606 and concluded the two studies to be performed under the agreement represented two separate performance obligations. No services have been provided under the collaboration agreement subsequent to completion of the first study in 2013.   In October 2021, the Company refunded $1.3 million of the prepayment. As of March 31, 2022, the Company and Kissei were working to mutually terminate the collaboration agreement and cancel the second study contemplated thereunder and the Company expects to finalize the termination agreement in 2022. </w:t>
      </w:r>
    </w:p>
    <w:p>
      <w:pPr>
        <w:pStyle w:val="TextBody"/>
        <w:spacing w:before="0" w:after="0"/>
        <w:rPr/>
      </w:pPr>
      <w:r>
        <w:rPr/>
        <w:t>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160" w:after="0"/>
        <w:rPr>
          <w:rFonts w:ascii="Times New Roman" w:hAnsi="Times New Roman"/>
          <w:b/>
          <w:i/>
          <w:caps w:val="false"/>
          <w:smallCaps w:val="false"/>
          <w:sz w:val="20"/>
        </w:rPr>
      </w:pPr>
      <w:r>
        <w:rPr>
          <w:rFonts w:ascii="Times New Roman" w:hAnsi="Times New Roman"/>
          <w:b/>
          <w:i/>
          <w:caps w:val="false"/>
          <w:smallCaps w:val="false"/>
          <w:sz w:val="20"/>
        </w:rPr>
        <w:t>Genzyme Corporation</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December 2005, Avigen, Inc. and Genzyme Corporation (“Genzyme”) entered into an Assignment Agreement (the “Genzyme Agreement”) in which Genzyme acquired certain gene therapy intellectual property, programs and other related assets from Avigen, Inc. in exchange for an initial $12.0 million payment. Avigen could also receive additional development milestone payments, sublicensing fees, and royalty payments based on the successful development of products by Genzyme utilizing technologies previously developed by Avigen. The Company subsequently acquired Avigen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the Company at a future date.</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development milestones outlined in the Genzyme Agreement did not meet the definition of a substantive milestone obligation under authoritative guidance on revenue recognition for milestone payments, as Genzyme was responsible for the development of the products and there is no further substantive service effort required by the Company. In March 2021, the Company received notice that a gene therapy product based on AAV (adeno-associated virus) vector technology, which was covered under the Genzyme Agreement, achieved two clinical development milestones, triggering two milestone payments.  Accordingly, the Company recognized revenue of $4 million during the three months ended March 31, 2021.</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3. Fair Value Measurements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06"/>
        <w:gridCol w:w="9499"/>
      </w:tblGrid>
      <w:tr>
        <w:trPr/>
        <w:tc>
          <w:tcPr>
            <w:tcW w:w="706"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Level 1: </w:t>
            </w:r>
          </w:p>
        </w:tc>
        <w:tc>
          <w:tcPr>
            <w:tcW w:w="9499"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Observable inputs such as quoted prices in active markets;</w:t>
            </w:r>
          </w:p>
        </w:tc>
      </w:tr>
      <w:tr>
        <w:trPr/>
        <w:tc>
          <w:tcPr>
            <w:tcW w:w="706" w:type="dxa"/>
            <w:tcBorders/>
            <w:shd w:fill="auto" w:val="clear"/>
            <w:vAlign w:val="center"/>
          </w:tcPr>
          <w:p>
            <w:pPr>
              <w:pStyle w:val="TableContents"/>
              <w:spacing w:before="0" w:after="0"/>
              <w:ind w:left="0" w:right="0" w:hanging="0"/>
              <w:rPr/>
            </w:pPr>
            <w:r>
              <w:rPr/>
              <w:t> </w:t>
            </w:r>
          </w:p>
        </w:tc>
        <w:tc>
          <w:tcPr>
            <w:tcW w:w="9499" w:type="dxa"/>
            <w:tcBorders/>
            <w:shd w:fill="auto" w:val="clear"/>
            <w:vAlign w:val="center"/>
          </w:tcPr>
          <w:p>
            <w:pPr>
              <w:pStyle w:val="TableContents"/>
              <w:spacing w:before="0" w:after="0"/>
              <w:ind w:left="0" w:right="0" w:hanging="0"/>
              <w:rPr/>
            </w:pPr>
            <w:r>
              <w:rPr/>
              <w:t> </w:t>
            </w:r>
          </w:p>
        </w:tc>
      </w:tr>
      <w:tr>
        <w:trPr/>
        <w:tc>
          <w:tcPr>
            <w:tcW w:w="706"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Level 2: </w:t>
            </w:r>
          </w:p>
        </w:tc>
        <w:tc>
          <w:tcPr>
            <w:tcW w:w="9499"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Inputs are quoted prices for similar items in active markets or quoted prices for identical or similar items in markets that are not active near the measurement date; and</w:t>
            </w:r>
          </w:p>
        </w:tc>
      </w:tr>
      <w:tr>
        <w:trPr/>
        <w:tc>
          <w:tcPr>
            <w:tcW w:w="706" w:type="dxa"/>
            <w:tcBorders/>
            <w:shd w:fill="auto" w:val="clear"/>
            <w:vAlign w:val="center"/>
          </w:tcPr>
          <w:p>
            <w:pPr>
              <w:pStyle w:val="TableContents"/>
              <w:spacing w:before="0" w:after="0"/>
              <w:ind w:left="0" w:right="0" w:hanging="0"/>
              <w:rPr/>
            </w:pPr>
            <w:r>
              <w:rPr/>
              <w:t> </w:t>
            </w:r>
          </w:p>
        </w:tc>
        <w:tc>
          <w:tcPr>
            <w:tcW w:w="9499" w:type="dxa"/>
            <w:tcBorders/>
            <w:shd w:fill="auto" w:val="clear"/>
            <w:vAlign w:val="center"/>
          </w:tcPr>
          <w:p>
            <w:pPr>
              <w:pStyle w:val="TableContents"/>
              <w:spacing w:before="0" w:after="0"/>
              <w:ind w:left="0" w:right="0" w:hanging="0"/>
              <w:rPr/>
            </w:pPr>
            <w:r>
              <w:rPr/>
              <w:t> </w:t>
            </w:r>
          </w:p>
        </w:tc>
      </w:tr>
      <w:tr>
        <w:trPr/>
        <w:tc>
          <w:tcPr>
            <w:tcW w:w="706"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Level 3: </w:t>
            </w:r>
          </w:p>
        </w:tc>
        <w:tc>
          <w:tcPr>
            <w:tcW w:w="9499"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Unobservable inputs due to little or no market data, which require the reporting entity to develop its own assumptions.</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Cash equivalents, including money market accounts of $0.7 million measured at fair value as of March 31, 2022 and December 31, 2021, are classified within Level 1.</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4. Commitments and Contingencies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Lease Commitments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operating leases primarily for real estate in the United States and Japan. The United States lease is for the Company’s headquarters in San Diego and has a term of five years ending January 31, 2027, with annual escalations. The Company’s lease in Tokyo, Japan has a term of two years ending May 2023 with an auto-renewal, two-year extension. The real estate operating leases are included in "Right-of-use asset” on the Company's balance sheet and represents the Company’s right to use the underlying assets for the lease term. The Company’s obligation to make lease payments are included in "Operating lease liability" and "Other non-current liabilities" on the Company's balance sheet.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Information related to the Company’s right-of-use assets and related lease liabilities are as follows: </w:t>
      </w:r>
    </w:p>
    <w:p>
      <w:pPr>
        <w:pStyle w:val="TextBody"/>
        <w:spacing w:before="0" w:after="0"/>
        <w:rPr/>
      </w:pPr>
      <w:r>
        <w:rPr/>
        <w:t> </w:t>
      </w:r>
    </w:p>
    <w:tbl>
      <w:tblPr>
        <w:tblW w:w="5360" w:type="dxa"/>
        <w:jc w:val="left"/>
        <w:tblInd w:w="0" w:type="dxa"/>
        <w:tblCellMar>
          <w:top w:w="0" w:type="dxa"/>
          <w:left w:w="0" w:type="dxa"/>
          <w:bottom w:w="0" w:type="dxa"/>
          <w:right w:w="0" w:type="dxa"/>
        </w:tblCellMar>
      </w:tblPr>
      <w:tblGrid>
        <w:gridCol w:w="3230"/>
        <w:gridCol w:w="60"/>
        <w:gridCol w:w="125"/>
        <w:gridCol w:w="695"/>
        <w:gridCol w:w="185"/>
        <w:gridCol w:w="60"/>
        <w:gridCol w:w="125"/>
        <w:gridCol w:w="695"/>
        <w:gridCol w:w="185"/>
      </w:tblGrid>
      <w:tr>
        <w:trPr/>
        <w:tc>
          <w:tcPr>
            <w:tcW w:w="3230"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85" w:type="dxa"/>
            <w:gridSpan w:val="6"/>
            <w:tcBorders/>
            <w:shd w:fill="FFFFFF" w:val="cle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18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85" w:type="dxa"/>
            <w:gridSpan w:val="6"/>
            <w:tcBorders/>
            <w:shd w:fill="FFFFFF" w:val="cle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18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bottom w:w="28" w:type="dxa"/>
            </w:tcM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18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bottom w:w="28" w:type="dxa"/>
            </w:tcM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18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paid for operating lease liabilities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36,606</w:t>
            </w:r>
          </w:p>
        </w:tc>
        <w:tc>
          <w:tcPr>
            <w:tcW w:w="18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61,665</w:t>
            </w:r>
          </w:p>
        </w:tc>
        <w:tc>
          <w:tcPr>
            <w:tcW w:w="18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costs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52,376</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58,314</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operating lease liabilities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163,945</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124,932</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Non-current operating lease liabilities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632,869</w:t>
            </w:r>
          </w:p>
        </w:tc>
        <w:tc>
          <w:tcPr>
            <w:tcW w:w="18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2,211</w:t>
            </w:r>
          </w:p>
        </w:tc>
        <w:tc>
          <w:tcPr>
            <w:tcW w:w="18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lease liabilities</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796,814</w:t>
            </w:r>
          </w:p>
        </w:tc>
        <w:tc>
          <w:tcPr>
            <w:tcW w:w="185"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127,143</w:t>
            </w:r>
          </w:p>
        </w:tc>
        <w:tc>
          <w:tcPr>
            <w:tcW w:w="185"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Weighted-average remaining lease term</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4.38</w:t>
            </w:r>
          </w:p>
        </w:tc>
        <w:tc>
          <w:tcPr>
            <w:tcW w:w="18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0.68</w:t>
            </w:r>
          </w:p>
        </w:tc>
        <w:tc>
          <w:tcPr>
            <w:tcW w:w="18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Weighted-average discount rate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w:t>
            </w:r>
          </w:p>
        </w:tc>
        <w:tc>
          <w:tcPr>
            <w:tcW w:w="18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8.8</w:t>
            </w:r>
          </w:p>
        </w:tc>
        <w:tc>
          <w:tcPr>
            <w:tcW w:w="18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hd w:fill="FFFFFF" w:val="clear"/>
        <w:spacing w:before="0" w:after="0"/>
        <w:rPr/>
      </w:pPr>
      <w:r>
        <w:rPr/>
        <w:t> </w:t>
      </w:r>
    </w:p>
    <w:tbl>
      <w:tblPr>
        <w:tblW w:w="7400" w:type="dxa"/>
        <w:jc w:val="left"/>
        <w:tblInd w:w="0" w:type="dxa"/>
        <w:tblCellMar>
          <w:top w:w="0" w:type="dxa"/>
          <w:left w:w="0" w:type="dxa"/>
          <w:bottom w:w="0" w:type="dxa"/>
          <w:right w:w="0" w:type="dxa"/>
        </w:tblCellMar>
      </w:tblPr>
      <w:tblGrid>
        <w:gridCol w:w="6260"/>
        <w:gridCol w:w="60"/>
        <w:gridCol w:w="60"/>
        <w:gridCol w:w="60"/>
        <w:gridCol w:w="125"/>
        <w:gridCol w:w="755"/>
        <w:gridCol w:w="80"/>
      </w:tblGrid>
      <w:tr>
        <w:trPr/>
        <w:tc>
          <w:tcPr>
            <w:tcW w:w="626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Maturities of operating lease liabilities as of March 31, 2022 were as follows: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168,849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218,533</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189,170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197,586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206,483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Thereafter</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17,269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CFF0FC" w:val="cle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minimum payments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997,890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imputed interest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(201,076</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26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lease liabilities</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796,814</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hd w:fill="FFFFFF" w:val="clear"/>
        <w:spacing w:before="0" w:after="0"/>
        <w:rPr/>
      </w:pPr>
      <w:r>
        <w:rPr/>
        <w:t> </w:t>
      </w:r>
    </w:p>
    <w:p>
      <w:pPr>
        <w:pStyle w:val="TextBody"/>
        <w:shd w:fill="FFFFFF" w:val="clear"/>
        <w:spacing w:before="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Product Liability</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Company’s business exposes it to liability risks from its potential drug products. A successful product liability claim or series of claims brought against the Company could result in the payment of significant amounts of money and divert management’s attention from running the business. The Company may not be able to maintain insurance on acceptable terms, or the insurance may not provide adequate protection in the case of a product liability claim. To the extent that product liability insurance, if available, does not cover potential claims, the Company would be required to self-insure the risks associated with such claims. The Company believes it carries reasonably adequate insurance for product liability.</w:t>
      </w:r>
    </w:p>
    <w:p>
      <w:pPr>
        <w:pStyle w:val="TextBody"/>
        <w:shd w:fill="FFFFFF" w:val="clear"/>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License and Research Agreements</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has entered into in-licensing agreements with various pharmaceutical companies. Under the terms of these agreements, the Company has received licenses to research, know-how and technology claimed in specified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 amounts have been expended under these agreements during the three months ended March 31, 2022 and 2021. For products currently in development, future potential milestone payments based on product development of MN-166 (ibudilast) and MN-001 (tipelukast) are $10 million as of March 31, 2022. For all other products, future potential milestone payments related to development milestones and commercialization milestones totaled $33.5 million as of March 31, 2022. There are no minimum royalties required under any of the license agreements. The Company is unable to estimate with certainty the timing on when these milestone payments will occur as these payments are dependent upon the progress of the Company’s product development programs.</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Legal Proceedings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5. Stock-based Compensation</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Stock Incentive Plans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8,700,000 shares of common stock are reserved for issuance under the 2013 Plan.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March 31, 2022, 1,963,317 shares remain available for future grants under the 2013 Plan.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Certain of the employee stock options granted contain performance conditions, the vesting of which is based on a determination made by the compensation committee followed by an approval of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The estimated fair value of the performance awards granted and the resulting expense is based upon a certain level of achievement of the corporate objectives and other assumptions in determining fair value. The amount of expense ultimately recognized upon the grant date at completion of the performance period could change from the estimate as a result of various factors, including the level of achievement of the corporate objectives, changes in the assumptions used in the Black-Scholes model in determining fair value or fluctuations in the Company’s stock price during the performance period.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Stock Options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Options granted under the 2013 Plan and the 2004 Plan have terms of ten years from the date of grant unless earlier terminated and generally vest over a one or four year period. The exercise price of all options granted through March 31, 2022 was equal to the fair market value of the Company’s common stock on the date of grant.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summary of stock option activity and related information as of March 31, 2022 is as follows:</w:t>
      </w:r>
    </w:p>
    <w:p>
      <w:pPr>
        <w:pStyle w:val="TextBody"/>
        <w:spacing w:before="0" w:after="0"/>
        <w:rPr>
          <w:caps w:val="false"/>
          <w:smallCaps w:val="false"/>
        </w:rPr>
      </w:pPr>
      <w:r>
        <w:rPr>
          <w:caps w:val="false"/>
          <w:smallCaps w:val="false"/>
        </w:rPr>
        <w:t> </w:t>
      </w:r>
    </w:p>
    <w:tbl>
      <w:tblPr>
        <w:tblW w:w="5585" w:type="dxa"/>
        <w:jc w:val="left"/>
        <w:tblInd w:w="0" w:type="dxa"/>
        <w:tblCellMar>
          <w:top w:w="0" w:type="dxa"/>
          <w:left w:w="0" w:type="dxa"/>
          <w:bottom w:w="28" w:type="dxa"/>
          <w:right w:w="0" w:type="dxa"/>
        </w:tblCellMar>
      </w:tblPr>
      <w:tblGrid>
        <w:gridCol w:w="2840"/>
        <w:gridCol w:w="60"/>
        <w:gridCol w:w="69"/>
        <w:gridCol w:w="986"/>
        <w:gridCol w:w="80"/>
        <w:gridCol w:w="60"/>
        <w:gridCol w:w="339"/>
        <w:gridCol w:w="1031"/>
        <w:gridCol w:w="60"/>
        <w:gridCol w:w="60"/>
      </w:tblGrid>
      <w:tr>
        <w:trPr/>
        <w:tc>
          <w:tcPr>
            <w:tcW w:w="284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Option Shares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7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 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Exercise Price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at December 31, 2021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7,974,250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3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Granted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533,700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Cancelled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(533,700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at March 31, 2022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7,974,250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Exercisable at March 31, 2022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6"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7,370,217</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9"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31"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caps w:val="false"/>
          <w:smallCaps w:val="false"/>
        </w:rPr>
      </w:pPr>
      <w:r>
        <w:rPr>
          <w:caps w:val="false"/>
          <w:smallCaps w:val="false"/>
        </w:rPr>
        <w:t> </w:t>
      </w:r>
    </w:p>
    <w:p>
      <w:pPr>
        <w:pStyle w:val="TextBody"/>
        <w:spacing w:before="160" w:after="0"/>
        <w:rPr>
          <w:rFonts w:ascii="Times New Roman" w:hAnsi="Times New Roman"/>
          <w:b/>
          <w:i/>
          <w:caps w:val="false"/>
          <w:smallCaps w:val="false"/>
          <w:sz w:val="20"/>
        </w:rPr>
      </w:pPr>
      <w:r>
        <w:rPr>
          <w:rFonts w:ascii="Times New Roman" w:hAnsi="Times New Roman"/>
          <w:b/>
          <w:i/>
          <w:caps w:val="false"/>
          <w:smallCaps w:val="false"/>
          <w:sz w:val="20"/>
        </w:rPr>
        <w:t>Employee Stock Purchase Plan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Company’s 2007 Employee Stock Purchase Plan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 included in the Company’s statement of operations.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 further shares will be issued under the ESPP.</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Compensation Expense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Stock-based compensation expense for stock option awards and ESPP shares are reflected in total operating expenses for each respective year.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summarizes stock-based compensation expense for the three months ended March 31, 2022 and 2021, respectively: </w:t>
      </w:r>
    </w:p>
    <w:p>
      <w:pPr>
        <w:pStyle w:val="TextBody"/>
        <w:spacing w:before="0" w:after="0"/>
        <w:rPr/>
      </w:pPr>
      <w:r>
        <w:rPr/>
        <w:t> </w:t>
      </w:r>
    </w:p>
    <w:tbl>
      <w:tblPr>
        <w:tblW w:w="5335" w:type="dxa"/>
        <w:jc w:val="left"/>
        <w:tblInd w:w="0" w:type="dxa"/>
        <w:tblCellMar>
          <w:top w:w="0" w:type="dxa"/>
          <w:left w:w="0" w:type="dxa"/>
          <w:bottom w:w="0" w:type="dxa"/>
          <w:right w:w="0" w:type="dxa"/>
        </w:tblCellMar>
      </w:tblPr>
      <w:tblGrid>
        <w:gridCol w:w="3350"/>
        <w:gridCol w:w="60"/>
        <w:gridCol w:w="125"/>
        <w:gridCol w:w="590"/>
        <w:gridCol w:w="60"/>
        <w:gridCol w:w="60"/>
        <w:gridCol w:w="125"/>
        <w:gridCol w:w="845"/>
        <w:gridCol w:w="60"/>
        <w:gridCol w:w="60"/>
      </w:tblGrid>
      <w:tr>
        <w:trPr/>
        <w:tc>
          <w:tcPr>
            <w:tcW w:w="335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5"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5"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335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development and patents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42,507</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393,242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38,546</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746,394</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stock-based compensation expense</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81,053</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1,139,636</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uses the Black-Scholes valuation model for determining the estimated fair value for stock-based awards granted to employees and considers management’s current expectations of the achievement of the performance objectives for the year. The following table provides the assumptions used in the Black-Scholes valuation model used to estimate the fair value of options granted during the three months ended March 31, 2022 and 2021, and to estimate the fair value of performance-based stock options as of March 31, 2022 and 2021. </w:t>
      </w:r>
    </w:p>
    <w:p>
      <w:pPr>
        <w:pStyle w:val="TextBody"/>
        <w:spacing w:before="0" w:after="0"/>
        <w:rPr/>
      </w:pPr>
      <w:r>
        <w:rPr/>
        <w:t> </w:t>
      </w:r>
    </w:p>
    <w:tbl>
      <w:tblPr>
        <w:tblW w:w="5713" w:type="dxa"/>
        <w:jc w:val="left"/>
        <w:tblInd w:w="0" w:type="dxa"/>
        <w:tblCellMar>
          <w:top w:w="0" w:type="dxa"/>
          <w:left w:w="0" w:type="dxa"/>
          <w:bottom w:w="0" w:type="dxa"/>
          <w:right w:w="0" w:type="dxa"/>
        </w:tblCellMar>
      </w:tblPr>
      <w:tblGrid>
        <w:gridCol w:w="3035"/>
        <w:gridCol w:w="60"/>
        <w:gridCol w:w="160"/>
        <w:gridCol w:w="1014"/>
        <w:gridCol w:w="60"/>
        <w:gridCol w:w="60"/>
        <w:gridCol w:w="632"/>
        <w:gridCol w:w="632"/>
        <w:gridCol w:w="60"/>
      </w:tblGrid>
      <w:tr>
        <w:trPr/>
        <w:tc>
          <w:tcPr>
            <w:tcW w:w="3035"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58" w:type="dxa"/>
            <w:gridSpan w:val="6"/>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3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4"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 2022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4"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 2021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35" w:type="dxa"/>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Stock Option assumptions: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4" w:type="dxa"/>
            <w:tcBorders>
              <w:top w:val="single" w:sz="6" w:space="0" w:color="000000"/>
            </w:tcBorders>
            <w:shd w:fill="CFF0FC"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2"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2" w:type="dxa"/>
            <w:tcBorders>
              <w:top w:val="single" w:sz="6" w:space="0" w:color="000000"/>
            </w:tcBorders>
            <w:shd w:fill="CFF0FC"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3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Risk-free interest rate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4" w:type="dxa"/>
            <w:gridSpan w:val="2"/>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4" w:type="dxa"/>
            <w:gridSpan w:val="2"/>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0.45 - 0.92%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3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volatility of common stock</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4" w:type="dxa"/>
            <w:gridSpan w:val="2"/>
            <w:tcBorders/>
            <w:shd w:fill="CFF0FC"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77.07%</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4" w:type="dxa"/>
            <w:gridSpan w:val="2"/>
            <w:tcBorders/>
            <w:shd w:fill="CFF0FC"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75.46 - 76.11%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3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Dividend yield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4" w:type="dxa"/>
            <w:gridSpan w:val="2"/>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4" w:type="dxa"/>
            <w:gridSpan w:val="2"/>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3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term (in years)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4" w:type="dxa"/>
            <w:tcBorders/>
            <w:shd w:fill="CFF0FC"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5.37</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4" w:type="dxa"/>
            <w:gridSpan w:val="2"/>
            <w:tcBorders/>
            <w:shd w:fill="CFF0FC"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4.47 - 5.41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caps w:val="false"/>
          <w:smallCaps w:val="false"/>
        </w:rPr>
      </w:pPr>
      <w:r>
        <w:rPr>
          <w:caps w:val="false"/>
          <w:smallCaps w:val="false"/>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March 31, 2022, there was $1.0 million of unamortized compensation cost related to unvested stock option awards which is expected to be recognized over a remaining weighted-average vesting period of 0.91 years, on a straight-line basis. Such compensation cost will ultimately be adjusted based upon actual performance compared to the corporate objectives as described above.</w:t>
      </w:r>
    </w:p>
    <w:p>
      <w:pPr>
        <w:pStyle w:val="TextBody"/>
        <w:spacing w:before="4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weighted-average fair value of each stock option granted during the three months ended March 31, 2022 and 2021, estimated as of the grant date using the Black-Scholes option valuation model, was $1.45 per option and $3.59 per option, respectively. </w:t>
      </w:r>
    </w:p>
    <w:p>
      <w:pPr>
        <w:pStyle w:val="TextBody"/>
        <w:spacing w:before="280" w:after="0"/>
        <w:rPr>
          <w:rFonts w:ascii="Times New Roman" w:hAnsi="Times New Roman"/>
          <w:b/>
          <w:i w:val="false"/>
          <w:caps w:val="false"/>
          <w:smallCaps w:val="false"/>
          <w:sz w:val="20"/>
        </w:rPr>
      </w:pPr>
      <w:r>
        <w:rPr>
          <w:rFonts w:ascii="Times New Roman" w:hAnsi="Times New Roman"/>
          <w:b/>
          <w:i w:val="false"/>
          <w:caps w:val="false"/>
          <w:smallCaps w:val="false"/>
          <w:sz w:val="20"/>
        </w:rPr>
        <w:t>6. Stockholders’ Equity</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At-The-Market Issuance Sales Agreements and Private Placement Transactions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August 23, 2019, the Company entered into an at the market issuance sales agreement (the “2019 ATM Agreement”) with </w:t>
      </w:r>
      <w:r>
        <w:rPr>
          <w:rFonts w:ascii="Times New Roman" w:hAnsi="Times New Roman"/>
          <w:b w:val="false"/>
          <w:i w:val="false"/>
          <w:caps w:val="false"/>
          <w:smallCaps w:val="false"/>
          <w:color w:val="000000"/>
          <w:sz w:val="20"/>
          <w:highlight w:val="white"/>
        </w:rPr>
        <w:t>B. Riley FBR, Inc.</w:t>
      </w:r>
      <w:r>
        <w:rPr>
          <w:rFonts w:ascii="Times New Roman" w:hAnsi="Times New Roman"/>
          <w:b w:val="false"/>
          <w:i w:val="false"/>
          <w:caps w:val="false"/>
          <w:smallCaps w:val="false"/>
          <w:color w:val="000000"/>
          <w:sz w:val="20"/>
        </w:rPr>
        <w:t xml:space="preserve"> (B. Riley </w:t>
      </w:r>
      <w:r>
        <w:rPr>
          <w:rFonts w:ascii="Times New Roman" w:hAnsi="Times New Roman"/>
          <w:b w:val="false"/>
          <w:i w:val="false"/>
          <w:caps w:val="false"/>
          <w:smallCaps w:val="false"/>
          <w:color w:val="000000"/>
          <w:sz w:val="20"/>
          <w:highlight w:val="white"/>
        </w:rPr>
        <w:t>FBR</w:t>
      </w:r>
      <w:r>
        <w:rPr>
          <w:rFonts w:ascii="Times New Roman" w:hAnsi="Times New Roman"/>
          <w:b w:val="false"/>
          <w:i w:val="false"/>
          <w:caps w:val="false"/>
          <w:smallCaps w:val="false"/>
          <w:color w:val="000000"/>
          <w:sz w:val="20"/>
        </w:rPr>
        <w:t xml:space="preserve">) pursuant to which the Company may sell common stock through </w:t>
      </w:r>
      <w:r>
        <w:rPr>
          <w:rFonts w:ascii="Times New Roman" w:hAnsi="Times New Roman"/>
          <w:b w:val="false"/>
          <w:i w:val="false"/>
          <w:caps w:val="false"/>
          <w:smallCaps w:val="false"/>
          <w:color w:val="000000"/>
          <w:sz w:val="20"/>
          <w:highlight w:val="white"/>
        </w:rPr>
        <w:t>B. Riley</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highlight w:val="white"/>
        </w:rPr>
        <w:t>FBR</w:t>
      </w:r>
      <w:r>
        <w:rPr>
          <w:rFonts w:ascii="Times New Roman" w:hAnsi="Times New Roman"/>
          <w:b w:val="false"/>
          <w:i w:val="false"/>
          <w:caps w:val="false"/>
          <w:smallCaps w:val="false"/>
          <w:color w:val="000000"/>
          <w:sz w:val="20"/>
        </w:rPr>
        <w:t xml:space="preserve"> from time to time up to an aggregate offering price of $75.0 million. </w:t>
      </w:r>
      <w:r>
        <w:rPr>
          <w:rFonts w:ascii="Times New Roman" w:hAnsi="Times New Roman"/>
          <w:b w:val="false"/>
          <w:i w:val="false"/>
          <w:caps w:val="false"/>
          <w:smallCaps w:val="false"/>
          <w:color w:val="000000"/>
          <w:sz w:val="20"/>
          <w:highlight w:val="white"/>
        </w:rPr>
        <w:t>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w:t>
      </w:r>
      <w:r>
        <w:rPr>
          <w:rFonts w:ascii="Times New Roman" w:hAnsi="Times New Roman"/>
          <w:b w:val="false"/>
          <w:i w:val="false"/>
          <w:caps w:val="false"/>
          <w:smallCaps w:val="false"/>
          <w:color w:val="000000"/>
          <w:sz w:val="20"/>
        </w:rPr>
        <w:t xml:space="preserve">The Company agreed to pay </w:t>
      </w:r>
      <w:r>
        <w:rPr>
          <w:rFonts w:ascii="Times New Roman" w:hAnsi="Times New Roman"/>
          <w:b w:val="false"/>
          <w:i w:val="false"/>
          <w:caps w:val="false"/>
          <w:smallCaps w:val="false"/>
          <w:color w:val="000000"/>
          <w:sz w:val="20"/>
          <w:highlight w:val="white"/>
        </w:rPr>
        <w:t>B. Riley</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highlight w:val="white"/>
        </w:rPr>
        <w:t>FBR</w:t>
      </w:r>
      <w:r>
        <w:rPr>
          <w:rFonts w:ascii="Times New Roman" w:hAnsi="Times New Roman"/>
          <w:b w:val="false"/>
          <w:i w:val="false"/>
          <w:caps w:val="false"/>
          <w:smallCaps w:val="false"/>
          <w:color w:val="000000"/>
          <w:sz w:val="20"/>
        </w:rPr>
        <w:t xml:space="preserve"> an aggregate commission rate of up to 3.5% of the gross proceeds of any common stock sold under this agreement. Proceeds from sales of common stock will depend on the number of shares of common stock sold to </w:t>
      </w:r>
      <w:r>
        <w:rPr>
          <w:rFonts w:ascii="Times New Roman" w:hAnsi="Times New Roman"/>
          <w:b w:val="false"/>
          <w:i w:val="false"/>
          <w:caps w:val="false"/>
          <w:smallCaps w:val="false"/>
          <w:color w:val="000000"/>
          <w:sz w:val="20"/>
          <w:highlight w:val="white"/>
        </w:rPr>
        <w:t>B. Riley</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highlight w:val="white"/>
        </w:rPr>
        <w:t>FBR</w:t>
      </w:r>
      <w:r>
        <w:rPr>
          <w:rFonts w:ascii="Times New Roman" w:hAnsi="Times New Roman"/>
          <w:b w:val="false"/>
          <w:i w:val="false"/>
          <w:caps w:val="false"/>
          <w:smallCaps w:val="false"/>
          <w:color w:val="000000"/>
          <w:sz w:val="20"/>
        </w:rPr>
        <w:t xml:space="preserve"> and the per share purchase price of each transaction.</w:t>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No shares of common stock were sold under the 2019 ATM Agreement in the three months ended March 31, 2022 and 2021, respectively. </w:t>
      </w:r>
    </w:p>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On January 29, 2021, the Company sold and issued to an investor 3,656,307 shares of the Company’s common stock at a price of $5.47 per share for approximately $20 million in cash proceeds, net of approximately $0.1 million in issuance costs, in a private placement pursuant to the terms and conditions of a Securities Purchase Agreement dated as of January 11, 2021 by and between the Company and such investor.</w:t>
      </w:r>
    </w:p>
    <w:p>
      <w:pPr>
        <w:pStyle w:val="TextBody"/>
        <w:spacing w:before="320" w:after="0"/>
        <w:rPr>
          <w:rFonts w:ascii="Times New Roman" w:hAnsi="Times New Roman"/>
          <w:b/>
          <w:i w:val="false"/>
          <w:caps w:val="false"/>
          <w:smallCaps w:val="false"/>
          <w:sz w:val="20"/>
        </w:rPr>
      </w:pPr>
      <w:r>
        <w:rPr>
          <w:rFonts w:ascii="Times New Roman" w:hAnsi="Times New Roman"/>
          <w:b/>
          <w:i w:val="false"/>
          <w:caps w:val="false"/>
          <w:smallCaps w:val="false"/>
          <w:sz w:val="20"/>
        </w:rPr>
        <w:t>7. Net Loss Per Share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computes basic net loss per share using the weighted average number of common shares outstanding during the period. Diluted net loss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Common share equivalents are excluded from the diluted net loss per share calculation if their effect is anti-dilutive.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Potentially dilutive outstanding stock options excluded from diluted net loss per common share due to their anti-dilutive effect totaled 7,974,250 shares and 8,279,887 shares for the three months ended March 31, 2022 and 2021, respectively.</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37"/>
        <w:gridCol w:w="9468"/>
      </w:tblGrid>
      <w:tr>
        <w:trPr/>
        <w:tc>
          <w:tcPr>
            <w:tcW w:w="737" w:type="dxa"/>
            <w:tcBorders/>
            <w:shd w:fill="auto" w:val="clear"/>
          </w:tcPr>
          <w:p>
            <w:pPr>
              <w:pStyle w:val="TableContents"/>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ITEM 2.</w:t>
            </w:r>
          </w:p>
        </w:tc>
        <w:tc>
          <w:tcPr>
            <w:tcW w:w="9468" w:type="dxa"/>
            <w:tcBorders/>
            <w:shd w:fill="auto" w:val="clear"/>
          </w:tcPr>
          <w:p>
            <w:pPr>
              <w:pStyle w:val="TableContents"/>
              <w:spacing w:before="0" w:after="0"/>
              <w:rPr>
                <w:rFonts w:ascii="Times New Roman" w:hAnsi="Times New Roman"/>
                <w:b/>
                <w:i w:val="false"/>
                <w:caps w:val="false"/>
                <w:smallCaps w:val="false"/>
                <w:sz w:val="20"/>
              </w:rPr>
            </w:pPr>
            <w:bookmarkStart w:id="7" w:name="ITEM_2_MANAGEMENTS_DISCUSSION_ANALYSIS_F"/>
            <w:bookmarkEnd w:id="7"/>
            <w:r>
              <w:rPr>
                <w:rFonts w:ascii="Times New Roman" w:hAnsi="Times New Roman"/>
                <w:b/>
                <w:i w:val="false"/>
                <w:caps w:val="false"/>
                <w:smallCaps w:val="false"/>
                <w:sz w:val="20"/>
              </w:rPr>
              <w:t>MANAGEMENT’S DISCUSSION AND ANALYSIS OF FINANCIAL CONDITION AND RESULTS OF OPERATIONS.</w:t>
            </w:r>
          </w:p>
        </w:tc>
      </w:tr>
    </w:tbl>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2021 included in our Annual Report on Form 10-K filed with the Securities and Exchange Commission, or SEC, on February 16, 2022. Past operating results are not necessarily indicative of results that may occur in future periods.</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Overview</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and MN-001 (tipelukast) for fibrotic and other diseases such as nonalcoholic fatty liver disease (NAFLD), nonalcoholic steatohepatitis (NASH) and idiopathic pulmonary fibrosis (IPF). Our pipeline also includes MN-221 (bedoradrine) for the treatment of acute exacerbation of asthma and MN-029 (denibulin) for solid tumor cancers. We were incorporated in Delaware in September 2000.</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incurred significant net losses since our inception. As of March 31, 2022, from inception, our accumulated deficit was $396.4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goal is to build a sustainable biopharmaceutical business through the successful development of differentiated products for the treatment of serious diseases with unmet medical needs in high-value therapeutic areas. Key elements of our strategy are as follows:</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val="false"/>
                <w:i/>
                <w:caps w:val="false"/>
                <w:smallCaps w:val="false"/>
                <w:color w:val="000000"/>
              </w:rPr>
              <w:t>Pursue the development of MN-166 (ibudilast)</w:t>
            </w:r>
            <w:r>
              <w:rPr>
                <w:b w:val="false"/>
                <w:i w:val="false"/>
                <w:caps w:val="false"/>
                <w:smallCaps w:val="false"/>
                <w:color w:val="000000"/>
              </w:rPr>
              <w:t xml:space="preserve"> </w:t>
            </w:r>
            <w:r>
              <w:rPr>
                <w:b w:val="false"/>
                <w:i/>
                <w:caps w:val="false"/>
                <w:smallCaps w:val="false"/>
                <w:color w:val="000000"/>
              </w:rPr>
              <w:t>for multiple potential indications with the support of non-dilutive financings.</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intend to advance our diverse MN-166 (ibudilast) program through a combination of investigator-sponsored clinical trials, trials funded through government grants or other grants, and trials funded by us. We intend to pursue additional strategic alliances to help support further clinical development of MN-166 (ibudilast).</w:t>
      </w:r>
    </w:p>
    <w:tbl>
      <w:tblPr>
        <w:tblW w:w="7615" w:type="dxa"/>
        <w:jc w:val="left"/>
        <w:tblInd w:w="0" w:type="dxa"/>
        <w:tblCellMar>
          <w:top w:w="0" w:type="dxa"/>
          <w:left w:w="0" w:type="dxa"/>
          <w:bottom w:w="0" w:type="dxa"/>
          <w:right w:w="0" w:type="dxa"/>
        </w:tblCellMar>
      </w:tblPr>
      <w:tblGrid>
        <w:gridCol w:w="60"/>
        <w:gridCol w:w="110"/>
        <w:gridCol w:w="74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445" w:type="dxa"/>
            <w:tcBorders/>
            <w:shd w:fill="auto" w:val="clear"/>
          </w:tcPr>
          <w:p>
            <w:pPr>
              <w:pStyle w:val="TableContents"/>
              <w:spacing w:before="120" w:after="0"/>
              <w:jc w:val="left"/>
              <w:rPr>
                <w:b w:val="false"/>
                <w:i/>
                <w:caps w:val="false"/>
                <w:smallCaps w:val="false"/>
                <w:color w:val="000000"/>
              </w:rPr>
            </w:pPr>
            <w:r>
              <w:rPr>
                <w:b w:val="false"/>
                <w:i/>
                <w:caps w:val="false"/>
                <w:smallCaps w:val="false"/>
                <w:color w:val="000000"/>
              </w:rPr>
              <w:t>Pursue the development of MN-001 (tipelukast) for fibrotic and other diseases.</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intend to advance development of MN-001 (tipelukast) through a variety of means, which may include investigator-sponsored trials with or without grant funding as well as trials funded by us.</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caps w:val="false"/>
                <w:smallCaps w:val="false"/>
                <w:color w:val="000000"/>
              </w:rPr>
            </w:pPr>
            <w:r>
              <w:rPr>
                <w:b w:val="false"/>
                <w:i/>
                <w:caps w:val="false"/>
                <w:smallCaps w:val="false"/>
                <w:color w:val="000000"/>
              </w:rPr>
              <w:t>Consider strategic partnerships with one or more leading pharmaceutical companies to complete product development and successfully commercialize our products.</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develop and maintain relationships with pharmaceutical companies that are therapeutic category leaders. We intend to discuss strategic alliances with leading pharmaceutical companies who seek product candidates, such as MN-166 (ibudilast), MN-001 (tipelukast), MN-221 (bedoradrine), and MN-029 (denibulin), which could support our clinical development and product commercialization</w:t>
      </w:r>
      <w:r>
        <w:rPr>
          <w:rFonts w:ascii="Times New Roman" w:hAnsi="Times New Roman"/>
          <w:b w:val="false"/>
          <w:i w:val="false"/>
          <w:caps w:val="false"/>
          <w:smallCaps w:val="false"/>
          <w:color w:val="000000"/>
          <w:sz w:val="20"/>
        </w:rPr>
        <w:t>.</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w:t>
      </w:r>
    </w:p>
    <w:p>
      <w:pPr>
        <w:pStyle w:val="HorizontalLine"/>
        <w:rPr/>
      </w:pPr>
      <w:r>
        <w:rPr/>
      </w:r>
    </w:p>
    <w:p>
      <w:pPr>
        <w:pStyle w:val="TextBody"/>
        <w:spacing w:before="0" w:after="0"/>
        <w:rPr/>
      </w:pPr>
      <w:r>
        <w:rPr/>
        <w:t> </w:t>
      </w:r>
    </w:p>
    <w:p>
      <w:pPr>
        <w:pStyle w:val="TextBody"/>
        <w:spacing w:before="160" w:after="160"/>
        <w:rPr>
          <w:rFonts w:ascii="Times New Roman" w:hAnsi="Times New Roman"/>
          <w:b/>
          <w:i/>
          <w:caps w:val="false"/>
          <w:smallCaps w:val="false"/>
          <w:sz w:val="20"/>
        </w:rPr>
      </w:pPr>
      <w:r>
        <w:rPr>
          <w:rFonts w:ascii="Times New Roman" w:hAnsi="Times New Roman"/>
          <w:b/>
          <w:i/>
          <w:caps w:val="false"/>
          <w:smallCaps w:val="false"/>
          <w:sz w:val="20"/>
        </w:rPr>
        <w:t>Impact of COVID-19 on Our Business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pandemic caused by an outbreak of a new strain of coronavirus (“COVID-19” or “the pandemic”) has resulted, and is likely to continue to result, in significant national and global economic disruption and may adversely affect our business. Although the pandemic resulted in a decrease in the number of patient visits at certain of our clinical trial sites, we expect this effect to be temporary. We have seen an increase in the number of patient visits compared to earlier in the pandemic and we continue to enroll patients in our clinical trials. Throughout the pandemic, we have continued with routine clinical trial activities including executing new clinical trial agreements, negotiating budgets, institutional review board (IRB) approvals, site training, and other activities related to the initiation of new clinical trial sites. In addition, following the outbreak of the pandemic, we designed a clinical trial to evaluate MN-166 (ibudilast) for prevention of acute respiratory distress syndrome (ARDS) caused by COVID-19, which was based on positive results of a published study of MN-166 (ibudilast) in an animal model of ARDS.  During the pandemic, we have been able to continue with routine regulatory activities.  For example, we successfully submitted an Investigational New Drug Application (IND) for MN-166 (ibudilast) for prevention of ARDS which was accepted and is now open with the U.S. Food and Drug Administration (FDA). We were also informed by the FDA that the proposed clinical investigation of MN-166 (ibudilast) for the prevention of ARDS in patients with COVID-19 may proceed. Based on management’s current assessment, we do not expect a material negative impact on our clinical development plans, long-term development timeline or liquidity due to the worldwide spread of the COVID-19 virus. However, we are actively monitoring this situation and the possible effects on our financial condition, liquidity, operations, suppliers, industry, and workforce.</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Revenues and Cost of Revenues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October 2011, we entered into a collaboration agreement with Kissei Pharmaceutical Co., Ltd., or Kissei, to perform research and development services relating to MN-221 (bedoradrine) in exchange for a non-refundable upfront payment of $2.5 million. We assessed the services in accordance with the authoritative guidance and concluded that the two studies to be performed under the agreement represented two separate performance obligations. No services have been provided under the collaboration agreement subsequent to completion of the first study that was completed in 2013.  In October 2021, we refunded $1.3 million of the prepayment. As of March 31, 2022, we and Kissei were working to mutually terminate the collaboration agreement and cancel the second study contemplated thereunder and we expect to finalize the termination agreement in 2022. </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December 2005, Avigen, Inc. and Genzyme Corporation entered into an Assignment Agreement (the “Genzyme Agreement”) in which Genzyme acquired certain gene therapy intellectual property, programs and other related assets from Avigen in exchange for an initial $12.0 million payment. Avigen could also receive additional development milestone payments, sublicensing fees and royalty payments based on the successful development of products by Genzyme utilizing technologies previously developed by Avigen. We subsequently acquired Avigen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us at a future date. </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development milestones outlined in the Genzyme Agreement did not meet the definition of a substantive milestone obligation under authoritative guidance on revenue recognition for milestone payments, as Genzyme was responsible for the development of the products and there is no further substantive service effort required by us. In March 2021, we received notice that a gene therapy product based on AAV (adeno-associated virus) vector technology, which was covered under the Genzyme Agreement, achieved two clinical development milestones, triggering two milestone payments. Accordingly, we recognized revenue of $4 million during the three months ended March 31, 2021. </w:t>
      </w:r>
    </w:p>
    <w:p>
      <w:pPr>
        <w:pStyle w:val="TextBody"/>
        <w:spacing w:before="0" w:after="0"/>
        <w:rPr/>
      </w:pPr>
      <w:r>
        <w:rPr/>
        <w:t> </w:t>
      </w:r>
    </w:p>
    <w:p>
      <w:pPr>
        <w:pStyle w:val="TextBody"/>
        <w:spacing w:before="160" w:after="0"/>
        <w:rPr>
          <w:rFonts w:ascii="Times New Roman" w:hAnsi="Times New Roman"/>
          <w:b/>
          <w:i/>
          <w:caps w:val="false"/>
          <w:smallCaps w:val="false"/>
          <w:sz w:val="20"/>
        </w:rPr>
      </w:pPr>
      <w:r>
        <w:rPr>
          <w:rFonts w:ascii="Times New Roman" w:hAnsi="Times New Roman"/>
          <w:b/>
          <w:i/>
          <w:caps w:val="false"/>
          <w:smallCaps w:val="false"/>
          <w:sz w:val="20"/>
        </w:rPr>
        <w:t>Research, Development and Patents Expenses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 the remainder of 2022 as our development programs progress.</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pStyle w:val="TextBody"/>
        <w:spacing w:before="0" w:after="0"/>
        <w:rPr/>
      </w:pPr>
      <w:r>
        <w:rPr/>
        <w:t> </w:t>
      </w:r>
    </w:p>
    <w:tbl>
      <w:tblPr>
        <w:tblW w:w="5572" w:type="dxa"/>
        <w:jc w:val="left"/>
        <w:tblInd w:w="0" w:type="dxa"/>
        <w:tblCellMar>
          <w:top w:w="0" w:type="dxa"/>
          <w:left w:w="0" w:type="dxa"/>
          <w:bottom w:w="0" w:type="dxa"/>
          <w:right w:w="0" w:type="dxa"/>
        </w:tblCellMar>
      </w:tblPr>
      <w:tblGrid>
        <w:gridCol w:w="3920"/>
        <w:gridCol w:w="60"/>
        <w:gridCol w:w="137"/>
        <w:gridCol w:w="533"/>
        <w:gridCol w:w="66"/>
        <w:gridCol w:w="66"/>
        <w:gridCol w:w="137"/>
        <w:gridCol w:w="533"/>
        <w:gridCol w:w="60"/>
        <w:gridCol w:w="60"/>
      </w:tblGrid>
      <w:tr>
        <w:trPr/>
        <w:tc>
          <w:tcPr>
            <w:tcW w:w="3920"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2"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392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2"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392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392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External development expense: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3920" w:type="dxa"/>
            <w:tcBorders/>
            <w:shd w:fill="FFFFFF" w:val="cle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MN-221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CFF0FC" w:val="cle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MN-166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1,617</w:t>
            </w:r>
          </w:p>
        </w:tc>
        <w:tc>
          <w:tcPr>
            <w:tcW w:w="6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1,249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FFFFFF" w:val="cle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MN-001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tc>
        <w:tc>
          <w:tcPr>
            <w:tcW w:w="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CFF0FC" w:val="cle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MN-029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6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bottom w:val="single" w:sz="6" w:space="0" w:color="000000"/>
            </w:tcBorders>
            <w:shd w:fill="FFFFFF" w:val="clear"/>
            <w:tcMar>
              <w:bottom w:w="28" w:type="dxa"/>
            </w:tcMar>
            <w:vAlign w:val="bottom"/>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external development expense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1,627</w:t>
            </w:r>
          </w:p>
        </w:tc>
        <w:tc>
          <w:tcPr>
            <w:tcW w:w="6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1,287</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R&amp;D personnel expense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270</w:t>
            </w:r>
          </w:p>
        </w:tc>
        <w:tc>
          <w:tcPr>
            <w:tcW w:w="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R&amp;D facility and depreciation expense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w:t>
            </w:r>
          </w:p>
        </w:tc>
        <w:tc>
          <w:tcPr>
            <w:tcW w:w="6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Patent expenses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w:t>
            </w:r>
          </w:p>
        </w:tc>
        <w:tc>
          <w:tcPr>
            <w:tcW w:w="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R&amp;D expense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w:t>
            </w:r>
          </w:p>
        </w:tc>
        <w:tc>
          <w:tcPr>
            <w:tcW w:w="66"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research, development and patent expense</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3"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2,112</w:t>
            </w:r>
          </w:p>
        </w:tc>
        <w:tc>
          <w:tcPr>
            <w:tcW w:w="66"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3"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2,145</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General and Administrative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Critical Accounting Policies and Estimates</w:t>
      </w:r>
    </w:p>
    <w:p>
      <w:pPr>
        <w:pStyle w:val="TextBody"/>
        <w:spacing w:before="8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This discussion and analysis of our financial condition and results of operations is based on our condensed consolidated financial statements, which we have prepared in accordance with United States generally accepted accounting principles. The preparation of these condensed consolidated financial statements requires us to make estimates, judgments and assumptions that affect the reported amounts of assets and liabilities and the disclosure of contingent assets and liabilities at the date of the financial statements, as well as the reported amounts of expenses during the reporting periods. We base our estimates on historical experience and on various other factors and assumptions that we believe are reasonable under the circumstances at the time the estimates are made, the results of which form the basis for making judgments about the book values of assets and liabilities that are not readily apparent from other sources. Actual results may differ from these estimates under different assumptions or conditions. We periodically evaluate our estimates and judgments in light of changes in circumstances, facts and experience.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please see the section entitled “Management’s Discussion and Analysis of Financial Condition and Results of Operations — Critical Accounting Policies” contained in our Annual Report on Form 10-K for the year ended December 31, 2021. There have not been any material changes to the critical accounting policies discussed therein during the three months ended March 31, 2022.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w:t>
      </w:r>
    </w:p>
    <w:p>
      <w:pPr>
        <w:pStyle w:val="HorizontalLine"/>
        <w:rPr/>
      </w:pPr>
      <w:r>
        <w:rPr/>
      </w:r>
    </w:p>
    <w:p>
      <w:pPr>
        <w:pStyle w:val="TextBody"/>
        <w:spacing w:before="0" w:after="0"/>
        <w:rPr/>
      </w:pPr>
      <w:r>
        <w:rPr/>
        <w:t> </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Results of Operations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Comparison of the three months ended March 31, 2022 and 2021</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Revenues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Revenues were $0.0 million and $4.0 million for the three months ended March 31, 2022 and 2021, respectively. The decrease of $4.0 million was due to the receipt of two milestone payments under </w:t>
      </w:r>
      <w:r>
        <w:rPr>
          <w:rFonts w:ascii="Times New Roman" w:hAnsi="Times New Roman"/>
          <w:b w:val="false"/>
          <w:i w:val="false"/>
          <w:caps w:val="false"/>
          <w:smallCaps w:val="false"/>
          <w:color w:val="000000"/>
          <w:sz w:val="20"/>
        </w:rPr>
        <w:t>the Genzyme Agreement in 2021</w:t>
      </w:r>
      <w:r>
        <w:rPr>
          <w:rFonts w:ascii="Times New Roman" w:hAnsi="Times New Roman"/>
          <w:b w:val="false"/>
          <w:i w:val="false"/>
          <w:caps w:val="false"/>
          <w:smallCaps w:val="false"/>
          <w:sz w:val="20"/>
        </w:rPr>
        <w:t>.</w:t>
      </w:r>
    </w:p>
    <w:p>
      <w:pPr>
        <w:pStyle w:val="TextBody"/>
        <w:spacing w:before="120" w:after="0"/>
        <w:rPr/>
      </w:pPr>
      <w:r>
        <w:rPr/>
        <w:t>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Research, Development and Patents Expenses</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Research, development and patents expenses were $2.1 million and $2.1 million for the three months ended March 31, 2022 and 2021, respectively. The expense was relatively the same quarter over quarter. Changes were primarily due to a decrease in performance-based stock option expenses offset by an increase in MN-166 related expenses. </w:t>
      </w:r>
    </w:p>
    <w:p>
      <w:pPr>
        <w:pStyle w:val="TextBody"/>
        <w:spacing w:before="0" w:after="0"/>
        <w:rPr/>
      </w:pPr>
      <w:r>
        <w:rPr/>
        <w:t> </w:t>
      </w:r>
    </w:p>
    <w:p>
      <w:pPr>
        <w:pStyle w:val="TextBody"/>
        <w:spacing w:before="0" w:after="0"/>
        <w:rPr>
          <w:rFonts w:ascii="Times New Roman" w:hAnsi="Times New Roman"/>
          <w:b w:val="false"/>
          <w:i/>
          <w:caps w:val="false"/>
          <w:smallCaps w:val="false"/>
          <w:sz w:val="20"/>
        </w:rPr>
      </w:pPr>
      <w:r>
        <w:rPr>
          <w:rFonts w:ascii="Times New Roman" w:hAnsi="Times New Roman"/>
          <w:b w:val="false"/>
          <w:i/>
          <w:caps w:val="false"/>
          <w:smallCaps w:val="false"/>
          <w:sz w:val="20"/>
        </w:rPr>
        <w:t>General and Administrative Expenses</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General and administrative expenses were $1.3 million and $2.1 million for the three months ended March 31, 2022 and 2021, respectively. The decrease of $0.8 million was primarily due to a decrease in performance-based stock option expense. </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Liquidity and Capital Resources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Net cash used in operating activities during the three months ended March 31, 2022 was $3.7 million compared to $3.9 million during the same period in 2021. The $0.2 million change is primarily related to the increased net loss and changes in operating assets and liabilities for those periods.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Net cash provided by financing activities was $0.0 million during the three months ended March 31, 2022 compared to $20.1 million during the same period in 2021. Net cash provided by financing activities during the three months ended March 31, 2021 was primarily due to the sale of </w:t>
      </w:r>
      <w:r>
        <w:rPr>
          <w:rFonts w:ascii="Times New Roman" w:hAnsi="Times New Roman"/>
          <w:b w:val="false"/>
          <w:i w:val="false"/>
          <w:caps w:val="false"/>
          <w:smallCaps w:val="false"/>
          <w:color w:val="000000"/>
          <w:sz w:val="20"/>
          <w:highlight w:val="white"/>
        </w:rPr>
        <w:t>3,656,307 shares of common stock under a Securities Purchase Agreement dated as of January 11, 2021 for net proceeds of $19.9 million.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March 31, 2022, we had available cash and cash equivalents of $67.7 million and working capital of $65.9 million. As of the date of this report, we believe we have working capital sufficient to fund operations at least through the end of 2023. However, we cannot provide assurance that these capital resources will be sufficient to conduct all our research and development programs as planned. </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Equity Financing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August 23, 2019, we entered into an at the market issuance sales agreement (the “2019 ATM Agreement”) with </w:t>
      </w:r>
      <w:r>
        <w:rPr>
          <w:rFonts w:ascii="Times New Roman" w:hAnsi="Times New Roman"/>
          <w:b w:val="false"/>
          <w:i w:val="false"/>
          <w:caps w:val="false"/>
          <w:smallCaps w:val="false"/>
          <w:color w:val="000000"/>
          <w:sz w:val="20"/>
          <w:highlight w:val="white"/>
        </w:rPr>
        <w:t>B. Riley FBR, Inc.</w:t>
      </w:r>
      <w:r>
        <w:rPr>
          <w:rFonts w:ascii="Times New Roman" w:hAnsi="Times New Roman"/>
          <w:b w:val="false"/>
          <w:i w:val="false"/>
          <w:caps w:val="false"/>
          <w:smallCaps w:val="false"/>
          <w:color w:val="000000"/>
          <w:sz w:val="20"/>
        </w:rPr>
        <w:t xml:space="preserve"> (B. Riley </w:t>
      </w:r>
      <w:r>
        <w:rPr>
          <w:rFonts w:ascii="Times New Roman" w:hAnsi="Times New Roman"/>
          <w:b w:val="false"/>
          <w:i w:val="false"/>
          <w:caps w:val="false"/>
          <w:smallCaps w:val="false"/>
          <w:color w:val="000000"/>
          <w:sz w:val="20"/>
          <w:highlight w:val="white"/>
        </w:rPr>
        <w:t>FBR</w:t>
      </w:r>
      <w:r>
        <w:rPr>
          <w:rFonts w:ascii="Times New Roman" w:hAnsi="Times New Roman"/>
          <w:b w:val="false"/>
          <w:i w:val="false"/>
          <w:caps w:val="false"/>
          <w:smallCaps w:val="false"/>
          <w:color w:val="000000"/>
          <w:sz w:val="20"/>
        </w:rPr>
        <w:t xml:space="preserve">) pursuant to which we may sell common stock through </w:t>
      </w:r>
      <w:r>
        <w:rPr>
          <w:rFonts w:ascii="Times New Roman" w:hAnsi="Times New Roman"/>
          <w:b w:val="false"/>
          <w:i w:val="false"/>
          <w:caps w:val="false"/>
          <w:smallCaps w:val="false"/>
          <w:color w:val="000000"/>
          <w:sz w:val="20"/>
          <w:highlight w:val="white"/>
        </w:rPr>
        <w:t>B. Riley</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highlight w:val="white"/>
        </w:rPr>
        <w:t>FBR</w:t>
      </w:r>
      <w:r>
        <w:rPr>
          <w:rFonts w:ascii="Times New Roman" w:hAnsi="Times New Roman"/>
          <w:b w:val="false"/>
          <w:i w:val="false"/>
          <w:caps w:val="false"/>
          <w:smallCaps w:val="false"/>
          <w:color w:val="000000"/>
          <w:sz w:val="20"/>
        </w:rPr>
        <w:t xml:space="preserve"> from time to time up to an aggregate offering price of $75.0 million. </w:t>
      </w:r>
      <w:r>
        <w:rPr>
          <w:rFonts w:ascii="Times New Roman" w:hAnsi="Times New Roman"/>
          <w:b w:val="false"/>
          <w:i w:val="false"/>
          <w:caps w:val="false"/>
          <w:smallCaps w:val="false"/>
          <w:color w:val="000000"/>
          <w:sz w:val="20"/>
          <w:highlight w:val="white"/>
        </w:rPr>
        <w:t>Sales of our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our prior approval. </w:t>
      </w:r>
      <w:r>
        <w:rPr>
          <w:rFonts w:ascii="Times New Roman" w:hAnsi="Times New Roman"/>
          <w:b w:val="false"/>
          <w:i w:val="false"/>
          <w:caps w:val="false"/>
          <w:smallCaps w:val="false"/>
          <w:color w:val="000000"/>
          <w:sz w:val="20"/>
        </w:rPr>
        <w:t xml:space="preserve">We agreed to pay </w:t>
      </w:r>
      <w:r>
        <w:rPr>
          <w:rFonts w:ascii="Times New Roman" w:hAnsi="Times New Roman"/>
          <w:b w:val="false"/>
          <w:i w:val="false"/>
          <w:caps w:val="false"/>
          <w:smallCaps w:val="false"/>
          <w:color w:val="000000"/>
          <w:sz w:val="20"/>
          <w:highlight w:val="white"/>
        </w:rPr>
        <w:t>B. Riley</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highlight w:val="white"/>
        </w:rPr>
        <w:t>FBR</w:t>
      </w:r>
      <w:r>
        <w:rPr>
          <w:rFonts w:ascii="Times New Roman" w:hAnsi="Times New Roman"/>
          <w:b w:val="false"/>
          <w:i w:val="false"/>
          <w:caps w:val="false"/>
          <w:smallCaps w:val="false"/>
          <w:color w:val="000000"/>
          <w:sz w:val="20"/>
        </w:rPr>
        <w:t xml:space="preserve"> an aggregate commission rate of up to 3.5% of the gross proceeds of any common stock sold under this agreement. Proceeds from sales of common stock will depend on the number of shares of common stock sold to </w:t>
      </w:r>
      <w:r>
        <w:rPr>
          <w:rFonts w:ascii="Times New Roman" w:hAnsi="Times New Roman"/>
          <w:b w:val="false"/>
          <w:i w:val="false"/>
          <w:caps w:val="false"/>
          <w:smallCaps w:val="false"/>
          <w:color w:val="000000"/>
          <w:sz w:val="20"/>
          <w:highlight w:val="white"/>
        </w:rPr>
        <w:t>B. Riley</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highlight w:val="white"/>
        </w:rPr>
        <w:t>FBR</w:t>
      </w:r>
      <w:r>
        <w:rPr>
          <w:rFonts w:ascii="Times New Roman" w:hAnsi="Times New Roman"/>
          <w:b w:val="false"/>
          <w:i w:val="false"/>
          <w:caps w:val="false"/>
          <w:smallCaps w:val="false"/>
          <w:color w:val="000000"/>
          <w:sz w:val="20"/>
        </w:rPr>
        <w:t xml:space="preserve"> and the per share purchase price of each transaction.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No shares of common stock were sold under the 2019 ATM Agreement in the three months ended March 31, 2022. </w:t>
      </w:r>
    </w:p>
    <w:p>
      <w:pPr>
        <w:pStyle w:val="TextBody"/>
        <w:spacing w:before="0" w:after="0"/>
        <w:rPr/>
      </w:pPr>
      <w:r>
        <w:rPr/>
        <w:t> </w:t>
      </w:r>
    </w:p>
    <w:p>
      <w:pPr>
        <w:pStyle w:val="TextBody"/>
        <w:spacing w:before="0" w:after="0"/>
        <w:rPr/>
      </w:pPr>
      <w:r>
        <w:rPr/>
        <w:t>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w:t>
      </w:r>
    </w:p>
    <w:p>
      <w:pPr>
        <w:pStyle w:val="HorizontalLine"/>
        <w:rPr/>
      </w:pPr>
      <w:r>
        <w:rPr/>
      </w:r>
    </w:p>
    <w:p>
      <w:pPr>
        <w:pStyle w:val="TextBody"/>
        <w:spacing w:before="0" w:after="0"/>
        <w:rPr/>
      </w:pPr>
      <w:r>
        <w:rPr/>
        <w:t> </w:t>
      </w:r>
    </w:p>
    <w:p>
      <w:pPr>
        <w:pStyle w:val="TextBody"/>
        <w:spacing w:before="0" w:after="0"/>
        <w:rPr/>
      </w:pPr>
      <w:r>
        <w:rPr/>
        <w:t> </w:t>
      </w:r>
    </w:p>
    <w:tbl>
      <w:tblPr>
        <w:tblW w:w="7750" w:type="dxa"/>
        <w:jc w:val="left"/>
        <w:tblInd w:w="0" w:type="dxa"/>
        <w:tblCellMar>
          <w:top w:w="0" w:type="dxa"/>
          <w:left w:w="0" w:type="dxa"/>
          <w:bottom w:w="0" w:type="dxa"/>
          <w:right w:w="0" w:type="dxa"/>
        </w:tblCellMar>
      </w:tblPr>
      <w:tblGrid>
        <w:gridCol w:w="740"/>
        <w:gridCol w:w="7010"/>
      </w:tblGrid>
      <w:tr>
        <w:trPr/>
        <w:tc>
          <w:tcPr>
            <w:tcW w:w="740" w:type="dxa"/>
            <w:tcBorders/>
            <w:shd w:fill="auto" w:val="clear"/>
          </w:tcPr>
          <w:p>
            <w:pPr>
              <w:pStyle w:val="TableContents"/>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ITEM 3.</w:t>
            </w:r>
          </w:p>
        </w:tc>
        <w:tc>
          <w:tcPr>
            <w:tcW w:w="7010" w:type="dxa"/>
            <w:tcBorders/>
            <w:shd w:fill="auto" w:val="clear"/>
          </w:tcPr>
          <w:p>
            <w:pPr>
              <w:pStyle w:val="TableContents"/>
              <w:spacing w:before="0" w:after="0"/>
              <w:rPr>
                <w:rFonts w:ascii="Times New Roman" w:hAnsi="Times New Roman"/>
                <w:b/>
                <w:i w:val="false"/>
                <w:caps w:val="false"/>
                <w:smallCaps w:val="false"/>
                <w:sz w:val="20"/>
              </w:rPr>
            </w:pPr>
            <w:bookmarkStart w:id="8" w:name="ITEM_3_QUANTITATIVE_QUALITATIVE_DISCLOSU"/>
            <w:bookmarkEnd w:id="8"/>
            <w:r>
              <w:rPr>
                <w:rFonts w:ascii="Times New Roman" w:hAnsi="Times New Roman"/>
                <w:b/>
                <w:i w:val="false"/>
                <w:caps w:val="false"/>
                <w:smallCaps w:val="false"/>
                <w:sz w:val="20"/>
              </w:rPr>
              <w:t>QUANTITATIVE AND QUALITATIVE DISCLOSURES ABOUT MARKET RISK.</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 applicable. </w:t>
      </w:r>
    </w:p>
    <w:tbl>
      <w:tblPr>
        <w:tblW w:w="3700" w:type="dxa"/>
        <w:jc w:val="left"/>
        <w:tblInd w:w="0" w:type="dxa"/>
        <w:tblCellMar>
          <w:top w:w="0" w:type="dxa"/>
          <w:left w:w="0" w:type="dxa"/>
          <w:bottom w:w="0" w:type="dxa"/>
          <w:right w:w="0" w:type="dxa"/>
        </w:tblCellMar>
      </w:tblPr>
      <w:tblGrid>
        <w:gridCol w:w="740"/>
        <w:gridCol w:w="2960"/>
      </w:tblGrid>
      <w:tr>
        <w:trPr/>
        <w:tc>
          <w:tcPr>
            <w:tcW w:w="74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ITEM 4.</w:t>
            </w:r>
          </w:p>
        </w:tc>
        <w:tc>
          <w:tcPr>
            <w:tcW w:w="2960" w:type="dxa"/>
            <w:tcBorders/>
            <w:shd w:fill="auto" w:val="clear"/>
          </w:tcPr>
          <w:p>
            <w:pPr>
              <w:pStyle w:val="TableContents"/>
              <w:spacing w:before="360" w:after="0"/>
              <w:rPr>
                <w:rFonts w:ascii="Times New Roman" w:hAnsi="Times New Roman"/>
                <w:b/>
                <w:i w:val="false"/>
                <w:caps w:val="false"/>
                <w:smallCaps w:val="false"/>
                <w:sz w:val="20"/>
              </w:rPr>
            </w:pPr>
            <w:bookmarkStart w:id="9" w:name="ITEM_4_CONTROLS_PROCEDURES"/>
            <w:bookmarkEnd w:id="9"/>
            <w:r>
              <w:rPr>
                <w:rFonts w:ascii="Times New Roman" w:hAnsi="Times New Roman"/>
                <w:b/>
                <w:i w:val="false"/>
                <w:caps w:val="false"/>
                <w:smallCaps w:val="false"/>
                <w:sz w:val="20"/>
              </w:rPr>
              <w:t>CONTROLS AND PROCEDURES.</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Evaluation of Disclosure Controls and Procedures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Changes in Internal Control over Financial Reporting</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has been no change in our internal control over financial reporting during our most recent fiscal quarter that has materially affected, or is reasonably likely to materially affect, our internal control over financial reporting.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10" w:name="PART_II_OR_INFORMATION"/>
      <w:bookmarkEnd w:id="10"/>
      <w:r>
        <w:rPr>
          <w:rFonts w:ascii="Times New Roman" w:hAnsi="Times New Roman"/>
          <w:b/>
          <w:i w:val="false"/>
          <w:caps w:val="false"/>
          <w:smallCaps w:val="false"/>
          <w:sz w:val="20"/>
        </w:rPr>
        <w:t>PART II. OTHER INFORMATION</w:t>
      </w:r>
    </w:p>
    <w:tbl>
      <w:tblPr>
        <w:tblW w:w="2950" w:type="dxa"/>
        <w:jc w:val="left"/>
        <w:tblInd w:w="0" w:type="dxa"/>
        <w:tblCellMar>
          <w:top w:w="0" w:type="dxa"/>
          <w:left w:w="0" w:type="dxa"/>
          <w:bottom w:w="0" w:type="dxa"/>
          <w:right w:w="0" w:type="dxa"/>
        </w:tblCellMar>
      </w:tblPr>
      <w:tblGrid>
        <w:gridCol w:w="740"/>
        <w:gridCol w:w="2210"/>
      </w:tblGrid>
      <w:tr>
        <w:trPr/>
        <w:tc>
          <w:tcPr>
            <w:tcW w:w="740" w:type="dxa"/>
            <w:tcBorders/>
            <w:shd w:fill="auto" w:val="clear"/>
          </w:tcPr>
          <w:p>
            <w:pPr>
              <w:pStyle w:val="TableContents"/>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ITEM 1.</w:t>
            </w:r>
          </w:p>
        </w:tc>
        <w:tc>
          <w:tcPr>
            <w:tcW w:w="2210" w:type="dxa"/>
            <w:tcBorders/>
            <w:shd w:fill="auto" w:val="clear"/>
          </w:tcPr>
          <w:p>
            <w:pPr>
              <w:pStyle w:val="TableContents"/>
              <w:spacing w:before="240" w:after="0"/>
              <w:rPr>
                <w:rFonts w:ascii="Times New Roman" w:hAnsi="Times New Roman"/>
                <w:b/>
                <w:i w:val="false"/>
                <w:caps w:val="false"/>
                <w:smallCaps w:val="false"/>
                <w:sz w:val="20"/>
              </w:rPr>
            </w:pPr>
            <w:bookmarkStart w:id="11" w:name="ITEM_1_LEGAL_PROCEEDINGS"/>
            <w:bookmarkEnd w:id="11"/>
            <w:r>
              <w:rPr>
                <w:rFonts w:ascii="Times New Roman" w:hAnsi="Times New Roman"/>
                <w:b/>
                <w:i w:val="false"/>
                <w:caps w:val="false"/>
                <w:smallCaps w:val="false"/>
                <w:sz w:val="20"/>
              </w:rPr>
              <w:t>LEGAL PROCEEDINGS.</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not involved in any material legal proceedings as of March 31, 2022.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tbl>
      <w:tblPr>
        <w:tblW w:w="2365" w:type="dxa"/>
        <w:jc w:val="left"/>
        <w:tblInd w:w="0" w:type="dxa"/>
        <w:tblCellMar>
          <w:top w:w="0" w:type="dxa"/>
          <w:left w:w="0" w:type="dxa"/>
          <w:bottom w:w="0" w:type="dxa"/>
          <w:right w:w="0" w:type="dxa"/>
        </w:tblCellMar>
      </w:tblPr>
      <w:tblGrid>
        <w:gridCol w:w="875"/>
        <w:gridCol w:w="1490"/>
      </w:tblGrid>
      <w:tr>
        <w:trPr/>
        <w:tc>
          <w:tcPr>
            <w:tcW w:w="875"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ITEM 1A.</w:t>
            </w:r>
          </w:p>
        </w:tc>
        <w:tc>
          <w:tcPr>
            <w:tcW w:w="1490" w:type="dxa"/>
            <w:tcBorders/>
            <w:shd w:fill="auto" w:val="clear"/>
          </w:tcPr>
          <w:p>
            <w:pPr>
              <w:pStyle w:val="TableContents"/>
              <w:spacing w:before="360" w:after="0"/>
              <w:rPr>
                <w:rFonts w:ascii="Times New Roman" w:hAnsi="Times New Roman"/>
                <w:b/>
                <w:i w:val="false"/>
                <w:caps w:val="false"/>
                <w:smallCaps w:val="false"/>
                <w:sz w:val="20"/>
              </w:rPr>
            </w:pPr>
            <w:bookmarkStart w:id="12" w:name="ITEM_1A_RISK_FACTORS"/>
            <w:bookmarkEnd w:id="12"/>
            <w:r>
              <w:rPr>
                <w:rFonts w:ascii="Times New Roman" w:hAnsi="Times New Roman"/>
                <w:b/>
                <w:i w:val="false"/>
                <w:caps w:val="false"/>
                <w:smallCaps w:val="false"/>
                <w:sz w:val="20"/>
              </w:rPr>
              <w:t>RISK FACTORS.</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to the other information set forth in this report, you should carefully consider the factors discussed in Part I, “Item 1A. Risk Factors” in our Annual Report on Form 10-K for the year ended December 31, 2021,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We do not believe that there have been any material changes from the risk factors previously disclosed in our Annual Report on Form 10-K for the year ended December 31, 2021.</w:t>
      </w:r>
    </w:p>
    <w:tbl>
      <w:tblPr>
        <w:tblW w:w="7630" w:type="dxa"/>
        <w:jc w:val="left"/>
        <w:tblInd w:w="0" w:type="dxa"/>
        <w:tblCellMar>
          <w:top w:w="0" w:type="dxa"/>
          <w:left w:w="0" w:type="dxa"/>
          <w:bottom w:w="0" w:type="dxa"/>
          <w:right w:w="0" w:type="dxa"/>
        </w:tblCellMar>
      </w:tblPr>
      <w:tblGrid>
        <w:gridCol w:w="740"/>
        <w:gridCol w:w="6890"/>
      </w:tblGrid>
      <w:tr>
        <w:trPr/>
        <w:tc>
          <w:tcPr>
            <w:tcW w:w="74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ITEM 2.</w:t>
            </w:r>
          </w:p>
        </w:tc>
        <w:tc>
          <w:tcPr>
            <w:tcW w:w="6890" w:type="dxa"/>
            <w:tcBorders/>
            <w:shd w:fill="auto" w:val="clear"/>
          </w:tcPr>
          <w:p>
            <w:pPr>
              <w:pStyle w:val="TableContents"/>
              <w:spacing w:before="360" w:after="0"/>
              <w:rPr>
                <w:rFonts w:ascii="Times New Roman" w:hAnsi="Times New Roman"/>
                <w:b/>
                <w:i w:val="false"/>
                <w:caps w:val="false"/>
                <w:smallCaps w:val="false"/>
                <w:sz w:val="20"/>
              </w:rPr>
            </w:pPr>
            <w:bookmarkStart w:id="13" w:name="ITEM_2_UNREGISTERED_SALES_EQUITY_SECUTIT"/>
            <w:bookmarkEnd w:id="13"/>
            <w:r>
              <w:rPr>
                <w:rFonts w:ascii="Times New Roman" w:hAnsi="Times New Roman"/>
                <w:b/>
                <w:i w:val="false"/>
                <w:caps w:val="false"/>
                <w:smallCaps w:val="false"/>
                <w:sz w:val="20"/>
              </w:rPr>
              <w:t>UNREGISTERED SALES OF EQUITY SECURITIES AND USE OF PROCEEDS.</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tbl>
      <w:tblPr>
        <w:tblW w:w="4420" w:type="dxa"/>
        <w:jc w:val="left"/>
        <w:tblInd w:w="0" w:type="dxa"/>
        <w:tblCellMar>
          <w:top w:w="0" w:type="dxa"/>
          <w:left w:w="0" w:type="dxa"/>
          <w:bottom w:w="0" w:type="dxa"/>
          <w:right w:w="0" w:type="dxa"/>
        </w:tblCellMar>
      </w:tblPr>
      <w:tblGrid>
        <w:gridCol w:w="740"/>
        <w:gridCol w:w="3680"/>
      </w:tblGrid>
      <w:tr>
        <w:trPr/>
        <w:tc>
          <w:tcPr>
            <w:tcW w:w="74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ITEM 3.</w:t>
            </w:r>
          </w:p>
        </w:tc>
        <w:tc>
          <w:tcPr>
            <w:tcW w:w="3680" w:type="dxa"/>
            <w:tcBorders/>
            <w:shd w:fill="auto" w:val="clear"/>
          </w:tcPr>
          <w:p>
            <w:pPr>
              <w:pStyle w:val="TableContents"/>
              <w:spacing w:before="360" w:after="0"/>
              <w:rPr>
                <w:rFonts w:ascii="Times New Roman" w:hAnsi="Times New Roman"/>
                <w:b/>
                <w:i w:val="false"/>
                <w:caps w:val="false"/>
                <w:smallCaps w:val="false"/>
                <w:sz w:val="20"/>
              </w:rPr>
            </w:pPr>
            <w:bookmarkStart w:id="14" w:name="ITEM_3_DEFAULTS_UPON_SENIOR_SECURITIES"/>
            <w:bookmarkEnd w:id="14"/>
            <w:r>
              <w:rPr>
                <w:rFonts w:ascii="Times New Roman" w:hAnsi="Times New Roman"/>
                <w:b/>
                <w:i w:val="false"/>
                <w:caps w:val="false"/>
                <w:smallCaps w:val="false"/>
                <w:sz w:val="20"/>
              </w:rPr>
              <w:t>DEFAULTS UPON SENIOR SECURITIES.</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tbl>
      <w:tblPr>
        <w:tblW w:w="3535" w:type="dxa"/>
        <w:jc w:val="left"/>
        <w:tblInd w:w="0" w:type="dxa"/>
        <w:tblCellMar>
          <w:top w:w="0" w:type="dxa"/>
          <w:left w:w="0" w:type="dxa"/>
          <w:bottom w:w="0" w:type="dxa"/>
          <w:right w:w="0" w:type="dxa"/>
        </w:tblCellMar>
      </w:tblPr>
      <w:tblGrid>
        <w:gridCol w:w="740"/>
        <w:gridCol w:w="2795"/>
      </w:tblGrid>
      <w:tr>
        <w:trPr/>
        <w:tc>
          <w:tcPr>
            <w:tcW w:w="74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ITEM 4.</w:t>
            </w:r>
          </w:p>
        </w:tc>
        <w:tc>
          <w:tcPr>
            <w:tcW w:w="2795" w:type="dxa"/>
            <w:tcBorders/>
            <w:shd w:fill="auto" w:val="clear"/>
          </w:tcPr>
          <w:p>
            <w:pPr>
              <w:pStyle w:val="TableContents"/>
              <w:spacing w:before="360" w:after="0"/>
              <w:rPr>
                <w:rFonts w:ascii="Times New Roman" w:hAnsi="Times New Roman"/>
                <w:b/>
                <w:i w:val="false"/>
                <w:caps w:val="false"/>
                <w:smallCaps w:val="false"/>
                <w:sz w:val="20"/>
              </w:rPr>
            </w:pPr>
            <w:bookmarkStart w:id="15" w:name="ITEM_4_MINE_SAFETY_DISCLOSURES"/>
            <w:bookmarkEnd w:id="15"/>
            <w:r>
              <w:rPr>
                <w:rFonts w:ascii="Times New Roman" w:hAnsi="Times New Roman"/>
                <w:b/>
                <w:i w:val="false"/>
                <w:caps w:val="false"/>
                <w:smallCaps w:val="false"/>
                <w:sz w:val="20"/>
              </w:rPr>
              <w:t>MINE SAFETY DISCLOSURES.</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 applicable</w:t>
      </w:r>
    </w:p>
    <w:tbl>
      <w:tblPr>
        <w:tblW w:w="2980" w:type="dxa"/>
        <w:jc w:val="left"/>
        <w:tblInd w:w="0" w:type="dxa"/>
        <w:tblCellMar>
          <w:top w:w="0" w:type="dxa"/>
          <w:left w:w="0" w:type="dxa"/>
          <w:bottom w:w="0" w:type="dxa"/>
          <w:right w:w="0" w:type="dxa"/>
        </w:tblCellMar>
      </w:tblPr>
      <w:tblGrid>
        <w:gridCol w:w="740"/>
        <w:gridCol w:w="2240"/>
      </w:tblGrid>
      <w:tr>
        <w:trPr/>
        <w:tc>
          <w:tcPr>
            <w:tcW w:w="74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ITEM 5.</w:t>
            </w:r>
          </w:p>
        </w:tc>
        <w:tc>
          <w:tcPr>
            <w:tcW w:w="2240" w:type="dxa"/>
            <w:tcBorders/>
            <w:shd w:fill="auto" w:val="clear"/>
          </w:tcPr>
          <w:p>
            <w:pPr>
              <w:pStyle w:val="TableContents"/>
              <w:spacing w:before="360" w:after="0"/>
              <w:rPr>
                <w:rFonts w:ascii="Times New Roman" w:hAnsi="Times New Roman"/>
                <w:b/>
                <w:i w:val="false"/>
                <w:caps w:val="false"/>
                <w:smallCaps w:val="false"/>
                <w:sz w:val="20"/>
              </w:rPr>
            </w:pPr>
            <w:bookmarkStart w:id="16" w:name="ITEM_5_OR_INFORMATION"/>
            <w:bookmarkEnd w:id="16"/>
            <w:r>
              <w:rPr>
                <w:rFonts w:ascii="Times New Roman" w:hAnsi="Times New Roman"/>
                <w:b/>
                <w:i w:val="false"/>
                <w:caps w:val="false"/>
                <w:smallCaps w:val="false"/>
                <w:sz w:val="20"/>
              </w:rPr>
              <w:t>OTHER INFORMATION.</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w:t>
      </w:r>
    </w:p>
    <w:p>
      <w:pPr>
        <w:pStyle w:val="HorizontalLine"/>
        <w:rPr/>
      </w:pPr>
      <w:r>
        <w:rPr/>
      </w:r>
    </w:p>
    <w:p>
      <w:pPr>
        <w:pStyle w:val="TextBody"/>
        <w:spacing w:before="0" w:after="0"/>
        <w:rPr/>
      </w:pPr>
      <w:r>
        <w:rPr/>
        <w:t> </w:t>
      </w:r>
    </w:p>
    <w:tbl>
      <w:tblPr>
        <w:tblW w:w="1750" w:type="dxa"/>
        <w:jc w:val="left"/>
        <w:tblInd w:w="0" w:type="dxa"/>
        <w:tblCellMar>
          <w:top w:w="0" w:type="dxa"/>
          <w:left w:w="0" w:type="dxa"/>
          <w:bottom w:w="0" w:type="dxa"/>
          <w:right w:w="0" w:type="dxa"/>
        </w:tblCellMar>
      </w:tblPr>
      <w:tblGrid>
        <w:gridCol w:w="740"/>
        <w:gridCol w:w="1010"/>
      </w:tblGrid>
      <w:tr>
        <w:trPr/>
        <w:tc>
          <w:tcPr>
            <w:tcW w:w="74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ITEM 6.</w:t>
            </w:r>
          </w:p>
        </w:tc>
        <w:tc>
          <w:tcPr>
            <w:tcW w:w="1010" w:type="dxa"/>
            <w:tcBorders/>
            <w:shd w:fill="auto" w:val="clear"/>
          </w:tcPr>
          <w:p>
            <w:pPr>
              <w:pStyle w:val="TableContents"/>
              <w:spacing w:before="360" w:after="0"/>
              <w:rPr>
                <w:rFonts w:ascii="Times New Roman" w:hAnsi="Times New Roman"/>
                <w:b/>
                <w:i w:val="false"/>
                <w:caps w:val="false"/>
                <w:smallCaps w:val="false"/>
                <w:sz w:val="20"/>
              </w:rPr>
            </w:pPr>
            <w:bookmarkStart w:id="17" w:name="ITEM_6_EXHIBITS"/>
            <w:bookmarkEnd w:id="17"/>
            <w:r>
              <w:rPr>
                <w:rFonts w:ascii="Times New Roman" w:hAnsi="Times New Roman"/>
                <w:b/>
                <w:i w:val="false"/>
                <w:caps w:val="false"/>
                <w:smallCaps w:val="false"/>
                <w:sz w:val="20"/>
              </w:rPr>
              <w:t>EXHIBITS.</w:t>
            </w:r>
          </w:p>
        </w:tc>
      </w:tr>
    </w:tbl>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812"/>
        <w:gridCol w:w="60"/>
        <w:gridCol w:w="9333"/>
      </w:tblGrid>
      <w:tr>
        <w:trPr/>
        <w:tc>
          <w:tcPr>
            <w:tcW w:w="812"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Exhibit</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Number</w:t>
            </w:r>
          </w:p>
        </w:tc>
        <w:tc>
          <w:tcPr>
            <w:tcW w:w="60" w:type="dxa"/>
            <w:tcBorders/>
            <w:shd w:fill="auto" w:val="clear"/>
            <w:tcMar>
              <w:bottom w:w="0" w:type="dxa"/>
            </w:tcMar>
          </w:tcPr>
          <w:p>
            <w:pPr>
              <w:pStyle w:val="TableContents"/>
              <w:spacing w:before="0" w:after="0"/>
              <w:ind w:left="0" w:right="0" w:hanging="0"/>
              <w:jc w:val="center"/>
              <w:rPr/>
            </w:pPr>
            <w:r>
              <w:rPr/>
              <w:t> </w:t>
            </w:r>
          </w:p>
        </w:tc>
        <w:tc>
          <w:tcPr>
            <w:tcW w:w="9333"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Description</w:t>
            </w:r>
          </w:p>
        </w:tc>
      </w:tr>
      <w:tr>
        <w:trPr/>
        <w:tc>
          <w:tcPr>
            <w:tcW w:w="812" w:type="dxa"/>
            <w:tcBorders>
              <w:top w:val="single" w:sz="6" w:space="0" w:color="000000"/>
            </w:tcBorders>
            <w:shd w:fill="auto" w:val="clear"/>
            <w:tcMar>
              <w:top w:w="28" w:type="dxa"/>
              <w:bottom w:w="0" w:type="dxa"/>
            </w:tcMar>
            <w:vAlign w:val="center"/>
          </w:tcPr>
          <w:p>
            <w:pPr>
              <w:pStyle w:val="TableContents"/>
              <w:spacing w:before="0" w:after="0"/>
              <w:ind w:left="0"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top w:val="single" w:sz="6" w:space="0" w:color="000000"/>
            </w:tcBorders>
            <w:shd w:fill="auto" w:val="clear"/>
            <w:tcMar>
              <w:top w:w="28" w:type="dxa"/>
              <w:bottom w:w="0" w:type="dxa"/>
            </w:tcMar>
            <w:vAlign w:val="center"/>
          </w:tcPr>
          <w:p>
            <w:pPr>
              <w:pStyle w:val="TableContents"/>
              <w:spacing w:before="0" w:after="0"/>
              <w:ind w:left="0" w:right="0" w:hanging="0"/>
              <w:rPr/>
            </w:pPr>
            <w:r>
              <w:rPr/>
              <w:t> </w:t>
            </w:r>
          </w:p>
        </w:tc>
      </w:tr>
      <w:tr>
        <w:trPr/>
        <w:tc>
          <w:tcPr>
            <w:tcW w:w="812" w:type="dxa"/>
            <w:tcBorders/>
            <w:shd w:fill="auto"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w:t>
            </w:r>
          </w:p>
        </w:tc>
        <w:tc>
          <w:tcPr>
            <w:tcW w:w="60" w:type="dxa"/>
            <w:tcBorders/>
            <w:shd w:fill="auto"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333" w:type="dxa"/>
            <w:tcBorders/>
            <w:shd w:fill="auto" w:val="clear"/>
            <w:tcMar>
              <w:bottom w:w="0" w:type="dxa"/>
            </w:tcMar>
            <w:vAlign w:val="center"/>
          </w:tcPr>
          <w:p>
            <w:pPr>
              <w:pStyle w:val="TableContents"/>
              <w:spacing w:before="0" w:after="0"/>
              <w:ind w:left="0" w:right="0" w:hanging="0"/>
              <w:rPr/>
            </w:pPr>
            <w:hyperlink r:id="rId2">
              <w:r>
                <w:rPr>
                  <w:rStyle w:val="InternetLink"/>
                  <w:rFonts w:ascii="Times New Roman" w:hAnsi="Times New Roman"/>
                  <w:b w:val="false"/>
                  <w:i w:val="false"/>
                  <w:caps w:val="false"/>
                  <w:smallCaps w:val="false"/>
                  <w:sz w:val="20"/>
                  <w:u w:val="single"/>
                </w:rPr>
                <w:t>Restated Certificate of Incorporation of the Registrant, as amended (incorporated by reference to Exhibit 3.1 of the Registrant’s Quarterly Report on Form 10-Q filed August 9, 2012).</w:t>
              </w:r>
            </w:hyperlink>
          </w:p>
        </w:tc>
      </w:tr>
      <w:tr>
        <w:trPr/>
        <w:tc>
          <w:tcPr>
            <w:tcW w:w="812" w:type="dxa"/>
            <w:tcBorders/>
            <w:shd w:fill="auto"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333" w:type="dxa"/>
            <w:tcBorders/>
            <w:shd w:fill="auto"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2" w:type="dxa"/>
            <w:tcBorders/>
            <w:shd w:fill="auto"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w:t>
            </w:r>
          </w:p>
        </w:tc>
        <w:tc>
          <w:tcPr>
            <w:tcW w:w="60" w:type="dxa"/>
            <w:tcBorders/>
            <w:shd w:fill="auto"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333" w:type="dxa"/>
            <w:tcBorders/>
            <w:shd w:fill="auto" w:val="clear"/>
            <w:tcMar>
              <w:bottom w:w="0" w:type="dxa"/>
            </w:tcMar>
            <w:vAlign w:val="center"/>
          </w:tcPr>
          <w:p>
            <w:pPr>
              <w:pStyle w:val="TableContents"/>
              <w:spacing w:before="0" w:after="0"/>
              <w:ind w:left="0" w:right="0" w:hanging="0"/>
              <w:rPr/>
            </w:pPr>
            <w:hyperlink r:id="rId3">
              <w:r>
                <w:rPr>
                  <w:rStyle w:val="InternetLink"/>
                  <w:rFonts w:ascii="Times New Roman" w:hAnsi="Times New Roman"/>
                  <w:b w:val="false"/>
                  <w:i w:val="false"/>
                  <w:caps w:val="false"/>
                  <w:smallCaps w:val="false"/>
                  <w:sz w:val="20"/>
                  <w:u w:val="single"/>
                </w:rPr>
                <w:t>Amended and Restated Bylaws of the Registrant (incorporated by reference to Exhibit 3.1 of the Registrant’s Current Report on Form 8-K filed April 25, 2019).</w:t>
              </w:r>
            </w:hyperlink>
          </w:p>
        </w:tc>
      </w:tr>
      <w:tr>
        <w:trPr/>
        <w:tc>
          <w:tcPr>
            <w:tcW w:w="812"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vAlign w:val="center"/>
          </w:tcPr>
          <w:p>
            <w:pPr>
              <w:pStyle w:val="TableContents"/>
              <w:spacing w:before="0" w:after="0"/>
              <w:ind w:left="0" w:right="0" w:hanging="0"/>
              <w:rPr/>
            </w:pPr>
            <w:r>
              <w:rPr/>
              <w:t> </w:t>
            </w:r>
          </w:p>
        </w:tc>
      </w:tr>
      <w:tr>
        <w:trPr/>
        <w:tc>
          <w:tcPr>
            <w:tcW w:w="812" w:type="dxa"/>
            <w:tcBorders/>
            <w:shd w:fill="auto"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w:t>
            </w:r>
          </w:p>
        </w:tc>
        <w:tc>
          <w:tcPr>
            <w:tcW w:w="60" w:type="dxa"/>
            <w:tcBorders/>
            <w:shd w:fill="auto"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333" w:type="dxa"/>
            <w:tcBorders/>
            <w:shd w:fill="auto" w:val="clear"/>
            <w:tcMar>
              <w:bottom w:w="0" w:type="dxa"/>
            </w:tcMar>
            <w:vAlign w:val="center"/>
          </w:tcPr>
          <w:p>
            <w:pPr>
              <w:pStyle w:val="TableContents"/>
              <w:spacing w:before="0" w:after="0"/>
              <w:ind w:left="0" w:right="0" w:hanging="0"/>
              <w:rPr/>
            </w:pPr>
            <w:hyperlink r:id="rId4">
              <w:r>
                <w:rPr>
                  <w:rStyle w:val="InternetLink"/>
                  <w:rFonts w:ascii="Times New Roman" w:hAnsi="Times New Roman"/>
                  <w:b w:val="false"/>
                  <w:i w:val="false"/>
                  <w:caps w:val="false"/>
                  <w:smallCaps w:val="false"/>
                  <w:sz w:val="20"/>
                  <w:u w:val="single"/>
                </w:rPr>
                <w:t>Lease, dated July 20, 2021, by and between the Company and The Irvine Company, LLC (incorporated by reference to Exhibit 99.1 of the Registrant’s Current Report on Form 8-K filed July 23, 2021.</w:t>
              </w:r>
            </w:hyperlink>
          </w:p>
        </w:tc>
      </w:tr>
      <w:tr>
        <w:trPr/>
        <w:tc>
          <w:tcPr>
            <w:tcW w:w="812"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vAlign w:val="center"/>
          </w:tcPr>
          <w:p>
            <w:pPr>
              <w:pStyle w:val="TableContents"/>
              <w:spacing w:before="0" w:after="0"/>
              <w:ind w:left="0" w:right="0" w:hanging="0"/>
              <w:rPr/>
            </w:pPr>
            <w:r>
              <w:rPr/>
              <w:t> </w:t>
            </w:r>
          </w:p>
        </w:tc>
      </w:tr>
      <w:tr>
        <w:trPr/>
        <w:tc>
          <w:tcPr>
            <w:tcW w:w="812"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vAlign w:val="center"/>
          </w:tcPr>
          <w:p>
            <w:pPr>
              <w:pStyle w:val="TableContents"/>
              <w:spacing w:before="0" w:after="0"/>
              <w:ind w:left="0" w:right="0" w:hanging="0"/>
              <w:rPr/>
            </w:pPr>
            <w:r>
              <w:rPr/>
              <w:t> </w:t>
            </w:r>
          </w:p>
        </w:tc>
      </w:tr>
      <w:tr>
        <w:trPr/>
        <w:tc>
          <w:tcPr>
            <w:tcW w:w="812" w:type="dxa"/>
            <w:tcBorders/>
            <w:shd w:fill="auto" w:val="clear"/>
            <w:tcMar>
              <w:bottom w:w="0" w:type="dxa"/>
            </w:tcMar>
            <w:vAlign w:val="center"/>
          </w:tcPr>
          <w:p>
            <w:pPr>
              <w:pStyle w:val="TableContents"/>
              <w:spacing w:lineRule="auto" w:line="288"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31.1(1)</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vAlign w:val="center"/>
          </w:tcPr>
          <w:p>
            <w:pPr>
              <w:pStyle w:val="TableContents"/>
              <w:spacing w:before="0" w:after="0"/>
              <w:ind w:left="0" w:right="0" w:hanging="0"/>
              <w:rPr/>
            </w:pPr>
            <w:hyperlink w:anchor="mnov-ex311_9.htm">
              <w:r>
                <w:rPr>
                  <w:rStyle w:val="InternetLink"/>
                  <w:rFonts w:ascii="Times New Roman" w:hAnsi="Times New Roman"/>
                  <w:b w:val="false"/>
                  <w:i w:val="false"/>
                  <w:caps w:val="false"/>
                  <w:smallCaps w:val="false"/>
                  <w:sz w:val="20"/>
                  <w:u w:val="single"/>
                </w:rPr>
                <w:t xml:space="preserve">Certification of Principal Executive Officer pursuant to Section 302 of the Sarbanes-Oxley Act of 2002. </w:t>
              </w:r>
            </w:hyperlink>
          </w:p>
        </w:tc>
      </w:tr>
      <w:tr>
        <w:trPr/>
        <w:tc>
          <w:tcPr>
            <w:tcW w:w="812"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vAlign w:val="center"/>
          </w:tcPr>
          <w:p>
            <w:pPr>
              <w:pStyle w:val="TableContents"/>
              <w:spacing w:before="0" w:after="0"/>
              <w:ind w:left="0" w:right="0" w:hanging="0"/>
              <w:rPr/>
            </w:pPr>
            <w:r>
              <w:rPr/>
              <w:t> </w:t>
            </w:r>
          </w:p>
        </w:tc>
      </w:tr>
      <w:tr>
        <w:trPr/>
        <w:tc>
          <w:tcPr>
            <w:tcW w:w="812" w:type="dxa"/>
            <w:tcBorders/>
            <w:shd w:fill="auto"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31.2(1)</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tcPr>
          <w:p>
            <w:pPr>
              <w:pStyle w:val="TableContents"/>
              <w:spacing w:before="0" w:after="0"/>
              <w:ind w:left="0" w:right="0" w:hanging="0"/>
              <w:rPr/>
            </w:pPr>
            <w:hyperlink w:anchor="mnov-ex312_8.htm">
              <w:r>
                <w:rPr>
                  <w:rStyle w:val="InternetLink"/>
                  <w:rFonts w:ascii="Times New Roman" w:hAnsi="Times New Roman"/>
                  <w:b w:val="false"/>
                  <w:i w:val="false"/>
                  <w:caps w:val="false"/>
                  <w:smallCaps w:val="false"/>
                  <w:sz w:val="20"/>
                  <w:u w:val="single"/>
                </w:rPr>
                <w:t>Certification of Principal Financial Officer pursuant to Section 302 of the Sarbanes-Oxley Act of 2002.</w:t>
              </w:r>
            </w:hyperlink>
          </w:p>
        </w:tc>
      </w:tr>
      <w:tr>
        <w:trPr/>
        <w:tc>
          <w:tcPr>
            <w:tcW w:w="812"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vAlign w:val="center"/>
          </w:tcPr>
          <w:p>
            <w:pPr>
              <w:pStyle w:val="TableContents"/>
              <w:spacing w:before="0" w:after="0"/>
              <w:ind w:left="0" w:right="0" w:hanging="0"/>
              <w:rPr/>
            </w:pPr>
            <w:r>
              <w:rPr/>
              <w:t> </w:t>
            </w:r>
          </w:p>
        </w:tc>
      </w:tr>
      <w:tr>
        <w:trPr/>
        <w:tc>
          <w:tcPr>
            <w:tcW w:w="812" w:type="dxa"/>
            <w:tcBorders/>
            <w:shd w:fill="auto"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32.1(1)</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tcPr>
          <w:p>
            <w:pPr>
              <w:pStyle w:val="TableContents"/>
              <w:spacing w:before="0" w:after="0"/>
              <w:ind w:left="0" w:right="0" w:hanging="0"/>
              <w:rPr/>
            </w:pPr>
            <w:hyperlink w:anchor="mnov-ex321_6.htm">
              <w:r>
                <w:rPr>
                  <w:rStyle w:val="InternetLink"/>
                  <w:rFonts w:ascii="Times New Roman" w:hAnsi="Times New Roman"/>
                  <w:b w:val="false"/>
                  <w:i w:val="false"/>
                  <w:caps w:val="false"/>
                  <w:smallCaps w:val="false"/>
                  <w:sz w:val="20"/>
                  <w:u w:val="single"/>
                </w:rPr>
                <w:t>Certification of Principal Executive Officer pursuant to 18 U.S.C. Section 1350 (Section 906 of the Sarbanes-Oxley Act of 2002).</w:t>
              </w:r>
            </w:hyperlink>
          </w:p>
        </w:tc>
      </w:tr>
      <w:tr>
        <w:trPr/>
        <w:tc>
          <w:tcPr>
            <w:tcW w:w="812"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vAlign w:val="center"/>
          </w:tcPr>
          <w:p>
            <w:pPr>
              <w:pStyle w:val="TableContents"/>
              <w:spacing w:before="0" w:after="0"/>
              <w:ind w:left="0" w:right="0" w:hanging="0"/>
              <w:rPr/>
            </w:pPr>
            <w:r>
              <w:rPr/>
              <w:t> </w:t>
            </w:r>
          </w:p>
        </w:tc>
      </w:tr>
      <w:tr>
        <w:trPr/>
        <w:tc>
          <w:tcPr>
            <w:tcW w:w="812" w:type="dxa"/>
            <w:tcBorders/>
            <w:shd w:fill="auto"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32.2(1)</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tcPr>
          <w:p>
            <w:pPr>
              <w:pStyle w:val="TableContents"/>
              <w:spacing w:before="0" w:after="0"/>
              <w:ind w:left="0" w:right="0" w:hanging="0"/>
              <w:rPr/>
            </w:pPr>
            <w:hyperlink w:anchor="mnov-ex322_7.htm">
              <w:r>
                <w:rPr>
                  <w:rStyle w:val="InternetLink"/>
                  <w:rFonts w:ascii="Times New Roman" w:hAnsi="Times New Roman"/>
                  <w:b w:val="false"/>
                  <w:i w:val="false"/>
                  <w:caps w:val="false"/>
                  <w:smallCaps w:val="false"/>
                  <w:sz w:val="20"/>
                  <w:u w:val="single"/>
                </w:rPr>
                <w:t>Certification of Principal Financial Officer pursuant to 18 U.S.C. Section 1350 (Section 906 of the Sarbanes-Oxley Act of 2002).</w:t>
              </w:r>
            </w:hyperlink>
          </w:p>
        </w:tc>
      </w:tr>
      <w:tr>
        <w:trPr/>
        <w:tc>
          <w:tcPr>
            <w:tcW w:w="812"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vAlign w:val="center"/>
          </w:tcPr>
          <w:p>
            <w:pPr>
              <w:pStyle w:val="TableContents"/>
              <w:spacing w:before="0" w:after="0"/>
              <w:ind w:left="0" w:right="0" w:hanging="0"/>
              <w:rPr/>
            </w:pPr>
            <w:r>
              <w:rPr/>
              <w:t> </w:t>
            </w:r>
          </w:p>
        </w:tc>
      </w:tr>
      <w:tr>
        <w:trPr/>
        <w:tc>
          <w:tcPr>
            <w:tcW w:w="812" w:type="dxa"/>
            <w:tcBorders/>
            <w:shd w:fill="auto"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101.INS(1)</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Instance Document - The instance document does not appear in the interactive data file because its XBRL tags are embedded within the inline XBRL document.</w:t>
            </w:r>
          </w:p>
        </w:tc>
      </w:tr>
      <w:tr>
        <w:trPr/>
        <w:tc>
          <w:tcPr>
            <w:tcW w:w="812"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vAlign w:val="center"/>
          </w:tcPr>
          <w:p>
            <w:pPr>
              <w:pStyle w:val="TableContents"/>
              <w:spacing w:before="0" w:after="0"/>
              <w:ind w:left="0" w:right="0" w:hanging="0"/>
              <w:rPr/>
            </w:pPr>
            <w:r>
              <w:rPr/>
              <w:t> </w:t>
            </w:r>
          </w:p>
        </w:tc>
      </w:tr>
      <w:tr>
        <w:trPr/>
        <w:tc>
          <w:tcPr>
            <w:tcW w:w="812" w:type="dxa"/>
            <w:tcBorders/>
            <w:shd w:fill="auto"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101.SCH(1)</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Schema Document.</w:t>
            </w:r>
          </w:p>
        </w:tc>
      </w:tr>
      <w:tr>
        <w:trPr/>
        <w:tc>
          <w:tcPr>
            <w:tcW w:w="812"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vAlign w:val="center"/>
          </w:tcPr>
          <w:p>
            <w:pPr>
              <w:pStyle w:val="TableContents"/>
              <w:spacing w:before="0" w:after="0"/>
              <w:ind w:left="0" w:right="0" w:hanging="0"/>
              <w:rPr/>
            </w:pPr>
            <w:r>
              <w:rPr/>
              <w:t> </w:t>
            </w:r>
          </w:p>
        </w:tc>
      </w:tr>
      <w:tr>
        <w:trPr/>
        <w:tc>
          <w:tcPr>
            <w:tcW w:w="812" w:type="dxa"/>
            <w:tcBorders/>
            <w:shd w:fill="auto"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101.CAL(1)</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Calculation Linkbase Document.</w:t>
            </w:r>
          </w:p>
        </w:tc>
      </w:tr>
      <w:tr>
        <w:trPr/>
        <w:tc>
          <w:tcPr>
            <w:tcW w:w="812"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vAlign w:val="center"/>
          </w:tcPr>
          <w:p>
            <w:pPr>
              <w:pStyle w:val="TableContents"/>
              <w:spacing w:before="0" w:after="0"/>
              <w:ind w:left="0" w:right="0" w:hanging="0"/>
              <w:rPr/>
            </w:pPr>
            <w:r>
              <w:rPr/>
              <w:t> </w:t>
            </w:r>
          </w:p>
        </w:tc>
      </w:tr>
      <w:tr>
        <w:trPr/>
        <w:tc>
          <w:tcPr>
            <w:tcW w:w="812" w:type="dxa"/>
            <w:tcBorders/>
            <w:shd w:fill="auto"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101.DEF(1)</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Definition Linkbase Document.</w:t>
            </w:r>
          </w:p>
        </w:tc>
      </w:tr>
      <w:tr>
        <w:trPr/>
        <w:tc>
          <w:tcPr>
            <w:tcW w:w="812"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vAlign w:val="center"/>
          </w:tcPr>
          <w:p>
            <w:pPr>
              <w:pStyle w:val="TableContents"/>
              <w:spacing w:before="0" w:after="0"/>
              <w:ind w:left="0" w:right="0" w:hanging="0"/>
              <w:rPr/>
            </w:pPr>
            <w:r>
              <w:rPr/>
              <w:t> </w:t>
            </w:r>
          </w:p>
        </w:tc>
      </w:tr>
      <w:tr>
        <w:trPr/>
        <w:tc>
          <w:tcPr>
            <w:tcW w:w="812" w:type="dxa"/>
            <w:tcBorders/>
            <w:shd w:fill="auto"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101.LAB(1)</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Label Linkbase Document.</w:t>
            </w:r>
          </w:p>
        </w:tc>
      </w:tr>
      <w:tr>
        <w:trPr/>
        <w:tc>
          <w:tcPr>
            <w:tcW w:w="812"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vAlign w:val="center"/>
          </w:tcPr>
          <w:p>
            <w:pPr>
              <w:pStyle w:val="TableContents"/>
              <w:spacing w:before="0" w:after="0"/>
              <w:ind w:left="0" w:right="0" w:hanging="0"/>
              <w:rPr/>
            </w:pPr>
            <w:r>
              <w:rPr/>
              <w:t> </w:t>
            </w:r>
          </w:p>
        </w:tc>
      </w:tr>
      <w:tr>
        <w:trPr/>
        <w:tc>
          <w:tcPr>
            <w:tcW w:w="812" w:type="dxa"/>
            <w:tcBorders/>
            <w:shd w:fill="auto"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101.PRE(1)</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Presentation Linkbase Document.</w:t>
            </w:r>
          </w:p>
        </w:tc>
      </w:tr>
      <w:tr>
        <w:trPr/>
        <w:tc>
          <w:tcPr>
            <w:tcW w:w="812" w:type="dxa"/>
            <w:tcBorders/>
            <w:shd w:fill="auto" w:val="clear"/>
            <w:tcMar>
              <w:bottom w:w="0" w:type="dxa"/>
            </w:tcMar>
            <w:vAlign w:val="center"/>
          </w:tcPr>
          <w:p>
            <w:pPr>
              <w:pStyle w:val="TableContents"/>
              <w:spacing w:before="0" w:after="0"/>
              <w:ind w:left="0"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vAlign w:val="center"/>
          </w:tcPr>
          <w:p>
            <w:pPr>
              <w:pStyle w:val="TableContents"/>
              <w:spacing w:before="0" w:after="0"/>
              <w:ind w:left="0" w:right="0" w:hanging="0"/>
              <w:rPr/>
            </w:pPr>
            <w:r>
              <w:rPr/>
              <w:t> </w:t>
            </w:r>
          </w:p>
        </w:tc>
      </w:tr>
      <w:tr>
        <w:trPr/>
        <w:tc>
          <w:tcPr>
            <w:tcW w:w="812" w:type="dxa"/>
            <w:tcBorders/>
            <w:shd w:fill="auto"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104(1)</w:t>
            </w:r>
          </w:p>
        </w:tc>
        <w:tc>
          <w:tcPr>
            <w:tcW w:w="60" w:type="dxa"/>
            <w:tcBorders/>
            <w:shd w:fill="auto" w:val="clear"/>
            <w:tcMar>
              <w:bottom w:w="0" w:type="dxa"/>
            </w:tcMar>
          </w:tcPr>
          <w:p>
            <w:pPr>
              <w:pStyle w:val="TableContents"/>
              <w:spacing w:before="0" w:after="0"/>
              <w:ind w:left="0" w:right="0" w:hanging="0"/>
              <w:rPr/>
            </w:pPr>
            <w:r>
              <w:rPr/>
              <w:t> </w:t>
            </w:r>
          </w:p>
        </w:tc>
        <w:tc>
          <w:tcPr>
            <w:tcW w:w="9333"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Cover Page Interactive Data File (formatted as Inline XBRL and contained in Exhibit 101)</w:t>
            </w:r>
          </w:p>
        </w:tc>
      </w:tr>
    </w:tbl>
    <w:p>
      <w:pPr>
        <w:pStyle w:val="TextBody"/>
        <w:spacing w:before="0" w:after="0"/>
        <w:rPr/>
      </w:pPr>
      <w:r>
        <w:rPr/>
        <w:t> </w:t>
      </w:r>
    </w:p>
    <w:tbl>
      <w:tblPr>
        <w:tblW w:w="1435" w:type="dxa"/>
        <w:jc w:val="left"/>
        <w:tblInd w:w="0" w:type="dxa"/>
        <w:tblCellMar>
          <w:top w:w="0" w:type="dxa"/>
          <w:left w:w="0" w:type="dxa"/>
          <w:bottom w:w="0" w:type="dxa"/>
          <w:right w:w="0" w:type="dxa"/>
        </w:tblCellMar>
      </w:tblPr>
      <w:tblGrid>
        <w:gridCol w:w="60"/>
        <w:gridCol w:w="290"/>
        <w:gridCol w:w="108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9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108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Filed Herewith</w:t>
            </w:r>
          </w:p>
        </w:tc>
      </w:tr>
    </w:tbl>
    <w:p>
      <w:pPr>
        <w:pStyle w:val="TextBody"/>
        <w:spacing w:before="0" w:after="0"/>
        <w:rPr/>
      </w:pPr>
      <w:r>
        <w:rPr/>
        <w:t>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18" w:name="SIGNATURES"/>
      <w:bookmarkEnd w:id="18"/>
      <w:r>
        <w:rPr>
          <w:rFonts w:ascii="Times New Roman" w:hAnsi="Times New Roman"/>
          <w:b/>
          <w:i w:val="false"/>
          <w:caps w:val="false"/>
          <w:smallCaps w:val="false"/>
          <w:sz w:val="20"/>
        </w:rPr>
        <w:t>SIGNATURES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rPr/>
      </w:pPr>
      <w:r>
        <w:rPr/>
        <w:t> </w:t>
      </w:r>
    </w:p>
    <w:tbl>
      <w:tblPr>
        <w:tblW w:w="5475" w:type="dxa"/>
        <w:jc w:val="left"/>
        <w:tblInd w:w="0" w:type="dxa"/>
        <w:tblCellMar>
          <w:top w:w="0" w:type="dxa"/>
          <w:left w:w="0" w:type="dxa"/>
          <w:bottom w:w="0" w:type="dxa"/>
          <w:right w:w="0" w:type="dxa"/>
        </w:tblCellMar>
      </w:tblPr>
      <w:tblGrid>
        <w:gridCol w:w="1685"/>
        <w:gridCol w:w="60"/>
        <w:gridCol w:w="320"/>
        <w:gridCol w:w="3410"/>
      </w:tblGrid>
      <w:tr>
        <w:trPr/>
        <w:tc>
          <w:tcPr>
            <w:tcW w:w="168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730" w:type="dxa"/>
            <w:gridSpan w:val="2"/>
            <w:tcBorders/>
            <w:shd w:fill="auto" w:val="clear"/>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MEDICINOVA, INC.</w:t>
            </w:r>
          </w:p>
        </w:tc>
      </w:tr>
      <w:tr>
        <w:trPr/>
        <w:tc>
          <w:tcPr>
            <w:tcW w:w="1685"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320" w:type="dxa"/>
            <w:tcBorders/>
            <w:shd w:fill="auto" w:val="clear"/>
            <w:vAlign w:val="center"/>
          </w:tcPr>
          <w:p>
            <w:pPr>
              <w:pStyle w:val="TableContents"/>
              <w:spacing w:before="0" w:after="0"/>
              <w:ind w:left="0" w:right="0" w:hanging="0"/>
              <w:rPr/>
            </w:pPr>
            <w:r>
              <w:rPr/>
              <w:t> </w:t>
            </w:r>
          </w:p>
        </w:tc>
        <w:tc>
          <w:tcPr>
            <w:tcW w:w="3410" w:type="dxa"/>
            <w:tcBorders/>
            <w:shd w:fill="auto" w:val="clear"/>
            <w:vAlign w:val="center"/>
          </w:tcPr>
          <w:p>
            <w:pPr>
              <w:pStyle w:val="TableContents"/>
              <w:spacing w:before="0" w:after="0"/>
              <w:ind w:left="0" w:right="0" w:hanging="0"/>
              <w:rPr/>
            </w:pPr>
            <w:r>
              <w:rPr/>
              <w:t> </w:t>
            </w:r>
          </w:p>
        </w:tc>
      </w:tr>
      <w:tr>
        <w:trPr/>
        <w:tc>
          <w:tcPr>
            <w:tcW w:w="1685"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  May 12, 2022</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320"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w:t>
            </w:r>
          </w:p>
        </w:tc>
        <w:tc>
          <w:tcPr>
            <w:tcW w:w="3410" w:type="dxa"/>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Y</w:t>
            </w:r>
            <w:r>
              <w:rPr>
                <w:rFonts w:ascii="Times New Roman" w:hAnsi="Times New Roman"/>
                <w:b w:val="false"/>
                <w:i w:val="false"/>
                <w:caps w:val="false"/>
                <w:smallCaps w:val="false"/>
                <w:sz w:val="15"/>
              </w:rPr>
              <w:t>UICHI</w:t>
            </w:r>
            <w:r>
              <w:rPr>
                <w:rFonts w:ascii="Times New Roman" w:hAnsi="Times New Roman"/>
                <w:b w:val="false"/>
                <w:i w:val="false"/>
                <w:caps w:val="false"/>
                <w:smallCaps w:val="false"/>
                <w:sz w:val="20"/>
              </w:rPr>
              <w:t xml:space="preserve"> I</w:t>
            </w:r>
            <w:r>
              <w:rPr>
                <w:rFonts w:ascii="Times New Roman" w:hAnsi="Times New Roman"/>
                <w:b w:val="false"/>
                <w:i w:val="false"/>
                <w:caps w:val="false"/>
                <w:smallCaps w:val="false"/>
                <w:sz w:val="15"/>
              </w:rPr>
              <w:t>WAKI</w:t>
            </w:r>
          </w:p>
        </w:tc>
      </w:tr>
      <w:tr>
        <w:trPr/>
        <w:tc>
          <w:tcPr>
            <w:tcW w:w="168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3410" w:type="dxa"/>
            <w:tcBorders>
              <w:top w:val="single" w:sz="6" w:space="0" w:color="000000"/>
            </w:tcBorders>
            <w:shd w:fill="auto" w:val="clear"/>
            <w:tcMar>
              <w:top w:w="28" w:type="dxa"/>
            </w:tcM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Yuichi Iwaki, M.D., Ph.D.</w:t>
            </w:r>
          </w:p>
        </w:tc>
      </w:tr>
      <w:tr>
        <w:trPr/>
        <w:tc>
          <w:tcPr>
            <w:tcW w:w="168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341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President and Chief Executive Officer</w:t>
            </w:r>
          </w:p>
        </w:tc>
      </w:tr>
      <w:tr>
        <w:trPr/>
        <w:tc>
          <w:tcPr>
            <w:tcW w:w="168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341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(on behalf of the registrant and</w:t>
            </w:r>
          </w:p>
        </w:tc>
      </w:tr>
      <w:tr>
        <w:trPr/>
        <w:tc>
          <w:tcPr>
            <w:tcW w:w="168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341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as the registrant’s Principal Executive Officer)</w:t>
            </w:r>
          </w:p>
        </w:tc>
      </w:tr>
      <w:tr>
        <w:trPr/>
        <w:tc>
          <w:tcPr>
            <w:tcW w:w="168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3410" w:type="dxa"/>
            <w:tcBorders/>
            <w:shd w:fill="auto" w:val="clear"/>
            <w:vAlign w:val="center"/>
          </w:tcPr>
          <w:p>
            <w:pPr>
              <w:pStyle w:val="TableContents"/>
              <w:spacing w:before="0" w:after="0"/>
              <w:ind w:left="0" w:right="0" w:hanging="0"/>
              <w:rPr/>
            </w:pPr>
            <w:r>
              <w:rPr/>
              <w:t> </w:t>
            </w:r>
          </w:p>
        </w:tc>
      </w:tr>
      <w:tr>
        <w:trPr/>
        <w:tc>
          <w:tcPr>
            <w:tcW w:w="1685"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320"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w:t>
            </w:r>
          </w:p>
        </w:tc>
        <w:tc>
          <w:tcPr>
            <w:tcW w:w="3410" w:type="dxa"/>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D</w:t>
            </w:r>
            <w:r>
              <w:rPr>
                <w:rFonts w:ascii="Times New Roman" w:hAnsi="Times New Roman"/>
                <w:b w:val="false"/>
                <w:i w:val="false"/>
                <w:caps w:val="false"/>
                <w:smallCaps w:val="false"/>
                <w:sz w:val="15"/>
              </w:rPr>
              <w:t xml:space="preserve">OUGLAS </w:t>
            </w:r>
            <w:r>
              <w:rPr>
                <w:rFonts w:ascii="Times New Roman" w:hAnsi="Times New Roman"/>
                <w:b w:val="false"/>
                <w:i w:val="false"/>
                <w:caps w:val="false"/>
                <w:smallCaps w:val="false"/>
                <w:sz w:val="20"/>
              </w:rPr>
              <w:t>P</w:t>
            </w:r>
            <w:r>
              <w:rPr>
                <w:rFonts w:ascii="Times New Roman" w:hAnsi="Times New Roman"/>
                <w:b w:val="false"/>
                <w:i w:val="false"/>
                <w:caps w:val="false"/>
                <w:smallCaps w:val="false"/>
                <w:sz w:val="15"/>
              </w:rPr>
              <w:t>AULIN</w:t>
            </w:r>
          </w:p>
        </w:tc>
      </w:tr>
      <w:tr>
        <w:trPr/>
        <w:tc>
          <w:tcPr>
            <w:tcW w:w="168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3410" w:type="dxa"/>
            <w:tcBorders>
              <w:top w:val="single" w:sz="6" w:space="0" w:color="000000"/>
            </w:tcBorders>
            <w:shd w:fill="auto" w:val="clear"/>
            <w:tcMar>
              <w:top w:w="28" w:type="dxa"/>
            </w:tcM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Douglas Paulin</w:t>
            </w:r>
          </w:p>
        </w:tc>
      </w:tr>
      <w:tr>
        <w:trPr/>
        <w:tc>
          <w:tcPr>
            <w:tcW w:w="168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341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Chief Financial Officer</w:t>
            </w:r>
          </w:p>
        </w:tc>
      </w:tr>
      <w:tr>
        <w:trPr/>
        <w:tc>
          <w:tcPr>
            <w:tcW w:w="168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341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(on behalf of the registrant and</w:t>
            </w:r>
          </w:p>
        </w:tc>
      </w:tr>
      <w:tr>
        <w:trPr/>
        <w:tc>
          <w:tcPr>
            <w:tcW w:w="168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341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as the registrant’s Principal Financial Officer)</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r>
        <w:br w:type="page"/>
      </w:r>
    </w:p>
    <w:p>
      <w:pPr>
        <w:pStyle w:val="TextBody"/>
        <w:spacing w:before="0" w:after="0"/>
        <w:jc w:val="right"/>
        <w:rPr>
          <w:rFonts w:ascii="Times New Roman" w:hAnsi="Times New Roman"/>
          <w:b/>
          <w:i w:val="false"/>
          <w:caps w:val="false"/>
          <w:smallCaps w:val="false"/>
          <w:sz w:val="20"/>
        </w:rPr>
      </w:pPr>
      <w:bookmarkStart w:id="19" w:name="mnov-ex311_9.htm"/>
      <w:bookmarkStart w:id="20" w:name="ksmnovex311_9"/>
      <w:bookmarkEnd w:id="19"/>
      <w:bookmarkEnd w:id="20"/>
      <w:r>
        <w:rPr>
          <w:rFonts w:ascii="Times New Roman" w:hAnsi="Times New Roman"/>
          <w:b/>
          <w:i w:val="false"/>
          <w:caps w:val="false"/>
          <w:smallCaps w:val="false"/>
          <w:sz w:val="20"/>
        </w:rPr>
        <w:t>Exhibit 31.1</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MEDICINOVA, INC.</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Certification of the Principal Executive Officer Pursuant to</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Section 302 of the Sarbanes-Oxley Act of 2002 for the Period Ended March 31, 2022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Yuichi Iwaki, certify that: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 I have reviewed this Quarterly Report on Form 10-Q for the period ended March 31, 2022 of MediciNova, Inc.;</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spacing w:before="0" w:after="0"/>
        <w:rPr/>
      </w:pPr>
      <w:r>
        <w:rPr/>
        <w:t> </w:t>
      </w:r>
    </w:p>
    <w:tbl>
      <w:tblPr>
        <w:tblW w:w="3145" w:type="dxa"/>
        <w:jc w:val="right"/>
        <w:tblInd w:w="0" w:type="dxa"/>
        <w:tblCellMar>
          <w:top w:w="0" w:type="dxa"/>
          <w:left w:w="0" w:type="dxa"/>
          <w:bottom w:w="0" w:type="dxa"/>
          <w:right w:w="0" w:type="dxa"/>
        </w:tblCellMar>
      </w:tblPr>
      <w:tblGrid>
        <w:gridCol w:w="320"/>
        <w:gridCol w:w="60"/>
        <w:gridCol w:w="2765"/>
      </w:tblGrid>
      <w:tr>
        <w:trPr/>
        <w:tc>
          <w:tcPr>
            <w:tcW w:w="3145" w:type="dxa"/>
            <w:gridSpan w:val="3"/>
            <w:tcBorders/>
            <w:shd w:fill="auto" w:val="clear"/>
          </w:tcPr>
          <w:p>
            <w:pPr>
              <w:pStyle w:val="TableContents"/>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 May 12, 2022</w:t>
            </w:r>
          </w:p>
        </w:tc>
      </w:tr>
      <w:tr>
        <w:trPr/>
        <w:tc>
          <w:tcPr>
            <w:tcW w:w="320" w:type="dxa"/>
            <w:tcBorders/>
            <w:shd w:fill="auto" w:val="clear"/>
            <w:vAlign w:val="center"/>
          </w:tcPr>
          <w:p>
            <w:pPr>
              <w:pStyle w:val="TableContents"/>
              <w:spacing w:before="0" w:after="0"/>
              <w:ind w:left="0" w:right="0" w:hanging="0"/>
              <w:jc w:val="left"/>
              <w:rPr/>
            </w:pPr>
            <w:r>
              <w:rPr/>
              <w:t> </w:t>
            </w:r>
          </w:p>
        </w:tc>
        <w:tc>
          <w:tcPr>
            <w:tcW w:w="60" w:type="dxa"/>
            <w:tcBorders/>
            <w:shd w:fill="auto" w:val="clear"/>
          </w:tcPr>
          <w:p>
            <w:pPr>
              <w:pStyle w:val="TableContents"/>
              <w:spacing w:before="0" w:after="0"/>
              <w:ind w:left="0" w:right="0" w:hanging="0"/>
              <w:jc w:val="left"/>
              <w:rPr/>
            </w:pPr>
            <w:r>
              <w:rPr/>
              <w:t> </w:t>
            </w:r>
          </w:p>
        </w:tc>
        <w:tc>
          <w:tcPr>
            <w:tcW w:w="2765" w:type="dxa"/>
            <w:tcBorders/>
            <w:shd w:fill="auto" w:val="clear"/>
            <w:vAlign w:val="center"/>
          </w:tcPr>
          <w:p>
            <w:pPr>
              <w:pStyle w:val="TableContents"/>
              <w:spacing w:before="0" w:after="0"/>
              <w:ind w:left="0" w:right="0" w:hanging="0"/>
              <w:jc w:val="left"/>
              <w:rPr/>
            </w:pPr>
            <w:r>
              <w:rPr/>
              <w:t> </w:t>
            </w:r>
          </w:p>
        </w:tc>
      </w:tr>
      <w:tr>
        <w:trPr/>
        <w:tc>
          <w:tcPr>
            <w:tcW w:w="320" w:type="dxa"/>
            <w:tcBorders>
              <w:bottom w:val="single" w:sz="6" w:space="0" w:color="000000"/>
            </w:tcBorders>
            <w:shd w:fill="auto" w:val="clear"/>
            <w:tcMar>
              <w:bottom w:w="28" w:type="dxa"/>
            </w:tcMar>
          </w:tcPr>
          <w:p>
            <w:pPr>
              <w:pStyle w:val="TableContents"/>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w:t>
            </w:r>
          </w:p>
        </w:tc>
        <w:tc>
          <w:tcPr>
            <w:tcW w:w="60" w:type="dxa"/>
            <w:tcBorders>
              <w:bottom w:val="single" w:sz="6" w:space="0" w:color="000000"/>
            </w:tcBorders>
            <w:shd w:fill="auto" w:val="clear"/>
            <w:tcMar>
              <w:bottom w:w="28" w:type="dxa"/>
            </w:tcMar>
          </w:tcPr>
          <w:p>
            <w:pPr>
              <w:pStyle w:val="TableContents"/>
              <w:spacing w:before="0" w:after="0"/>
              <w:ind w:left="0" w:right="0" w:hanging="0"/>
              <w:jc w:val="left"/>
              <w:rPr/>
            </w:pPr>
            <w:r>
              <w:rPr/>
              <w:t> </w:t>
            </w:r>
          </w:p>
        </w:tc>
        <w:tc>
          <w:tcPr>
            <w:tcW w:w="2765" w:type="dxa"/>
            <w:tcBorders>
              <w:bottom w:val="single" w:sz="6" w:space="0" w:color="000000"/>
            </w:tcBorders>
            <w:shd w:fill="auto" w:val="clear"/>
            <w:tcMar>
              <w:bottom w:w="28" w:type="dxa"/>
            </w:tcMar>
          </w:tcPr>
          <w:p>
            <w:pPr>
              <w:pStyle w:val="TableContents"/>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Y</w:t>
            </w:r>
            <w:r>
              <w:rPr>
                <w:rFonts w:ascii="Times New Roman" w:hAnsi="Times New Roman"/>
                <w:b w:val="false"/>
                <w:i w:val="false"/>
                <w:caps w:val="false"/>
                <w:smallCaps w:val="false"/>
                <w:sz w:val="15"/>
              </w:rPr>
              <w:t>UICHI</w:t>
            </w:r>
            <w:r>
              <w:rPr>
                <w:rFonts w:ascii="Times New Roman" w:hAnsi="Times New Roman"/>
                <w:b w:val="false"/>
                <w:i w:val="false"/>
                <w:caps w:val="false"/>
                <w:smallCaps w:val="false"/>
                <w:sz w:val="20"/>
              </w:rPr>
              <w:t xml:space="preserve"> I</w:t>
            </w:r>
            <w:r>
              <w:rPr>
                <w:rFonts w:ascii="Times New Roman" w:hAnsi="Times New Roman"/>
                <w:b w:val="false"/>
                <w:i w:val="false"/>
                <w:caps w:val="false"/>
                <w:smallCaps w:val="false"/>
                <w:sz w:val="15"/>
              </w:rPr>
              <w:t>WAKI</w:t>
            </w:r>
          </w:p>
        </w:tc>
      </w:tr>
      <w:tr>
        <w:trPr/>
        <w:tc>
          <w:tcPr>
            <w:tcW w:w="320" w:type="dxa"/>
            <w:tcBorders/>
            <w:shd w:fill="auto" w:val="clear"/>
          </w:tcPr>
          <w:p>
            <w:pPr>
              <w:pStyle w:val="TableContents"/>
              <w:spacing w:before="0" w:after="0"/>
              <w:ind w:left="0" w:right="0" w:hanging="0"/>
              <w:jc w:val="left"/>
              <w:rPr/>
            </w:pPr>
            <w:r>
              <w:rPr/>
              <w:t> </w:t>
            </w:r>
          </w:p>
        </w:tc>
        <w:tc>
          <w:tcPr>
            <w:tcW w:w="60" w:type="dxa"/>
            <w:tcBorders/>
            <w:shd w:fill="auto" w:val="clear"/>
          </w:tcPr>
          <w:p>
            <w:pPr>
              <w:pStyle w:val="TableContents"/>
              <w:spacing w:before="0" w:after="0"/>
              <w:ind w:left="0" w:right="0" w:hanging="0"/>
              <w:jc w:val="left"/>
              <w:rPr/>
            </w:pPr>
            <w:r>
              <w:rPr/>
              <w:t> </w:t>
            </w:r>
          </w:p>
        </w:tc>
        <w:tc>
          <w:tcPr>
            <w:tcW w:w="2765" w:type="dxa"/>
            <w:tcBorders/>
            <w:shd w:fill="auto" w:val="clear"/>
          </w:tcPr>
          <w:p>
            <w:pPr>
              <w:pStyle w:val="TableContents"/>
              <w:spacing w:before="0" w:after="0"/>
              <w:ind w:left="0" w:right="0" w:hanging="0"/>
              <w:jc w:val="left"/>
              <w:rPr>
                <w:rFonts w:ascii="Times New Roman" w:hAnsi="Times New Roman"/>
                <w:b/>
                <w:i w:val="false"/>
                <w:caps w:val="false"/>
                <w:smallCaps w:val="false"/>
                <w:sz w:val="16"/>
              </w:rPr>
            </w:pPr>
            <w:r>
              <w:rPr>
                <w:rFonts w:ascii="Times New Roman" w:hAnsi="Times New Roman"/>
                <w:b/>
                <w:i w:val="false"/>
                <w:caps w:val="false"/>
                <w:smallCaps w:val="false"/>
                <w:sz w:val="16"/>
              </w:rPr>
              <w:t>Yuichi Iwaki, M.D., Ph.D.</w:t>
            </w:r>
          </w:p>
        </w:tc>
      </w:tr>
      <w:tr>
        <w:trPr/>
        <w:tc>
          <w:tcPr>
            <w:tcW w:w="320" w:type="dxa"/>
            <w:tcBorders/>
            <w:shd w:fill="auto" w:val="clear"/>
          </w:tcPr>
          <w:p>
            <w:pPr>
              <w:pStyle w:val="TableContents"/>
              <w:spacing w:before="0" w:after="0"/>
              <w:ind w:left="0" w:right="0" w:hanging="0"/>
              <w:jc w:val="left"/>
              <w:rPr/>
            </w:pPr>
            <w:r>
              <w:rPr/>
              <w:t> </w:t>
            </w:r>
          </w:p>
        </w:tc>
        <w:tc>
          <w:tcPr>
            <w:tcW w:w="60" w:type="dxa"/>
            <w:tcBorders/>
            <w:shd w:fill="auto" w:val="clear"/>
          </w:tcPr>
          <w:p>
            <w:pPr>
              <w:pStyle w:val="TableContents"/>
              <w:spacing w:before="0" w:after="0"/>
              <w:ind w:left="0" w:right="0" w:hanging="0"/>
              <w:jc w:val="left"/>
              <w:rPr/>
            </w:pPr>
            <w:r>
              <w:rPr/>
              <w:t> </w:t>
            </w:r>
          </w:p>
        </w:tc>
        <w:tc>
          <w:tcPr>
            <w:tcW w:w="2765" w:type="dxa"/>
            <w:tcBorders/>
            <w:shd w:fill="auto" w:val="clear"/>
          </w:tcPr>
          <w:p>
            <w:pPr>
              <w:pStyle w:val="TableContents"/>
              <w:spacing w:before="0" w:after="0"/>
              <w:ind w:left="0" w:right="0" w:hanging="0"/>
              <w:jc w:val="left"/>
              <w:rPr>
                <w:rFonts w:ascii="Times New Roman" w:hAnsi="Times New Roman"/>
                <w:b/>
                <w:i w:val="false"/>
                <w:caps w:val="false"/>
                <w:smallCaps w:val="false"/>
                <w:sz w:val="16"/>
              </w:rPr>
            </w:pPr>
            <w:r>
              <w:rPr>
                <w:rFonts w:ascii="Times New Roman" w:hAnsi="Times New Roman"/>
                <w:b/>
                <w:i w:val="false"/>
                <w:caps w:val="false"/>
                <w:smallCaps w:val="false"/>
                <w:sz w:val="16"/>
              </w:rPr>
              <w:t>President and Chief Executive Officer</w:t>
            </w:r>
          </w:p>
        </w:tc>
      </w:tr>
      <w:tr>
        <w:trPr/>
        <w:tc>
          <w:tcPr>
            <w:tcW w:w="320" w:type="dxa"/>
            <w:tcBorders/>
            <w:shd w:fill="auto" w:val="clear"/>
          </w:tcPr>
          <w:p>
            <w:pPr>
              <w:pStyle w:val="TableContents"/>
              <w:spacing w:before="0" w:after="0"/>
              <w:ind w:left="0" w:right="0" w:hanging="0"/>
              <w:jc w:val="left"/>
              <w:rPr/>
            </w:pPr>
            <w:r>
              <w:rPr/>
              <w:t> </w:t>
            </w:r>
          </w:p>
        </w:tc>
        <w:tc>
          <w:tcPr>
            <w:tcW w:w="60" w:type="dxa"/>
            <w:tcBorders/>
            <w:shd w:fill="auto" w:val="clear"/>
          </w:tcPr>
          <w:p>
            <w:pPr>
              <w:pStyle w:val="TableContents"/>
              <w:spacing w:before="0" w:after="0"/>
              <w:ind w:left="0" w:right="0" w:hanging="0"/>
              <w:jc w:val="left"/>
              <w:rPr/>
            </w:pPr>
            <w:r>
              <w:rPr/>
              <w:t> </w:t>
            </w:r>
          </w:p>
        </w:tc>
        <w:tc>
          <w:tcPr>
            <w:tcW w:w="2765" w:type="dxa"/>
            <w:tcBorders/>
            <w:shd w:fill="auto" w:val="clear"/>
          </w:tcPr>
          <w:p>
            <w:pPr>
              <w:pStyle w:val="TableContents"/>
              <w:spacing w:before="0" w:after="0"/>
              <w:ind w:left="0" w:right="0" w:hanging="0"/>
              <w:jc w:val="left"/>
              <w:rPr>
                <w:rFonts w:ascii="Times New Roman" w:hAnsi="Times New Roman"/>
                <w:b/>
                <w:i w:val="false"/>
                <w:caps w:val="false"/>
                <w:smallCaps w:val="false"/>
                <w:sz w:val="16"/>
              </w:rPr>
            </w:pPr>
            <w:r>
              <w:rPr>
                <w:rFonts w:ascii="Times New Roman" w:hAnsi="Times New Roman"/>
                <w:b/>
                <w:i w:val="false"/>
                <w:caps w:val="false"/>
                <w:smallCaps w:val="false"/>
                <w:sz w:val="16"/>
              </w:rPr>
              <w:t>(Principal Executive Officer)</w:t>
            </w:r>
          </w:p>
        </w:tc>
      </w:tr>
    </w:tbl>
    <w:p>
      <w:pPr>
        <w:pStyle w:val="TextBody"/>
        <w:spacing w:before="0" w:after="0"/>
        <w:rPr/>
      </w:pPr>
      <w:r>
        <w:rPr/>
        <w:t> </w:t>
      </w:r>
      <w:r>
        <w:br w:type="page"/>
      </w:r>
    </w:p>
    <w:p>
      <w:pPr>
        <w:pStyle w:val="TextBody"/>
        <w:spacing w:before="0" w:after="0"/>
        <w:jc w:val="right"/>
        <w:rPr>
          <w:rFonts w:ascii="Times New Roman" w:hAnsi="Times New Roman"/>
          <w:b/>
          <w:i w:val="false"/>
          <w:caps w:val="false"/>
          <w:smallCaps w:val="false"/>
          <w:sz w:val="20"/>
        </w:rPr>
      </w:pPr>
      <w:bookmarkStart w:id="21" w:name="mnov-ex312_8.htm"/>
      <w:bookmarkStart w:id="22" w:name="ksmnovex312_8"/>
      <w:bookmarkEnd w:id="21"/>
      <w:bookmarkEnd w:id="22"/>
      <w:r>
        <w:rPr>
          <w:rFonts w:ascii="Times New Roman" w:hAnsi="Times New Roman"/>
          <w:b/>
          <w:i w:val="false"/>
          <w:caps w:val="false"/>
          <w:smallCaps w:val="false"/>
          <w:sz w:val="20"/>
        </w:rPr>
        <w:t>Exhibit 31.2</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MEDICINOVA, INC.</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Certification of the Principal Financial Officer Pursuant to</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Section 302 of the Sarbanes-Oxley Act of 2002 for the Period Ended March 31, 2022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Douglas Paulin, certify that: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 I have reviewed this Quarterly Report on Form 10-Q for the period ended March 31, 2022 of MediciNova, Inc.;</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spacing w:before="0" w:after="0"/>
        <w:rPr/>
      </w:pPr>
      <w:r>
        <w:rPr/>
        <w:t> </w:t>
      </w:r>
    </w:p>
    <w:tbl>
      <w:tblPr>
        <w:tblW w:w="2470" w:type="dxa"/>
        <w:jc w:val="right"/>
        <w:tblInd w:w="0" w:type="dxa"/>
        <w:tblCellMar>
          <w:top w:w="0" w:type="dxa"/>
          <w:left w:w="0" w:type="dxa"/>
          <w:bottom w:w="0" w:type="dxa"/>
          <w:right w:w="0" w:type="dxa"/>
        </w:tblCellMar>
      </w:tblPr>
      <w:tblGrid>
        <w:gridCol w:w="320"/>
        <w:gridCol w:w="60"/>
        <w:gridCol w:w="2090"/>
      </w:tblGrid>
      <w:tr>
        <w:trPr/>
        <w:tc>
          <w:tcPr>
            <w:tcW w:w="2470" w:type="dxa"/>
            <w:gridSpan w:val="3"/>
            <w:tcBorders/>
            <w:shd w:fill="auto" w:val="clear"/>
          </w:tcPr>
          <w:p>
            <w:pPr>
              <w:pStyle w:val="TableContents"/>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Date: May 12, 2022 </w:t>
            </w:r>
          </w:p>
        </w:tc>
      </w:tr>
      <w:tr>
        <w:trPr/>
        <w:tc>
          <w:tcPr>
            <w:tcW w:w="320" w:type="dxa"/>
            <w:tcBorders/>
            <w:shd w:fill="auto" w:val="clear"/>
            <w:vAlign w:val="center"/>
          </w:tcPr>
          <w:p>
            <w:pPr>
              <w:pStyle w:val="TableContents"/>
              <w:spacing w:before="0" w:after="0"/>
              <w:ind w:left="0" w:right="0" w:hanging="0"/>
              <w:jc w:val="left"/>
              <w:rPr/>
            </w:pPr>
            <w:r>
              <w:rPr/>
              <w:t> </w:t>
            </w:r>
          </w:p>
        </w:tc>
        <w:tc>
          <w:tcPr>
            <w:tcW w:w="60" w:type="dxa"/>
            <w:tcBorders/>
            <w:shd w:fill="auto" w:val="clear"/>
          </w:tcPr>
          <w:p>
            <w:pPr>
              <w:pStyle w:val="TableContents"/>
              <w:spacing w:before="0" w:after="0"/>
              <w:ind w:left="0" w:right="0" w:hanging="0"/>
              <w:jc w:val="left"/>
              <w:rPr/>
            </w:pPr>
            <w:r>
              <w:rPr/>
              <w:t> </w:t>
            </w:r>
          </w:p>
        </w:tc>
        <w:tc>
          <w:tcPr>
            <w:tcW w:w="2090" w:type="dxa"/>
            <w:tcBorders/>
            <w:shd w:fill="auto" w:val="clear"/>
            <w:vAlign w:val="center"/>
          </w:tcPr>
          <w:p>
            <w:pPr>
              <w:pStyle w:val="TableContents"/>
              <w:spacing w:before="0" w:after="0"/>
              <w:ind w:left="0" w:right="0" w:hanging="0"/>
              <w:jc w:val="left"/>
              <w:rPr/>
            </w:pPr>
            <w:r>
              <w:rPr/>
              <w:t> </w:t>
            </w:r>
          </w:p>
        </w:tc>
      </w:tr>
      <w:tr>
        <w:trPr/>
        <w:tc>
          <w:tcPr>
            <w:tcW w:w="320" w:type="dxa"/>
            <w:tcBorders>
              <w:bottom w:val="single" w:sz="6" w:space="0" w:color="000000"/>
            </w:tcBorders>
            <w:shd w:fill="auto" w:val="clear"/>
            <w:tcMar>
              <w:bottom w:w="28" w:type="dxa"/>
            </w:tcMar>
          </w:tcPr>
          <w:p>
            <w:pPr>
              <w:pStyle w:val="TableContents"/>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w:t>
            </w:r>
          </w:p>
        </w:tc>
        <w:tc>
          <w:tcPr>
            <w:tcW w:w="60"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2090" w:type="dxa"/>
            <w:tcBorders>
              <w:bottom w:val="single" w:sz="6" w:space="0" w:color="000000"/>
            </w:tcBorders>
            <w:shd w:fill="auto" w:val="clear"/>
            <w:tcMar>
              <w:bottom w:w="28" w:type="dxa"/>
            </w:tcMar>
          </w:tcPr>
          <w:p>
            <w:pPr>
              <w:pStyle w:val="TableContents"/>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D</w:t>
            </w:r>
            <w:r>
              <w:rPr>
                <w:rFonts w:ascii="Times New Roman" w:hAnsi="Times New Roman"/>
                <w:b w:val="false"/>
                <w:i w:val="false"/>
                <w:caps w:val="false"/>
                <w:smallCaps w:val="false"/>
                <w:sz w:val="15"/>
              </w:rPr>
              <w:t>OUGLAS</w:t>
            </w:r>
            <w:r>
              <w:rPr>
                <w:rFonts w:ascii="Times New Roman" w:hAnsi="Times New Roman"/>
                <w:b w:val="false"/>
                <w:i w:val="false"/>
                <w:caps w:val="false"/>
                <w:smallCaps w:val="false"/>
                <w:sz w:val="20"/>
              </w:rPr>
              <w:t xml:space="preserve"> P</w:t>
            </w:r>
            <w:r>
              <w:rPr>
                <w:rFonts w:ascii="Times New Roman" w:hAnsi="Times New Roman"/>
                <w:b w:val="false"/>
                <w:i w:val="false"/>
                <w:caps w:val="false"/>
                <w:smallCaps w:val="false"/>
                <w:sz w:val="15"/>
              </w:rPr>
              <w:t>AULIN</w:t>
            </w:r>
          </w:p>
        </w:tc>
      </w:tr>
      <w:tr>
        <w:trPr/>
        <w:tc>
          <w:tcPr>
            <w:tcW w:w="320" w:type="dxa"/>
            <w:tcBorders/>
            <w:shd w:fill="auto" w:val="clear"/>
          </w:tcPr>
          <w:p>
            <w:pPr>
              <w:pStyle w:val="TableContents"/>
              <w:spacing w:before="0" w:after="0"/>
              <w:ind w:left="0" w:right="0" w:hanging="0"/>
              <w:jc w:val="left"/>
              <w:rPr/>
            </w:pPr>
            <w:r>
              <w:rPr/>
              <w:t> </w:t>
            </w:r>
          </w:p>
        </w:tc>
        <w:tc>
          <w:tcPr>
            <w:tcW w:w="60" w:type="dxa"/>
            <w:tcBorders/>
            <w:shd w:fill="auto" w:val="clear"/>
          </w:tcPr>
          <w:p>
            <w:pPr>
              <w:pStyle w:val="TableContents"/>
              <w:spacing w:before="0" w:after="0"/>
              <w:ind w:left="0" w:right="0" w:hanging="0"/>
              <w:jc w:val="center"/>
              <w:rPr/>
            </w:pPr>
            <w:r>
              <w:rPr/>
              <w:t> </w:t>
            </w:r>
          </w:p>
        </w:tc>
        <w:tc>
          <w:tcPr>
            <w:tcW w:w="2090" w:type="dxa"/>
            <w:tcBorders/>
            <w:shd w:fill="auto" w:val="clear"/>
          </w:tcPr>
          <w:p>
            <w:pPr>
              <w:pStyle w:val="TableContents"/>
              <w:spacing w:before="0" w:after="0"/>
              <w:ind w:left="0" w:right="0" w:hanging="0"/>
              <w:jc w:val="left"/>
              <w:rPr>
                <w:rFonts w:ascii="Times New Roman" w:hAnsi="Times New Roman"/>
                <w:b/>
                <w:i w:val="false"/>
                <w:caps w:val="false"/>
                <w:smallCaps w:val="false"/>
                <w:sz w:val="16"/>
              </w:rPr>
            </w:pPr>
            <w:r>
              <w:rPr>
                <w:rFonts w:ascii="Times New Roman" w:hAnsi="Times New Roman"/>
                <w:b/>
                <w:i w:val="false"/>
                <w:caps w:val="false"/>
                <w:smallCaps w:val="false"/>
                <w:sz w:val="16"/>
              </w:rPr>
              <w:t xml:space="preserve">Douglas Paulin </w:t>
            </w:r>
          </w:p>
        </w:tc>
      </w:tr>
      <w:tr>
        <w:trPr/>
        <w:tc>
          <w:tcPr>
            <w:tcW w:w="320" w:type="dxa"/>
            <w:tcBorders/>
            <w:shd w:fill="auto" w:val="clear"/>
          </w:tcPr>
          <w:p>
            <w:pPr>
              <w:pStyle w:val="TableContents"/>
              <w:spacing w:before="0" w:after="0"/>
              <w:ind w:left="0" w:right="0" w:hanging="0"/>
              <w:jc w:val="left"/>
              <w:rPr/>
            </w:pPr>
            <w:r>
              <w:rPr/>
              <w:t> </w:t>
            </w:r>
          </w:p>
        </w:tc>
        <w:tc>
          <w:tcPr>
            <w:tcW w:w="60" w:type="dxa"/>
            <w:tcBorders/>
            <w:shd w:fill="auto" w:val="clear"/>
          </w:tcPr>
          <w:p>
            <w:pPr>
              <w:pStyle w:val="TableContents"/>
              <w:spacing w:before="0" w:after="0"/>
              <w:ind w:left="0" w:right="0" w:hanging="0"/>
              <w:jc w:val="center"/>
              <w:rPr/>
            </w:pPr>
            <w:r>
              <w:rPr/>
              <w:t> </w:t>
            </w:r>
          </w:p>
        </w:tc>
        <w:tc>
          <w:tcPr>
            <w:tcW w:w="2090" w:type="dxa"/>
            <w:tcBorders/>
            <w:shd w:fill="auto" w:val="clear"/>
          </w:tcPr>
          <w:p>
            <w:pPr>
              <w:pStyle w:val="TableContents"/>
              <w:spacing w:before="0" w:after="0"/>
              <w:ind w:left="0" w:right="0" w:hanging="0"/>
              <w:jc w:val="left"/>
              <w:rPr>
                <w:rFonts w:ascii="Times New Roman" w:hAnsi="Times New Roman"/>
                <w:b/>
                <w:i w:val="false"/>
                <w:caps w:val="false"/>
                <w:smallCaps w:val="false"/>
                <w:sz w:val="16"/>
              </w:rPr>
            </w:pPr>
            <w:r>
              <w:rPr>
                <w:rFonts w:ascii="Times New Roman" w:hAnsi="Times New Roman"/>
                <w:b/>
                <w:i w:val="false"/>
                <w:caps w:val="false"/>
                <w:smallCaps w:val="false"/>
                <w:sz w:val="16"/>
              </w:rPr>
              <w:t>Chief Financial Officer</w:t>
            </w:r>
          </w:p>
        </w:tc>
      </w:tr>
      <w:tr>
        <w:trPr/>
        <w:tc>
          <w:tcPr>
            <w:tcW w:w="320" w:type="dxa"/>
            <w:tcBorders/>
            <w:shd w:fill="auto" w:val="clear"/>
          </w:tcPr>
          <w:p>
            <w:pPr>
              <w:pStyle w:val="TableContents"/>
              <w:spacing w:before="0" w:after="0"/>
              <w:ind w:left="0" w:right="0" w:hanging="0"/>
              <w:jc w:val="left"/>
              <w:rPr/>
            </w:pPr>
            <w:r>
              <w:rPr/>
              <w:t> </w:t>
            </w:r>
          </w:p>
        </w:tc>
        <w:tc>
          <w:tcPr>
            <w:tcW w:w="60" w:type="dxa"/>
            <w:tcBorders/>
            <w:shd w:fill="auto" w:val="clear"/>
          </w:tcPr>
          <w:p>
            <w:pPr>
              <w:pStyle w:val="TableContents"/>
              <w:spacing w:before="0" w:after="0"/>
              <w:ind w:left="0" w:right="0" w:hanging="0"/>
              <w:jc w:val="center"/>
              <w:rPr/>
            </w:pPr>
            <w:r>
              <w:rPr/>
              <w:t> </w:t>
            </w:r>
          </w:p>
        </w:tc>
        <w:tc>
          <w:tcPr>
            <w:tcW w:w="2090" w:type="dxa"/>
            <w:tcBorders/>
            <w:shd w:fill="auto" w:val="clear"/>
          </w:tcPr>
          <w:p>
            <w:pPr>
              <w:pStyle w:val="TableContents"/>
              <w:spacing w:before="0" w:after="0"/>
              <w:ind w:left="0" w:right="0" w:hanging="0"/>
              <w:jc w:val="left"/>
              <w:rPr>
                <w:rFonts w:ascii="Times New Roman" w:hAnsi="Times New Roman"/>
                <w:b/>
                <w:i w:val="false"/>
                <w:caps w:val="false"/>
                <w:smallCaps w:val="false"/>
                <w:sz w:val="16"/>
              </w:rPr>
            </w:pPr>
            <w:r>
              <w:rPr>
                <w:rFonts w:ascii="Times New Roman" w:hAnsi="Times New Roman"/>
                <w:b/>
                <w:i w:val="false"/>
                <w:caps w:val="false"/>
                <w:smallCaps w:val="false"/>
                <w:sz w:val="16"/>
              </w:rPr>
              <w:t>(Principal Financial Officer)</w:t>
            </w:r>
          </w:p>
        </w:tc>
      </w:tr>
    </w:tbl>
    <w:p>
      <w:pPr>
        <w:pStyle w:val="TextBody"/>
        <w:spacing w:before="0" w:after="0"/>
        <w:rPr/>
      </w:pPr>
      <w:r>
        <w:rPr/>
        <w:t> </w:t>
      </w:r>
      <w:r>
        <w:br w:type="page"/>
      </w:r>
    </w:p>
    <w:p>
      <w:pPr>
        <w:pStyle w:val="TextBody"/>
        <w:spacing w:before="0" w:after="0"/>
        <w:rPr/>
      </w:pPr>
      <w:bookmarkStart w:id="23" w:name="mnov-ex321_6.htm"/>
      <w:bookmarkStart w:id="24" w:name="ksmnovex321_6"/>
      <w:bookmarkEnd w:id="23"/>
      <w:bookmarkEnd w:id="24"/>
      <w:r>
        <w:rPr/>
        <w:t> </w:t>
      </w:r>
    </w:p>
    <w:p>
      <w:pPr>
        <w:pStyle w:val="TextBody"/>
        <w:spacing w:before="0" w:after="0"/>
        <w:jc w:val="right"/>
        <w:rPr>
          <w:rFonts w:ascii="Times New Roman" w:hAnsi="Times New Roman"/>
          <w:b/>
          <w:i w:val="false"/>
          <w:caps w:val="false"/>
          <w:smallCaps w:val="false"/>
          <w:sz w:val="20"/>
        </w:rPr>
      </w:pPr>
      <w:r>
        <w:rPr>
          <w:rFonts w:ascii="Times New Roman" w:hAnsi="Times New Roman"/>
          <w:b/>
          <w:i w:val="false"/>
          <w:caps w:val="false"/>
          <w:smallCaps w:val="false"/>
          <w:sz w:val="20"/>
        </w:rPr>
        <w:t>Exhibit 32.1</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CERTIFICATION OF</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PRINCIPAL EXECUTIVE OFFICER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PURSUANT TO 18 U.S.C. SECTION 1350</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(SECTION 906 OF THE SARBANES-OXLEY ACT OF 2002)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accompanying Quarterly Report on Form 10-Q of MediciNova, Inc. (the “Company”) for the period ended March 31, 2022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 The Report fully complies with the requirements of Section 13(a) or 15(d) of the Securities Exchange Act of 1934; and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 The information contained in the Report fairly presents, in all material respects, the financial condition and results of operations of the Company.</w:t>
      </w:r>
    </w:p>
    <w:p>
      <w:pPr>
        <w:pStyle w:val="TextBody"/>
        <w:spacing w:before="0" w:after="0"/>
        <w:rPr>
          <w:caps w:val="false"/>
          <w:smallCaps w:val="false"/>
        </w:rPr>
      </w:pPr>
      <w:r>
        <w:rPr>
          <w:caps w:val="false"/>
          <w:smallCaps w:val="false"/>
        </w:rPr>
        <w:t> </w:t>
      </w:r>
    </w:p>
    <w:tbl>
      <w:tblPr>
        <w:tblW w:w="3145" w:type="dxa"/>
        <w:jc w:val="right"/>
        <w:tblInd w:w="0" w:type="dxa"/>
        <w:tblCellMar>
          <w:top w:w="0" w:type="dxa"/>
          <w:left w:w="0" w:type="dxa"/>
          <w:bottom w:w="0" w:type="dxa"/>
          <w:right w:w="0" w:type="dxa"/>
        </w:tblCellMar>
      </w:tblPr>
      <w:tblGrid>
        <w:gridCol w:w="320"/>
        <w:gridCol w:w="60"/>
        <w:gridCol w:w="2765"/>
      </w:tblGrid>
      <w:tr>
        <w:trPr/>
        <w:tc>
          <w:tcPr>
            <w:tcW w:w="3145" w:type="dxa"/>
            <w:gridSpan w:val="3"/>
            <w:tcBorders/>
            <w:shd w:fill="auto" w:val="clear"/>
            <w:vAlign w:val="bottom"/>
          </w:tcPr>
          <w:p>
            <w:pPr>
              <w:pStyle w:val="TableContents"/>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Date: May 12, 2022 </w:t>
            </w:r>
          </w:p>
        </w:tc>
      </w:tr>
      <w:tr>
        <w:trPr/>
        <w:tc>
          <w:tcPr>
            <w:tcW w:w="320" w:type="dxa"/>
            <w:tcBorders/>
            <w:shd w:fill="auto" w:val="clear"/>
            <w:vAlign w:val="bottom"/>
          </w:tcPr>
          <w:p>
            <w:pPr>
              <w:pStyle w:val="TableContents"/>
              <w:spacing w:before="0" w:after="0"/>
              <w:ind w:left="0" w:right="0" w:hanging="0"/>
              <w:jc w:val="left"/>
              <w:rPr/>
            </w:pPr>
            <w:r>
              <w:rPr/>
              <w:t> </w:t>
            </w:r>
          </w:p>
        </w:tc>
        <w:tc>
          <w:tcPr>
            <w:tcW w:w="60" w:type="dxa"/>
            <w:tcBorders/>
            <w:shd w:fill="auto" w:val="clear"/>
            <w:vAlign w:val="bottom"/>
          </w:tcPr>
          <w:p>
            <w:pPr>
              <w:pStyle w:val="TableContents"/>
              <w:spacing w:before="0" w:after="0"/>
              <w:ind w:left="0" w:right="0" w:hanging="0"/>
              <w:jc w:val="left"/>
              <w:rPr/>
            </w:pPr>
            <w:r>
              <w:rPr/>
              <w:t> </w:t>
            </w:r>
          </w:p>
        </w:tc>
        <w:tc>
          <w:tcPr>
            <w:tcW w:w="2765" w:type="dxa"/>
            <w:tcBorders/>
            <w:shd w:fill="auto" w:val="clear"/>
            <w:vAlign w:val="bottom"/>
          </w:tcPr>
          <w:p>
            <w:pPr>
              <w:pStyle w:val="TableContents"/>
              <w:spacing w:before="0" w:after="0"/>
              <w:ind w:left="0" w:right="0" w:hanging="0"/>
              <w:jc w:val="left"/>
              <w:rPr/>
            </w:pPr>
            <w:r>
              <w:rPr/>
              <w:t> </w:t>
            </w:r>
          </w:p>
        </w:tc>
      </w:tr>
      <w:tr>
        <w:trPr/>
        <w:tc>
          <w:tcPr>
            <w:tcW w:w="320" w:type="dxa"/>
            <w:tcBorders>
              <w:bottom w:val="sing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w:t>
            </w:r>
          </w:p>
        </w:tc>
        <w:tc>
          <w:tcPr>
            <w:tcW w:w="60"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276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w:t>
            </w:r>
            <w:r>
              <w:rPr>
                <w:rFonts w:ascii="Times New Roman" w:hAnsi="Times New Roman"/>
                <w:b w:val="false"/>
                <w:i w:val="false"/>
                <w:smallCaps/>
                <w:sz w:val="20"/>
              </w:rPr>
              <w:t>Yuichi Iwaki</w:t>
            </w:r>
          </w:p>
        </w:tc>
      </w:tr>
      <w:tr>
        <w:trPr/>
        <w:tc>
          <w:tcPr>
            <w:tcW w:w="320" w:type="dxa"/>
            <w:tcBorders/>
            <w:shd w:fill="auto" w:val="clear"/>
            <w:vAlign w:val="bottom"/>
          </w:tcPr>
          <w:p>
            <w:pPr>
              <w:pStyle w:val="TableContents"/>
              <w:spacing w:before="0" w:after="0"/>
              <w:ind w:left="0" w:right="0" w:hanging="0"/>
              <w:jc w:val="left"/>
              <w:rPr/>
            </w:pPr>
            <w:r>
              <w:rPr/>
              <w:t> </w:t>
            </w:r>
          </w:p>
        </w:tc>
        <w:tc>
          <w:tcPr>
            <w:tcW w:w="60" w:type="dxa"/>
            <w:tcBorders/>
            <w:shd w:fill="auto" w:val="clear"/>
          </w:tcPr>
          <w:p>
            <w:pPr>
              <w:pStyle w:val="TableContents"/>
              <w:spacing w:before="0" w:after="0"/>
              <w:ind w:left="0" w:right="0" w:hanging="0"/>
              <w:jc w:val="center"/>
              <w:rPr/>
            </w:pPr>
            <w:r>
              <w:rPr/>
              <w:t> </w:t>
            </w:r>
          </w:p>
        </w:tc>
        <w:tc>
          <w:tcPr>
            <w:tcW w:w="2765"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Yuichi Iwaki, M.D., Ph.D.</w:t>
            </w:r>
          </w:p>
        </w:tc>
      </w:tr>
      <w:tr>
        <w:trPr/>
        <w:tc>
          <w:tcPr>
            <w:tcW w:w="320" w:type="dxa"/>
            <w:tcBorders/>
            <w:shd w:fill="auto" w:val="clear"/>
            <w:vAlign w:val="bottom"/>
          </w:tcPr>
          <w:p>
            <w:pPr>
              <w:pStyle w:val="TableContents"/>
              <w:spacing w:before="0" w:after="0"/>
              <w:ind w:left="0" w:right="0" w:hanging="0"/>
              <w:jc w:val="left"/>
              <w:rPr/>
            </w:pPr>
            <w:r>
              <w:rPr/>
              <w:t> </w:t>
            </w:r>
          </w:p>
        </w:tc>
        <w:tc>
          <w:tcPr>
            <w:tcW w:w="60" w:type="dxa"/>
            <w:tcBorders/>
            <w:shd w:fill="auto" w:val="clear"/>
          </w:tcPr>
          <w:p>
            <w:pPr>
              <w:pStyle w:val="TableContents"/>
              <w:spacing w:before="0" w:after="0"/>
              <w:ind w:left="0" w:right="0" w:hanging="0"/>
              <w:jc w:val="center"/>
              <w:rPr/>
            </w:pPr>
            <w:r>
              <w:rPr/>
              <w:t> </w:t>
            </w:r>
          </w:p>
        </w:tc>
        <w:tc>
          <w:tcPr>
            <w:tcW w:w="276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President and Chief Executive Officer</w:t>
            </w:r>
          </w:p>
        </w:tc>
      </w:tr>
      <w:tr>
        <w:trPr/>
        <w:tc>
          <w:tcPr>
            <w:tcW w:w="320" w:type="dxa"/>
            <w:tcBorders/>
            <w:shd w:fill="auto" w:val="clear"/>
            <w:vAlign w:val="bottom"/>
          </w:tcPr>
          <w:p>
            <w:pPr>
              <w:pStyle w:val="TableContents"/>
              <w:spacing w:before="0" w:after="0"/>
              <w:ind w:left="0" w:right="0" w:hanging="0"/>
              <w:jc w:val="left"/>
              <w:rPr/>
            </w:pPr>
            <w:r>
              <w:rPr/>
              <w:t> </w:t>
            </w:r>
          </w:p>
        </w:tc>
        <w:tc>
          <w:tcPr>
            <w:tcW w:w="60" w:type="dxa"/>
            <w:tcBorders/>
            <w:shd w:fill="auto" w:val="clear"/>
          </w:tcPr>
          <w:p>
            <w:pPr>
              <w:pStyle w:val="TableContents"/>
              <w:spacing w:before="0" w:after="0"/>
              <w:ind w:left="0" w:right="0" w:hanging="0"/>
              <w:jc w:val="center"/>
              <w:rPr/>
            </w:pPr>
            <w:r>
              <w:rPr/>
              <w:t> </w:t>
            </w:r>
          </w:p>
        </w:tc>
        <w:tc>
          <w:tcPr>
            <w:tcW w:w="2765" w:type="dxa"/>
            <w:tcBorders/>
            <w:shd w:fill="auto" w:val="cle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(Principal Executive Officer)</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r>
        <w:br w:type="page"/>
      </w:r>
    </w:p>
    <w:p>
      <w:pPr>
        <w:pStyle w:val="TextBody"/>
        <w:spacing w:before="0" w:after="0"/>
        <w:rPr/>
      </w:pPr>
      <w:bookmarkStart w:id="25" w:name="mnov-ex322_7.htm"/>
      <w:bookmarkStart w:id="26" w:name="ksmnovex322_7"/>
      <w:bookmarkEnd w:id="25"/>
      <w:bookmarkEnd w:id="26"/>
      <w:r>
        <w:rPr/>
        <w:t> </w:t>
      </w:r>
    </w:p>
    <w:p>
      <w:pPr>
        <w:pStyle w:val="TextBody"/>
        <w:spacing w:before="0" w:after="0"/>
        <w:jc w:val="right"/>
        <w:rPr>
          <w:rFonts w:ascii="Times New Roman" w:hAnsi="Times New Roman"/>
          <w:b/>
          <w:i w:val="false"/>
          <w:caps w:val="false"/>
          <w:smallCaps w:val="false"/>
          <w:sz w:val="20"/>
        </w:rPr>
      </w:pPr>
      <w:r>
        <w:rPr>
          <w:rFonts w:ascii="Times New Roman" w:hAnsi="Times New Roman"/>
          <w:b/>
          <w:i w:val="false"/>
          <w:caps w:val="false"/>
          <w:smallCaps w:val="false"/>
          <w:sz w:val="20"/>
        </w:rPr>
        <w:t>Exhibit 32.2</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CERTIFICATION OF</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ACTING PRINCIPAL FINANCIAL OFFICER</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PURSUANT TO 18 U.S.C. SECTION 1350</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(SECTION 906 OF THE SARBANES-OXLEY ACT OF 2002)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accompanying Quarterly Report on Form 10-Q of MediciNova, Inc. (the “Company”) for the period ended March 31, 2022, as filed with the Securities and Exchange Commission on the date hereof (the “Report”), I, Douglas Paulin, as Chief Financial Officer of the Company, hereby certify, pursuant to 18 U.S.C. Section 1350, as adopted pursuant to Section 906 of the Sarbanes-Oxley Act of 2002, that to my knowledge: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 The Report fully complies with the requirements of Section 13(a) or 15(d) of the Securities Exchange Act of 1934; and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 The information contained in the Report fairly presents, in all material respects, the financial condition and results of operations of the Company.</w:t>
      </w:r>
    </w:p>
    <w:p>
      <w:pPr>
        <w:pStyle w:val="TextBody"/>
        <w:spacing w:before="0" w:after="0"/>
        <w:rPr>
          <w:caps w:val="false"/>
          <w:smallCaps w:val="false"/>
        </w:rPr>
      </w:pPr>
      <w:r>
        <w:rPr>
          <w:caps w:val="false"/>
          <w:smallCaps w:val="false"/>
        </w:rPr>
        <w:t> </w:t>
      </w:r>
    </w:p>
    <w:tbl>
      <w:tblPr>
        <w:tblW w:w="2470" w:type="dxa"/>
        <w:jc w:val="right"/>
        <w:tblInd w:w="0" w:type="dxa"/>
        <w:tblCellMar>
          <w:top w:w="0" w:type="dxa"/>
          <w:left w:w="0" w:type="dxa"/>
          <w:bottom w:w="0" w:type="dxa"/>
          <w:right w:w="0" w:type="dxa"/>
        </w:tblCellMar>
      </w:tblPr>
      <w:tblGrid>
        <w:gridCol w:w="320"/>
        <w:gridCol w:w="60"/>
        <w:gridCol w:w="2090"/>
      </w:tblGrid>
      <w:tr>
        <w:trPr/>
        <w:tc>
          <w:tcPr>
            <w:tcW w:w="2470" w:type="dxa"/>
            <w:gridSpan w:val="3"/>
            <w:tcBorders/>
            <w:shd w:fill="auto" w:val="clear"/>
            <w:vAlign w:val="bottom"/>
          </w:tcPr>
          <w:p>
            <w:pPr>
              <w:pStyle w:val="TableContents"/>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Date: May 12, 2022 </w:t>
            </w:r>
          </w:p>
        </w:tc>
      </w:tr>
      <w:tr>
        <w:trPr/>
        <w:tc>
          <w:tcPr>
            <w:tcW w:w="320" w:type="dxa"/>
            <w:tcBorders/>
            <w:shd w:fill="auto" w:val="clear"/>
            <w:vAlign w:val="bottom"/>
          </w:tcPr>
          <w:p>
            <w:pPr>
              <w:pStyle w:val="TableContents"/>
              <w:spacing w:before="0" w:after="0"/>
              <w:ind w:left="0" w:right="0" w:hanging="0"/>
              <w:jc w:val="left"/>
              <w:rPr/>
            </w:pPr>
            <w:r>
              <w:rPr/>
              <w:t> </w:t>
            </w:r>
          </w:p>
        </w:tc>
        <w:tc>
          <w:tcPr>
            <w:tcW w:w="60" w:type="dxa"/>
            <w:tcBorders/>
            <w:shd w:fill="auto" w:val="clear"/>
          </w:tcPr>
          <w:p>
            <w:pPr>
              <w:pStyle w:val="TableContents"/>
              <w:spacing w:before="0" w:after="0"/>
              <w:ind w:left="0" w:right="0" w:hanging="0"/>
              <w:jc w:val="left"/>
              <w:rPr/>
            </w:pPr>
            <w:r>
              <w:rPr/>
              <w:t> </w:t>
            </w:r>
          </w:p>
        </w:tc>
        <w:tc>
          <w:tcPr>
            <w:tcW w:w="2090" w:type="dxa"/>
            <w:tcBorders/>
            <w:shd w:fill="auto" w:val="clear"/>
          </w:tcPr>
          <w:p>
            <w:pPr>
              <w:pStyle w:val="TableContents"/>
              <w:spacing w:before="0" w:after="0"/>
              <w:ind w:left="0" w:right="0" w:hanging="0"/>
              <w:jc w:val="left"/>
              <w:rPr/>
            </w:pPr>
            <w:r>
              <w:rPr/>
              <w:t> </w:t>
            </w:r>
          </w:p>
        </w:tc>
      </w:tr>
      <w:tr>
        <w:trPr/>
        <w:tc>
          <w:tcPr>
            <w:tcW w:w="320" w:type="dxa"/>
            <w:tcBorders>
              <w:bottom w:val="sing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w:t>
            </w:r>
          </w:p>
        </w:tc>
        <w:tc>
          <w:tcPr>
            <w:tcW w:w="60"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2090"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D</w:t>
            </w:r>
            <w:r>
              <w:rPr>
                <w:rFonts w:ascii="Times New Roman" w:hAnsi="Times New Roman"/>
                <w:b w:val="false"/>
                <w:i w:val="false"/>
                <w:caps w:val="false"/>
                <w:smallCaps w:val="false"/>
                <w:sz w:val="15"/>
              </w:rPr>
              <w:t>OUGLAS</w:t>
            </w:r>
            <w:r>
              <w:rPr>
                <w:rFonts w:ascii="Times New Roman" w:hAnsi="Times New Roman"/>
                <w:b w:val="false"/>
                <w:i w:val="false"/>
                <w:caps w:val="false"/>
                <w:smallCaps w:val="false"/>
                <w:sz w:val="20"/>
              </w:rPr>
              <w:t xml:space="preserve"> P</w:t>
            </w:r>
            <w:r>
              <w:rPr>
                <w:rFonts w:ascii="Times New Roman" w:hAnsi="Times New Roman"/>
                <w:b w:val="false"/>
                <w:i w:val="false"/>
                <w:caps w:val="false"/>
                <w:smallCaps w:val="false"/>
                <w:sz w:val="15"/>
              </w:rPr>
              <w:t>AULIN</w:t>
            </w:r>
          </w:p>
        </w:tc>
      </w:tr>
      <w:tr>
        <w:trPr/>
        <w:tc>
          <w:tcPr>
            <w:tcW w:w="320" w:type="dxa"/>
            <w:tcBorders/>
            <w:shd w:fill="auto" w:val="clear"/>
            <w:vAlign w:val="bottom"/>
          </w:tcPr>
          <w:p>
            <w:pPr>
              <w:pStyle w:val="TableContents"/>
              <w:spacing w:before="0" w:after="0"/>
              <w:ind w:left="0" w:right="0" w:hanging="0"/>
              <w:jc w:val="left"/>
              <w:rPr/>
            </w:pPr>
            <w:r>
              <w:rPr/>
              <w:t> </w:t>
            </w:r>
          </w:p>
        </w:tc>
        <w:tc>
          <w:tcPr>
            <w:tcW w:w="60" w:type="dxa"/>
            <w:tcBorders/>
            <w:shd w:fill="auto" w:val="clear"/>
          </w:tcPr>
          <w:p>
            <w:pPr>
              <w:pStyle w:val="TableContents"/>
              <w:spacing w:before="0" w:after="0"/>
              <w:ind w:left="0" w:right="0" w:hanging="0"/>
              <w:jc w:val="center"/>
              <w:rPr/>
            </w:pPr>
            <w:r>
              <w:rPr/>
              <w:t> </w:t>
            </w:r>
          </w:p>
        </w:tc>
        <w:tc>
          <w:tcPr>
            <w:tcW w:w="2090" w:type="dxa"/>
            <w:tcBorders>
              <w:top w:val="single" w:sz="6" w:space="0" w:color="000000"/>
            </w:tcBorders>
            <w:shd w:fill="auto" w:val="clear"/>
            <w:tcMar>
              <w:top w:w="28" w:type="dxa"/>
            </w:tcM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Douglas Paulin</w:t>
            </w:r>
          </w:p>
        </w:tc>
      </w:tr>
      <w:tr>
        <w:trPr/>
        <w:tc>
          <w:tcPr>
            <w:tcW w:w="320" w:type="dxa"/>
            <w:tcBorders/>
            <w:shd w:fill="auto" w:val="clear"/>
            <w:vAlign w:val="bottom"/>
          </w:tcPr>
          <w:p>
            <w:pPr>
              <w:pStyle w:val="TableContents"/>
              <w:spacing w:before="0" w:after="0"/>
              <w:ind w:left="0" w:right="0" w:hanging="0"/>
              <w:jc w:val="left"/>
              <w:rPr/>
            </w:pPr>
            <w:r>
              <w:rPr/>
              <w:t> </w:t>
            </w:r>
          </w:p>
        </w:tc>
        <w:tc>
          <w:tcPr>
            <w:tcW w:w="60" w:type="dxa"/>
            <w:tcBorders/>
            <w:shd w:fill="auto" w:val="clear"/>
          </w:tcPr>
          <w:p>
            <w:pPr>
              <w:pStyle w:val="TableContents"/>
              <w:spacing w:before="0" w:after="0"/>
              <w:ind w:left="0" w:right="0" w:hanging="0"/>
              <w:jc w:val="center"/>
              <w:rPr/>
            </w:pPr>
            <w:r>
              <w:rPr/>
              <w:t> </w:t>
            </w:r>
          </w:p>
        </w:tc>
        <w:tc>
          <w:tcPr>
            <w:tcW w:w="2090" w:type="dxa"/>
            <w:tcBorders/>
            <w:shd w:fill="auto" w:val="cle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Chief Financial Officer</w:t>
            </w:r>
          </w:p>
        </w:tc>
      </w:tr>
      <w:tr>
        <w:trPr/>
        <w:tc>
          <w:tcPr>
            <w:tcW w:w="320" w:type="dxa"/>
            <w:tcBorders/>
            <w:shd w:fill="auto" w:val="clear"/>
            <w:vAlign w:val="bottom"/>
          </w:tcPr>
          <w:p>
            <w:pPr>
              <w:pStyle w:val="TableContents"/>
              <w:spacing w:before="0" w:after="0"/>
              <w:ind w:left="0" w:right="0" w:hanging="0"/>
              <w:jc w:val="left"/>
              <w:rPr/>
            </w:pPr>
            <w:r>
              <w:rPr/>
              <w:t> </w:t>
            </w:r>
          </w:p>
        </w:tc>
        <w:tc>
          <w:tcPr>
            <w:tcW w:w="60" w:type="dxa"/>
            <w:tcBorders/>
            <w:shd w:fill="auto" w:val="clear"/>
          </w:tcPr>
          <w:p>
            <w:pPr>
              <w:pStyle w:val="TableContents"/>
              <w:spacing w:before="0" w:after="0"/>
              <w:ind w:left="0" w:right="0" w:hanging="0"/>
              <w:jc w:val="center"/>
              <w:rPr/>
            </w:pPr>
            <w:r>
              <w:rPr/>
              <w:t> </w:t>
            </w:r>
          </w:p>
        </w:tc>
        <w:tc>
          <w:tcPr>
            <w:tcW w:w="2090" w:type="dxa"/>
            <w:tcBorders/>
            <w:shd w:fill="auto" w:val="cle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(Principal Financial Officer)</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226616/000119312512347932/d344794dex31.htm" TargetMode="External"/><Relationship Id="rId3" Type="http://schemas.openxmlformats.org/officeDocument/2006/relationships/hyperlink" Target="http://www.sec.gov/Archives/edgar/data/1226616/000119312519119751/d727763dex31.htm" TargetMode="External"/><Relationship Id="rId4" Type="http://schemas.openxmlformats.org/officeDocument/2006/relationships/hyperlink" Target="http://www.sec.gov/Archives/edgar/data/1226616/000119312521222985/d159893dex99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11474</Words>
  <CharactersWithSpaces>77308</CharactersWithSpaces>
  <Paragraphs>2411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