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82" w:right="239" w:bottom="1440" w:gutter="0" w:footer="0" w:header="0"/>
        </w:sectPr>
      </w:pPr>
    </w:p>
    <w:p>
      <w:pPr>
        <w:spacing w:after="0" w:line="122"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71" w:lineRule="exact"/>
        <w:rPr>
          <w:sz w:val="24"/>
          <w:szCs w:val="24"/>
          <w:color w:val="auto"/>
        </w:rPr>
      </w:pPr>
    </w:p>
    <w:p>
      <w:pPr>
        <w:sectPr>
          <w:pgSz w:w="11900" w:h="16838" w:orient="portrait"/>
          <w:cols w:equalWidth="0" w:num="2">
            <w:col w:w="4040" w:space="720"/>
            <w:col w:w="6660"/>
          </w:cols>
          <w:pgMar w:left="240" w:top="382"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000-51133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220" w:type="dxa"/>
            <w:vAlign w:val="bottom"/>
          </w:tcPr>
          <w:p>
            <w:pPr>
              <w:jc w:val="center"/>
              <w:ind w:left="41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Incorporation or Organization)</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4350 La Jolla Village Drive,</w:t>
            </w:r>
          </w:p>
        </w:tc>
        <w:tc>
          <w:tcPr>
            <w:tcW w:w="522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7"/>
              </w:rPr>
              <w:t>Suite 950, San Diego, CA</w:t>
            </w:r>
          </w:p>
        </w:tc>
        <w:tc>
          <w:tcPr>
            <w:tcW w:w="522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380" w:type="dxa"/>
            <w:vAlign w:val="bottom"/>
          </w:tcPr>
          <w:p>
            <w:pPr>
              <w:spacing w:after="0"/>
              <w:rPr>
                <w:sz w:val="24"/>
                <w:szCs w:val="24"/>
                <w:color w:val="auto"/>
              </w:rPr>
            </w:pPr>
          </w:p>
        </w:tc>
        <w:tc>
          <w:tcPr>
            <w:tcW w:w="5220" w:type="dxa"/>
            <w:vAlign w:val="bottom"/>
          </w:tcPr>
          <w:p>
            <w:pPr>
              <w:jc w:val="right"/>
              <w:ind w:right="292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380" w:type="dxa"/>
            <w:vAlign w:val="bottom"/>
          </w:tcPr>
          <w:p>
            <w:pPr>
              <w:spacing w:after="0"/>
              <w:rPr>
                <w:sz w:val="15"/>
                <w:szCs w:val="15"/>
                <w:color w:val="auto"/>
              </w:rPr>
            </w:pPr>
          </w:p>
        </w:tc>
        <w:tc>
          <w:tcPr>
            <w:tcW w:w="5220" w:type="dxa"/>
            <w:vAlign w:val="bottom"/>
          </w:tcPr>
          <w:p>
            <w:pPr>
              <w:jc w:val="center"/>
              <w:ind w:right="180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0" w:type="dxa"/>
        <w:tblCellMar>
          <w:top w:w="0" w:type="dxa"/>
          <w:left w:w="0" w:type="dxa"/>
          <w:bottom w:w="0" w:type="dxa"/>
          <w:right w:w="0" w:type="dxa"/>
        </w:tblCellMar>
      </w:tblPr>
      <w:tr>
        <w:trPr>
          <w:trHeight w:val="275"/>
        </w:trPr>
        <w:tc>
          <w:tcPr>
            <w:tcW w:w="4500" w:type="dxa"/>
            <w:vAlign w:val="bottom"/>
          </w:tcPr>
          <w:p>
            <w:pPr>
              <w:ind w:left="13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020" w:type="dxa"/>
            <w:vAlign w:val="bottom"/>
          </w:tcPr>
          <w:p>
            <w:pPr>
              <w:ind w:left="14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900" w:type="dxa"/>
            <w:vAlign w:val="bottom"/>
          </w:tcPr>
          <w:p>
            <w:pPr>
              <w:ind w:left="7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r>
      <w:tr>
        <w:trPr>
          <w:trHeight w:val="339"/>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2"/>
              </w:rPr>
              <w:t>As of July 31, 2006, the registrant had 100,764,856 shares of Common Stock ($0.001 par value) outstanding.</w:t>
            </w:r>
          </w:p>
        </w:tc>
        <w:tc>
          <w:tcPr>
            <w:tcW w:w="2900" w:type="dxa"/>
            <w:vAlign w:val="bottom"/>
          </w:tcPr>
          <w:p>
            <w:pPr>
              <w:spacing w:after="0"/>
              <w:rPr>
                <w:sz w:val="24"/>
                <w:szCs w:val="24"/>
                <w:color w:val="auto"/>
              </w:rPr>
            </w:pPr>
          </w:p>
        </w:tc>
      </w:tr>
      <w:tr>
        <w:trPr>
          <w:trHeight w:val="336"/>
        </w:trPr>
        <w:tc>
          <w:tcPr>
            <w:tcW w:w="45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580" w:type="dxa"/>
            <w:vAlign w:val="bottom"/>
            <w:gridSpan w:val="9"/>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70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87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MANAGEMENT’S DISCUSSION AND ANALYSIS OF FINANCIAL CONDITION AND RESULTS OF OPERATIONS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QUANTITATIVE AND QUALITATIVE DISCLOSURES ABOUT MARKET RISK</w:t>
              </w:r>
            </w:hyperlink>
          </w:p>
        </w:tc>
        <w:tc>
          <w:tcPr>
            <w:tcW w:w="27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PART II. OTHER INFORMATION</w:t>
              </w:r>
            </w:hyperlink>
          </w:p>
        </w:tc>
        <w:tc>
          <w:tcPr>
            <w:tcW w:w="788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70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LEGAL PROCEEDINGS</w:t>
              </w:r>
            </w:hyperlink>
          </w:p>
        </w:tc>
        <w:tc>
          <w:tcPr>
            <w:tcW w:w="68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1A.</w:t>
            </w:r>
          </w:p>
        </w:tc>
        <w:tc>
          <w:tcPr>
            <w:tcW w:w="870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2.</w:t>
            </w:r>
          </w:p>
        </w:tc>
        <w:tc>
          <w:tcPr>
            <w:tcW w:w="5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UNREGISTERED SALES OF EQUITY SECURITIES AND USE OF PROCEEDS</w:t>
              </w:r>
            </w:hyperlink>
          </w:p>
        </w:tc>
        <w:tc>
          <w:tcPr>
            <w:tcW w:w="276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DEFAULTS UPON SENIOR SECURITIES</w:t>
              </w:r>
            </w:hyperlink>
          </w:p>
        </w:tc>
        <w:tc>
          <w:tcPr>
            <w:tcW w:w="558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SUBMISSION OF MATTERS TO A VOTE OF SECURITY HOLDERS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5.</w:t>
            </w: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354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7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86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7">
              <w:r>
                <w:rPr>
                  <w:rFonts w:ascii="Arial" w:cs="Arial" w:eastAsia="Arial" w:hAnsi="Arial"/>
                  <w:sz w:val="18"/>
                  <w:szCs w:val="18"/>
                  <w:b w:val="1"/>
                  <w:bCs w:val="1"/>
                  <w:color w:val="0000EE"/>
                  <w:w w:val="94"/>
                </w:rPr>
                <w:t>SIGNATURES</w:t>
              </w:r>
            </w:hyperlink>
          </w:p>
        </w:tc>
        <w:tc>
          <w:tcPr>
            <w:tcW w:w="56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0"/>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EXHIBIT 31.1</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EXHIBIT 31.2</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b w:val="1"/>
          <w:bCs w:val="1"/>
          <w:color w:val="auto"/>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15,075,197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37,677,985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108,433,660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101,022,899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2,407,941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2,558,529</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125,916,798</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141,259,413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1,073,345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1,134,297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126,990,143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142,393,710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1,491,708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5,003,181</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4,341,427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243,798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905,016</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6,738,687</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6,626,425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51,270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0"/>
              </w:rPr>
              <w:t>Common stock, $0.001 par value; 200,000,000 shares authorized at June 30, 2006 and December 31, 2005;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w w:val="96"/>
              </w:rPr>
              <w:t>101,709,856 and 98,855,856 shares issued at June 30, 2006 and December 31, 2005, respectively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101,710</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98,856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257,296,824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256,943,520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Deferred employee stock-based compensation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(799,439)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2"/>
              </w:rPr>
              <w:t>Treasury stock, at cost; 925,000 and 50,000 shares at June 30, 2006 and December 31, 2005, respectively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(1,040,260)</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(136,146,915)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(120,464,525)</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120,200,186</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135,707,779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126,990,143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142,393,710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2"/>
                <w:szCs w:val="12"/>
                <w:color w:val="auto"/>
              </w:rPr>
            </w:pPr>
          </w:p>
        </w:tc>
        <w:tc>
          <w:tcPr>
            <w:tcW w:w="242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w w:val="99"/>
              </w:rPr>
              <w:t>Six months ended 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6,508,317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6,682,364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14,260,567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10,812,156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59,813,671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2,197,707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1,663,805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4,402,416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3,033,312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53,292,602</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8,755,749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8,371,189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18,804,589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13,871,527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114,359,693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(8,689,077)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(8,339,162)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(18,545,713)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(13,837,640)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(112,806,467)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1,456,170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1,135,991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2,863,323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1,795,398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8,022,674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(7,232,907)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(7,203,171)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(15,682,390)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(12,042,242)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(104,783,793)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 convertible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(19,689)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Deemed dividend resulting from beneficial conversion feature 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Series C redeemable convertible preferred stock</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(7,232,907)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(7,203,171)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(15,682,390)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(12,061,931)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(136,146,915)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w w:val="96"/>
              </w:rPr>
              <w:t>Shares used to compute basic and diluted net loss per common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share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100,830,625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98,855,856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92,856,658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79,558,668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8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conversion of our preferred stock into 66,782,856 shares of our common stock upon completion of our initial public offering (“IPO”) in February 2005, there is a lack of comparability in the basic and diluted net loss per share amounts for the periods presented above. Please refer to Note 3 for the pro forma basic and diluted net loss per share calculations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(15,682,390)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(12,042,242)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(104,783,793)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1,026,597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35,760,249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172,514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(552,726)</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(111,432)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(1,421,098)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(1,675,758)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Accounts payable, accrued expenses and deferred rent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765,244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3,954,750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6,546,159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(661,218)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(223,985)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243,798</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(14,746,132)</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(9,833,590)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(65,537,180)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(42,857,020)</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(186,305,849)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(268,176,735)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 available-for-sale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36,003,000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Acquisition of property and equipment, net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(146,821)</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(266,233)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(1,793,612)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(7,000,841)</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(112,172,082)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(108,622,526)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111,126,752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110,058,192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(984,815)</w:t>
            </w:r>
          </w:p>
        </w:tc>
        <w:tc>
          <w:tcPr>
            <w:tcW w:w="1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(1,040,260)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(855,815)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111,126,752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189,234,903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(22,602,788)</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(10,878,920)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15,075,197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37,677,985</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15,075,197</w:t>
            </w:r>
          </w:p>
        </w:tc>
        <w:tc>
          <w:tcPr>
            <w:tcW w:w="4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27,922,408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15,075,197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43,515,677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accrued IPO issuance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(1,089,420)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Unrealized loss on marketable securities available-for-sale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4,015</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44,885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specialty pharmaceutical company focused on the acquisition, development and commercialization of innovative pharmaceutical products. Our development pipeline, which includes six compounds in clinical testing, targets a variety of prevalent medical conditions, including asthma, cancer, interstitial cystitis, generalized anxiety disorder, preterm labor, urinary incontinence and multiple sclerosis. We are focused primarily on the development of our existing programs at the present time and do not foresee material acquisitions of product candidates in the near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prepared the accompanying unaudited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our management, all adjustments (consisting of normal recurring accruals) considered necessary for a fair presentation have been included. Operating results for the three months and six months ended June 30, 2006 are not necessarily indicative of the results that may be expected for the year ending December 31, 2006 or for any other period. For further information, see the financial statements and disclosures thereto for the year ended December 31, 2005 in our Annual Report on Form 10-K filed with the Securities and Exchange Commission.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the accompanying unaudited financial statements certain prior period amounts have been reclassified to conform to the current period presentation (see Note 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prepared the accompanying unaudited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Marketable securities available-for-sale consist of certificates of deposit, high-grade auction rate securities (“ARS”), corporate debt securities and U.S. government debt securities. All of the corporate debt securities and U.S. government debt securities have contractual maturities of 12 months or less as of June 30, 2006. The ARS have either a stated or perpetual maturity that is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whereby demand in the marketplace exceeds the supply. The length of each holding period is determined at the original issuance of the ARS. ARS holding periods range from 7 to 63 days. As of June 30, 2006, our ARS consisted of $32,300,000 of perpetual securities and $54,300,000 with stated maturity dates ranging from 2022 to 2044 and reset dates of up to 63 days.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June 30, 2006</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8"/>
              </w:rPr>
              <w:t>December 31, 2005</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ind w:left="120"/>
              <w:spacing w:after="0" w:line="142"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7"/>
              </w:rPr>
              <w:t>Amortized</w:t>
            </w:r>
          </w:p>
        </w:tc>
        <w:tc>
          <w:tcPr>
            <w:tcW w:w="160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Gross Unrealized</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Gains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Gains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503,000</w:t>
            </w: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4"/>
              </w:rPr>
              <w:t>$ —</w:t>
            </w:r>
          </w:p>
        </w:tc>
        <w:tc>
          <w:tcPr>
            <w:tcW w:w="3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86,600,000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86,600,000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69,750,000</w:t>
            </w:r>
          </w:p>
        </w:tc>
        <w:tc>
          <w:tcPr>
            <w:tcW w:w="4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9,913,300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19,897,789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U.S. government debt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11,927,113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11,920,360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10,887,298</w:t>
            </w:r>
          </w:p>
        </w:tc>
        <w:tc>
          <w:tcPr>
            <w:tcW w:w="40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(5,736)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108,444,833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1,643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(12,816)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108,433,660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101,038,087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$ 928</w:t>
            </w:r>
          </w:p>
        </w:tc>
        <w:tc>
          <w:tcPr>
            <w:tcW w:w="3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101,022,899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As of June 30, 2006, the unrealized losses on corporate debt securities and U.S. government securities were primarily caused by recent increases in interest rates. Based on an evaluation of the credit standing of each issuer, management believes it is probable that we will be able to collect all amounts due according to the contractual terms. We had no realized losses on sales of investment securities available-for-sale for the period ended June 30,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unaudited pro forma basic and diluted net loss per share is calculated by dividing the pro forma net loss by the weighted average number of common shares outstanding for the period plus the weighted average number of common shares resulting from the assumed conversion of the outstanding shares of convertible preferred stock. The assumed conversion is calculated using the as-if-converted method, as if such conversion had occurred as of the beginning of each period presented or the original issuance, if later. The pro forma net loss is calculated by subtracting the accretion to redemption value of redeemable convertible preferred stock from the net loss applicable to common stockholders.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24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(7,232,907)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(7,203,171)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(15,682,390)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(12,042,242)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(7,232,907)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(7,203,171)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(15,682,390)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(12,061,931)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100,830,625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98,855,856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92,856,658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79,558,668</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Pro forma net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(12,042,242)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common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Shares used above</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79,558,668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0"/>
              </w:rPr>
              <w:t>Pro forma adjustments to reflect assumed weighted average effect of conversion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preferred stock</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12,913,812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w w:val="91"/>
              </w:rPr>
              <w:t>Pro forma shares used to compute basic and diluted net loss per common 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92,472,480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4"/>
              </w:rPr>
              <w:t>Historical outstanding anti-dilutive securities not included in diluted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 calculation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Common stock warrants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10,366,686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13,356,572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10,366,686</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13,356,572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6,709,166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1,482,500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6,709,166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1,482,500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We have adopted Statement of Financial Accounting Standards (“SFAS”) No. 130, </w:t>
      </w:r>
      <w:r>
        <w:rPr>
          <w:rFonts w:ascii="Arial" w:cs="Arial" w:eastAsia="Arial" w:hAnsi="Arial"/>
          <w:sz w:val="15"/>
          <w:szCs w:val="15"/>
          <w:i w:val="1"/>
          <w:iCs w:val="1"/>
          <w:color w:val="auto"/>
        </w:rPr>
        <w:t>Reporting Comprehensive Income</w:t>
      </w:r>
      <w:r>
        <w:rPr>
          <w:rFonts w:ascii="Arial" w:cs="Arial" w:eastAsia="Arial" w:hAnsi="Arial"/>
          <w:sz w:val="15"/>
          <w:szCs w:val="15"/>
          <w:color w:val="auto"/>
        </w:rPr>
        <w:t>, which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shall be reported, net of their related tax effect, to arrive at comprehensive income (loss). Comprehensive loss did not differ significantly from net loss for all periods presented.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grant stock options to our employees, directors, and consultants under the 2004 Stock Incentive Plan (the “2004 Plan”), the successor to the 2000 General Stock Incentive Plan (the “2000 Plan”). Effective January 1, 2006, the benefits provided under these Plans constitute share-based compensation subject to the provisions of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No. 123R”). Prior to January 1, 2006, we accounted for share-based compensation related to stock options under the recognition and measurement principles of Accounting Principles Board (“APB”) Opinion No. 25; therefore, we measured compensation expense for our stock options using the intrinsic value method, that is, as the excess, if any, of the fair market value of our stock at the grant date over the amount required to be paid to acquire the stock, and provided the pro forma disclosures required by SFAS No. 123.</w:t>
      </w:r>
    </w:p>
    <w:p>
      <w:pPr>
        <w:spacing w:after="0" w:line="12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As a result of the adoption of SFAS No. 123R, our net losses for the three months and six months ended June 30, 2006 were higher by approximately $0.2 million and $0.8 million, respectively, than if we had continued to account for share-based compensation under APB Opinion No. 25. Basic and diluted net loss per share for the three months and six months ended June 30, 2006 would have been $0.07 and $0.16 per share, respectively, if we had not adopted SFAS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 123R. SFAS No. 123R requires that cash flows resulting from tax deductions in excess of the cumulative compensation cost recognized for options exercised (excess tax benefits) be classified as cash inflows from financing activities and cash outflows from operating activities. Due to our net loss position, no tax benefits have been recognized in the statements of cash flows.</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exercise price of all options granted during the three months and six months ended June 30, 2006 were equal to the market value on the date of grant and 260,000 options and 2,986,000 options, respectively, were granted during the three months and six months ended June 30, 2006; thus, share-based compensation expense for such options is reflected in operating results for the three months and six months ended June 30, 2006. The estimated fair value of each option award was determined on the date of grant using the Black-Scholes option valuation model with the following weighted-average assumptions for option grants: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54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85"/>
              </w:rPr>
              <w:t>Three months ended</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5860" w:type="dxa"/>
            <w:vAlign w:val="bottom"/>
          </w:tcPr>
          <w:p>
            <w:pPr>
              <w:spacing w:after="0"/>
              <w:rPr>
                <w:sz w:val="14"/>
                <w:szCs w:val="1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2006</w:t>
            </w:r>
          </w:p>
        </w:tc>
        <w:tc>
          <w:tcPr>
            <w:tcW w:w="134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June 30, 2006</w:t>
            </w:r>
          </w:p>
        </w:tc>
        <w:tc>
          <w:tcPr>
            <w:tcW w:w="140" w:type="dxa"/>
            <w:vAlign w:val="bottom"/>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5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540" w:type="dxa"/>
            <w:vAlign w:val="bottom"/>
            <w:gridSpan w:val="2"/>
          </w:tcPr>
          <w:p>
            <w:pPr>
              <w:jc w:val="right"/>
              <w:ind w:right="1200"/>
              <w:spacing w:after="0"/>
              <w:rPr>
                <w:sz w:val="20"/>
                <w:szCs w:val="20"/>
                <w:color w:val="auto"/>
              </w:rPr>
            </w:pPr>
            <w:r>
              <w:rPr>
                <w:rFonts w:ascii="Arial" w:cs="Arial" w:eastAsia="Arial" w:hAnsi="Arial"/>
                <w:sz w:val="18"/>
                <w:szCs w:val="18"/>
                <w:color w:val="auto"/>
              </w:rPr>
              <w:t>69.00%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540" w:type="dxa"/>
            <w:vAlign w:val="bottom"/>
            <w:gridSpan w:val="2"/>
          </w:tcPr>
          <w:p>
            <w:pPr>
              <w:jc w:val="right"/>
              <w:ind w:right="1340"/>
              <w:spacing w:after="0"/>
              <w:rPr>
                <w:sz w:val="20"/>
                <w:szCs w:val="20"/>
                <w:color w:val="auto"/>
              </w:rPr>
            </w:pPr>
            <w:r>
              <w:rPr>
                <w:rFonts w:ascii="Arial" w:cs="Arial" w:eastAsia="Arial" w:hAnsi="Arial"/>
                <w:sz w:val="18"/>
                <w:szCs w:val="18"/>
                <w:color w:val="auto"/>
              </w:rPr>
              <w:t>6.00</w:t>
            </w: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risk-free interest rate assumption is based upon observed interest rates appropriate for the expected term of our employee stock options. We used a weighted-average of the historical stock price volatility of our stock and the historical stock price volatility of certain peers to calculate the expected volatility assumption required for the Black-Scholes model consistent with SFAS 123R. Prior to fiscal 2006, we had used our historical stock price volatility in accordance with SFAS No. 123 for purposes of its pro forma information. The selection of the historical volatility approach using a weighted-average of our stock price and our peers’ stock prices was based upon our assessment that this approach is more representative of future stock price trends than our historical volatility alone. We have not paid any dividends on common stock since our inception and do not anticipate paying dividends on our common stock in the foreseeable future. The expected life of employee stock options represents the average of the life of the options and the average vesting period, and is a derived output of the simplified method, as allowed under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share-based compensation expense recognized in the accompanying statement of operations for the three months and six months ended June 30, 2006 were based on awards ultimately expected to vest, it should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reduced for estimated forfeitures. SFAS No. 123R requires forfeitures to be estimated at the time of grant and revised, if necessary, in subsequent periods if actual forfeitures differ from those estimates. Pre-vesting forfeitures were estimated to be 0% in 2006 based on historical experience. The effect of pre-vesting forfeitures on our recorded expense has historically been negligible due to the predominant monthly vesting of option grants. We will continue to monitor actual forfeitures and adjust our estimated forfeiture rate if necessary. In our pro forma information required under SFAS No. 123 for the periods prior to fiscal 2006, we accounted for forfeitures as they occurred. Our determination of fair value is affected by our stock price as well as a number of assumptions that require judgment. The weighted-average fair value of each option granted during the three months and six months ended June 30, 2006, estimated as of the grant date using the Black-Scholes option valuation model, was $0.89 and $0.78 per option, respectively.</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three months ended June 30, 2006, share-based compensation expense related to stock options was $0.3 million and was recorded as a component of general and administrative expense ($0.2 million) and research and development expense ($0.1 million). For the six months ended June 30, 2006, share-based compensation expense related to stock options was $1.0 million and was recorded as a component of general and administrative expense ($0.8 million) and research and development expense ($0.2 million). There was one stock option exercise during the three months and six months ended June 30, 2006, in which approximately $4,000 was received.</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stock options granted prior to the adoption of SFAS No. 123R, the following table illustrates the pro forma effect on net loss and loss per common share as if we had applied the fair value recognition provisions of SFAS No. 123R in determining stock-based compensation for awards under the plan:</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0"/>
              </w:rPr>
              <w:t>June 30, 2005</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June 30,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(7,203,171)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(12,061,931)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Add: total stock-based employee compensation expense included in net loss</w:t>
            </w:r>
          </w:p>
        </w:tc>
        <w:tc>
          <w:tcPr>
            <w:tcW w:w="16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123,983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210,116</w:t>
            </w: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stock-based compensation expense determined under the fair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method</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(131,971)</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(228,553)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SFAS No. 123 pro forma net loss applicable to common stockholders</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(7,211,159)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(12,080,368)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pro forma under SFAS No. 123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June 30, 2006, there was $3.1 million of unamortized compensation cost related to unvested stock option awards, which is expected to be recognized over a remaining weighted-average vesting period of 2.4 years. Of such amount, $0.5 million represents unamortized compensation cost related to unvested stock option awards measured using the intrinsic value method. Prior to the adoption of SFAS No. 123R, we presented such unamortized compensation cost as deferred compensation and it was classified as a separate component of stockholders’ equity. In accordance with the provisions of SFAS No. 123R, on January 1, 2006, we reclassified deferred compensation against additional paid-in capital.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board of directors approved an arrangement in September 2001 to engage Dr. Yuichi Iwaki, Executive Chairman of the Board, as a consultant in connection with financing transactions and business development activities. In November 2003, we amended the arrangement and in November 2004, we further amended the arrangement pursuant to a consulting agreement dated as of November 22, 2004. Pursuant to such arrangement, Dr. Iwaki was paid $20,000 per month plus other cash or stock compensation, if any, as the board of directors deems appropriate for his services rendered. In fiscal 2006, Dr. Iwaki’s consulting fee was increased to $29,167 based on the findings of an independent study covering executive compensation. Compensation earned by Dr. Iwaki during the three months and six months ended June 30, 2006 were $187,500 and $175,000, respectively, and compensation earned during the three months and six months ended June 30, 2005 were $60,000 and $120,000, respectively.</w:t>
      </w:r>
    </w:p>
    <w:p>
      <w:pPr>
        <w:spacing w:after="0" w:line="11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On July 19, 2005, the Board appointed Dr. Iwaki as our Executive Chairman and on September 30, 2005, the Board named him as our Acting Chief Executive Officer and Chief Financial Officer. On March 15, 2006, Dr. Iwaki was appointed to the office of President and Chief Executive Officer.</w:t>
      </w:r>
    </w:p>
    <w:p>
      <w:pPr>
        <w:spacing w:after="0" w:line="160" w:lineRule="exact"/>
        <w:rPr>
          <w:sz w:val="20"/>
          <w:szCs w:val="20"/>
          <w:color w:val="auto"/>
        </w:rPr>
      </w:pPr>
    </w:p>
    <w:p>
      <w:pPr>
        <w:ind w:right="87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Facility Lease</w:t>
      </w:r>
    </w:p>
    <w:p>
      <w:pPr>
        <w:spacing w:after="0" w:line="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2004, we leased our corporate headquarters under a non-cancelable operating lease that expires in February 2008. In March 2005, we amended our non-cancelable operating lease for our corporate headquarters to expand our leased space from 11,375 square feet to 16,609 square feet. We have the option to renew the lease for three years. In June 2005, we leased office space in Japan under a non-cancelable operating lease that expires in May 2007. Rent expense for the three months and six months ended June 30, 2006, the three months and six months ended June 30, 2005 and the period from September 26, 2000 (inception) to June 30, 2006 was $180,345, $360,314, $115,506, $280,325 and $1,518,628, respectively.</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2006, we sub-leased 3,506 square feet of our corporate headquarters under a non-cancelable operating lease that expires in January 2008. Expected sub-lease income for the years ending December 31, 2006, 2007 and 2008 is $101,762, $113,594 and $9,466, respectively. During the first quarter of 2006 we recorded a $54,355 charge related to our expected loss on the sub-lease and a $35,259 impairment charge for the tenant improvements included in the sub-leased space. No further impairment charge has been recorded in 2006. Both charges are included in general and administrative expense on the accompanying statement of operations.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20" w:type="dxa"/>
            <w:vAlign w:val="bottom"/>
            <w:gridSpan w:val="2"/>
          </w:tcPr>
          <w:p>
            <w:pPr>
              <w:jc w:val="right"/>
              <w:ind w:right="1532"/>
              <w:spacing w:after="0"/>
              <w:rPr>
                <w:sz w:val="20"/>
                <w:szCs w:val="20"/>
                <w:color w:val="auto"/>
              </w:rPr>
            </w:pPr>
            <w:r>
              <w:rPr>
                <w:rFonts w:ascii="Arial" w:cs="Arial" w:eastAsia="Arial" w:hAnsi="Arial"/>
                <w:sz w:val="18"/>
                <w:szCs w:val="18"/>
                <w:color w:val="auto"/>
                <w:w w:val="87"/>
              </w:rPr>
              <w:t>Future minimum payments (net of sub-lease income) are as follows at June 30, 2006:</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2006</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315,961</w:t>
            </w:r>
          </w:p>
        </w:tc>
      </w:tr>
      <w:tr>
        <w:trPr>
          <w:trHeight w:val="216"/>
        </w:trPr>
        <w:tc>
          <w:tcPr>
            <w:tcW w:w="46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jc w:val="right"/>
              <w:ind w:right="6292"/>
              <w:spacing w:after="0"/>
              <w:rPr>
                <w:sz w:val="20"/>
                <w:szCs w:val="20"/>
                <w:color w:val="auto"/>
              </w:rPr>
            </w:pPr>
            <w:r>
              <w:rPr>
                <w:rFonts w:ascii="Arial" w:cs="Arial" w:eastAsia="Arial" w:hAnsi="Arial"/>
                <w:sz w:val="18"/>
                <w:szCs w:val="18"/>
                <w:color w:val="auto"/>
              </w:rPr>
              <w:t>2007</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587,349</w:t>
            </w:r>
          </w:p>
        </w:tc>
      </w:tr>
      <w:tr>
        <w:trPr>
          <w:trHeight w:val="223"/>
        </w:trPr>
        <w:tc>
          <w:tcPr>
            <w:tcW w:w="460" w:type="dxa"/>
            <w:vAlign w:val="bottom"/>
          </w:tcPr>
          <w:p>
            <w:pPr>
              <w:spacing w:after="0"/>
              <w:rPr>
                <w:sz w:val="19"/>
                <w:szCs w:val="19"/>
                <w:color w:val="auto"/>
              </w:rPr>
            </w:pPr>
          </w:p>
        </w:tc>
        <w:tc>
          <w:tcPr>
            <w:tcW w:w="7160" w:type="dxa"/>
            <w:vAlign w:val="bottom"/>
          </w:tcPr>
          <w:p>
            <w:pPr>
              <w:jc w:val="right"/>
              <w:ind w:right="6292"/>
              <w:spacing w:after="0"/>
              <w:rPr>
                <w:sz w:val="20"/>
                <w:szCs w:val="20"/>
                <w:color w:val="auto"/>
              </w:rPr>
            </w:pPr>
            <w:r>
              <w:rPr>
                <w:rFonts w:ascii="Arial" w:cs="Arial" w:eastAsia="Arial" w:hAnsi="Arial"/>
                <w:sz w:val="18"/>
                <w:szCs w:val="18"/>
                <w:color w:val="auto"/>
              </w:rPr>
              <w:t>2008</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45,344</w:t>
            </w: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948,654</w:t>
            </w:r>
          </w:p>
        </w:tc>
      </w:tr>
      <w:tr>
        <w:trPr>
          <w:trHeight w:val="20"/>
        </w:trPr>
        <w:tc>
          <w:tcPr>
            <w:tcW w:w="4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March 2006, we terminated our license agreement with RIKEN. We have no further obligations under such agreement. As of June 30, 2006, future milestone payments under all of our license agreements totaled approximately $79.9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Subsequent to June 30, 2006 we received a notice of mediation from the Tokyo District Court in regards to the termination of employment of a former executive located in Tokyo, Japan. The former executive was a party to an employment agreement that stipulated six months of severance pay upon termination. We offered to the former executive the severance benefits provided under his employment agreement at the time he was removed from office; however he rejected that offer and claimed entitlement to 12 months of compensation and certain other amounts related to employee benefits. We will participate in the mediation process; however we intend vigorously to defend ourselves if the mediation does not result in an acceptable resolution to the issues raised by the former executive and he pursues litigation. In the event that the mediation does not result in an acceptable resolution to the matter and the former executive pursues litigation, management does not believe an adverse ruling in any such litigation will have a material adverse effect on our financial condition or results of operations.</w:t>
      </w:r>
    </w:p>
    <w:p>
      <w:pPr>
        <w:spacing w:after="0" w:line="220" w:lineRule="exact"/>
        <w:rPr>
          <w:sz w:val="20"/>
          <w:szCs w:val="20"/>
          <w:color w:val="auto"/>
        </w:rPr>
      </w:pPr>
    </w:p>
    <w:p>
      <w:pPr>
        <w:ind w:right="964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We grant stock options to our employees, directors, and consultants under the 2004 Plan, the successor to the 2000 Plan.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2000 Plan, incentive stock options could be granted to our officers and key employees. Stock options have been granted with an exercise price of $1.00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 As of June 30, 2006, options to purchase a total of 1,060,416 shares of common stock were outstanding under the 2000 Plan at a weighted average exercise price of $1.00 per share. No additional options have been or will be issued under the 2000 Plan subsequent to our IPO.</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2004 Plan is administered by our compensation committee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advisors and consultants.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initial 20,300,000 shares reserved for issuance under the 2004 Plan will be increased on the first day of each of our fiscal years from 2006 through 2014, by the lesser of: (i) 1,000,000 shares; (ii) 3% of our outstanding common stock on the last day of the immediately preceding fiscal year; or (iii) the number of shares determined by our board of directors. As of June 30, 2006, we had 21,300,000 shares reserved for issuance under the 2004 Plan with 15,651,250 shares available for future grant.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Options granted to optionees other than non-employee directors will generally vest as to 25% of the shares one year after the date of grant and as to 1/48 of the shares each month thereafter.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Fully vested automatic grants of nonstatutory stock options will be made to non-employee directors in an initial amount of 10,000 shares upon first becoming a member of our board of directors. Immediately after each of our regularly scheduled annual stockholders meetings, each non-employee director will be automatically granted a nonstatutory option to purchase 10,000 shares of our common stock at 100% of the fair market value at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time of grant, provided that the director has served on our board for at least six months. Each annual option will be fully vested and exercisable on the date which is six months after the date of grant.</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plan terminates ten years after its initial adoption by the board of directors, unless earlier terminated by the board of directors. Following the vesting period, options are exercisable until the earlier of 90 days after the employee’s termination with us or the ten-year anniversary of the initial grant, subject to adjustment under certain conditions. The board of directors may amend or terminate the plan at any time, subject to stockholder approval where required by applicable law.</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January 2006, we granted options to each employee and each member of our board of directors to purchase an aggregate of 2,726,000 shares of our common stock at a weighted average exercise price of 139 Japanese Yen (or approximately $1.18) per share, all of which were granted at fair market value on the date of grant.</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May 2006, we granted options to each member of our board of directors to purchase an aggregate of 260,000 shares of our common stock at a weighted average exercise price of 148 Japanese Yen (or approximately $1.34 per share), all of which were granted at fair value on the date of grant.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options outstanding under our 2000 Plan and 2004 Plan during the six months ended June 30, 2006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4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4,724,167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4160" w:type="dxa"/>
            <w:vAlign w:val="bottom"/>
            <w:gridSpan w:val="3"/>
          </w:tcPr>
          <w:p>
            <w:pPr>
              <w:jc w:val="right"/>
              <w:ind w:right="380"/>
              <w:spacing w:after="0"/>
              <w:rPr>
                <w:sz w:val="20"/>
                <w:szCs w:val="20"/>
                <w:color w:val="auto"/>
              </w:rPr>
            </w:pPr>
            <w:r>
              <w:rPr>
                <w:rFonts w:ascii="Arial" w:cs="Arial" w:eastAsia="Arial" w:hAnsi="Arial"/>
                <w:sz w:val="18"/>
                <w:szCs w:val="18"/>
                <w:color w:val="auto"/>
              </w:rPr>
              <w:t>2,986,000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Cancelled</w:t>
            </w:r>
          </w:p>
        </w:tc>
        <w:tc>
          <w:tcPr>
            <w:tcW w:w="30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(997,001)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2006</w:t>
            </w:r>
          </w:p>
        </w:tc>
        <w:tc>
          <w:tcPr>
            <w:tcW w:w="30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6,709,166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our 2000 Plan and 2004 Plan at June 30,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Weighted</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 life of</w:t>
            </w:r>
          </w:p>
        </w:tc>
        <w:tc>
          <w:tcPr>
            <w:tcW w:w="6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exercise price</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contractual life of</w:t>
            </w:r>
          </w:p>
        </w:tc>
        <w:tc>
          <w:tcPr>
            <w:tcW w:w="3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Options</w:t>
            </w:r>
          </w:p>
        </w:tc>
        <w:tc>
          <w:tcPr>
            <w:tcW w:w="6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options outstanding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2"/>
              </w:rPr>
              <w:t>of options</w:t>
            </w: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Exercisable</w:t>
            </w:r>
          </w:p>
        </w:tc>
        <w:tc>
          <w:tcPr>
            <w:tcW w:w="620" w:type="dxa"/>
            <w:vAlign w:val="bottom"/>
          </w:tcPr>
          <w:p>
            <w:pPr>
              <w:spacing w:after="0"/>
              <w:rPr>
                <w:sz w:val="12"/>
                <w:szCs w:val="12"/>
                <w:color w:val="auto"/>
              </w:rPr>
            </w:pPr>
          </w:p>
        </w:tc>
        <w:tc>
          <w:tcPr>
            <w:tcW w:w="14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2"/>
              </w:rPr>
              <w:t>exercisable options</w:t>
            </w:r>
          </w:p>
        </w:tc>
        <w:tc>
          <w:tcPr>
            <w:tcW w:w="3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of exercisable</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Exercise price</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62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640" w:type="dxa"/>
            <w:vAlign w:val="bottom"/>
          </w:tcPr>
          <w:p>
            <w:pPr>
              <w:spacing w:after="0"/>
              <w:rPr>
                <w:sz w:val="14"/>
                <w:szCs w:val="14"/>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options</w:t>
            </w:r>
          </w:p>
        </w:tc>
        <w:tc>
          <w:tcPr>
            <w:tcW w:w="6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options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jc w:val="right"/>
              <w:ind w:right="1274"/>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1,060,416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754,896</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jc w:val="right"/>
              <w:ind w:right="1274"/>
              <w:spacing w:after="0"/>
              <w:rPr>
                <w:sz w:val="20"/>
                <w:szCs w:val="20"/>
                <w:color w:val="auto"/>
              </w:rPr>
            </w:pPr>
            <w:r>
              <w:rPr>
                <w:rFonts w:ascii="Arial" w:cs="Arial" w:eastAsia="Arial" w:hAnsi="Arial"/>
                <w:sz w:val="18"/>
                <w:szCs w:val="18"/>
                <w:color w:val="auto"/>
              </w:rPr>
              <w:t>$1.16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2,183,750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521,979</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jc w:val="right"/>
              <w:ind w:right="1274"/>
              <w:spacing w:after="0"/>
              <w:rPr>
                <w:sz w:val="20"/>
                <w:szCs w:val="20"/>
                <w:color w:val="auto"/>
              </w:rPr>
            </w:pPr>
            <w:r>
              <w:rPr>
                <w:rFonts w:ascii="Arial" w:cs="Arial" w:eastAsia="Arial" w:hAnsi="Arial"/>
                <w:sz w:val="18"/>
                <w:szCs w:val="18"/>
                <w:color w:val="auto"/>
              </w:rPr>
              <w:t>$1.34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24,167</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jc w:val="right"/>
              <w:ind w:right="1274"/>
              <w:spacing w:after="0"/>
              <w:rPr>
                <w:sz w:val="20"/>
                <w:szCs w:val="20"/>
                <w:color w:val="auto"/>
              </w:rPr>
            </w:pPr>
            <w:r>
              <w:rPr>
                <w:rFonts w:ascii="Arial" w:cs="Arial" w:eastAsia="Arial" w:hAnsi="Arial"/>
                <w:sz w:val="18"/>
                <w:szCs w:val="18"/>
                <w:color w:val="auto"/>
              </w:rPr>
              <w:t>$1.35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18"/>
                <w:szCs w:val="18"/>
                <w:color w:val="auto"/>
              </w:rPr>
            </w:pPr>
          </w:p>
        </w:tc>
        <w:tc>
          <w:tcPr>
            <w:tcW w:w="7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jc w:val="right"/>
              <w:ind w:right="1274"/>
              <w:spacing w:after="0"/>
              <w:rPr>
                <w:sz w:val="20"/>
                <w:szCs w:val="20"/>
                <w:color w:val="auto"/>
              </w:rPr>
            </w:pPr>
            <w:r>
              <w:rPr>
                <w:rFonts w:ascii="Arial" w:cs="Arial" w:eastAsia="Arial" w:hAnsi="Arial"/>
                <w:sz w:val="18"/>
                <w:szCs w:val="18"/>
                <w:color w:val="auto"/>
              </w:rPr>
              <w:t>$1.38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jc w:val="right"/>
              <w:ind w:right="1274"/>
              <w:spacing w:after="0"/>
              <w:rPr>
                <w:sz w:val="20"/>
                <w:szCs w:val="20"/>
                <w:color w:val="auto"/>
              </w:rPr>
            </w:pPr>
            <w:r>
              <w:rPr>
                <w:rFonts w:ascii="Arial" w:cs="Arial" w:eastAsia="Arial" w:hAnsi="Arial"/>
                <w:sz w:val="18"/>
                <w:szCs w:val="18"/>
                <w:color w:val="auto"/>
              </w:rPr>
              <w:t>$1.49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120,417</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color w:val="auto"/>
              </w:rPr>
              <w:t>9.5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jc w:val="right"/>
              <w:ind w:right="1274"/>
              <w:spacing w:after="0"/>
              <w:rPr>
                <w:sz w:val="20"/>
                <w:szCs w:val="20"/>
                <w:color w:val="auto"/>
              </w:rPr>
            </w:pPr>
            <w:r>
              <w:rPr>
                <w:rFonts w:ascii="Arial" w:cs="Arial" w:eastAsia="Arial" w:hAnsi="Arial"/>
                <w:sz w:val="18"/>
                <w:szCs w:val="18"/>
                <w:color w:val="auto"/>
              </w:rPr>
              <w:t>$1.65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jc w:val="right"/>
              <w:ind w:right="1274"/>
              <w:spacing w:after="0"/>
              <w:rPr>
                <w:sz w:val="20"/>
                <w:szCs w:val="20"/>
                <w:color w:val="auto"/>
              </w:rPr>
            </w:pPr>
            <w:r>
              <w:rPr>
                <w:rFonts w:ascii="Arial" w:cs="Arial" w:eastAsia="Arial" w:hAnsi="Arial"/>
                <w:sz w:val="18"/>
                <w:szCs w:val="18"/>
                <w:color w:val="auto"/>
              </w:rPr>
              <w:t>$2.34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853,125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148,437</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color w:val="auto"/>
              </w:rPr>
              <w:t>7.6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jc w:val="right"/>
              <w:ind w:right="1274"/>
              <w:spacing w:after="0"/>
              <w:rPr>
                <w:sz w:val="20"/>
                <w:szCs w:val="20"/>
                <w:color w:val="auto"/>
              </w:rPr>
            </w:pPr>
            <w:r>
              <w:rPr>
                <w:rFonts w:ascii="Arial" w:cs="Arial" w:eastAsia="Arial" w:hAnsi="Arial"/>
                <w:sz w:val="18"/>
                <w:szCs w:val="18"/>
                <w:color w:val="auto"/>
              </w:rPr>
              <w:t>$3.31</w:t>
            </w:r>
          </w:p>
        </w:tc>
        <w:tc>
          <w:tcPr>
            <w:tcW w:w="6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1,421,875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247,396</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6,709,166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2,537,292</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color w:val="auto"/>
              </w:rPr>
              <w:t>7.4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aggregate intrinsic value of options exercised during the six months ended June 30, 2006, outstanding and exercisable at June 30, 2006 was approximately $1,000, $429,000, and $223,000,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The following table summarizes common stock reserved for future issuance at June 30, 2006:</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10,366,686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Common stock options outstanding (under the 2000 and 2004 Plans)</w:t>
            </w:r>
          </w:p>
        </w:tc>
        <w:tc>
          <w:tcPr>
            <w:tcW w:w="1060" w:type="dxa"/>
            <w:vAlign w:val="bottom"/>
          </w:tcPr>
          <w:p>
            <w:pPr>
              <w:jc w:val="right"/>
              <w:spacing w:after="0"/>
              <w:rPr>
                <w:sz w:val="20"/>
                <w:szCs w:val="20"/>
                <w:color w:val="auto"/>
              </w:rPr>
            </w:pPr>
            <w:r>
              <w:rPr>
                <w:rFonts w:ascii="Arial" w:cs="Arial" w:eastAsia="Arial" w:hAnsi="Arial"/>
                <w:sz w:val="18"/>
                <w:szCs w:val="18"/>
                <w:color w:val="auto"/>
              </w:rPr>
              <w:t>6,709,166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authorized for future grant (under the 2004 Plan)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32,727,102</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Warrants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2006, one of our founders exercised warrants to purchase 659,848 shares of our common stock at $0.10 per share in a cashless exercise that resulted in the issuance of 600,000 shares of common stock. In March 2006, our other founder exercised warrants to purchase 1,250,000 shares of our common stock at $0.10 per share for cash proceeds to us of $125,000. In April 2006, a founder and a former officer exercised warrants to purchase 1,080,038 shares of our common stock at $0.10 per share in a cashless exercise that resulted in the issuance of 1,000,000 shares of common stock. As of June 30, 2006, the number of underlying common shares that could be purchased under the terms of the founders’ warrants was 9,866,686.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 period ended June 30, 2006, we purchased an aggregate of 875,000 shares of our common stock at a weighted average price of 130 Japanese yen (or approximately $1.13) per share pursuant to a publicly-announced stock repurchase plan. As of June 30, 2006, we held 925,000 shares of treasury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ind w:right="1580"/>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 Forward-Looking Statements May Prove Inaccurate</w:t>
      </w:r>
    </w:p>
    <w:p>
      <w:pPr>
        <w:spacing w:after="0" w:line="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notes thereto included in this report on Form 10-Q and the audited financial statements and notes thereto as of and for the year ended December 31, 2005 included in our Annual Report on Form 10-K filed with the Securities and Exchange Commission on February 16, 2006. Operating results are not necessarily indicative of results that may occur in future periods.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report includes forward-looking statements that are subject to risks and uncertainties, many of which are beyond our control. Our actual results will differ from those anticipated in these forward-looking statements as a result of various factors, including those set forth below under the caption “Risk Factors” and the differences may be material. Forward-looking statements discuss matters that are not historical facts. Forward-looking statements include, but are not limited to, discussions regarding our operating strategy, product development and growth strategy, acquisition strategy, industry, economic conditions, financial condition, liquidity and capital resources and results of operations. In this report, for example, we make forward-looking statements regarding our expectations about the rate of development expense growth and the reasons for that expected growth and our expected cash needs. Such statements include, but are not limited to, statements preceded by, followed by or that otherwise include the words “believes,” “expects,” “anticipates,” “intends,” “estimates,” “projects,” “can,” “could,” “may,” “will,” “would” or similar expressions. For those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are a specialty pharmaceutical company focused on acquiring, developing and commercializing innovative pharmaceutical products for a variety of diseases and conditions. While we seek to identify and acquire license rights to product candidates with extensive safety and efficacy data that are in late pre-clinical or early clinical development and that address large markets with significant opportunities for improved therapies, we are focused primarily on the development of our existing programs at the present time and do not foresee material acquisitions of product candidates in the near term.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development programs consist of:</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completed a Phase II clinical trial in the fourth quarter of 2005 in the United States;</w:t>
      </w:r>
    </w:p>
    <w:p>
      <w:pPr>
        <w:spacing w:after="0" w:line="113"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currently have one Phase I clinical trial ongoing in the United States and we completed one Phase I clinical trial during the second quarter of 2006.</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MN-001 for the treatment of interstitial cystitis, for which we commenced a Phase II clinical trial in the second quarter of 2005 in the United States;</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 for which we completed a Phase II/III clinical trial during the second quarter of 2006 (in addition, our licensor of MN-305 has completed an early Phase II clinical trial for anxiety disorders in Japan);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MN-166 for the treatment of multiple sclerosis, for which we commenced a Phase II clinical trial in the second quarter of 2005 in Eastern Europe;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5" w:name="page16"/>
    <w:bookmarkEnd w:id="15"/>
    <w:p>
      <w:pPr>
        <w:ind w:left="780" w:right="1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MN-221 for the treatment of preterm labor, for which we completed an additional Phase I clinical trial in the United States in the second half of 2005 and our licensor of this candidate has completed an early Phase II clinical trial in the United Kingdom;</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MN-221 for the treatment of status asthmaticus, for which we plan to commence a Phase II clinical trial during the fourth quarter of 2006; and</w:t>
      </w:r>
    </w:p>
    <w:p>
      <w:pPr>
        <w:spacing w:after="0" w:line="113" w:lineRule="exact"/>
        <w:rPr>
          <w:rFonts w:ascii="Arial" w:cs="Arial" w:eastAsia="Arial" w:hAnsi="Arial"/>
          <w:sz w:val="16"/>
          <w:szCs w:val="16"/>
          <w:color w:val="auto"/>
        </w:rPr>
      </w:pPr>
    </w:p>
    <w:p>
      <w:pPr>
        <w:ind w:left="780" w:right="4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MN-246 for the treatment of urinary incontinence and pollakisuria, for which we commenced a Phase I clinical trial during the first quarter of 2006 in the United States and we have received approval on our Canadian clinical trial application as of June 30, 2006 to continue this trial.</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February 4, 2005 on the Osaka Securities Exchange (“OSE”), we completed an initial public offering of 30.0 million shares of common stock for proceeds of $104.5 million, net of underwriting discounts and commissions and offering expenses. Because we did the IPO in Japan, many of our key investors are in Japan and we are bound by rules of the OSE. As such, our executives spend significant amounts of time on investor relations in Japan and we expect that such efforts will continue in the foreseeable future.</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our underwriters’ partial exercise of the over-allotment option we granted to them in connection with our initial public offering.</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a development stage company. We have incurred significant net losses since our inception. At June 30, 2006, our accumulated deficit was approximately $136.1 million. We expect to incur substantial net losses for the next several years as we continue to develop our existing programs, and over the long term as we expand our research and development programs and acquire or in-license products, technologies or businesses that are complementary to our own.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12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studies, licensing and pre-clinical and clinical development of our six licensed compounds, two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our research and development expenses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w w:val="85"/>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Product</w:t>
            </w:r>
          </w:p>
        </w:tc>
        <w:tc>
          <w:tcPr>
            <w:tcW w:w="3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8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Candidate</w:t>
            </w:r>
          </w:p>
        </w:tc>
        <w:tc>
          <w:tcPr>
            <w:tcW w:w="340" w:type="dxa"/>
            <w:vAlign w:val="bottom"/>
          </w:tcPr>
          <w:p>
            <w:pPr>
              <w:spacing w:after="0"/>
              <w:rPr>
                <w:sz w:val="11"/>
                <w:szCs w:val="11"/>
                <w:color w:val="auto"/>
              </w:rPr>
            </w:pPr>
          </w:p>
        </w:tc>
        <w:tc>
          <w:tcPr>
            <w:tcW w:w="6560" w:type="dxa"/>
            <w:vAlign w:val="bottom"/>
            <w:tcBorders>
              <w:bottom w:val="single" w:sz="8" w:color="auto"/>
            </w:tcBorders>
          </w:tcPr>
          <w:p>
            <w:pPr>
              <w:ind w:left="2740"/>
              <w:spacing w:after="0" w:line="129" w:lineRule="exact"/>
              <w:rPr>
                <w:sz w:val="20"/>
                <w:szCs w:val="20"/>
                <w:color w:val="auto"/>
              </w:rPr>
            </w:pPr>
            <w:r>
              <w:rPr>
                <w:rFonts w:ascii="Arial" w:cs="Arial" w:eastAsia="Arial" w:hAnsi="Arial"/>
                <w:sz w:val="14"/>
                <w:szCs w:val="14"/>
                <w:b w:val="1"/>
                <w:bCs w:val="1"/>
                <w:color w:val="auto"/>
              </w:rPr>
              <w:t>Disease/ Indication</w:t>
            </w: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MN-001</w:t>
            </w:r>
          </w:p>
        </w:tc>
        <w:tc>
          <w:tcPr>
            <w:tcW w:w="34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2,285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MN-029</w:t>
            </w:r>
          </w:p>
        </w:tc>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Solid tumor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MN-001</w:t>
            </w:r>
          </w:p>
        </w:tc>
        <w:tc>
          <w:tcPr>
            <w:tcW w:w="34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Interstitial cystitis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MN-305</w:t>
            </w:r>
          </w:p>
        </w:tc>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Generalized anxiety disorder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MN-166</w:t>
            </w:r>
          </w:p>
        </w:tc>
        <w:tc>
          <w:tcPr>
            <w:tcW w:w="34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Multiple sclerosis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MN-221</w:t>
            </w:r>
          </w:p>
        </w:tc>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Preterm labor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MN-221</w:t>
            </w:r>
          </w:p>
        </w:tc>
        <w:tc>
          <w:tcPr>
            <w:tcW w:w="34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Status asthmaticus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MN-246</w:t>
            </w:r>
          </w:p>
        </w:tc>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Urinary incontinence; Pollakisuria</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SOCC</w:t>
            </w:r>
          </w:p>
        </w:tc>
        <w:tc>
          <w:tcPr>
            <w:tcW w:w="34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88"/>
              </w:rPr>
              <w:t>Unallocated</w:t>
            </w:r>
          </w:p>
        </w:tc>
        <w:tc>
          <w:tcPr>
            <w:tcW w:w="3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6,508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6,682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14,261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10,812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currently we are focused on advancing each of our product development programs, we anticipate that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general and administrative expenses primarily consist of salaries and benefits and consulting and professional fees related to our administrative, finance, human resources, legal, and internal systems support functions. In addition, general and administrative expenses include insurance and facilities costs. Our general and administrative expenses for the six months ended June 30, 2006 include expected loss on sublease of approximately $35,000 and impairment charges on capitalized tenant improvements of approximately $54,000, both of which are as a result of our decision, in January 2006, to sub-lease a portion of our corporate headquarters.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on our financial statements, which have been prepared in accordance with accounting principles generally accepted in the United States. The preparation of the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bases for making judgments about the carrying values of assets and liabilities. Actual results may differ from these estimates under different assumptions or conditions. Our accounting policies are described in more detail in Note 1 to our financial statements included in our Annual Report on Form 10-K. Our critical accounting policies and estimates are the same as those noted in our 2005 Form 10-K with the exception of our adoption of Statement of Financial Accounting Standards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No. 123R”) as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grant stock options to purchase our common stock to our employees and directors under our 2004 Stock Incentive Plan. Additionally, we have outstanding options that were granted under the 2000 General Stock Incentive Plan from which we no longer make grants. The benefits provided under all of these plans are subject to the provisions of SFAS No. 123R, which we adopted effective January 1, 2006. We elected to use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modified prospective application in adopting SFAS No. 123R and therefore have not restated results for prior periods. The valuation provisions of SFAS</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 123R apply to new awards and to unvested awards that are outstanding on the adoption date and any awards that are subsequently modified or cancelled. Our results of operations for the six months ended June 30, 2006 were impacted by the recognition of non-cash expense related to the fair value of our stock-based compensation awards. Stock-based compensation expense recognized under SFAS No. 123R for the three months and six months ended June 30, 2006 were $0.4 million and $1.0 million, respectively.</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valuation provisions of SFAS No. 123R require us to estimate certain variables such as estimated volatility and expected life, which if they change, could have a significant impact on the stock-based compensation amount we recognize.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2006 and 2005</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for the three months ended June 30, 2006 were $67,000, an increase of $35,000 over the three months ended June 30, 2005. The increase was due to increased activity under the Argenes master services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Research and development expenses of $6.5 million for the three months ended June 30, 2006 were essentially flat when compared to $6.7 million for the three months ended June 30, 2005.</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June 30, 2006, an increase of $0.5 million when compared to $1.7 million for the three months ended June 30, 2005. The increase was primarily due to stock-based compensation expense under the newly adopted SFAS No. 123R related to stock option grants in the second quarter of 2006.</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public company and to support the future growth of our research and development programs.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Interest income primarily consists of income earned on our cash and investment balances and totaled $1.5 million and $1.1 million for the three months ended June 30, 2006 and 2005, respectively. The increase was primarily due to higher yields on our average cash and investment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2006 and 2005</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for the six months ended June 30, 2006 were $259,000, an increase of $225,000 over the six months ended June 30, 2005. The increase was due to increased activity under the Argenes master services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Research and development expenses were $14.3 million for the six months ended June 30, 2006, an increase of $3.5 million from $10.8 million for the six months ended June 30, 2005. This increase was primarily due to:</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$3.9 million in clinical trial and related costs and other development costs;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$0.4 million in unallocated expenses.</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General and administrative expenses were $4.4 million for the six months ended June 30, 2006, an increase of $1.4 million when compared to $3.0 million for the six months ended June 30, 2005. This increase was primarily due to:</w:t>
      </w:r>
    </w:p>
    <w:p>
      <w:pPr>
        <w:spacing w:after="0" w:line="51" w:lineRule="exact"/>
        <w:rPr>
          <w:sz w:val="20"/>
          <w:szCs w:val="20"/>
          <w:color w:val="auto"/>
        </w:rPr>
      </w:pPr>
    </w:p>
    <w:p>
      <w:pPr>
        <w:ind w:left="780" w:right="1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$0.8 million of employee stock-based compensation resulting from option grants to our employees and directors under our stock option plans and adoption of the provisions of SFAS No. 123R;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$0.1 million of impairment charges from sub-leasing of a portion of our corporate headquarters;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$0.1 million of various legal, accounting, consulting fees and other consulting related expenses;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$0.4 million of other expenses.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public company and to support the future growth of our research and development programs.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income primarily consists of income earned on our cash and investment balances and totaled $2.9 million and $1.8 million for the six months ended June 30, 2006 and 2005, respectively. The $1.1 million increase was primarily due to the increase in our average cash and investment balances as a result of the proceeds from our initial public offering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Since our inception, our operations have been financed through the private placement of our equity securities and through the public sale of our common stock in our IPO. Through June 30, 2006, we received estimated net proceeds of $190.3 million from the sale of equity securities as follows:</w:t>
      </w:r>
    </w:p>
    <w:p>
      <w:pPr>
        <w:spacing w:after="0" w:line="4"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September 2000, we issued and sold 500,000 shares of common stock to founders for aggregate proceeds of $0.1 million;</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October 2000 and August 2001, we issued and sold a total of 1,000,000 shares of Series A preferred stock for aggregate net proceeds of $10.0 million;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September 2, 2004, we issued and sold 27,667,856 shares of Series C preferred stock for aggregate net proceeds of $43.4 million;</w:t>
      </w:r>
    </w:p>
    <w:p>
      <w:pPr>
        <w:spacing w:after="0" w:line="113" w:lineRule="exact"/>
        <w:rPr>
          <w:rFonts w:ascii="Arial" w:cs="Arial" w:eastAsia="Arial" w:hAnsi="Arial"/>
          <w:sz w:val="16"/>
          <w:szCs w:val="16"/>
          <w:color w:val="auto"/>
        </w:rPr>
      </w:pPr>
    </w:p>
    <w:p>
      <w:pPr>
        <w:ind w:left="780" w:right="54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30.0 million shares of common stock for proceeds of $104.2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partial exercise of the over-allotment option we granted to them in connection with our IPO;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March 2, 2006, we issued and sold 1,250,000 shares of common stock to a founder in exercise of warrants for aggregate proceeds of $0.1 million.</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June 30, 2006, we had $15.1 million in cash and cash equivalents as compared to $37.7 million as of December 31, 2005, a decrease of $22.6 million. Net cash used in operating activities amounted to $14.7 million for the six months ended June 30, 2006, primarily due to the net loss of $15.7 million, offset by non-cash stock-based compensation expense of $1.0 million for the period. Net cash used in investing activities for the six months ended June 30, 2006 was $7.0 million and primarily consisted of net purchases of investments. Net cash used in financing activities amounted to $0.9 million for the six months ended June 30, 2006, primarily due to the repurchase of outstanding stock pursuant to a publicly-announced repurchase program.</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our existing cash, cash equivalents and marketable securities as of June 30, 2006 will be sufficient to meet our projected operating requirements through at least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exposure to market risk due to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(the “Exchange Act”), is recorded, processed, summarized and reported within the time periods specified in the Securities and Exchange Commission’s rules and forms and that such information is accumulated and communicated to our management, including our chief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principal financial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 of the effectiveness of the design and operation of our disclosure controls and procedures as of the end of the quarter covered by this report. Based on the foregoing, our chief executive officer and our principal financial officer concluded that our disclosure controls and procedures were effective at the reasonable assurance level.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Subsequent to June 30, 2006 we received a notice of mediation from the Tokyo District Court in regards to the termination of employment of a former executive located in Tokyo, Japan. The former executive was a party to an employment agreement that stipulated six months of severance pay upon termination. We offered to the former executive the severance benefits provided under his employment agreement at the time he was removed from office; however he rejected that offer and claimed entitlement to 12 months of compensation and certain other amounts related to employee benefits. We will participate in the mediation process; however we intend vigorously to defend ourselves if the mediation does not result in an acceptable resolution to the issues raised by the former executive and he pursues litigation. In the event that the mediation does not result in an acceptable resolution to the matter and the former executive pursues litigation, management does not believe an adverse ruling in any such litigation will have a material adverse effect on our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We operate in a dynamic and rapidly changing environment that involves numerous risks and uncertainties. The following section describes some, but not all, of the risks and uncertainties that may have a material adverse effect on our business, financial condition, results of operations and the market price of our common stock and could cause our actual results to differ materially from those expressed or implied in our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development stage specialty pharmaceutical company with a limited operating history. We have incurred significant net losses since our inception. For the three months and six months ended June 30, 2006, we had a net loss of $7.2 million and $15.7 million, respectively. At June 30, 2006, our accumulated deficit was approximately $136.1 million. Our annual net losses may increase over the next several years as we expand and incur significant clinical development costs.</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expect our development expenses to increase in connection with our planned clinical trials for our product candidates and any other development projects that we may initiate. In addition, we expect to incur increased general and administrative expenses as well as the increased costs to operate as a public company. Consequently, we expect to continue to incur significant and increasing operating losses for the foreseeable future.</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5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contract with Asahi Kasei Pharma has been completed and we do not expect to generate further revenues from that agreement. We anticipate that we will continue to receive modest revenues for rendering consulting services and that, prior to our commercialization of a product candidate, our consulting revenues, together with out-licensing upfront and milestone payments, will be our primary source of revenues. To obtain revenues from sales of our product candidates, we must succeed, either alone or with third parties, in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2" w:name="page23"/>
    <w:bookmarkEnd w:id="2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developing, obtaining regulatory approval for, manufacturing and marketing drugs with market potential. We may never succeed in these activities, and may not generate sufficient revenues to continue our business operations or achieve profitability.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six compounds for the development of eight product candidates. They are:</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MN-001 for bronchial asthma and interstitial cystitis licensed from Kyorin Pharmaceutical;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MN-305 for generalized anxiety disorder licensed from Mitsubishi Pharma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MN-221 for preterm labor and status asthmaticus licensed from Kissei Pharmaceutical;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MN-246 for urinary incontinence and pollakisuria licensed from Mitsubishi Pharma Corporation.</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breach our obligations under the agreements materially and fail to cure a breach within a specified period of time.</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eight of our product candidates are in clinical development, the process that is required to receive regulatory approval for commercial sale.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New Drug Application, or NDA, to the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we face risks that:</w:t>
      </w:r>
    </w:p>
    <w:p>
      <w:pPr>
        <w:spacing w:after="0" w:line="90"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be acceptable to the FDA or other regulatory agencies.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date, we have regulatory approval to conduct clinical trials for all eight product development programs. Investigational New Drug, or IND, applications were approved and are active for six product candidates. We have Clinical Trial Authorizations, or CTAs, the equivalent of a U.S. IND, approved and active to conduct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23" w:name="page24"/>
    <w:bookmarkEnd w:id="2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Phase II study for MN-166 in patients with multiple sclerosis in five countries in Eastern Europe and a CTA approved in Canada to conduct a Phase I study for MN-246 in healthy subjects.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9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90"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90" w:lineRule="exact"/>
        <w:rPr>
          <w:sz w:val="20"/>
          <w:szCs w:val="20"/>
          <w:color w:val="auto"/>
        </w:rPr>
      </w:pPr>
    </w:p>
    <w:p>
      <w:pPr>
        <w:ind w:left="780" w:right="2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Given that we have limited internal discovery capabilities, our business over the long term is substantially dependent on our ability to license or acquire clinical-stage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us.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that may result from us having to perform unanticipated pre-clinical trials or other tests on the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these and other reasons, we have determined to place less emphasis on efforts to identify and acquire additional product candidates in the near term. If we are not successful in identifying and licensing or acquiring other product candidates over the long term, we will not be able to grow our revenues with sales from new products beyond those revenues, if any, from our existing product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consumed substantial amounts of capital since our inception. From our inception to June 30, 2006, we have an accumulated deficit of $136.1 million. Although we believe our existing cash and investments will be sufficient to fund our anticipated cash requirements at least through December 31, 2007, we will require significant additional financing in the future to fund our operations thereafter. Our future capital requirements will depend on, and could increase significantly as a result of many factors including:</w:t>
      </w:r>
    </w:p>
    <w:p>
      <w:pPr>
        <w:spacing w:after="0" w:line="6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by licensing all or a portion of our product candidates, to the extent we are able to do so. We cannot be certain that additional sources of capital will be available to us on acceptable terms, or at all. If sources of capital are not available, we may not be in a position to pursue other business opportunities that require financial commitments and we may be required to:</w:t>
      </w:r>
    </w:p>
    <w:p>
      <w:pPr>
        <w:spacing w:after="0" w:line="62"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that may harm our ability to grow our business.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19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 key aspect of our strategy is to enter into collaborations with third-party partners whereby we license selected product candidates to larger pharmaceutical companies that are willing to conduct later-stage clinical trials and further develop and commercialize those products. To date, we have not entered into any collaborative arrangements with any third-party partners.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25" w:name="page26"/>
    <w:bookmarkEnd w:id="25"/>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entering into these strategic collaborations, we may rely on our partners for financial resources and for development, commercialization and regulatory expertise. Our partners may fail to develop or effectively commercialize products using our product candidates because they:</w:t>
      </w:r>
    </w:p>
    <w:p>
      <w:pPr>
        <w:spacing w:after="0" w:line="4"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do not have sufficient resources or decide not to devote the necessary resources due to internal constraints such as limited cash or human resources;</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decide to pursue a competitive potential product that has been developed outside of the collaboration;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may not be able to enter into collaborations on acceptable terms, if at all. We also face competition in our search for partners with whom we may collaborate.</w:t>
      </w:r>
    </w:p>
    <w:p>
      <w:pPr>
        <w:spacing w:after="0" w:line="2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research organizations, including, without limitation: Accelsiors CRO and Consultancy Services of Budapest, Hungary; Pharmaceutical Research Associates, Inc. of Lenexa, Kansas; Fulcrum Pharma Developments, Inc. of Durham, North Carolina; Paragon, Inc. of Irvine, California; Quintiles, Inc. of Morrisville, North Carolina and SFBC International of Princeton, New Jersey.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9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our clinical protocols or regulatory requirements or for other reasons.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if we were to seek such alternative sources, we might not be able to enter into replacement arrangements without delays or additional expenditures.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59"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sufficient third-party insurance coverage or reimbursement.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80" w:right="319" w:bottom="1440" w:gutter="0" w:footer="0" w:header="0"/>
        </w:sectPr>
      </w:pPr>
    </w:p>
    <w:bookmarkStart w:id="26" w:name="page27"/>
    <w:bookmarkEnd w:id="26"/>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product candidate that we develop does not provide a treatment regimen that is as beneficial as the current standard of care or otherwise does not provide patient benefit, that product likely will not achieve market acceptance.</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drug development programs may be delayed and we may be unable to develop successfully or commercialize our product candidates.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one of our founders and the Executive Chairman of our Board of Directors and our President and Chief Executive Officer and Acting Chief Financial Officer, who has been instrumental in our ability to in-license product candidates from Japanese pharmaceutical companies and secure financing from Japanese institutions. The relationships that all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specialty pharmaceutical company with limited capital resources could impair our ability to attract and retain personnel and impede the achievement of our development and commercialization objectives.</w:t>
      </w:r>
    </w:p>
    <w:p>
      <w:pPr>
        <w:spacing w:after="0" w:line="11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 as a result.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the product candidates in our programs or acquire other products, we will need to establish sales, marketing and distribution capabilities.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Although we intend to establish strategic collaborations to market the products in our programs outside the United States, if we are unable to establish such collaborations, we may be required to market our product candidates outside of the United States directly. In that event, we may need to build a corresponding international sales and marketing capability with technical expertise and with supporting distribution capabilities.</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need to expand and effectively manage our operations and facilities in order to advance our drug development programs, achieve milestones under our collaboration agreements, facilitate additional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7" w:name="page28"/>
    <w:bookmarkEnd w:id="27"/>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collaborations and pursue other development activities. For example, we intend to hire additional personnel in clinical development, regulatory affairs and corporate development to further strengthen our core competencies.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Similarly, we are likely to hire additional management and administrative personnel to manage our business and affairs as we continue to grow. In addition, we will have to develop sales, marketing and distribution capabilities for the product candidates in our programs. The scope and timing of these hires is highly uncertain and remains subject to the success of our current product candidate development programs.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780" w:right="3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or received by us under our licensing agreements;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incurrence of clinical expenses that could fluctuate significantly from period to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development efforts;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an indication of our future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programs; however, we have only required the manufacture of our product candidates in very limited volume because we do not have any commercialized product.</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manufacturers will be obliged to operate in accordance with FDA-mandated or International Convention on Harmonization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cGMPs, which may be costly and time-consuming.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for commercial distribution, if we obtain marketing approval for any of our products.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our products, the commercial launch of our products would be delayed or there would be a shortage in supply of our products, which would harm our ability to generate revenues from the sale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To date, we have obtained licensed rights to ten issued U.S. patents and two U.S. patent applications. We also have obtained licensed rights to 64 issued and pending foreign patents corresponding to these U.S. patents. The patents to which we have licensed rights are set to expire between 2009 and 2020. In addition to these licensed rights, we hold two issued U.S. patents, as well as one U.S. patent application relating to MN-001 and its metabolite, MN-002. These patents and pending patent applications contain claims directed to, among other things, compounds, compositions, methods of use and/or methods of manufacture.</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In general, our license agreements give us a right, but not an obligation, to enforce our patent rights. 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62"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Proprietary trade secrets and unpatented know-how may also prove to be very important to our future research and development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technologies or activities infringe the intellectual property rights of others. There are many patents relating to chemical compounds and the uses thereof. If our compounds are found to infringe any such patents, we may have to pay significant damages. A patent holder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We may not be able to afford the costs of litigation. Any legal action against us or our collaborators could lead to:</w:t>
      </w:r>
    </w:p>
    <w:p>
      <w:pPr>
        <w:spacing w:after="0" w:line="37" w:lineRule="exact"/>
        <w:rPr>
          <w:sz w:val="20"/>
          <w:szCs w:val="20"/>
          <w:color w:val="auto"/>
        </w:rPr>
      </w:pPr>
    </w:p>
    <w:p>
      <w:pPr>
        <w:ind w:left="5620" w:right="2180" w:hanging="5166"/>
        <w:spacing w:after="0" w:line="440" w:lineRule="auto"/>
        <w:tabs>
          <w:tab w:leader="none" w:pos="7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third party’s patent rights; 30</w:t>
      </w:r>
    </w:p>
    <w:p>
      <w:pPr>
        <w:sectPr>
          <w:pgSz w:w="11900" w:h="16838" w:orient="portrait"/>
          <w:cols w:equalWidth="0" w:num="1">
            <w:col w:w="11380"/>
          </w:cols>
          <w:pgMar w:left="240" w:top="280" w:right="279" w:bottom="1440" w:gutter="0" w:footer="0" w:header="0"/>
        </w:sectPr>
      </w:pPr>
    </w:p>
    <w:bookmarkStart w:id="30" w:name="page31"/>
    <w:bookmarkEnd w:id="30"/>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 and expenses,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regulation of our product candidates, which could delay the development and commercialization of our products.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our third-party manufacturers, contractors, suppliers, partners, and our product candidates are subject to stringent regulation by the FDA and other regulatory agencies in the United States and by comparable authorities in other countries. None of our product candidates can be marketed in the United States until approved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have a material adverse effect on our ability to generate revenues from the particular product candidate.</w:t>
      </w:r>
    </w:p>
    <w:p>
      <w:pPr>
        <w:spacing w:after="0" w:line="1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Competition in the pharmaceutical industry is intense and is expected to increase. We face competition from pharmaceutical and biotechnology companies, as well as numerous academic and research institutions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31" w:name="page32"/>
    <w:bookmarkEnd w:id="31"/>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governmental agencies, both in the United States and abroad. Some of these competitors have products or are pursuing the development of drugs that target the same diseases and conditions that are the focus of our product development programs.</w:t>
      </w:r>
    </w:p>
    <w:p>
      <w:pPr>
        <w:spacing w:after="0" w:line="1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biologies and side effects. Many of our competitors have substantially greater capital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the Secretary of Health and Human Services has refused to implement this directive, in July 2003, the House of Representatives passed a similar bill that does not require the Secretary of Health and Human Services 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trading price of our common stock could fluctuate due to the factors discussed in this Report. For example, since the date of our initial public offering through June 30, 2006, our stock has traded as high as 440 Japanese Yen (or approximately $4.19) and as low as 105 Japanese Yen (or approximately $0.89) per share. The trading market for our common stock also may be influenced by the research and reports that industry or securities analysts publish about us or our industry. If one or more of the analysts who cover us or our industry were to publish an unfavorable research report or to downgrade our stock, our stock price likely would decline. If one or more of these analysts were to cease coverage of our company or fail to regularly publish reports on us, we could lose visibility in the financial markets, which in turn could cause our stock price or trading volume to decline.</w:t>
      </w:r>
    </w:p>
    <w:p>
      <w:pPr>
        <w:spacing w:after="0" w:line="20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If the holders of the shares offered by the registration statement dated September 19, 2005, or the registration statement dated November 23, 2005 were to determine to sell all or a significant portion of their shares at one time, there would be significant downward pressure on our stock price and it may be difficult to sell your shares.</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September 19, 2005, we filed a Registration Statement on Form S-1 to register 67,335,356 shares of common stock for resale from time to time, which registration statement was subsequently declared effective by the U.S. Securities and Exchange Commission, or SEC. The registered shares were beneficially owned by 47 holders. On November 23, 2005, we filed a Registration Statement on Form S-1 to register 13,356,572 shares issuable upon the exercise of warrants held by three individuals, of which warrants held by our two founders that relate to 12,856,572 shares are exercisable at $0.10 per share and a warrant held by a separate investor that relates to 500,000 shares is exercisable at $1.00 per share. The trading volume for our stock is low, with an average trading volume of approximately 121,318 shares per day during the month of June 2006. If the holders of the shares offered by these registration statements, to the extent such shares have not been sold already, were to attempt immediately to sell their shares, there would be significant downward pressure on our stock price and it may be difficult, or even impossible, to find a buyer for shares of our common stock. The warrants held by our founders expire in 2007 and the warrant held by the other party expires in 2009. If the foregoing warrants are exercised, our stockholders will experience immediate and substantial dilution.</w:t>
      </w:r>
    </w:p>
    <w:p>
      <w:pPr>
        <w:spacing w:after="0" w:line="20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780" w:right="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3" w:name="page34"/>
    <w:bookmarkEnd w:id="33"/>
    <w:p>
      <w:pPr>
        <w:ind w:left="780" w:right="4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780" w:hanging="326"/>
        <w:spacing w:after="0" w:line="22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w:t>
      </w:r>
    </w:p>
    <w:p>
      <w:pPr>
        <w:spacing w:after="0" w:line="8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paid no cash dividends on any of our classes of capital stock to date and we currently intend to retain our future earnings, if any, to fund the development and growth of our businesses. In addition, the terms of existing or any future debts may preclude us from paying these dividends. As a result, appreciation in the market value, if any, of our common stock will be our stockholders’ sole source of gain for the foreseeable future. The market value for our common stock has decreased since the time of the initial public offering, may not increase, and in fact, the market value may decrease further.</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Any increase in the market value of our common stock is uncertain and unpredictable. Stockholders should not invest in our stock if they are seeking dividend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pursuant to a Registration Statement on Form S-1 (File No. 333-119433) that was declared effective by the Securities and Exchange Commission on January 28, 2005.</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As of June 30, 2006, we had used approximately $35.4 million of the net proceeds from our initial public offering to fund our operations, including development of our clinical programs and payment of $0.5 million in compensation to our Executive Chairman of the Board and President and Chief Executive Officer, and Acting Chief Financial Officer, Dr. Yuichi Iwaki. In addition, as of June 30, 2006, we had used $1.1 million for acquisitions of property and equipment. Other than the compensation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initial public offering to continue the development of our existing clinical programs. In addition, we may use a portion of the net proceeds from our initial public offering to acquire technologies or businesses that are complementary to our own, but we currently have no commitments or agreements relating to any such transaction.</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280" w:right="339" w:bottom="1440" w:gutter="0" w:footer="0" w:header="0"/>
        </w:sectPr>
      </w:pPr>
    </w:p>
    <w:bookmarkStart w:id="34" w:name="page35"/>
    <w:bookmarkEnd w:id="34"/>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cannot specify with certainty all of the particular uses for the net proceeds received from our initial public offering.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initial public offering. Pending the uses described above, we plan to invest the net proceeds from our initial public offering in short-term, investment-grade, interest-bearing instruments.</w:t>
      </w:r>
    </w:p>
    <w:p>
      <w:pPr>
        <w:sectPr>
          <w:pgSz w:w="11900" w:h="16838" w:orient="portrait"/>
          <w:cols w:equalWidth="0" w:num="1">
            <w:col w:w="11420"/>
          </w:cols>
          <w:pgMar w:left="240" w:top="280"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3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360" w:type="dxa"/>
            <w:vAlign w:val="bottom"/>
          </w:tcPr>
          <w:p>
            <w:pPr>
              <w:spacing w:after="0"/>
              <w:rPr>
                <w:sz w:val="12"/>
                <w:szCs w:val="12"/>
                <w:color w:val="auto"/>
              </w:rPr>
            </w:pPr>
          </w:p>
        </w:tc>
      </w:tr>
      <w:tr>
        <w:trPr>
          <w:trHeight w:val="149"/>
        </w:trPr>
        <w:tc>
          <w:tcPr>
            <w:tcW w:w="11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3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11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1"/>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3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8"/>
              </w:rPr>
              <w:t>that may yet be</w:t>
            </w:r>
          </w:p>
        </w:tc>
      </w:tr>
      <w:tr>
        <w:trPr>
          <w:trHeight w:val="149"/>
        </w:trPr>
        <w:tc>
          <w:tcPr>
            <w:tcW w:w="11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3"/>
              </w:rPr>
              <w:t>Purchased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3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Purchased under</w:t>
            </w:r>
          </w:p>
        </w:tc>
      </w:tr>
      <w:tr>
        <w:trPr>
          <w:trHeight w:val="148"/>
        </w:trPr>
        <w:tc>
          <w:tcPr>
            <w:tcW w:w="1160" w:type="dxa"/>
            <w:vAlign w:val="bottom"/>
          </w:tcPr>
          <w:p>
            <w:pPr>
              <w:jc w:val="center"/>
              <w:ind w:right="292"/>
              <w:spacing w:after="0" w:line="148" w:lineRule="exact"/>
              <w:rPr>
                <w:sz w:val="20"/>
                <w:szCs w:val="20"/>
                <w:color w:val="auto"/>
              </w:rPr>
            </w:pPr>
            <w:r>
              <w:rPr>
                <w:rFonts w:ascii="Arial" w:cs="Arial" w:eastAsia="Arial" w:hAnsi="Arial"/>
                <w:sz w:val="14"/>
                <w:szCs w:val="14"/>
                <w:b w:val="1"/>
                <w:bCs w:val="1"/>
                <w:color w:val="auto"/>
                <w:w w:val="93"/>
              </w:rPr>
              <w:t>(#)(a)</w:t>
            </w:r>
          </w:p>
        </w:tc>
        <w:tc>
          <w:tcPr>
            <w:tcW w:w="1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(Japanese yen)</w:t>
            </w:r>
          </w:p>
        </w:tc>
        <w:tc>
          <w:tcPr>
            <w:tcW w:w="1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Program (#)(a)</w:t>
            </w:r>
          </w:p>
        </w:tc>
        <w:tc>
          <w:tcPr>
            <w:tcW w:w="1360" w:type="dxa"/>
            <w:vAlign w:val="bottom"/>
          </w:tcPr>
          <w:p>
            <w:pPr>
              <w:jc w:val="center"/>
              <w:ind w:left="232"/>
              <w:spacing w:after="0" w:line="148" w:lineRule="exact"/>
              <w:rPr>
                <w:sz w:val="20"/>
                <w:szCs w:val="20"/>
                <w:color w:val="auto"/>
              </w:rPr>
            </w:pPr>
            <w:r>
              <w:rPr>
                <w:rFonts w:ascii="Arial" w:cs="Arial" w:eastAsia="Arial" w:hAnsi="Arial"/>
                <w:sz w:val="14"/>
                <w:szCs w:val="14"/>
                <w:b w:val="1"/>
                <w:bCs w:val="1"/>
                <w:color w:val="auto"/>
                <w:w w:val="91"/>
              </w:rPr>
              <w:t>Our Program (#)</w:t>
            </w:r>
          </w:p>
        </w:tc>
      </w:tr>
    </w:tbl>
    <w:p>
      <w:pPr>
        <w:spacing w:after="0" w:line="1" w:lineRule="exact"/>
        <w:rPr>
          <w:sz w:val="20"/>
          <w:szCs w:val="20"/>
          <w:color w:val="auto"/>
        </w:rPr>
      </w:pPr>
    </w:p>
    <w:p>
      <w:pPr>
        <w:sectPr>
          <w:pgSz w:w="11900" w:h="16838" w:orient="portrait"/>
          <w:cols w:equalWidth="0" w:num="2">
            <w:col w:w="5000" w:space="720"/>
            <w:col w:w="570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2006</w:t>
            </w:r>
          </w:p>
        </w:tc>
        <w:tc>
          <w:tcPr>
            <w:tcW w:w="560" w:type="dxa"/>
            <w:vAlign w:val="bottom"/>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140" w:type="dxa"/>
            <w:vAlign w:val="bottom"/>
            <w:gridSpan w:val="3"/>
          </w:tcPr>
          <w:p>
            <w:pPr>
              <w:spacing w:after="0"/>
              <w:rPr>
                <w:sz w:val="20"/>
                <w:szCs w:val="20"/>
                <w:color w:val="auto"/>
              </w:rPr>
            </w:pPr>
            <w:r>
              <w:rPr>
                <w:rFonts w:ascii="Arial" w:cs="Arial" w:eastAsia="Arial" w:hAnsi="Arial"/>
                <w:sz w:val="18"/>
                <w:szCs w:val="18"/>
                <w:color w:val="auto"/>
              </w:rPr>
              <w:t>February 2006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332,000</w:t>
            </w:r>
          </w:p>
        </w:tc>
        <w:tc>
          <w:tcPr>
            <w:tcW w:w="56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126 yen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382,000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4,618,000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(approximately</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$1.08)</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3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416,000</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129 yen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(approximately</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$1.11)</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5140" w:type="dxa"/>
            <w:vAlign w:val="bottom"/>
            <w:gridSpan w:val="3"/>
          </w:tcPr>
          <w:p>
            <w:pPr>
              <w:spacing w:after="0"/>
              <w:rPr>
                <w:sz w:val="20"/>
                <w:szCs w:val="20"/>
                <w:color w:val="auto"/>
              </w:rPr>
            </w:pPr>
            <w:r>
              <w:rPr>
                <w:rFonts w:ascii="Arial" w:cs="Arial" w:eastAsia="Arial" w:hAnsi="Arial"/>
                <w:sz w:val="18"/>
                <w:szCs w:val="18"/>
                <w:color w:val="auto"/>
              </w:rPr>
              <w:t>April 2006</w:t>
            </w:r>
          </w:p>
        </w:tc>
        <w:tc>
          <w:tcPr>
            <w:tcW w:w="5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798,000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4,202,000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3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146 yen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(approximately</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$1.31)</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140" w:type="dxa"/>
            <w:vAlign w:val="bottom"/>
            <w:gridSpan w:val="3"/>
          </w:tcPr>
          <w:p>
            <w:pPr>
              <w:spacing w:after="0"/>
              <w:rPr>
                <w:sz w:val="20"/>
                <w:szCs w:val="20"/>
                <w:color w:val="auto"/>
              </w:rPr>
            </w:pPr>
            <w:r>
              <w:rPr>
                <w:rFonts w:ascii="Arial" w:cs="Arial" w:eastAsia="Arial" w:hAnsi="Arial"/>
                <w:sz w:val="18"/>
                <w:szCs w:val="18"/>
                <w:color w:val="auto"/>
              </w:rPr>
              <w:t>June 2006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139 yen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925,000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(approximately</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$1.26)</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3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130 yen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(approximately</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$1.13)</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94"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December 2005, our Board of Directors authorized the repurchase of up to 5.0 million shares of our common stock at an aggregate purchase price of up to 700.0 million Japanese yen. On June 14, 2006 our Board of Directors announced the extension of such repurchase program through December 31, 2006. We publicly announced the repurchase program in our press release dated December 5, 2005, which was attached as Exhibit 99.1 of our Current Report on Form 8-K filed with the SEC on December 5, 2005. We publicly announced the extension of such repurchase program in our press release dated June 14, 2006, which was attached as Exhibit 99.1 of our Current Report on Form 8-K filed with the SEC on June 16,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our Annual Meeting of Stockholders held May 4, 2006, Yuichi Iwaki, M.D., Ph.D., and Daniel Vapnek, Ph.D. were re-elected Class II Directors to serve until the Annual Meeting of Stockholders in 2009 or until their successors are duly elected. Also at the Annual Meeting, stockholders ratified the Board of Directors’ selection of Ernst &amp; Young LLP as our registered independent public accounting firm for the year ending December 31,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type w:val="continuous"/>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Votes were cast as follows: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Election of Directors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gridSpan w:val="2"/>
            <w:vMerge w:val="restart"/>
          </w:tcPr>
          <w:p>
            <w:pPr>
              <w:ind w:left="20"/>
              <w:spacing w:after="0"/>
              <w:rPr>
                <w:sz w:val="20"/>
                <w:szCs w:val="20"/>
                <w:color w:val="auto"/>
              </w:rPr>
            </w:pPr>
            <w:r>
              <w:rPr>
                <w:rFonts w:ascii="Arial" w:cs="Arial" w:eastAsia="Arial" w:hAnsi="Arial"/>
                <w:sz w:val="18"/>
                <w:szCs w:val="18"/>
                <w:color w:val="auto"/>
              </w:rPr>
              <w:t>Yuichi Iwaki M.D., Ph.D.</w:t>
            </w:r>
          </w:p>
        </w:tc>
        <w:tc>
          <w:tcPr>
            <w:tcW w:w="3240" w:type="dxa"/>
            <w:vAlign w:val="bottom"/>
          </w:tcPr>
          <w:p>
            <w:pPr>
              <w:spacing w:after="0"/>
              <w:rPr>
                <w:sz w:val="14"/>
                <w:szCs w:val="14"/>
                <w:color w:val="auto"/>
              </w:rPr>
            </w:pPr>
          </w:p>
        </w:tc>
        <w:tc>
          <w:tcPr>
            <w:tcW w:w="1440" w:type="dxa"/>
            <w:vAlign w:val="bottom"/>
            <w:gridSpan w:val="3"/>
          </w:tcPr>
          <w:p>
            <w:pPr>
              <w:ind w:left="420"/>
              <w:spacing w:after="0"/>
              <w:rPr>
                <w:sz w:val="20"/>
                <w:szCs w:val="20"/>
                <w:color w:val="auto"/>
              </w:rPr>
            </w:pPr>
            <w:r>
              <w:rPr>
                <w:rFonts w:ascii="Arial" w:cs="Arial" w:eastAsia="Arial" w:hAnsi="Arial"/>
                <w:sz w:val="14"/>
                <w:szCs w:val="14"/>
                <w:b w:val="1"/>
                <w:bCs w:val="1"/>
                <w:color w:val="auto"/>
              </w:rPr>
              <w:t>For</w:t>
            </w:r>
          </w:p>
        </w:tc>
        <w:tc>
          <w:tcPr>
            <w:tcW w:w="2560" w:type="dxa"/>
            <w:vAlign w:val="bottom"/>
            <w:gridSpan w:val="4"/>
          </w:tcPr>
          <w:p>
            <w:pPr>
              <w:ind w:left="200"/>
              <w:spacing w:after="0"/>
              <w:rPr>
                <w:sz w:val="20"/>
                <w:szCs w:val="20"/>
                <w:color w:val="auto"/>
              </w:rPr>
            </w:pPr>
            <w:r>
              <w:rPr>
                <w:rFonts w:ascii="Arial" w:cs="Arial" w:eastAsia="Arial" w:hAnsi="Arial"/>
                <w:sz w:val="14"/>
                <w:szCs w:val="14"/>
                <w:b w:val="1"/>
                <w:bCs w:val="1"/>
                <w:color w:val="auto"/>
              </w:rPr>
              <w:t>Withhold Authority</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3240" w:type="dxa"/>
            <w:vAlign w:val="bottom"/>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58,385,756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rPr>
              <w:t>785,000</w:t>
            </w:r>
          </w:p>
        </w:tc>
        <w:tc>
          <w:tcPr>
            <w:tcW w:w="6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Daniel Vapnek, Ph.D.</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58,404,756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766,000</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Ratification of Auditors</w:t>
            </w:r>
          </w:p>
        </w:tc>
        <w:tc>
          <w:tcPr>
            <w:tcW w:w="3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40" w:type="dxa"/>
            <w:vAlign w:val="bottom"/>
            <w:gridSpan w:val="3"/>
          </w:tcPr>
          <w:p>
            <w:pPr>
              <w:ind w:left="420"/>
              <w:spacing w:after="0"/>
              <w:rPr>
                <w:sz w:val="20"/>
                <w:szCs w:val="20"/>
                <w:color w:val="auto"/>
              </w:rPr>
            </w:pPr>
            <w:r>
              <w:rPr>
                <w:rFonts w:ascii="Arial" w:cs="Arial" w:eastAsia="Arial" w:hAnsi="Arial"/>
                <w:sz w:val="14"/>
                <w:szCs w:val="14"/>
                <w:b w:val="1"/>
                <w:bCs w:val="1"/>
                <w:color w:val="auto"/>
              </w:rPr>
              <w:t>For</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Against</w:t>
            </w: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58,970,756</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123,000</w:t>
            </w:r>
          </w:p>
        </w:tc>
        <w:tc>
          <w:tcPr>
            <w:tcW w:w="2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180" w:type="dxa"/>
            <w:vAlign w:val="bottom"/>
            <w:gridSpan w:val="4"/>
          </w:tcPr>
          <w:p>
            <w:pPr>
              <w:spacing w:after="0"/>
              <w:rPr>
                <w:sz w:val="20"/>
                <w:szCs w:val="20"/>
                <w:color w:val="auto"/>
              </w:rPr>
            </w:pPr>
            <w:r>
              <w:rPr>
                <w:rFonts w:ascii="Arial" w:cs="Arial" w:eastAsia="Arial" w:hAnsi="Arial"/>
                <w:sz w:val="18"/>
                <w:szCs w:val="18"/>
                <w:b w:val="1"/>
                <w:bCs w:val="1"/>
                <w:color w:val="auto"/>
              </w:rPr>
              <w:t>ITEM 5. OTHER INFORMATION.</w:t>
            </w:r>
          </w:p>
        </w:tc>
        <w:tc>
          <w:tcPr>
            <w:tcW w:w="3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2"/>
          </w:tcPr>
          <w:p>
            <w:pPr>
              <w:ind w:left="460"/>
              <w:spacing w:after="0"/>
              <w:rPr>
                <w:sz w:val="20"/>
                <w:szCs w:val="20"/>
                <w:color w:val="auto"/>
              </w:rPr>
            </w:pPr>
            <w:r>
              <w:rPr>
                <w:rFonts w:ascii="Arial" w:cs="Arial" w:eastAsia="Arial" w:hAnsi="Arial"/>
                <w:sz w:val="18"/>
                <w:szCs w:val="18"/>
                <w:color w:val="auto"/>
                <w:w w:val="87"/>
              </w:rPr>
              <w:t>None.</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3280" w:type="dxa"/>
            <w:vAlign w:val="bottom"/>
            <w:gridSpan w:val="2"/>
          </w:tcPr>
          <w:p>
            <w:pPr>
              <w:ind w:left="140"/>
              <w:spacing w:after="0"/>
              <w:rPr>
                <w:sz w:val="20"/>
                <w:szCs w:val="20"/>
                <w:color w:val="auto"/>
              </w:rPr>
            </w:pPr>
            <w:r>
              <w:rPr>
                <w:rFonts w:ascii="Arial" w:cs="Arial" w:eastAsia="Arial" w:hAnsi="Arial"/>
                <w:sz w:val="18"/>
                <w:szCs w:val="18"/>
                <w:b w:val="1"/>
                <w:bCs w:val="1"/>
                <w:color w:val="auto"/>
              </w:rPr>
              <w:t>6. EXHIBITS.</w:t>
            </w:r>
          </w:p>
        </w:tc>
        <w:tc>
          <w:tcPr>
            <w:tcW w:w="3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3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80" w:type="dxa"/>
            <w:vAlign w:val="bottom"/>
            <w:gridSpan w:val="5"/>
          </w:tcPr>
          <w:p>
            <w:pPr>
              <w:spacing w:after="0"/>
              <w:rPr>
                <w:sz w:val="20"/>
                <w:szCs w:val="20"/>
                <w:color w:val="auto"/>
              </w:rPr>
            </w:pPr>
            <w:r>
              <w:rPr>
                <w:rFonts w:ascii="Arial" w:cs="Arial" w:eastAsia="Arial" w:hAnsi="Arial"/>
                <w:sz w:val="18"/>
                <w:szCs w:val="18"/>
                <w:color w:val="auto"/>
                <w:w w:val="90"/>
              </w:rPr>
              <w:t>Certification of Principal Accounting Officer pursuant to Section 302 of the Sarbanes-Oxley Act of 2002.</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(Section 906 of the Sarbanes-Oxley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Act of 2002).</w:t>
            </w:r>
          </w:p>
        </w:tc>
        <w:tc>
          <w:tcPr>
            <w:tcW w:w="3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7"/>
              </w:rPr>
              <w:t>Certification of Principal Accounting Officer pursuant to 18 U.S.C. Section 1350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Pr>
          <w:p>
            <w:pPr>
              <w:jc w:val="right"/>
              <w:ind w:right="1532"/>
              <w:spacing w:after="0"/>
              <w:rPr>
                <w:sz w:val="20"/>
                <w:szCs w:val="20"/>
                <w:color w:val="auto"/>
              </w:rPr>
            </w:pPr>
            <w:r>
              <w:rPr>
                <w:rFonts w:ascii="Arial" w:cs="Arial" w:eastAsia="Arial" w:hAnsi="Arial"/>
                <w:sz w:val="18"/>
                <w:szCs w:val="18"/>
                <w:color w:val="auto"/>
              </w:rPr>
              <w:t>36</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480" w:val="left"/>
          <w:tab w:leader="none" w:pos="7840" w:val="left"/>
          <w:tab w:leader="none" w:pos="818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2"/>
          <w:szCs w:val="12"/>
          <w:b w:val="1"/>
          <w:bCs w:val="1"/>
          <w:color w:val="auto"/>
        </w:rPr>
        <w:t>Yuichi Iwaki, M.D., Ph.D. President and Chief Executive Officer and Acting Chief Financial</w:t>
      </w:r>
    </w:p>
    <w:p>
      <w:pPr>
        <w:spacing w:after="0" w:line="25" w:lineRule="exact"/>
        <w:rPr>
          <w:sz w:val="20"/>
          <w:szCs w:val="20"/>
          <w:color w:val="auto"/>
        </w:rPr>
      </w:pPr>
    </w:p>
    <w:p>
      <w:pPr>
        <w:jc w:val="center"/>
        <w:ind w:left="5960"/>
        <w:spacing w:after="0"/>
        <w:rPr>
          <w:sz w:val="20"/>
          <w:szCs w:val="20"/>
          <w:color w:val="auto"/>
        </w:rPr>
      </w:pPr>
      <w:r>
        <w:rPr>
          <w:rFonts w:ascii="Arial" w:cs="Arial" w:eastAsia="Arial" w:hAnsi="Arial"/>
          <w:sz w:val="12"/>
          <w:szCs w:val="12"/>
          <w:b w:val="1"/>
          <w:bCs w:val="1"/>
          <w:color w:val="auto"/>
        </w:rPr>
        <w:t>Officer (on behalf of the registrant and as the registrant’s Principal Executive Officer and</w:t>
      </w:r>
    </w:p>
    <w:p>
      <w:pPr>
        <w:spacing w:after="0" w:line="10"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74"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tcPr>
          <w:p>
            <w:pPr>
              <w:jc w:val="center"/>
              <w:ind w:right="1275"/>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24"/>
                <w:szCs w:val="24"/>
                <w:color w:val="auto"/>
              </w:rPr>
            </w:pPr>
          </w:p>
        </w:tc>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tcPr>
          <w:p>
            <w:pPr>
              <w:spacing w:after="0"/>
              <w:rPr>
                <w:sz w:val="13"/>
                <w:szCs w:val="13"/>
                <w:color w:val="auto"/>
              </w:rPr>
            </w:pPr>
          </w:p>
        </w:tc>
        <w:tc>
          <w:tcPr>
            <w:tcW w:w="10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(Section 906 of the Sarbanes-Oxley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Certification of Principal Accounting Officer pursuant to 18 U.S.C. Section 1350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President and Chief Executive Officer and Acting Chief Financial Officer of MediciNova, Inc., certify that:</w:t>
      </w:r>
    </w:p>
    <w:p>
      <w:pPr>
        <w:spacing w:after="0" w:line="90" w:lineRule="exact"/>
        <w:rPr>
          <w:sz w:val="20"/>
          <w:szCs w:val="20"/>
          <w:color w:val="auto"/>
        </w:rPr>
      </w:pPr>
    </w:p>
    <w:p>
      <w:pPr>
        <w:ind w:left="620" w:hanging="17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2006 of MediciNova, Inc. (the “Registrant”);</w:t>
      </w:r>
    </w:p>
    <w:p>
      <w:pPr>
        <w:spacing w:after="0" w:line="90" w:lineRule="exact"/>
        <w:rPr>
          <w:rFonts w:ascii="Arial" w:cs="Arial" w:eastAsia="Arial" w:hAnsi="Arial"/>
          <w:sz w:val="18"/>
          <w:szCs w:val="18"/>
          <w:color w:val="auto"/>
        </w:rPr>
      </w:pPr>
    </w:p>
    <w:p>
      <w:pPr>
        <w:ind w:right="120" w:firstLine="443"/>
        <w:spacing w:after="0" w:line="357" w:lineRule="auto"/>
        <w:tabs>
          <w:tab w:leader="none" w:pos="614"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32" w:lineRule="auto"/>
        <w:tabs>
          <w:tab w:leader="none" w:pos="614"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80" w:hanging="199"/>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460" w:right="420" w:firstLine="421"/>
        <w:spacing w:after="0" w:line="332" w:lineRule="auto"/>
        <w:tabs>
          <w:tab w:leader="none" w:pos="10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20" w:firstLine="443"/>
        <w:spacing w:after="0" w:line="332" w:lineRule="auto"/>
        <w:tabs>
          <w:tab w:leader="none" w:pos="61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700" w:firstLine="421"/>
        <w:spacing w:after="0" w:line="332" w:lineRule="auto"/>
        <w:tabs>
          <w:tab w:leader="none" w:pos="10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2006</w:t>
      </w:r>
    </w:p>
    <w:p>
      <w:pPr>
        <w:spacing w:after="0" w:line="225" w:lineRule="exact"/>
        <w:rPr>
          <w:sz w:val="20"/>
          <w:szCs w:val="20"/>
          <w:color w:val="auto"/>
        </w:rPr>
      </w:pPr>
    </w:p>
    <w:p>
      <w:pPr>
        <w:ind w:left="640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10795</wp:posOffset>
            </wp:positionV>
            <wp:extent cx="25126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jc w:val="center"/>
        <w:ind w:left="7500"/>
        <w:spacing w:after="0"/>
        <w:rPr>
          <w:sz w:val="20"/>
          <w:szCs w:val="20"/>
          <w:color w:val="auto"/>
        </w:rPr>
      </w:pPr>
      <w:r>
        <w:rPr>
          <w:rFonts w:ascii="Arial" w:cs="Arial" w:eastAsia="Arial" w:hAnsi="Arial"/>
          <w:sz w:val="14"/>
          <w:szCs w:val="14"/>
          <w:b w:val="1"/>
          <w:bCs w:val="1"/>
          <w:color w:val="auto"/>
        </w:rPr>
        <w:t>Yuichi Iwaki, M.D., Ph.D.</w:t>
      </w:r>
    </w:p>
    <w:p>
      <w:pPr>
        <w:jc w:val="center"/>
        <w:ind w:left="750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500"/>
        <w:spacing w:after="0" w:line="222" w:lineRule="auto"/>
        <w:rPr>
          <w:sz w:val="20"/>
          <w:szCs w:val="20"/>
          <w:color w:val="auto"/>
        </w:rPr>
      </w:pPr>
      <w:r>
        <w:rPr>
          <w:rFonts w:ascii="Arial" w:cs="Arial" w:eastAsia="Arial" w:hAnsi="Arial"/>
          <w:sz w:val="14"/>
          <w:szCs w:val="14"/>
          <w:b w:val="1"/>
          <w:bCs w:val="1"/>
          <w:color w:val="auto"/>
        </w:rPr>
        <w:t>and Acting Chief Financial Officer</w:t>
      </w:r>
    </w:p>
    <w:p>
      <w:pPr>
        <w:jc w:val="center"/>
        <w:ind w:left="7500"/>
        <w:spacing w:after="0" w:line="221" w:lineRule="auto"/>
        <w:rPr>
          <w:sz w:val="20"/>
          <w:szCs w:val="20"/>
          <w:color w:val="auto"/>
        </w:rPr>
      </w:pPr>
      <w:r>
        <w:rPr>
          <w:rFonts w:ascii="Arial" w:cs="Arial" w:eastAsia="Arial" w:hAnsi="Arial"/>
          <w:sz w:val="14"/>
          <w:szCs w:val="14"/>
          <w:b w:val="1"/>
          <w:bCs w:val="1"/>
          <w:color w:val="auto"/>
        </w:rPr>
        <w:t>(Principal Executive Officer and</w:t>
      </w:r>
    </w:p>
    <w:p>
      <w:pPr>
        <w:jc w:val="center"/>
        <w:ind w:left="750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0960"/>
          </w:cols>
          <w:pgMar w:left="70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the Principal Accounting Officer Pursuant to</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Accounting and Administration of MediciNova, Inc., certify that:</w:t>
      </w:r>
    </w:p>
    <w:p>
      <w:pPr>
        <w:spacing w:after="0" w:line="90" w:lineRule="exact"/>
        <w:rPr>
          <w:sz w:val="20"/>
          <w:szCs w:val="20"/>
          <w:color w:val="auto"/>
        </w:rPr>
      </w:pPr>
    </w:p>
    <w:p>
      <w:pPr>
        <w:ind w:left="620" w:hanging="1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2006 of MediciNova, Inc. (the “Registrant”);</w:t>
      </w:r>
    </w:p>
    <w:p>
      <w:pPr>
        <w:spacing w:after="0" w:line="90" w:lineRule="exact"/>
        <w:rPr>
          <w:rFonts w:ascii="Arial" w:cs="Arial" w:eastAsia="Arial" w:hAnsi="Arial"/>
          <w:sz w:val="18"/>
          <w:szCs w:val="18"/>
          <w:color w:val="auto"/>
        </w:rPr>
      </w:pPr>
    </w:p>
    <w:p>
      <w:pPr>
        <w:ind w:right="120" w:firstLine="443"/>
        <w:spacing w:after="0" w:line="357" w:lineRule="auto"/>
        <w:tabs>
          <w:tab w:leader="none" w:pos="614"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32" w:lineRule="auto"/>
        <w:tabs>
          <w:tab w:leader="none" w:pos="61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80" w:hanging="199"/>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460" w:right="420" w:firstLine="421"/>
        <w:spacing w:after="0" w:line="332"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20" w:firstLine="443"/>
        <w:spacing w:after="0" w:line="332" w:lineRule="auto"/>
        <w:tabs>
          <w:tab w:leader="none" w:pos="61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700" w:firstLine="421"/>
        <w:spacing w:after="0" w:line="332"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2006</w:t>
      </w:r>
    </w:p>
    <w:p>
      <w:pPr>
        <w:spacing w:after="0" w:line="225" w:lineRule="exact"/>
        <w:rPr>
          <w:sz w:val="20"/>
          <w:szCs w:val="20"/>
          <w:color w:val="auto"/>
        </w:rPr>
      </w:pPr>
    </w:p>
    <w:p>
      <w:pPr>
        <w:ind w:left="6400"/>
        <w:spacing w:after="0"/>
        <w:tabs>
          <w:tab w:leader="none" w:pos="800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10795</wp:posOffset>
            </wp:positionV>
            <wp:extent cx="25126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jc w:val="center"/>
        <w:ind w:left="7500"/>
        <w:spacing w:after="0"/>
        <w:rPr>
          <w:sz w:val="20"/>
          <w:szCs w:val="20"/>
          <w:color w:val="auto"/>
        </w:rPr>
      </w:pPr>
      <w:r>
        <w:rPr>
          <w:rFonts w:ascii="Arial" w:cs="Arial" w:eastAsia="Arial" w:hAnsi="Arial"/>
          <w:sz w:val="14"/>
          <w:szCs w:val="14"/>
          <w:b w:val="1"/>
          <w:bCs w:val="1"/>
          <w:color w:val="auto"/>
        </w:rPr>
        <w:t>Shintaro Asako</w:t>
      </w:r>
    </w:p>
    <w:p>
      <w:pPr>
        <w:jc w:val="center"/>
        <w:ind w:left="7500"/>
        <w:spacing w:after="0" w:line="223" w:lineRule="auto"/>
        <w:rPr>
          <w:sz w:val="20"/>
          <w:szCs w:val="20"/>
          <w:color w:val="auto"/>
        </w:rPr>
      </w:pPr>
      <w:r>
        <w:rPr>
          <w:rFonts w:ascii="Arial" w:cs="Arial" w:eastAsia="Arial" w:hAnsi="Arial"/>
          <w:sz w:val="14"/>
          <w:szCs w:val="14"/>
          <w:b w:val="1"/>
          <w:bCs w:val="1"/>
          <w:color w:val="auto"/>
        </w:rPr>
        <w:t>Vice President, Accounting and Administration</w:t>
      </w:r>
    </w:p>
    <w:p>
      <w:pPr>
        <w:jc w:val="center"/>
        <w:ind w:left="750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0960"/>
          </w:cols>
          <w:pgMar w:left="70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June 30, 2006 (the “Report”), I, Yuichi Iwaki, Chief Executive Officer and Acting Chief Financial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2006</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line="222" w:lineRule="auto"/>
        <w:rPr>
          <w:sz w:val="20"/>
          <w:szCs w:val="20"/>
          <w:color w:val="auto"/>
        </w:rPr>
      </w:pPr>
      <w:r>
        <w:rPr>
          <w:rFonts w:ascii="Arial" w:cs="Arial" w:eastAsia="Arial" w:hAnsi="Arial"/>
          <w:sz w:val="14"/>
          <w:szCs w:val="14"/>
          <w:b w:val="1"/>
          <w:bCs w:val="1"/>
          <w:color w:val="auto"/>
        </w:rPr>
        <w:t>and Acting Chief Financial Officer</w:t>
      </w:r>
    </w:p>
    <w:p>
      <w:pPr>
        <w:jc w:val="center"/>
        <w:ind w:left="7240"/>
        <w:spacing w:after="0" w:line="221" w:lineRule="auto"/>
        <w:rPr>
          <w:sz w:val="20"/>
          <w:szCs w:val="20"/>
          <w:color w:val="auto"/>
        </w:rPr>
      </w:pPr>
      <w:r>
        <w:rPr>
          <w:rFonts w:ascii="Arial" w:cs="Arial" w:eastAsia="Arial" w:hAnsi="Arial"/>
          <w:sz w:val="14"/>
          <w:szCs w:val="14"/>
          <w:b w:val="1"/>
          <w:bCs w:val="1"/>
          <w:color w:val="auto"/>
        </w:rPr>
        <w:t>(Principal Executive Officer and</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June 30, 2006 (the “Report”), I, Shintaro Asako, Vice President, Accounting and Administration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2006</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Accounting and</w:t>
      </w:r>
    </w:p>
    <w:p>
      <w:pPr>
        <w:jc w:val="center"/>
        <w:ind w:left="7240"/>
        <w:spacing w:after="0" w:line="222" w:lineRule="auto"/>
        <w:rPr>
          <w:sz w:val="20"/>
          <w:szCs w:val="20"/>
          <w:color w:val="auto"/>
        </w:rPr>
      </w:pPr>
      <w:r>
        <w:rPr>
          <w:rFonts w:ascii="Arial" w:cs="Arial" w:eastAsia="Arial" w:hAnsi="Arial"/>
          <w:sz w:val="14"/>
          <w:szCs w:val="14"/>
          <w:b w:val="1"/>
          <w:bCs w:val="1"/>
          <w:color w:val="auto"/>
        </w:rPr>
        <w:t>Administration</w:t>
      </w:r>
    </w:p>
    <w:p>
      <w:pPr>
        <w:jc w:val="center"/>
        <w:ind w:left="724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7"/>
    </w:lvl>
  </w:abstractNum>
  <w:abstractNum w:abstractNumId="5">
    <w:nsid w:val="436C6125"/>
    <w:multiLevelType w:val="hybridMultilevel"/>
    <w:lvl w:ilvl="0">
      <w:lvlJc w:val="left"/>
      <w:lvlText w:val="%1."/>
      <w:numFmt w:val="decimal"/>
      <w:start w:val="8"/>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2019-12-15T08:43:55Z</dcterms:created>
  <dcterms:modified xsi:type="dcterms:W3CDTF">2019-12-15T08:43:55Z</dcterms:modified>
</cp:coreProperties>
</file>