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48"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p>
      <w:pPr>
        <w:spacing w:after="0" w:line="104"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460" w:space="720"/>
            <w:col w:w="4040"/>
          </w:cols>
          <w:pgMar w:left="320" w:top="679"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type w:val="continuous"/>
        </w:sect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 w:type="dxa"/>
            <w:vAlign w:val="bottom"/>
          </w:tcPr>
          <w:p>
            <w:pPr>
              <w:spacing w:after="0"/>
              <w:rPr>
                <w:sz w:val="18"/>
                <w:szCs w:val="18"/>
                <w:color w:val="auto"/>
              </w:rPr>
            </w:pPr>
          </w:p>
        </w:tc>
        <w:tc>
          <w:tcPr>
            <w:tcW w:w="4140" w:type="dxa"/>
            <w:vAlign w:val="bottom"/>
            <w:gridSpan w:val="3"/>
          </w:tcPr>
          <w:p>
            <w:pPr>
              <w:jc w:val="center"/>
              <w:ind w:left="53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1879"/>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380" w:type="dxa"/>
            <w:vAlign w:val="bottom"/>
          </w:tcPr>
          <w:p>
            <w:pPr>
              <w:spacing w:after="0"/>
              <w:rPr>
                <w:sz w:val="12"/>
                <w:szCs w:val="12"/>
                <w:color w:val="auto"/>
              </w:rPr>
            </w:pPr>
          </w:p>
        </w:tc>
        <w:tc>
          <w:tcPr>
            <w:tcW w:w="4140" w:type="dxa"/>
            <w:vAlign w:val="bottom"/>
            <w:gridSpan w:val="3"/>
          </w:tcPr>
          <w:p>
            <w:pPr>
              <w:jc w:val="center"/>
              <w:ind w:left="5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jc w:val="center"/>
              <w:ind w:right="141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 w:type="dxa"/>
            <w:vAlign w:val="bottom"/>
          </w:tcPr>
          <w:p>
            <w:pPr>
              <w:spacing w:after="0"/>
              <w:rPr>
                <w:sz w:val="16"/>
                <w:szCs w:val="16"/>
                <w:color w:val="auto"/>
              </w:rPr>
            </w:pPr>
          </w:p>
        </w:tc>
        <w:tc>
          <w:tcPr>
            <w:tcW w:w="414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380" w:type="dxa"/>
            <w:vAlign w:val="bottom"/>
          </w:tcPr>
          <w:p>
            <w:pPr>
              <w:spacing w:after="0"/>
              <w:rPr>
                <w:sz w:val="24"/>
                <w:szCs w:val="24"/>
                <w:color w:val="auto"/>
              </w:rPr>
            </w:pPr>
          </w:p>
        </w:tc>
        <w:tc>
          <w:tcPr>
            <w:tcW w:w="4140" w:type="dxa"/>
            <w:vAlign w:val="bottom"/>
            <w:gridSpan w:val="3"/>
          </w:tcPr>
          <w:p>
            <w:pPr>
              <w:jc w:val="center"/>
              <w:ind w:left="559"/>
              <w:spacing w:after="0"/>
              <w:rPr>
                <w:sz w:val="20"/>
                <w:szCs w:val="20"/>
                <w:color w:val="auto"/>
              </w:rPr>
            </w:pPr>
            <w:r>
              <w:rPr>
                <w:rFonts w:ascii="Arial" w:cs="Arial" w:eastAsia="Arial" w:hAnsi="Arial"/>
                <w:sz w:val="18"/>
                <w:szCs w:val="18"/>
                <w:b w:val="1"/>
                <w:bCs w:val="1"/>
                <w:color w:val="auto"/>
                <w:w w:val="89"/>
              </w:rPr>
              <w:t>4275 Executive Square, Suite 300</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4140" w:type="dxa"/>
            <w:vAlign w:val="bottom"/>
            <w:gridSpan w:val="3"/>
          </w:tcPr>
          <w:p>
            <w:pPr>
              <w:jc w:val="center"/>
              <w:ind w:left="539"/>
              <w:spacing w:after="0"/>
              <w:rPr>
                <w:sz w:val="20"/>
                <w:szCs w:val="20"/>
                <w:color w:val="auto"/>
              </w:rPr>
            </w:pPr>
            <w:r>
              <w:rPr>
                <w:rFonts w:ascii="Arial" w:cs="Arial" w:eastAsia="Arial" w:hAnsi="Arial"/>
                <w:sz w:val="18"/>
                <w:szCs w:val="18"/>
                <w:b w:val="1"/>
                <w:bCs w:val="1"/>
                <w:color w:val="auto"/>
                <w:w w:val="93"/>
              </w:rPr>
              <w:t>La Jolla, CA</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right"/>
              <w:ind w:right="2079"/>
              <w:spacing w:after="0"/>
              <w:rPr>
                <w:sz w:val="20"/>
                <w:szCs w:val="20"/>
                <w:color w:val="auto"/>
              </w:rPr>
            </w:pPr>
            <w:r>
              <w:rPr>
                <w:rFonts w:ascii="Arial" w:cs="Arial" w:eastAsia="Arial" w:hAnsi="Arial"/>
                <w:sz w:val="18"/>
                <w:szCs w:val="18"/>
                <w:b w:val="1"/>
                <w:bCs w:val="1"/>
                <w:color w:val="auto"/>
              </w:rPr>
              <w:t>92037</w:t>
            </w:r>
          </w:p>
        </w:tc>
      </w:tr>
      <w:tr>
        <w:trPr>
          <w:trHeight w:val="186"/>
        </w:trPr>
        <w:tc>
          <w:tcPr>
            <w:tcW w:w="380" w:type="dxa"/>
            <w:vAlign w:val="bottom"/>
          </w:tcPr>
          <w:p>
            <w:pPr>
              <w:spacing w:after="0"/>
              <w:rPr>
                <w:sz w:val="16"/>
                <w:szCs w:val="16"/>
                <w:color w:val="auto"/>
              </w:rPr>
            </w:pPr>
          </w:p>
        </w:tc>
        <w:tc>
          <w:tcPr>
            <w:tcW w:w="414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439"/>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jc w:val="center"/>
              <w:ind w:right="67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100" w:type="dxa"/>
            <w:vAlign w:val="bottom"/>
            <w:gridSpan w:val="4"/>
          </w:tcPr>
          <w:p>
            <w:pPr>
              <w:jc w:val="center"/>
              <w:ind w:left="3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260" w:type="dxa"/>
            <w:vAlign w:val="bottom"/>
          </w:tcPr>
          <w:p>
            <w:pPr>
              <w:spacing w:after="0"/>
              <w:rPr>
                <w:sz w:val="18"/>
                <w:szCs w:val="18"/>
                <w:color w:val="auto"/>
              </w:rPr>
            </w:pPr>
          </w:p>
        </w:tc>
      </w:tr>
      <w:tr>
        <w:trPr>
          <w:trHeight w:val="425"/>
        </w:trPr>
        <w:tc>
          <w:tcPr>
            <w:tcW w:w="4520" w:type="dxa"/>
            <w:vAlign w:val="bottom"/>
            <w:gridSpan w:val="4"/>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414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2"/>
              </w:rPr>
              <w:t>Common Stock, $0.001 par value</w:t>
            </w:r>
          </w:p>
        </w:tc>
        <w:tc>
          <w:tcPr>
            <w:tcW w:w="31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MNOV</w:t>
            </w:r>
          </w:p>
        </w:tc>
        <w:tc>
          <w:tcPr>
            <w:tcW w:w="32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r>
        <w:trPr>
          <w:trHeight w:val="195"/>
        </w:trPr>
        <w:tc>
          <w:tcPr>
            <w:tcW w:w="38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(Title of each class)</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right="739"/>
              <w:spacing w:after="0" w:line="195" w:lineRule="exact"/>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(Name of each exchange on which</w:t>
            </w:r>
          </w:p>
        </w:tc>
      </w:tr>
      <w:tr>
        <w:trPr>
          <w:trHeight w:val="230"/>
        </w:trPr>
        <w:tc>
          <w:tcPr>
            <w:tcW w:w="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registered)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4" w:lineRule="exact"/>
        <w:rPr>
          <w:sz w:val="24"/>
          <w:szCs w:val="24"/>
          <w:color w:val="auto"/>
        </w:rPr>
      </w:pPr>
    </w:p>
    <w:p>
      <w:pPr>
        <w:ind w:right="100"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22" w:lineRule="exact"/>
        <w:rPr>
          <w:sz w:val="24"/>
          <w:szCs w:val="24"/>
          <w:color w:val="auto"/>
        </w:rPr>
      </w:pPr>
    </w:p>
    <w:p>
      <w:pPr>
        <w:spacing w:after="0" w:line="184" w:lineRule="exact"/>
        <w:tabs>
          <w:tab w:leader="none" w:pos="10140" w:val="left"/>
          <w:tab w:leader="none" w:pos="10780" w:val="left"/>
        </w:tabs>
        <w:rPr>
          <w:sz w:val="20"/>
          <w:szCs w:val="20"/>
          <w:color w:val="auto"/>
        </w:rPr>
      </w:pPr>
      <w:r>
        <w:rPr>
          <w:rFonts w:ascii="Arial" w:cs="Arial" w:eastAsia="Arial" w:hAnsi="Arial"/>
          <w:sz w:val="15"/>
          <w:szCs w:val="15"/>
          <w:color w:val="auto"/>
        </w:rPr>
        <w:t>Regulation S-T (§232.405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both"/>
        <w:ind w:right="26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343" w:lineRule="exact"/>
        <w:rPr>
          <w:sz w:val="24"/>
          <w:szCs w:val="24"/>
          <w:color w:val="auto"/>
        </w:rPr>
      </w:pPr>
    </w:p>
    <w:p>
      <w:pPr>
        <w:spacing w:after="0" w:line="184" w:lineRule="exact"/>
        <w:tabs>
          <w:tab w:leader="none" w:pos="2440" w:val="left"/>
          <w:tab w:leader="none" w:pos="7840" w:val="left"/>
          <w:tab w:leader="none" w:pos="108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type w:val="continuous"/>
        </w:sectPr>
      </w:pPr>
    </w:p>
    <w:bookmarkStart w:id="1" w:name="page2"/>
    <w:bookmarkEnd w:id="1"/>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0"/>
          <w:szCs w:val="20"/>
          <w:color w:val="auto"/>
        </w:rPr>
      </w:pPr>
    </w:p>
    <w:p>
      <w:pPr>
        <w:sectPr>
          <w:pgSz w:w="11900" w:h="16838" w:orient="portrait"/>
          <w:cols w:equalWidth="0" w:num="4">
            <w:col w:w="1760" w:space="720"/>
            <w:col w:w="4760" w:space="720"/>
            <w:col w:w="2280" w:space="720"/>
            <w:col w:w="140"/>
          </w:cols>
          <w:pgMar w:left="320" w:top="316" w:right="479" w:bottom="1440" w:gutter="0" w:footer="0" w:header="0"/>
        </w:sectPr>
      </w:pPr>
    </w:p>
    <w:p>
      <w:pPr>
        <w:spacing w:after="0" w:line="14" w:lineRule="exact"/>
        <w:rPr>
          <w:sz w:val="20"/>
          <w:szCs w:val="20"/>
          <w:color w:val="auto"/>
        </w:rPr>
      </w:pPr>
    </w:p>
    <w:p>
      <w:pPr>
        <w:ind w:left="7660"/>
        <w:spacing w:after="0" w:line="184" w:lineRule="exact"/>
        <w:tabs>
          <w:tab w:leader="none" w:pos="105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100"/>
          </w:cols>
          <w:pgMar w:left="320" w:top="316" w:right="47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w:t>
      </w:r>
    </w:p>
    <w:p>
      <w:pPr>
        <w:spacing w:after="0" w:line="24" w:lineRule="exact"/>
        <w:rPr>
          <w:sz w:val="20"/>
          <w:szCs w:val="20"/>
          <w:color w:val="auto"/>
        </w:rPr>
      </w:pPr>
    </w:p>
    <w:p>
      <w:pPr>
        <w:spacing w:after="0" w:line="184" w:lineRule="exact"/>
        <w:tabs>
          <w:tab w:leader="none" w:pos="7080" w:val="left"/>
        </w:tabs>
        <w:rPr>
          <w:sz w:val="20"/>
          <w:szCs w:val="20"/>
          <w:color w:val="auto"/>
        </w:rPr>
      </w:pPr>
      <w:r>
        <w:rPr>
          <w:rFonts w:ascii="Arial" w:cs="Arial" w:eastAsia="Arial" w:hAnsi="Arial"/>
          <w:sz w:val="16"/>
          <w:szCs w:val="16"/>
          <w:color w:val="auto"/>
        </w:rPr>
        <w:t>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187" w:lineRule="exact"/>
        <w:rPr>
          <w:sz w:val="20"/>
          <w:szCs w:val="20"/>
          <w:color w:val="auto"/>
        </w:rPr>
      </w:pPr>
    </w:p>
    <w:p>
      <w:pPr>
        <w:ind w:left="520" w:right="202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27, 2020, the registrant had 44,372,943 shares of Common Stock ($0.001 par value)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16" w:right="47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right="1800" w:hanging="606"/>
        <w:spacing w:after="0" w:line="308" w:lineRule="auto"/>
        <w:tabs>
          <w:tab w:leader="none" w:pos="11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widespread outbreak of an illness or any other communicable disease, such as COVID-19, or any other public health crisis, could adversely affect our business, results of operations and financial condition;</w:t>
      </w:r>
    </w:p>
    <w:p>
      <w:pPr>
        <w:spacing w:after="0" w:line="38" w:lineRule="exact"/>
        <w:rPr>
          <w:rFonts w:ascii="Arial" w:cs="Arial" w:eastAsia="Arial" w:hAnsi="Arial"/>
          <w:sz w:val="17"/>
          <w:szCs w:val="17"/>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30" w:lineRule="exact"/>
        <w:rPr>
          <w:rFonts w:ascii="Arial" w:cs="Arial" w:eastAsia="Arial" w:hAnsi="Arial"/>
          <w:sz w:val="18"/>
          <w:szCs w:val="18"/>
          <w:color w:val="auto"/>
        </w:rPr>
      </w:pPr>
    </w:p>
    <w:p>
      <w:pPr>
        <w:ind w:left="1100" w:right="148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89" w:lineRule="exact"/>
        <w:rPr>
          <w:rFonts w:ascii="Arial" w:cs="Arial" w:eastAsia="Arial" w:hAnsi="Arial"/>
          <w:sz w:val="18"/>
          <w:szCs w:val="18"/>
          <w:color w:val="auto"/>
        </w:rPr>
      </w:pPr>
    </w:p>
    <w:p>
      <w:pPr>
        <w:ind w:left="1100" w:right="19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30" w:lineRule="exact"/>
        <w:rPr>
          <w:rFonts w:ascii="Arial" w:cs="Arial" w:eastAsia="Arial" w:hAnsi="Arial"/>
          <w:sz w:val="18"/>
          <w:szCs w:val="18"/>
          <w:color w:val="auto"/>
        </w:rPr>
      </w:pPr>
    </w:p>
    <w:p>
      <w:pPr>
        <w:ind w:left="1100" w:right="190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30" w:lineRule="exact"/>
        <w:rPr>
          <w:rFonts w:ascii="Arial" w:cs="Arial" w:eastAsia="Arial" w:hAnsi="Arial"/>
          <w:sz w:val="18"/>
          <w:szCs w:val="18"/>
          <w:color w:val="auto"/>
        </w:rPr>
      </w:pPr>
    </w:p>
    <w:p>
      <w:pPr>
        <w:ind w:left="1100" w:right="19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 w:name="page4"/>
    <w:bookmarkEnd w:id="3"/>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86"/>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5"/>
          </w:cols>
          <w:pgMar w:left="814" w:top="44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420" w:type="dxa"/>
            <w:vAlign w:val="bottom"/>
          </w:tcPr>
          <w:p>
            <w:pPr>
              <w:ind w:left="3640"/>
              <w:spacing w:after="0"/>
              <w:rPr>
                <w:sz w:val="20"/>
                <w:szCs w:val="20"/>
                <w:color w:val="auto"/>
              </w:rPr>
            </w:pPr>
            <w:r>
              <w:rPr>
                <w:rFonts w:ascii="Arial" w:cs="Arial" w:eastAsia="Arial" w:hAnsi="Arial"/>
                <w:sz w:val="18"/>
                <w:szCs w:val="18"/>
                <w:b w:val="1"/>
                <w:bCs w:val="1"/>
                <w:color w:val="auto"/>
              </w:rPr>
              <w:t>MEDICINOVA, INC.</w:t>
            </w:r>
          </w:p>
        </w:tc>
        <w:tc>
          <w:tcPr>
            <w:tcW w:w="640" w:type="dxa"/>
            <w:vAlign w:val="bottom"/>
          </w:tcPr>
          <w:p>
            <w:pPr>
              <w:spacing w:after="0"/>
              <w:rPr>
                <w:sz w:val="20"/>
                <w:szCs w:val="20"/>
                <w:color w:val="auto"/>
              </w:rPr>
            </w:pPr>
          </w:p>
        </w:tc>
      </w:tr>
      <w:tr>
        <w:trPr>
          <w:trHeight w:val="432"/>
        </w:trPr>
        <w:tc>
          <w:tcPr>
            <w:tcW w:w="1160" w:type="dxa"/>
            <w:vAlign w:val="bottom"/>
          </w:tcPr>
          <w:p>
            <w:pPr>
              <w:spacing w:after="0"/>
              <w:rPr>
                <w:sz w:val="24"/>
                <w:szCs w:val="24"/>
                <w:color w:val="auto"/>
              </w:rPr>
            </w:pPr>
          </w:p>
        </w:tc>
        <w:tc>
          <w:tcPr>
            <w:tcW w:w="942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46"/>
        </w:trPr>
        <w:tc>
          <w:tcPr>
            <w:tcW w:w="1058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 FINANCIAL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4"/>
        </w:trPr>
        <w:tc>
          <w:tcPr>
            <w:tcW w:w="1160" w:type="dxa"/>
            <w:vAlign w:val="bottom"/>
          </w:tcPr>
          <w:p>
            <w:pPr>
              <w:ind w:left="120"/>
              <w:spacing w:after="0"/>
              <w:rPr>
                <w:sz w:val="20"/>
                <w:szCs w:val="20"/>
                <w:color w:val="auto"/>
              </w:rPr>
            </w:pPr>
            <w:r>
              <w:rPr>
                <w:rFonts w:ascii="Arial" w:cs="Arial" w:eastAsia="Arial" w:hAnsi="Arial"/>
                <w:sz w:val="18"/>
                <w:szCs w:val="18"/>
                <w:color w:val="auto"/>
              </w:rPr>
              <w:t>ITEM 1.</w:t>
            </w:r>
          </w:p>
        </w:tc>
        <w:tc>
          <w:tcPr>
            <w:tcW w:w="9420" w:type="dxa"/>
            <w:vAlign w:val="bottom"/>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FINANCIAL STATEMENTS (unaudited)</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2.</w:t>
            </w:r>
          </w:p>
        </w:tc>
        <w:tc>
          <w:tcPr>
            <w:tcW w:w="9420" w:type="dxa"/>
            <w:vAlign w:val="bottom"/>
          </w:tcPr>
          <w:p>
            <w:pPr>
              <w:ind w:left="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3.</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4.</w:t>
            </w:r>
          </w:p>
        </w:tc>
        <w:tc>
          <w:tcPr>
            <w:tcW w:w="9420" w:type="dxa"/>
            <w:vAlign w:val="bottom"/>
          </w:tcPr>
          <w:p>
            <w:pPr>
              <w:ind w:left="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65"/>
        </w:trPr>
        <w:tc>
          <w:tcPr>
            <w:tcW w:w="10580" w:type="dxa"/>
            <w:vAlign w:val="bottom"/>
            <w:gridSpan w:val="2"/>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PART II. 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4"/>
        </w:trPr>
        <w:tc>
          <w:tcPr>
            <w:tcW w:w="1160" w:type="dxa"/>
            <w:vAlign w:val="bottom"/>
          </w:tcPr>
          <w:p>
            <w:pPr>
              <w:ind w:left="120"/>
              <w:spacing w:after="0"/>
              <w:rPr>
                <w:sz w:val="20"/>
                <w:szCs w:val="20"/>
                <w:color w:val="auto"/>
              </w:rPr>
            </w:pPr>
            <w:r>
              <w:rPr>
                <w:rFonts w:ascii="Arial" w:cs="Arial" w:eastAsia="Arial" w:hAnsi="Arial"/>
                <w:sz w:val="18"/>
                <w:szCs w:val="18"/>
                <w:color w:val="auto"/>
              </w:rPr>
              <w:t>ITEM 1.</w:t>
            </w:r>
          </w:p>
        </w:tc>
        <w:tc>
          <w:tcPr>
            <w:tcW w:w="942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1A.</w:t>
            </w:r>
          </w:p>
        </w:tc>
        <w:tc>
          <w:tcPr>
            <w:tcW w:w="942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2.</w:t>
            </w:r>
          </w:p>
        </w:tc>
        <w:tc>
          <w:tcPr>
            <w:tcW w:w="942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3.</w:t>
            </w:r>
          </w:p>
        </w:tc>
        <w:tc>
          <w:tcPr>
            <w:tcW w:w="942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4.</w:t>
            </w:r>
          </w:p>
        </w:tc>
        <w:tc>
          <w:tcPr>
            <w:tcW w:w="942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160" w:type="dxa"/>
            <w:vAlign w:val="bottom"/>
          </w:tcPr>
          <w:p>
            <w:pPr>
              <w:ind w:left="120"/>
              <w:spacing w:after="0"/>
              <w:rPr>
                <w:sz w:val="20"/>
                <w:szCs w:val="20"/>
                <w:color w:val="auto"/>
              </w:rPr>
            </w:pPr>
            <w:r>
              <w:rPr>
                <w:rFonts w:ascii="Arial" w:cs="Arial" w:eastAsia="Arial" w:hAnsi="Arial"/>
                <w:sz w:val="18"/>
                <w:szCs w:val="18"/>
                <w:color w:val="auto"/>
              </w:rPr>
              <w:t>ITEM 5.</w:t>
            </w:r>
          </w:p>
        </w:tc>
        <w:tc>
          <w:tcPr>
            <w:tcW w:w="942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160" w:type="dxa"/>
            <w:vAlign w:val="bottom"/>
          </w:tcPr>
          <w:p>
            <w:pPr>
              <w:ind w:left="120"/>
              <w:spacing w:after="0"/>
              <w:rPr>
                <w:sz w:val="20"/>
                <w:szCs w:val="20"/>
                <w:color w:val="auto"/>
              </w:rPr>
            </w:pPr>
            <w:r>
              <w:rPr>
                <w:rFonts w:ascii="Arial" w:cs="Arial" w:eastAsia="Arial" w:hAnsi="Arial"/>
                <w:sz w:val="18"/>
                <w:szCs w:val="18"/>
                <w:color w:val="auto"/>
              </w:rPr>
              <w:t>ITEM 6.</w:t>
            </w:r>
          </w:p>
        </w:tc>
        <w:tc>
          <w:tcPr>
            <w:tcW w:w="9420" w:type="dxa"/>
            <w:vAlign w:val="bottom"/>
          </w:tcPr>
          <w:p>
            <w:pPr>
              <w:ind w:left="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160" w:type="dxa"/>
            <w:vAlign w:val="bottom"/>
          </w:tcPr>
          <w:p>
            <w:pPr>
              <w:spacing w:after="0"/>
              <w:rPr>
                <w:rFonts w:ascii="Arial" w:cs="Arial" w:eastAsia="Arial" w:hAnsi="Arial"/>
                <w:sz w:val="18"/>
                <w:szCs w:val="18"/>
                <w:u w:val="single" w:color="auto"/>
                <w:color w:val="0000EE"/>
                <w:w w:val="97"/>
              </w:rPr>
            </w:pPr>
            <w:hyperlink w:anchor="page24">
              <w:r>
                <w:rPr>
                  <w:rFonts w:ascii="Arial" w:cs="Arial" w:eastAsia="Arial" w:hAnsi="Arial"/>
                  <w:sz w:val="18"/>
                  <w:szCs w:val="18"/>
                  <w:u w:val="single" w:color="auto"/>
                  <w:color w:val="0000EE"/>
                  <w:w w:val="97"/>
                </w:rPr>
                <w:t>SIGNATURES</w:t>
              </w:r>
            </w:hyperlink>
          </w:p>
        </w:tc>
        <w:tc>
          <w:tcPr>
            <w:tcW w:w="94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320" w:type="dxa"/>
            <w:vAlign w:val="bottom"/>
          </w:tcPr>
          <w:p>
            <w:pPr>
              <w:jc w:val="center"/>
              <w:ind w:left="261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1120" w:type="dxa"/>
            <w:vAlign w:val="bottom"/>
          </w:tcPr>
          <w:p>
            <w:pPr>
              <w:spacing w:after="0"/>
              <w:rPr>
                <w:sz w:val="24"/>
                <w:szCs w:val="24"/>
                <w:color w:val="auto"/>
              </w:rPr>
            </w:pPr>
          </w:p>
        </w:tc>
        <w:tc>
          <w:tcPr>
            <w:tcW w:w="6320" w:type="dxa"/>
            <w:vAlign w:val="bottom"/>
          </w:tcPr>
          <w:p>
            <w:pPr>
              <w:jc w:val="center"/>
              <w:ind w:left="2610"/>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320" w:type="dxa"/>
            <w:vAlign w:val="bottom"/>
          </w:tcPr>
          <w:p>
            <w:pPr>
              <w:jc w:val="center"/>
              <w:ind w:left="255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0"/>
        </w:trPr>
        <w:tc>
          <w:tcPr>
            <w:tcW w:w="11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11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7"/>
                <w:szCs w:val="17"/>
                <w:color w:val="auto"/>
              </w:rPr>
            </w:pPr>
          </w:p>
        </w:tc>
      </w:tr>
      <w:tr>
        <w:trPr>
          <w:trHeight w:val="156"/>
        </w:trPr>
        <w:tc>
          <w:tcPr>
            <w:tcW w:w="11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60,440,450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63,792,657</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605,677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511,916</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61,046,127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64,304,573</w:t>
            </w:r>
          </w:p>
        </w:tc>
        <w:tc>
          <w:tcPr>
            <w:tcW w:w="8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40,550</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459,811</w:t>
            </w:r>
          </w:p>
        </w:tc>
        <w:tc>
          <w:tcPr>
            <w:tcW w:w="8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3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75,838,441</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79,205,174</w:t>
            </w:r>
          </w:p>
        </w:tc>
        <w:tc>
          <w:tcPr>
            <w:tcW w:w="80" w:type="dxa"/>
            <w:vAlign w:val="bottom"/>
            <w:tcBorders>
              <w:bottom w:val="single" w:sz="8" w:color="CFF0FC"/>
            </w:tcBorders>
          </w:tcPr>
          <w:p>
            <w:pPr>
              <w:spacing w:after="0"/>
              <w:rPr>
                <w:sz w:val="22"/>
                <w:szCs w:val="22"/>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7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576,506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451,326</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2,197,254</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1,776,912</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2,773,760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2,228,238</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Long-term deferred revenue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1,694,163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shd w:val="clear" w:color="auto" w:fill="CFF0FC"/>
          </w:tcPr>
          <w:p>
            <w:pPr>
              <w:spacing w:after="0"/>
              <w:rPr>
                <w:sz w:val="19"/>
                <w:szCs w:val="19"/>
                <w:color w:val="auto"/>
              </w:rPr>
            </w:pPr>
          </w:p>
        </w:tc>
      </w:tr>
      <w:tr>
        <w:trPr>
          <w:trHeight w:val="230"/>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186,358</w:t>
            </w:r>
          </w:p>
        </w:tc>
        <w:tc>
          <w:tcPr>
            <w:tcW w:w="80" w:type="dxa"/>
            <w:vAlign w:val="bottom"/>
            <w:tcBorders>
              <w:bottom w:val="single" w:sz="8" w:color="CFF0FC"/>
            </w:tcBorders>
          </w:tcPr>
          <w:p>
            <w:pPr>
              <w:spacing w:after="0"/>
              <w:rPr>
                <w:sz w:val="19"/>
                <w:szCs w:val="19"/>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4,745,498</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4,310,551</w:t>
            </w:r>
          </w:p>
        </w:tc>
        <w:tc>
          <w:tcPr>
            <w:tcW w:w="80" w:type="dxa"/>
            <w:vAlign w:val="bottom"/>
            <w:shd w:val="clear" w:color="auto" w:fill="CFF0FC"/>
          </w:tcPr>
          <w:p>
            <w:pPr>
              <w:spacing w:after="0"/>
              <w:rPr>
                <w:sz w:val="19"/>
                <w:szCs w:val="19"/>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Common stock, $0.001 par value; 100,000,000 shares authorized at June 30, 2020 and</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gridSpan w:val="2"/>
          </w:tcPr>
          <w:p>
            <w:pPr>
              <w:ind w:left="380"/>
              <w:spacing w:after="0"/>
              <w:rPr>
                <w:sz w:val="20"/>
                <w:szCs w:val="20"/>
                <w:color w:val="auto"/>
              </w:rPr>
            </w:pPr>
            <w:r>
              <w:rPr>
                <w:rFonts w:ascii="Arial" w:cs="Arial" w:eastAsia="Arial" w:hAnsi="Arial"/>
                <w:sz w:val="18"/>
                <w:szCs w:val="18"/>
                <w:color w:val="auto"/>
                <w:w w:val="90"/>
              </w:rPr>
              <w:t>December 31, 2019; 44,263,578 and 43,908,065 shares issued and outstanding at June 30, 2020</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and December 31, 2019, respectively</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43,908</w:t>
            </w:r>
          </w:p>
        </w:tc>
        <w:tc>
          <w:tcPr>
            <w:tcW w:w="80" w:type="dxa"/>
            <w:vAlign w:val="bottom"/>
          </w:tcPr>
          <w:p>
            <w:pPr>
              <w:spacing w:after="0"/>
              <w:rPr>
                <w:sz w:val="20"/>
                <w:szCs w:val="20"/>
                <w:color w:val="auto"/>
              </w:rPr>
            </w:pP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447,379,208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444,016,341</w:t>
            </w:r>
          </w:p>
        </w:tc>
        <w:tc>
          <w:tcPr>
            <w:tcW w:w="80" w:type="dxa"/>
            <w:vAlign w:val="bottom"/>
            <w:shd w:val="clear" w:color="auto" w:fill="CFF0FC"/>
          </w:tcPr>
          <w:p>
            <w:pPr>
              <w:spacing w:after="0"/>
              <w:rPr>
                <w:sz w:val="19"/>
                <w:szCs w:val="19"/>
                <w:color w:val="auto"/>
              </w:rPr>
            </w:pPr>
          </w:p>
        </w:tc>
      </w:tr>
      <w:tr>
        <w:trPr>
          <w:trHeight w:val="229"/>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(92,796)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(92,681)</w:t>
            </w:r>
          </w:p>
        </w:tc>
      </w:tr>
      <w:tr>
        <w:trPr>
          <w:trHeight w:val="230"/>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(376,237,733)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(369,072,945)</w:t>
            </w:r>
          </w:p>
        </w:tc>
      </w:tr>
      <w:tr>
        <w:trPr>
          <w:trHeight w:val="223"/>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71,092,943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74,894,623</w:t>
            </w:r>
          </w:p>
        </w:tc>
        <w:tc>
          <w:tcPr>
            <w:tcW w:w="80" w:type="dxa"/>
            <w:vAlign w:val="bottom"/>
            <w:tcBorders>
              <w:bottom w:val="single" w:sz="8" w:color="CFF0FC"/>
            </w:tcBorders>
          </w:tcPr>
          <w:p>
            <w:pPr>
              <w:spacing w:after="0"/>
              <w:rPr>
                <w:sz w:val="19"/>
                <w:szCs w:val="19"/>
                <w:color w:val="auto"/>
              </w:rPr>
            </w:pPr>
          </w:p>
        </w:tc>
      </w:tr>
      <w:tr>
        <w:trPr>
          <w:trHeight w:val="223"/>
        </w:trPr>
        <w:tc>
          <w:tcPr>
            <w:tcW w:w="74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75,838,441</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79,205,174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6"/>
          </w:tcPr>
          <w:p>
            <w:pPr>
              <w:jc w:val="right"/>
              <w:ind w:right="80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1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2,199,036</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1,465,512</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3,449,781</w:t>
            </w:r>
          </w:p>
        </w:tc>
        <w:tc>
          <w:tcPr>
            <w:tcW w:w="24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3,099,390</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2,311,330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2,716,509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3,985,084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6,061,990</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4,510,366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7,434,865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9,161,380</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(4,510,366)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(4,182,021)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(7,434,865)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(9,161,380)</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63,691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307,574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286,971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611,819</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(4,554)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(7,429)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(16,894)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(29,505)</w:t>
            </w:r>
          </w:p>
        </w:tc>
      </w:tr>
      <w:tr>
        <w:trPr>
          <w:trHeight w:val="26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2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(4,451,229</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(3,881,876</w:t>
            </w: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(7,164,788)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(8,579,066</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FF0FC"/>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44,091,568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43,069,007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44,020,429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42,770,117</w:t>
            </w:r>
          </w:p>
        </w:tc>
        <w:tc>
          <w:tcPr>
            <w:tcW w:w="100" w:type="dxa"/>
            <w:vAlign w:val="bottom"/>
          </w:tcPr>
          <w:p>
            <w:pPr>
              <w:spacing w:after="0"/>
              <w:rPr>
                <w:sz w:val="20"/>
                <w:szCs w:val="20"/>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(4,451,229)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(3,881,876)</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(7,164,788)</w:t>
            </w: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(8,579,066)</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Comprehensive loss</w:t>
            </w: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(4,451,224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(3,878,521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(7,164,903)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(8,577,492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3"/>
              </w:rPr>
              <w:t>Six Months Ended June 30, 2020</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340" w:type="dxa"/>
            <w:vAlign w:val="bottom"/>
            <w:gridSpan w:val="2"/>
          </w:tcPr>
          <w:p>
            <w:pPr>
              <w:ind w:left="3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2019</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43,908,065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43,908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444,016,341</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(92,681)</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(369,072,945)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74,894,623</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596,378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596,378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purchase plan (ESPP)</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equity distribution</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200" w:type="dxa"/>
            <w:vAlign w:val="bottom"/>
          </w:tcPr>
          <w:p>
            <w:pPr>
              <w:jc w:val="right"/>
              <w:spacing w:after="0"/>
              <w:rPr>
                <w:sz w:val="20"/>
                <w:szCs w:val="20"/>
                <w:color w:val="auto"/>
              </w:rPr>
            </w:pPr>
            <w:r>
              <w:rPr>
                <w:rFonts w:ascii="Arial" w:cs="Arial" w:eastAsia="Arial" w:hAnsi="Arial"/>
                <w:sz w:val="14"/>
                <w:szCs w:val="14"/>
                <w:color w:val="auto"/>
              </w:rPr>
              <w:t>68,952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412,623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412,692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(2,713,559)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(2,713,559)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2020</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43,978,996</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43,979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445,031,594</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(92,801)</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(371,786,504)</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73,196,268</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1,147,154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1,147,154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143,863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438,118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438,262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equity distribution</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200" w:type="dxa"/>
            <w:vAlign w:val="bottom"/>
          </w:tcPr>
          <w:p>
            <w:pPr>
              <w:jc w:val="right"/>
              <w:spacing w:after="0"/>
              <w:rPr>
                <w:sz w:val="20"/>
                <w:szCs w:val="20"/>
                <w:color w:val="auto"/>
              </w:rPr>
            </w:pPr>
            <w:r>
              <w:rPr>
                <w:rFonts w:ascii="Arial" w:cs="Arial" w:eastAsia="Arial" w:hAnsi="Arial"/>
                <w:sz w:val="14"/>
                <w:szCs w:val="14"/>
                <w:color w:val="auto"/>
              </w:rPr>
              <w:t>140,719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762,342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(4,451,229)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(4,451,229)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2020</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44,263,578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420" w:type="dxa"/>
            <w:vAlign w:val="bottom"/>
            <w:tcBorders>
              <w:top w:val="single" w:sz="8" w:color="auto"/>
              <w:bottom w:val="single" w:sz="8" w:color="auto"/>
            </w:tcBorders>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44,264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447,379,208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(92,796)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gridSpan w:val="2"/>
            <w:shd w:val="clear" w:color="auto" w:fill="CFF0FC"/>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(376,237,733)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FF0FC"/>
          </w:tcPr>
          <w:p>
            <w:pPr>
              <w:jc w:val="right"/>
              <w:ind w:right="3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71,092,943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3"/>
              </w:rPr>
              <w:t>Six Months Ended June 30, 2019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200" w:type="dxa"/>
            <w:vAlign w:val="bottom"/>
            <w:vMerge w:val="restart"/>
          </w:tcPr>
          <w:p>
            <w:pPr>
              <w:ind w:left="260"/>
              <w:spacing w:after="0"/>
              <w:rPr>
                <w:sz w:val="20"/>
                <w:szCs w:val="20"/>
                <w:color w:val="auto"/>
              </w:rPr>
            </w:pPr>
            <w:r>
              <w:rPr>
                <w:rFonts w:ascii="Arial" w:cs="Arial" w:eastAsia="Arial" w:hAnsi="Arial"/>
                <w:sz w:val="14"/>
                <w:szCs w:val="14"/>
                <w:color w:val="auto"/>
              </w:rPr>
              <w:t>Balance at December 31, 2018</w:t>
            </w:r>
          </w:p>
        </w:tc>
        <w:tc>
          <w:tcPr>
            <w:tcW w:w="1340" w:type="dxa"/>
            <w:vAlign w:val="bottom"/>
            <w:gridSpan w:val="2"/>
          </w:tcPr>
          <w:p>
            <w:pPr>
              <w:ind w:left="3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3200" w:type="dxa"/>
            <w:vAlign w:val="bottom"/>
            <w:vMerge w:val="continue"/>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42,081,306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42,081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429,289,968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(93,150)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(356,131,287)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73,107,612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2,699,500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2,699,500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spacing w:after="0"/>
              <w:rPr>
                <w:sz w:val="20"/>
                <w:szCs w:val="20"/>
                <w:color w:val="auto"/>
              </w:rPr>
            </w:pPr>
            <w:r>
              <w:rPr>
                <w:rFonts w:ascii="Arial" w:cs="Arial" w:eastAsia="Arial" w:hAnsi="Arial"/>
                <w:sz w:val="14"/>
                <w:szCs w:val="14"/>
                <w:color w:val="auto"/>
              </w:rPr>
              <w:t>purchase plan</w:t>
            </w:r>
          </w:p>
        </w:tc>
        <w:tc>
          <w:tcPr>
            <w:tcW w:w="1200" w:type="dxa"/>
            <w:vAlign w:val="bottom"/>
          </w:tcPr>
          <w:p>
            <w:pPr>
              <w:jc w:val="right"/>
              <w:spacing w:after="0"/>
              <w:rPr>
                <w:sz w:val="20"/>
                <w:szCs w:val="20"/>
                <w:color w:val="auto"/>
              </w:rPr>
            </w:pPr>
            <w:r>
              <w:rPr>
                <w:rFonts w:ascii="Arial" w:cs="Arial" w:eastAsia="Arial" w:hAnsi="Arial"/>
                <w:sz w:val="14"/>
                <w:szCs w:val="14"/>
                <w:color w:val="auto"/>
              </w:rPr>
              <w:t>2,401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equity distribution</w:t>
            </w: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(8,532)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(8,532)</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1200" w:type="dxa"/>
            <w:vAlign w:val="bottom"/>
          </w:tcPr>
          <w:p>
            <w:pPr>
              <w:jc w:val="right"/>
              <w:spacing w:after="0"/>
              <w:rPr>
                <w:sz w:val="20"/>
                <w:szCs w:val="20"/>
                <w:color w:val="auto"/>
              </w:rPr>
            </w:pPr>
            <w:r>
              <w:rPr>
                <w:rFonts w:ascii="Arial" w:cs="Arial" w:eastAsia="Arial" w:hAnsi="Arial"/>
                <w:sz w:val="14"/>
                <w:szCs w:val="14"/>
                <w:color w:val="auto"/>
              </w:rPr>
              <w:t>977,454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3,919,757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3,920,735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(4,697,190)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(4,697,190)</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(1,781)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(1,781)</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2019</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43,061,161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43,061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435,917,594</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(94,931)</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(360,828,477)</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75,037,247</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1,842,514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1,842,514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180,332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180,370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(3,881,876)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(3,881,876)</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Pr>
          <w:p>
            <w:pPr>
              <w:ind w:left="260"/>
              <w:spacing w:after="0" w:line="155" w:lineRule="exact"/>
              <w:rPr>
                <w:sz w:val="20"/>
                <w:szCs w:val="20"/>
                <w:color w:val="auto"/>
              </w:rPr>
            </w:pPr>
            <w:r>
              <w:rPr>
                <w:rFonts w:ascii="Arial" w:cs="Arial" w:eastAsia="Arial" w:hAnsi="Arial"/>
                <w:sz w:val="14"/>
                <w:szCs w:val="14"/>
                <w:color w:val="auto"/>
              </w:rPr>
              <w:t>Balance at June 30, 2019</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43,099,161</w:t>
            </w:r>
          </w:p>
        </w:tc>
        <w:tc>
          <w:tcPr>
            <w:tcW w:w="14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43,099</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437,940,440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(91,576)</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(364,710,353)</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gridSpan w:val="2"/>
          </w:tcPr>
          <w:p>
            <w:pPr>
              <w:jc w:val="right"/>
              <w:ind w:right="3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73,181,610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3760"/>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(7,164,788)</w:t>
            </w: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(8,579,066)</w:t>
            </w:r>
          </w:p>
        </w:tc>
        <w:tc>
          <w:tcPr>
            <w:tcW w:w="0" w:type="dxa"/>
            <w:vAlign w:val="bottom"/>
          </w:tcPr>
          <w:p>
            <w:pPr>
              <w:spacing w:after="0"/>
              <w:rPr>
                <w:sz w:val="1"/>
                <w:szCs w:val="1"/>
                <w:color w:val="auto"/>
              </w:rPr>
            </w:pPr>
          </w:p>
        </w:tc>
      </w:tr>
      <w:tr>
        <w:trPr>
          <w:trHeight w:val="215"/>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1,743,532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4,542,014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(508,053)</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433,224</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(148,832)</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(4,969,179)</w:t>
            </w:r>
          </w:p>
        </w:tc>
        <w:tc>
          <w:tcPr>
            <w:tcW w:w="1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(4,681,600)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(2,604)</w:t>
            </w: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1,613,437</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4,092,573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1,619,691</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(3,352,207)</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63,792,657</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62,313,418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60,440,450</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61,737,842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480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developing novel, small molecule therapeutics for the treatment of serious diseases with unmet medical needs with a commercial focus on the United States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as well as for acute respiratory distress syndrome (ARDS),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2019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2019 has been derived from the audited financial statements at that date but does not include all the information and footnotes required by GAAP for complete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457"/>
        <w:spacing w:after="0" w:line="277" w:lineRule="auto"/>
        <w:rPr>
          <w:sz w:val="20"/>
          <w:szCs w:val="20"/>
          <w:color w:val="auto"/>
        </w:rPr>
      </w:pPr>
      <w:r>
        <w:rPr>
          <w:rFonts w:ascii="Arial" w:cs="Arial" w:eastAsia="Arial" w:hAnsi="Arial"/>
          <w:sz w:val="18"/>
          <w:szCs w:val="18"/>
          <w:color w:val="auto"/>
        </w:rPr>
        <w:t>The consolidated financial statements include the accounts of MediciNova, Inc. and its wholly owned subsidiaries. All intercompany transactions and balances are eliminated in consolidation.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0" w:firstLine="457"/>
        <w:spacing w:after="0" w:line="277" w:lineRule="auto"/>
        <w:rPr>
          <w:sz w:val="20"/>
          <w:szCs w:val="20"/>
          <w:color w:val="auto"/>
        </w:rPr>
      </w:pPr>
      <w:r>
        <w:rPr>
          <w:rFonts w:ascii="Arial" w:cs="Arial" w:eastAsia="Arial" w:hAnsi="Arial"/>
          <w:sz w:val="18"/>
          <w:szCs w:val="18"/>
          <w:color w:val="auto"/>
        </w:rPr>
        <w:t>The Company operates in a single operating segment – the acquisition and development of small molecule therapeutics for the treatment of serious diseases with unmet medical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and cash equivalents consist of cash and other highly liquid investments including money market accounts.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80" w:firstLine="595"/>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$2.1 million and $1.4 million for the three months ended June 30, 2020 and 2019, respectively and $3.3 million and $2.9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right="80" w:firstLine="595"/>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June 30, 2020 and 2019, respectively and $0.2 million for each of the six months ended June 30, 2020 and 2019,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100" w:firstLine="578"/>
        <w:spacing w:after="0" w:line="254" w:lineRule="auto"/>
        <w:rPr>
          <w:sz w:val="20"/>
          <w:szCs w:val="20"/>
          <w:color w:val="auto"/>
        </w:rPr>
      </w:pPr>
      <w:r>
        <w:rPr>
          <w:rFonts w:ascii="Arial" w:cs="Arial" w:eastAsia="Arial" w:hAnsi="Arial"/>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the Company’s Business</w:t>
      </w:r>
    </w:p>
    <w:p>
      <w:pPr>
        <w:spacing w:after="0" w:line="22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 clinical trial to evaluate MN-166 (ibudilast) for prevention of acute respiratory distress syndrome (ARDS) caused by COVID-19, which was based on positive results of a recently published study of MN-166 (ibudilast) in an animal model of ARDS. During the pandemic, the Company has been able to continue with routine regulatory activities. For example, the Company successfully submitted an Investigational New Drug Application (IND) for MN-166 (ibudilast) for prevention of Acute Respiratory Distress Syndrome (ARDS) which was accepted and is now open with the U.S. Food and Drug Administration (FDA). The Company was also informed by the FDA that the proposed clinical investigation of MN-166 (ibudilast) for the prevention of ARDS in patients with COVID-19 may proceed.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510"/>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464"/>
        <w:spacing w:after="0" w:line="254" w:lineRule="auto"/>
        <w:rPr>
          <w:sz w:val="20"/>
          <w:szCs w:val="20"/>
          <w:color w:val="auto"/>
        </w:rPr>
      </w:pPr>
      <w:r>
        <w:rPr>
          <w:rFonts w:ascii="Arial" w:cs="Arial" w:eastAsia="Arial" w:hAnsi="Arial"/>
          <w:sz w:val="18"/>
          <w:szCs w:val="18"/>
          <w:color w:val="auto"/>
        </w:rPr>
        <w:t xml:space="preserve">In August 2018, the Financial Accounting Standards Board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that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calculated for recurring and nonrecurring Level 3 fair value measurements. The amendment was effective for fiscal years beginning after December 15, 2019 and interim periods within that fiscal year with early adoption permitted. The Company adopted ASU 2018-13 on January 1, 2020 with no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firstLine="667"/>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40" w:firstLine="667"/>
        <w:spacing w:after="0" w:line="269"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(bedoradrine)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June 30, 2020. The amount received from Kissei and allocated, net of the amount recorded as revenue, is included on the balance sheet as long-term deferred revenue and will be recognized as revenue as the remaining performance obligation is satisfied. No revenue was recognized for the three and six months ended June 30, 2020 and 2019 in connection with the collaboration agreement with Kissei.</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20" w:right="82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Cash equivalents, including money market accounts of $694,042 and $691,649 measured at fair value as of June 30, 2020 and December 31, 2019, respectively, are classified within Level 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2020, 2,833,135 shares remain available for future grants under the 2013 Plan.</w:t>
      </w:r>
    </w:p>
    <w:p>
      <w:pPr>
        <w:spacing w:after="0" w:line="16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ind w:right="220"/>
        <w:spacing w:after="0" w:line="277" w:lineRule="auto"/>
        <w:rPr>
          <w:sz w:val="20"/>
          <w:szCs w:val="20"/>
          <w:color w:val="auto"/>
        </w:rPr>
      </w:pPr>
      <w:r>
        <w:rPr>
          <w:rFonts w:ascii="Arial" w:cs="Arial" w:eastAsia="Arial" w:hAnsi="Arial"/>
          <w:sz w:val="18"/>
          <w:szCs w:val="18"/>
          <w:color w:val="auto"/>
        </w:rPr>
        <w:t>date of such awards is the date on which the board of directors makes its determination. For periods preceding the grant date, the expense related to these awards is measured based on their fair value at each reporting date.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unless earlier terminated and generally vest over a three or four year period. The exercise price of all options granted through June 30, 2020 and in 2019, was equal to the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2020 is as follows:</w:t>
      </w:r>
    </w:p>
    <w:p>
      <w:pPr>
        <w:spacing w:after="0" w:line="21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6,802,093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1,331,000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(143,863)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Cancelled</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(379,843)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2020</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7,609,387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Exercisable at June 30, 2020</w:t>
            </w: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6,285,887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For the six months ended June 30, 2020, an aggregate of 1,979 shares were issued under the ESPP. As of June 30, 2020, there were 215,957 shares available for future issuance under the ESPP.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stock-based compensation expenses for the three and six months ended June 30, 2020 and 2019, respectively: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1"/>
              </w:rPr>
              <w:t>Three months ended</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349,294</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540,591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511,991</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1,333,648</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797,860</w:t>
            </w:r>
          </w:p>
        </w:tc>
        <w:tc>
          <w:tcPr>
            <w:tcW w:w="1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1,301,923</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1,231,541</w:t>
            </w:r>
          </w:p>
        </w:tc>
        <w:tc>
          <w:tcPr>
            <w:tcW w:w="1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3,208,366</w:t>
            </w:r>
          </w:p>
        </w:tc>
        <w:tc>
          <w:tcPr>
            <w:tcW w:w="100" w:type="dxa"/>
            <w:vAlign w:val="bottom"/>
            <w:tcBorders>
              <w:bottom w:val="single" w:sz="8" w:color="CFF0FC"/>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w w:val="94"/>
              </w:rPr>
              <w:t>Total stock-based compensation expense</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1,147,154</w:t>
            </w:r>
          </w:p>
        </w:tc>
        <w:tc>
          <w:tcPr>
            <w:tcW w:w="160" w:type="dxa"/>
            <w:vAlign w:val="bottom"/>
            <w:shd w:val="clear" w:color="auto" w:fill="CFF0FC"/>
          </w:tcPr>
          <w:p>
            <w:pPr>
              <w:spacing w:after="0"/>
              <w:rPr>
                <w:sz w:val="19"/>
                <w:szCs w:val="19"/>
                <w:color w:val="auto"/>
              </w:rPr>
            </w:pPr>
          </w:p>
        </w:tc>
        <w:tc>
          <w:tcPr>
            <w:tcW w:w="580" w:type="dxa"/>
            <w:vAlign w:val="bottom"/>
            <w:vMerge w:val="restart"/>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1,842,514</w:t>
            </w:r>
          </w:p>
        </w:tc>
        <w:tc>
          <w:tcPr>
            <w:tcW w:w="160" w:type="dxa"/>
            <w:vAlign w:val="bottom"/>
            <w:shd w:val="clear" w:color="auto" w:fill="CFF0FC"/>
          </w:tcPr>
          <w:p>
            <w:pPr>
              <w:spacing w:after="0"/>
              <w:rPr>
                <w:sz w:val="19"/>
                <w:szCs w:val="19"/>
                <w:color w:val="auto"/>
              </w:rPr>
            </w:pPr>
          </w:p>
        </w:tc>
        <w:tc>
          <w:tcPr>
            <w:tcW w:w="320" w:type="dxa"/>
            <w:vAlign w:val="bottom"/>
            <w:vMerge w:val="restart"/>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1,743,532</w:t>
            </w:r>
          </w:p>
        </w:tc>
        <w:tc>
          <w:tcPr>
            <w:tcW w:w="160" w:type="dxa"/>
            <w:vAlign w:val="bottom"/>
            <w:shd w:val="clear" w:color="auto" w:fill="CFF0FC"/>
          </w:tcPr>
          <w:p>
            <w:pPr>
              <w:spacing w:after="0"/>
              <w:rPr>
                <w:sz w:val="19"/>
                <w:szCs w:val="19"/>
                <w:color w:val="auto"/>
              </w:rPr>
            </w:pP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4,542,014</w:t>
            </w:r>
          </w:p>
        </w:tc>
        <w:tc>
          <w:tcPr>
            <w:tcW w:w="10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3160" w:type="dxa"/>
            <w:vAlign w:val="bottom"/>
            <w:tcBorders>
              <w:bottom w:val="single" w:sz="8" w:color="CFF0FC"/>
            </w:tcBorders>
            <w:shd w:val="clear" w:color="auto" w:fill="CFF0FC"/>
          </w:tcPr>
          <w:p>
            <w:pPr>
              <w:spacing w:after="0"/>
              <w:rPr>
                <w:sz w:val="5"/>
                <w:szCs w:val="5"/>
                <w:color w:val="auto"/>
              </w:rPr>
            </w:pPr>
          </w:p>
        </w:tc>
        <w:tc>
          <w:tcPr>
            <w:tcW w:w="360" w:type="dxa"/>
            <w:vAlign w:val="bottom"/>
            <w:tcBorders>
              <w:bottom w:val="single" w:sz="8" w:color="auto"/>
            </w:tcBorders>
            <w:vMerge w:val="continue"/>
            <w:shd w:val="clear" w:color="auto" w:fill="CFF0FC"/>
          </w:tcPr>
          <w:p>
            <w:pPr>
              <w:spacing w:after="0"/>
              <w:rPr>
                <w:sz w:val="5"/>
                <w:szCs w:val="5"/>
                <w:color w:val="auto"/>
              </w:rPr>
            </w:pPr>
          </w:p>
        </w:tc>
        <w:tc>
          <w:tcPr>
            <w:tcW w:w="1200" w:type="dxa"/>
            <w:vAlign w:val="bottom"/>
            <w:tcBorders>
              <w:bottom w:val="single" w:sz="8" w:color="auto"/>
            </w:tcBorders>
            <w:vMerge w:val="continue"/>
            <w:shd w:val="clear" w:color="auto" w:fill="CFF0FC"/>
          </w:tcPr>
          <w:p>
            <w:pPr>
              <w:spacing w:after="0"/>
              <w:rPr>
                <w:sz w:val="5"/>
                <w:szCs w:val="5"/>
                <w:color w:val="auto"/>
              </w:rPr>
            </w:pPr>
          </w:p>
        </w:tc>
        <w:tc>
          <w:tcPr>
            <w:tcW w:w="160" w:type="dxa"/>
            <w:vAlign w:val="bottom"/>
            <w:tcBorders>
              <w:bottom w:val="single" w:sz="8" w:color="CFF0FC"/>
            </w:tcBorders>
            <w:shd w:val="clear" w:color="auto" w:fill="CFF0FC"/>
          </w:tcPr>
          <w:p>
            <w:pPr>
              <w:spacing w:after="0"/>
              <w:rPr>
                <w:sz w:val="5"/>
                <w:szCs w:val="5"/>
                <w:color w:val="auto"/>
              </w:rPr>
            </w:pPr>
          </w:p>
        </w:tc>
        <w:tc>
          <w:tcPr>
            <w:tcW w:w="580" w:type="dxa"/>
            <w:vAlign w:val="bottom"/>
            <w:tcBorders>
              <w:bottom w:val="single" w:sz="8" w:color="auto"/>
            </w:tcBorders>
            <w:vMerge w:val="continue"/>
            <w:shd w:val="clear" w:color="auto" w:fill="CFF0FC"/>
          </w:tcPr>
          <w:p>
            <w:pPr>
              <w:spacing w:after="0"/>
              <w:rPr>
                <w:sz w:val="5"/>
                <w:szCs w:val="5"/>
                <w:color w:val="auto"/>
              </w:rPr>
            </w:pPr>
          </w:p>
        </w:tc>
        <w:tc>
          <w:tcPr>
            <w:tcW w:w="980" w:type="dxa"/>
            <w:vAlign w:val="bottom"/>
            <w:tcBorders>
              <w:bottom w:val="single" w:sz="8" w:color="auto"/>
            </w:tcBorders>
            <w:vMerge w:val="continue"/>
            <w:shd w:val="clear" w:color="auto" w:fill="CFF0FC"/>
          </w:tcPr>
          <w:p>
            <w:pPr>
              <w:spacing w:after="0"/>
              <w:rPr>
                <w:sz w:val="5"/>
                <w:szCs w:val="5"/>
                <w:color w:val="auto"/>
              </w:rPr>
            </w:pPr>
          </w:p>
        </w:tc>
        <w:tc>
          <w:tcPr>
            <w:tcW w:w="160" w:type="dxa"/>
            <w:vAlign w:val="bottom"/>
            <w:tcBorders>
              <w:bottom w:val="single" w:sz="8" w:color="CFF0FC"/>
            </w:tcBorders>
            <w:shd w:val="clear" w:color="auto" w:fill="CFF0FC"/>
          </w:tcPr>
          <w:p>
            <w:pPr>
              <w:spacing w:after="0"/>
              <w:rPr>
                <w:sz w:val="5"/>
                <w:szCs w:val="5"/>
                <w:color w:val="auto"/>
              </w:rPr>
            </w:pPr>
          </w:p>
        </w:tc>
        <w:tc>
          <w:tcPr>
            <w:tcW w:w="320" w:type="dxa"/>
            <w:vAlign w:val="bottom"/>
            <w:tcBorders>
              <w:bottom w:val="single" w:sz="8" w:color="auto"/>
            </w:tcBorders>
            <w:vMerge w:val="continue"/>
            <w:shd w:val="clear" w:color="auto" w:fill="CFF0FC"/>
          </w:tcPr>
          <w:p>
            <w:pPr>
              <w:spacing w:after="0"/>
              <w:rPr>
                <w:sz w:val="5"/>
                <w:szCs w:val="5"/>
                <w:color w:val="auto"/>
              </w:rPr>
            </w:pPr>
          </w:p>
        </w:tc>
        <w:tc>
          <w:tcPr>
            <w:tcW w:w="1100" w:type="dxa"/>
            <w:vAlign w:val="bottom"/>
            <w:tcBorders>
              <w:bottom w:val="single" w:sz="8" w:color="auto"/>
            </w:tcBorders>
            <w:vMerge w:val="continue"/>
            <w:shd w:val="clear" w:color="auto" w:fill="CFF0FC"/>
          </w:tcPr>
          <w:p>
            <w:pPr>
              <w:spacing w:after="0"/>
              <w:rPr>
                <w:sz w:val="5"/>
                <w:szCs w:val="5"/>
                <w:color w:val="auto"/>
              </w:rPr>
            </w:pPr>
          </w:p>
        </w:tc>
        <w:tc>
          <w:tcPr>
            <w:tcW w:w="160" w:type="dxa"/>
            <w:vAlign w:val="bottom"/>
            <w:tcBorders>
              <w:bottom w:val="single" w:sz="8" w:color="CFF0FC"/>
            </w:tcBorders>
            <w:shd w:val="clear" w:color="auto" w:fill="CFF0FC"/>
          </w:tcPr>
          <w:p>
            <w:pPr>
              <w:spacing w:after="0"/>
              <w:rPr>
                <w:sz w:val="5"/>
                <w:szCs w:val="5"/>
                <w:color w:val="auto"/>
              </w:rPr>
            </w:pPr>
          </w:p>
        </w:tc>
        <w:tc>
          <w:tcPr>
            <w:tcW w:w="440" w:type="dxa"/>
            <w:vAlign w:val="bottom"/>
            <w:tcBorders>
              <w:bottom w:val="single" w:sz="8" w:color="auto"/>
            </w:tcBorders>
            <w:vMerge w:val="continue"/>
            <w:shd w:val="clear" w:color="auto" w:fill="CFF0FC"/>
          </w:tcPr>
          <w:p>
            <w:pPr>
              <w:spacing w:after="0"/>
              <w:rPr>
                <w:sz w:val="5"/>
                <w:szCs w:val="5"/>
                <w:color w:val="auto"/>
              </w:rPr>
            </w:pPr>
          </w:p>
        </w:tc>
        <w:tc>
          <w:tcPr>
            <w:tcW w:w="840" w:type="dxa"/>
            <w:vAlign w:val="bottom"/>
            <w:tcBorders>
              <w:bottom w:val="single" w:sz="8" w:color="auto"/>
            </w:tcBorders>
            <w:vMerge w:val="continue"/>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center"/>
              <w:ind w:left="1098"/>
              <w:spacing w:after="0"/>
              <w:rPr>
                <w:sz w:val="20"/>
                <w:szCs w:val="20"/>
                <w:color w:val="auto"/>
              </w:rPr>
            </w:pPr>
            <w:r>
              <w:rPr>
                <w:rFonts w:ascii="Arial" w:cs="Arial" w:eastAsia="Arial" w:hAnsi="Arial"/>
                <w:sz w:val="18"/>
                <w:szCs w:val="18"/>
                <w:color w:val="auto"/>
                <w:w w:val="89"/>
              </w:rPr>
              <w:t>13</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20" w:firstLine="510"/>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and stock purchased under the ESPP. The following table provides the assumptions used in the Black-Scholes valuation model used to estimate the fair value of options granted and stock purchased under the ESPP during the six months ended June 30, 2020 and 2019, and to estimate the fair value of performance-based stock options as of June 30, 2020 and 2019.</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4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00" w:type="dxa"/>
            <w:vAlign w:val="bottom"/>
          </w:tcPr>
          <w:p>
            <w:pPr>
              <w:spacing w:after="0"/>
              <w:rPr>
                <w:sz w:val="14"/>
                <w:szCs w:val="14"/>
                <w:color w:val="auto"/>
              </w:rPr>
            </w:pPr>
          </w:p>
        </w:tc>
        <w:tc>
          <w:tcPr>
            <w:tcW w:w="210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 2020</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2"/>
          </w:tcPr>
          <w:p>
            <w:pPr>
              <w:ind w:left="90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00" w:type="dxa"/>
            <w:vAlign w:val="bottom"/>
          </w:tcPr>
          <w:p>
            <w:pPr>
              <w:jc w:val="center"/>
              <w:ind w:left="552"/>
              <w:spacing w:after="0"/>
              <w:rPr>
                <w:sz w:val="20"/>
                <w:szCs w:val="20"/>
                <w:color w:val="auto"/>
              </w:rPr>
            </w:pPr>
            <w:r>
              <w:rPr>
                <w:rFonts w:ascii="Arial" w:cs="Arial" w:eastAsia="Arial" w:hAnsi="Arial"/>
                <w:sz w:val="18"/>
                <w:szCs w:val="18"/>
                <w:color w:val="auto"/>
                <w:w w:val="92"/>
              </w:rPr>
              <w:t>0.29 - 1.68%</w:t>
            </w:r>
          </w:p>
        </w:tc>
        <w:tc>
          <w:tcPr>
            <w:tcW w:w="3520" w:type="dxa"/>
            <w:vAlign w:val="bottom"/>
            <w:gridSpan w:val="3"/>
          </w:tcPr>
          <w:p>
            <w:pPr>
              <w:jc w:val="center"/>
              <w:ind w:left="792"/>
              <w:spacing w:after="0"/>
              <w:rPr>
                <w:sz w:val="20"/>
                <w:szCs w:val="20"/>
                <w:color w:val="auto"/>
              </w:rPr>
            </w:pPr>
            <w:r>
              <w:rPr>
                <w:rFonts w:ascii="Arial" w:cs="Arial" w:eastAsia="Arial" w:hAnsi="Arial"/>
                <w:sz w:val="18"/>
                <w:szCs w:val="18"/>
                <w:color w:val="auto"/>
                <w:w w:val="90"/>
              </w:rPr>
              <w:t>1.76 - 2.19%</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10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0"/>
              </w:rPr>
              <w:t>57.44 - 66.49%</w:t>
            </w:r>
          </w:p>
        </w:tc>
        <w:tc>
          <w:tcPr>
            <w:tcW w:w="3520" w:type="dxa"/>
            <w:vAlign w:val="bottom"/>
            <w:gridSpan w:val="3"/>
            <w:shd w:val="clear" w:color="auto" w:fill="CFF0FC"/>
          </w:tcPr>
          <w:p>
            <w:pPr>
              <w:jc w:val="center"/>
              <w:ind w:left="772"/>
              <w:spacing w:after="0"/>
              <w:rPr>
                <w:sz w:val="20"/>
                <w:szCs w:val="20"/>
                <w:color w:val="auto"/>
              </w:rPr>
            </w:pPr>
            <w:r>
              <w:rPr>
                <w:rFonts w:ascii="Arial" w:cs="Arial" w:eastAsia="Arial" w:hAnsi="Arial"/>
                <w:sz w:val="18"/>
                <w:szCs w:val="18"/>
                <w:color w:val="auto"/>
                <w:w w:val="90"/>
              </w:rPr>
              <w:t>61.9 - 62.58%</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Dividend yield</w:t>
            </w:r>
          </w:p>
        </w:tc>
        <w:tc>
          <w:tcPr>
            <w:tcW w:w="2100" w:type="dxa"/>
            <w:vAlign w:val="bottom"/>
          </w:tcPr>
          <w:p>
            <w:pPr>
              <w:jc w:val="center"/>
              <w:ind w:left="572"/>
              <w:spacing w:after="0"/>
              <w:rPr>
                <w:sz w:val="20"/>
                <w:szCs w:val="20"/>
                <w:color w:val="auto"/>
              </w:rPr>
            </w:pPr>
            <w:r>
              <w:rPr>
                <w:rFonts w:ascii="Arial" w:cs="Arial" w:eastAsia="Arial" w:hAnsi="Arial"/>
                <w:sz w:val="18"/>
                <w:szCs w:val="18"/>
                <w:color w:val="auto"/>
                <w:w w:val="92"/>
              </w:rPr>
              <w:t>0%</w:t>
            </w:r>
          </w:p>
        </w:tc>
        <w:tc>
          <w:tcPr>
            <w:tcW w:w="3520" w:type="dxa"/>
            <w:vAlign w:val="bottom"/>
            <w:gridSpan w:val="3"/>
          </w:tcPr>
          <w:p>
            <w:pPr>
              <w:jc w:val="center"/>
              <w:ind w:left="792"/>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100" w:type="dxa"/>
            <w:vAlign w:val="bottom"/>
            <w:shd w:val="clear" w:color="auto" w:fill="CFF0FC"/>
          </w:tcPr>
          <w:p>
            <w:pPr>
              <w:jc w:val="center"/>
              <w:ind w:left="572"/>
              <w:spacing w:after="0"/>
              <w:rPr>
                <w:sz w:val="20"/>
                <w:szCs w:val="20"/>
                <w:color w:val="auto"/>
              </w:rPr>
            </w:pPr>
            <w:r>
              <w:rPr>
                <w:rFonts w:ascii="Arial" w:cs="Arial" w:eastAsia="Arial" w:hAnsi="Arial"/>
                <w:sz w:val="18"/>
                <w:szCs w:val="18"/>
                <w:color w:val="auto"/>
                <w:w w:val="90"/>
              </w:rPr>
              <w:t>4.5 - 5.6</w:t>
            </w:r>
          </w:p>
        </w:tc>
        <w:tc>
          <w:tcPr>
            <w:tcW w:w="3520" w:type="dxa"/>
            <w:vAlign w:val="bottom"/>
            <w:gridSpan w:val="3"/>
            <w:shd w:val="clear" w:color="auto" w:fill="CFF0FC"/>
          </w:tcPr>
          <w:p>
            <w:pPr>
              <w:jc w:val="center"/>
              <w:ind w:left="792"/>
              <w:spacing w:after="0"/>
              <w:rPr>
                <w:sz w:val="20"/>
                <w:szCs w:val="20"/>
                <w:color w:val="auto"/>
              </w:rPr>
            </w:pPr>
            <w:r>
              <w:rPr>
                <w:rFonts w:ascii="Arial" w:cs="Arial" w:eastAsia="Arial" w:hAnsi="Arial"/>
                <w:sz w:val="18"/>
                <w:szCs w:val="18"/>
                <w:color w:val="auto"/>
                <w:w w:val="90"/>
              </w:rPr>
              <w:t>5.0 - 5.3</w:t>
            </w:r>
          </w:p>
        </w:tc>
        <w:tc>
          <w:tcPr>
            <w:tcW w:w="120" w:type="dxa"/>
            <w:vAlign w:val="bottom"/>
            <w:shd w:val="clear" w:color="auto" w:fill="CFF0FC"/>
          </w:tcPr>
          <w:p>
            <w:pPr>
              <w:spacing w:after="0"/>
              <w:rPr>
                <w:sz w:val="19"/>
                <w:szCs w:val="19"/>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2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10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0"/>
              </w:rPr>
              <w:t>0.14%</w:t>
            </w:r>
          </w:p>
        </w:tc>
        <w:tc>
          <w:tcPr>
            <w:tcW w:w="3520" w:type="dxa"/>
            <w:vAlign w:val="bottom"/>
            <w:gridSpan w:val="3"/>
            <w:shd w:val="clear" w:color="auto" w:fill="CFF0FC"/>
          </w:tcPr>
          <w:p>
            <w:pPr>
              <w:jc w:val="center"/>
              <w:ind w:left="772"/>
              <w:spacing w:after="0"/>
              <w:rPr>
                <w:sz w:val="20"/>
                <w:szCs w:val="20"/>
                <w:color w:val="auto"/>
              </w:rPr>
            </w:pPr>
            <w:r>
              <w:rPr>
                <w:rFonts w:ascii="Arial" w:cs="Arial" w:eastAsia="Arial" w:hAnsi="Arial"/>
                <w:sz w:val="18"/>
                <w:szCs w:val="18"/>
                <w:color w:val="auto"/>
                <w:w w:val="90"/>
              </w:rPr>
              <w:t>2.46%</w:t>
            </w:r>
          </w:p>
        </w:tc>
        <w:tc>
          <w:tcPr>
            <w:tcW w:w="120" w:type="dxa"/>
            <w:vAlign w:val="bottom"/>
            <w:shd w:val="clear" w:color="auto" w:fill="CFF0FC"/>
          </w:tcPr>
          <w:p>
            <w:pPr>
              <w:spacing w:after="0"/>
              <w:rPr>
                <w:sz w:val="19"/>
                <w:szCs w:val="19"/>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100" w:type="dxa"/>
            <w:vAlign w:val="bottom"/>
          </w:tcPr>
          <w:p>
            <w:pPr>
              <w:jc w:val="center"/>
              <w:ind w:left="572"/>
              <w:spacing w:after="0"/>
              <w:rPr>
                <w:sz w:val="20"/>
                <w:szCs w:val="20"/>
                <w:color w:val="auto"/>
              </w:rPr>
            </w:pPr>
            <w:r>
              <w:rPr>
                <w:rFonts w:ascii="Arial" w:cs="Arial" w:eastAsia="Arial" w:hAnsi="Arial"/>
                <w:sz w:val="18"/>
                <w:szCs w:val="18"/>
                <w:color w:val="auto"/>
                <w:w w:val="91"/>
              </w:rPr>
              <w:t>81.70%</w:t>
            </w:r>
          </w:p>
        </w:tc>
        <w:tc>
          <w:tcPr>
            <w:tcW w:w="3520" w:type="dxa"/>
            <w:vAlign w:val="bottom"/>
            <w:gridSpan w:val="3"/>
          </w:tcPr>
          <w:p>
            <w:pPr>
              <w:jc w:val="center"/>
              <w:ind w:left="772"/>
              <w:spacing w:after="0"/>
              <w:rPr>
                <w:sz w:val="20"/>
                <w:szCs w:val="20"/>
                <w:color w:val="auto"/>
              </w:rPr>
            </w:pPr>
            <w:r>
              <w:rPr>
                <w:rFonts w:ascii="Arial" w:cs="Arial" w:eastAsia="Arial" w:hAnsi="Arial"/>
                <w:sz w:val="18"/>
                <w:szCs w:val="18"/>
                <w:color w:val="auto"/>
                <w:w w:val="90"/>
              </w:rPr>
              <w:t>72.5%</w:t>
            </w:r>
          </w:p>
        </w:tc>
        <w:tc>
          <w:tcPr>
            <w:tcW w:w="120" w:type="dxa"/>
            <w:vAlign w:val="bottom"/>
          </w:tcPr>
          <w:p>
            <w:pPr>
              <w:spacing w:after="0"/>
              <w:rPr>
                <w:sz w:val="21"/>
                <w:szCs w:val="2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100" w:type="dxa"/>
            <w:vAlign w:val="bottom"/>
            <w:shd w:val="clear" w:color="auto" w:fill="CFF0FC"/>
          </w:tcPr>
          <w:p>
            <w:pPr>
              <w:jc w:val="center"/>
              <w:ind w:left="552"/>
              <w:spacing w:after="0"/>
              <w:rPr>
                <w:sz w:val="20"/>
                <w:szCs w:val="20"/>
                <w:color w:val="auto"/>
              </w:rPr>
            </w:pPr>
            <w:r>
              <w:rPr>
                <w:rFonts w:ascii="Arial" w:cs="Arial" w:eastAsia="Arial" w:hAnsi="Arial"/>
                <w:sz w:val="18"/>
                <w:szCs w:val="18"/>
                <w:color w:val="auto"/>
                <w:w w:val="92"/>
              </w:rPr>
              <w:t>0.0%</w:t>
            </w:r>
          </w:p>
        </w:tc>
        <w:tc>
          <w:tcPr>
            <w:tcW w:w="3520" w:type="dxa"/>
            <w:vAlign w:val="bottom"/>
            <w:gridSpan w:val="3"/>
            <w:shd w:val="clear" w:color="auto" w:fill="CFF0FC"/>
          </w:tcPr>
          <w:p>
            <w:pPr>
              <w:jc w:val="center"/>
              <w:ind w:left="772"/>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00" w:type="dxa"/>
            <w:vAlign w:val="bottom"/>
          </w:tcPr>
          <w:p>
            <w:pPr>
              <w:jc w:val="right"/>
              <w:ind w:right="472"/>
              <w:spacing w:after="0"/>
              <w:rPr>
                <w:sz w:val="20"/>
                <w:szCs w:val="20"/>
                <w:color w:val="auto"/>
              </w:rPr>
            </w:pPr>
            <w:r>
              <w:rPr>
                <w:rFonts w:ascii="Arial" w:cs="Arial" w:eastAsia="Arial" w:hAnsi="Arial"/>
                <w:sz w:val="18"/>
                <w:szCs w:val="18"/>
                <w:color w:val="auto"/>
              </w:rPr>
              <w:t>0.5</w:t>
            </w:r>
          </w:p>
        </w:tc>
        <w:tc>
          <w:tcPr>
            <w:tcW w:w="3520" w:type="dxa"/>
            <w:vAlign w:val="bottom"/>
            <w:gridSpan w:val="3"/>
          </w:tcPr>
          <w:p>
            <w:pPr>
              <w:jc w:val="right"/>
              <w:ind w:right="1088"/>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r>
    </w:tbl>
    <w:p>
      <w:pPr>
        <w:spacing w:after="0" w:line="242" w:lineRule="exact"/>
        <w:rPr>
          <w:sz w:val="20"/>
          <w:szCs w:val="20"/>
          <w:color w:val="auto"/>
        </w:rPr>
      </w:pPr>
    </w:p>
    <w:p>
      <w:pPr>
        <w:ind w:right="440" w:firstLine="510"/>
        <w:spacing w:after="0" w:line="258" w:lineRule="auto"/>
        <w:rPr>
          <w:sz w:val="20"/>
          <w:szCs w:val="20"/>
          <w:color w:val="auto"/>
        </w:rPr>
      </w:pPr>
      <w:r>
        <w:rPr>
          <w:rFonts w:ascii="Arial" w:cs="Arial" w:eastAsia="Arial" w:hAnsi="Arial"/>
          <w:sz w:val="18"/>
          <w:szCs w:val="18"/>
          <w:color w:val="auto"/>
        </w:rPr>
        <w:t>As of June 30, 2020, there was $2.0 million of unamortized compensation cost related to unvested stock option awards which is expected to be recognized over a remaining weighted-average vesting period of 0.63 years, on a straight-line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May 22, 2015, the Company entered into an at-the-market issuance sales agreement (the “2015 ATM Agreement”) with MLV &amp; Co. LLC (MLV), pursuant to which the Company could sell common stock through MLV from time to time up to an aggregate offering price of $30.0 million. Sales of the Company’s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the Company’s prior approval. The Company agreed to pay MLV an aggregate commission rate of up to 4.0% of the gross proceeds of any common stock sold under this agreement. Proceeds from sales of common stock depended on the number of shares of common stock sold to MLV and the per share purchase price of each transaction.</w:t>
      </w:r>
    </w:p>
    <w:p>
      <w:pPr>
        <w:spacing w:after="0" w:line="192"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 was not obligated to make any sales of common stock under the sales agreement and could terminate the sales agreement at any time upon written notice. On September 16, 2016, the Company amended the original sales agreement with MLV to also include FBR Capital Markets &amp; Co. as a sales agent. The 2015 ATM Agreement was terminated on August 23, 2019.</w:t>
      </w:r>
    </w:p>
    <w:p>
      <w:pPr>
        <w:spacing w:after="0" w:line="184"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On August 23, 2019, the Company entered into an at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For the six months ended June 30, 2020 the Company generated net proceeds of $1.2 million under the 2019 ATM Agreement, on sales of 209,671 shares of the Company’s common stock at a weighted average price of $5.83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Net Loss Per Share</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8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Potentially dilutive outstanding securities excluded from diluted net loss per common share due to their anti-dilutive effect totaled 7,609,387 shares and 6,826,193 shares as of June 30, 2020 and 2019,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w:t>
      </w:r>
    </w:p>
    <w:p>
      <w:pPr>
        <w:spacing w:after="0" w:line="117"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Subsequent to June 30, 2020 and through July 23, 2020, the Company sold 109,365 shares of common stock under the ATM Agreement at a weighted average price of $5.73 per share for net proceeds of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2019 included in our Annual Report on Form 10-K filed with the Securities and Exchange Commission, or SEC, on February 13, 2020. Past operating results are not necessarily indicative of results that may occur in future periods.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140" w:firstLine="510"/>
        <w:spacing w:after="0" w:line="288" w:lineRule="auto"/>
        <w:rPr>
          <w:sz w:val="20"/>
          <w:szCs w:val="20"/>
          <w:color w:val="auto"/>
        </w:rPr>
      </w:pPr>
      <w:r>
        <w:rPr>
          <w:rFonts w:ascii="Arial" w:cs="Arial" w:eastAsia="Arial" w:hAnsi="Arial"/>
          <w:sz w:val="16"/>
          <w:szCs w:val="16"/>
          <w:color w:val="auto"/>
        </w:rPr>
        <w:t>We are a biopharmaceutical company focused on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as well as for acute respiratory distress syndrome (ARDS),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68"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We have incurred significant net losses since our inception. As of June 30, 2020, from inception, our accumulated deficit was $376.2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420" w:firstLine="457"/>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00" w:hanging="493"/>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020"/>
        <w:spacing w:after="0" w:line="254"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have funded portions of some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trials of MN-166 (ibudilast) that enrolled ALS patients. We intend to pursue additional strategic alliances to help support further clinical development of MN-166 (ibudilast).</w:t>
      </w:r>
    </w:p>
    <w:p>
      <w:pPr>
        <w:spacing w:after="0" w:line="86" w:lineRule="exact"/>
        <w:rPr>
          <w:rFonts w:ascii="Arial" w:cs="Arial" w:eastAsia="Arial" w:hAnsi="Arial"/>
          <w:sz w:val="18"/>
          <w:szCs w:val="18"/>
          <w:color w:val="auto"/>
        </w:rPr>
      </w:pPr>
    </w:p>
    <w:p>
      <w:pPr>
        <w:ind w:left="1020" w:hanging="55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6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ind w:left="1000" w:right="4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20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further support our clinical development and product commercialization.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recently published study of MN-166 (ibudilast) in an animal model of ARDS. During the pandemic, we have been able to continue with routine regulatory activities. For example, we successfully submitted an Investigational New Drug Application (IND) for MN-166 (ibudilast) for prevention of Acute Respiratory Distress Syndrome (ARDS) which was accepted and is now open with the U.S. Food and Drug Administration (FDA). We were also informed by the FDA that the proposed clinical investigation of MN-166 (ibudilast) for the prevention of ARDS in patients with COVID-19 may proceed.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October 2011, we entered into a collaboration agreement with Kissei Pharmaceutical Co., Ltd., or Kissei, to perform research and development services relating to MN-221 (bedoradrine) in exchange for a non-refundable upfront payment of $2.5 million. Under the terms of the agreement, we are responsible for all costs to be incurred in the performance of these services. We assessed the services in accordance with the authoritative guidance and concluded that the two studies to be performed under the agreement represented two separate performance obligations. The transaction price was allocated between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June 30, 2020. The amount received from Kissei and allocated, net of the amount recorded as revenue, is included on the balance sheet as long-term deferred revenue since it is non-refundable and not expected to be started within the next year and will be recognized as revenue as the remaining performance obligation is satisfied. No revenue was recognized in the three months ended June 30, 2020 and 2019, in connection with the collaboration agreement with Kissei.</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2020 as our development programs progress.</w:t>
      </w:r>
    </w:p>
    <w:p>
      <w:pPr>
        <w:spacing w:after="0" w:line="181"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tbl>
      <w:tblPr>
        <w:tblLayout w:type="fixed"/>
        <w:tblInd w:w="12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MN-221</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MN-166</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MN-001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MN-029</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external development expense</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Total research, development and patent expense</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Research, development and patents costs are expensed as incurred based on contractual factors such as estimates of work performed, milestones achieved, patient enrollment and experience with similar contracts. As actual costs become known, accruals are adjusted. To date, our accrued research, development and patents expenses have not differed significantly from the actual expenses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firstLine="578"/>
        <w:spacing w:after="0" w:line="272" w:lineRule="auto"/>
        <w:rPr>
          <w:sz w:val="20"/>
          <w:szCs w:val="20"/>
          <w:color w:val="auto"/>
        </w:rPr>
      </w:pPr>
      <w:r>
        <w:rPr>
          <w:rFonts w:ascii="Arial" w:cs="Arial" w:eastAsia="Arial" w:hAnsi="Arial"/>
          <w:sz w:val="17"/>
          <w:szCs w:val="17"/>
          <w:color w:val="212529"/>
        </w:rPr>
        <w:t>Costs for preclinical studies, clinical studies and manufacturing activities are recognized as research and development expenses based on an evaluation of our vendors’ progress towards completion of specific tasks, using data such as patient enrollment, clinical site activations or information provided to us by our vendors regarding their actual costs incurred. Payments for these activities are based on the terms of individual contracts and payment timing may differ significantly from the period in which the services are performed. We determine accrual estimates through reports from and discussions with applicable personnel and outside service providers as to the progress or state of completion of studies, or the services completed. Our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4"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 Goodwill and intangible assets deemed to have indefinite lives, such as in-process research and development (“IPR&amp;D”)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June 30, 2020, goodwill and IPR&amp;D were $9.6 million and $4.8 million, respectively.</w:t>
      </w:r>
    </w:p>
    <w:p>
      <w:pPr>
        <w:spacing w:after="0" w:line="178" w:lineRule="exact"/>
        <w:rPr>
          <w:sz w:val="20"/>
          <w:szCs w:val="20"/>
          <w:color w:val="auto"/>
        </w:rPr>
      </w:pPr>
    </w:p>
    <w:p>
      <w:pPr>
        <w:jc w:val="both"/>
        <w:ind w:right="380" w:firstLine="510"/>
        <w:spacing w:after="0" w:line="301"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indefinite-lived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impaired, the impairment recognized is the amount by which the carrying value of the assets exceeds the fair value of the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Research, development and patents expenses were $2.2 million and $1.5 million for the three months ended June 30, 2020 and 2019, respectively. The increase of $0.7 million was due to higher clinical trial expenses offset by lower stock compensation expense for performance-based stock options resulting from a decrease in our stock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General and administrative expenses were $2.3 million and $2.7 million for the three months ended June 30, 2020 and 2019, respectively. The decrease of $0.4 million was primarily due to lower stock compensation expense for performance-based stock options resulting from a decrease in our stock price.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117" w:lineRule="exact"/>
        <w:rPr>
          <w:sz w:val="20"/>
          <w:szCs w:val="20"/>
          <w:color w:val="auto"/>
        </w:rPr>
      </w:pPr>
    </w:p>
    <w:p>
      <w:pPr>
        <w:ind w:right="240" w:firstLine="595"/>
        <w:spacing w:after="0" w:line="263" w:lineRule="auto"/>
        <w:rPr>
          <w:sz w:val="20"/>
          <w:szCs w:val="20"/>
          <w:color w:val="auto"/>
        </w:rPr>
      </w:pPr>
      <w:r>
        <w:rPr>
          <w:rFonts w:ascii="Arial" w:cs="Arial" w:eastAsia="Arial" w:hAnsi="Arial"/>
          <w:sz w:val="18"/>
          <w:szCs w:val="18"/>
          <w:color w:val="auto"/>
        </w:rPr>
        <w:t>Research, development and patents expenses were $3.4 million and $3.1 million for the six months ended June 30, 2020 and 2019, respectively. The increase of $0.3 million was due to higher clinical trial expenses offset by lower stock compensation expense for performance-based stock options resulting from a decrease in our stock price.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360" w:firstLine="749"/>
        <w:spacing w:after="0" w:line="263" w:lineRule="auto"/>
        <w:rPr>
          <w:sz w:val="20"/>
          <w:szCs w:val="20"/>
          <w:color w:val="auto"/>
        </w:rPr>
      </w:pPr>
      <w:r>
        <w:rPr>
          <w:rFonts w:ascii="Arial" w:cs="Arial" w:eastAsia="Arial" w:hAnsi="Arial"/>
          <w:sz w:val="18"/>
          <w:szCs w:val="18"/>
          <w:color w:val="auto"/>
        </w:rPr>
        <w:t>General and administrative expenses were $4.0 million and $6.1 million for the six months ended June 30, 2020 and 2019, respectively. The decrease of $2.1 million was primarily due to lower stock compensation expense for performance-based stock options resulting from a decrease in our stock price.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Net cash used in operating activities during the six months ended June 30, 2020 was $5.0 million compared to $4.7 million during the same period in 2019. Net cash used in operating activities primarily reflects the net loss and changes in operating assets and liabilities for those periods, which was partially offset by non-cash stock-based compensation expense.</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Net cash provided by financing activities was $1.6 million during the six months ended June 30, 2020 compared to $4.1 million during the same period in 2019. Net cash provided by financing activities during the six months ended June 30, 2020 is primarily due to the sale of 209,671 shares of common stock under the 2019 ATM Agreement for net proceeds of $1.2 million and cash proceeds of $0.4 million from the exercise of options to purchase 143,863 shares of common stock. Net cash provided by financing activities during the six months ended June 30, 2019 is primarily due to the exercise of options to purchase 1,015,454 shares of common stock for cash proceeds of $4.1 million. Cash proceeds from financing activities are used for working capital and general corporate purposes.</w:t>
      </w:r>
    </w:p>
    <w:p>
      <w:pPr>
        <w:spacing w:after="0" w:line="19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On May 22, 2015, we entered into an at-the-market issuance sales agreement (the “2015 ATM Agreement”) with MLV &amp; Co. LLC (MLV), pursuant to which we could sell common stock through MLV from time to time up to an aggregate offering price of $30.0 million. Sales of our common stock through MLV, if any, were to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could also sell the common stock in privately negotiated transactions, subject to our prior approval. We agreed to pay MLV an aggregate commission rate of up to 4.0% of the gross proceeds of any common stock sold under this agreement. Proceeds from sales of common stock depended on the number of shares of common stock sold to MLV and the per share purchase price of each transaction. We were not obligated to make any sales of common stock under the sales agreement and could terminate the sales agreement at any time upon written notice. On September 16, 2016, we amended the 2015 ATM agreement to also include FBR Capital Markets &amp; Co. as a sales agent. The 2015 ATM Agreement was terminated on August 23, 2019.</w:t>
      </w:r>
    </w:p>
    <w:p>
      <w:pPr>
        <w:spacing w:after="0" w:line="194"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On August 23, 2019, we entered into an at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219" w:lineRule="exact"/>
        <w:rPr>
          <w:sz w:val="20"/>
          <w:szCs w:val="20"/>
          <w:color w:val="auto"/>
        </w:rPr>
      </w:pPr>
    </w:p>
    <w:p>
      <w:pPr>
        <w:ind w:right="100" w:firstLine="594"/>
        <w:spacing w:after="0" w:line="277" w:lineRule="auto"/>
        <w:rPr>
          <w:sz w:val="20"/>
          <w:szCs w:val="20"/>
          <w:color w:val="auto"/>
        </w:rPr>
      </w:pPr>
      <w:r>
        <w:rPr>
          <w:rFonts w:ascii="Arial" w:cs="Arial" w:eastAsia="Arial" w:hAnsi="Arial"/>
          <w:sz w:val="18"/>
          <w:szCs w:val="18"/>
          <w:color w:val="auto"/>
        </w:rPr>
        <w:t>For the six months ended June 30, 2020, we generated net proceeds of $1.2 million under the 2019 ATM agreement, on sales of 209,671 shares of our common stock at a weighted average price of $5.83 per share.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shares of common stock were sold under the 2015 ATM Agreement in the six months ended June 30, 2019.</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As of June 30, 2020, we had available cash and cash equivalents of $60.4 million and working capital of $58.3 million. As of the date of this report, we believe we have working capital sufficient to fund operations at least through the end of 2021. However, we cannot provide assurance that these capital resources will be sufficient to conduct all our research and development programs as planned.</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40" w:firstLine="510"/>
        <w:spacing w:after="0" w:line="296" w:lineRule="auto"/>
        <w:rPr>
          <w:sz w:val="20"/>
          <w:szCs w:val="20"/>
          <w:color w:val="auto"/>
        </w:rPr>
      </w:pPr>
      <w:r>
        <w:rPr>
          <w:rFonts w:ascii="Arial" w:cs="Arial" w:eastAsia="Arial" w:hAnsi="Arial"/>
          <w:sz w:val="16"/>
          <w:szCs w:val="16"/>
          <w:color w:val="auto"/>
        </w:rPr>
        <w:t>At June 30, 2020,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Cash and cash equivalents as of June 30, 2020 were $60.4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2020.</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We are not involved in any material legal proceedings as of June 30, 2020.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2019,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Other than the risk factor set forth below, we do not believe that there have been any material changes from the risk factors previously disclosed in our Annual Report on Form 10-K for the year ended December 31, 2019.</w:t>
      </w:r>
    </w:p>
    <w:p>
      <w:pPr>
        <w:spacing w:after="0" w:line="1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such as COVID-19, or any other public health crisis, could adversely affect our business, results of operations and financial condition.</w:t>
      </w:r>
    </w:p>
    <w:p>
      <w:pPr>
        <w:spacing w:after="0" w:line="89" w:lineRule="exact"/>
        <w:rPr>
          <w:sz w:val="20"/>
          <w:szCs w:val="20"/>
          <w:color w:val="auto"/>
        </w:rPr>
      </w:pPr>
    </w:p>
    <w:p>
      <w:pPr>
        <w:ind w:firstLine="468"/>
        <w:spacing w:after="0" w:line="271" w:lineRule="auto"/>
        <w:rPr>
          <w:sz w:val="20"/>
          <w:szCs w:val="20"/>
          <w:color w:val="auto"/>
        </w:rPr>
      </w:pPr>
      <w:r>
        <w:rPr>
          <w:rFonts w:ascii="Arial" w:cs="Arial" w:eastAsia="Arial" w:hAnsi="Arial"/>
          <w:sz w:val="17"/>
          <w:szCs w:val="17"/>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Wuhan, Hubei Province, China. In March 2020, the World Health Organization declared COVID-19 a pandemic. The COVID-19 pandemic has negatively impacted the global economy, disrupted global supply chains and created significant volatility and disruption of financial markets. The extent of the impact of the COVID-19 pandemic on our financial condition, liquidity, and future results of operations, including our ability to continue to advance our product development programs in the expected time frame, will depend on future developments, including the duration and spread of the pandemic and related restrictions on travel and transports, all of which are uncertain and cannot be predicted. An extended period of global supply chain and economic disruption could materially affect our business, results of operations, access to sources of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140"/>
          </w:cols>
          <w:pgMar w:left="320" w:top="661" w:right="4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26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11" w:lineRule="exact"/>
        <w:rPr>
          <w:sz w:val="20"/>
          <w:szCs w:val="20"/>
          <w:color w:val="auto"/>
        </w:rPr>
      </w:pPr>
    </w:p>
    <w:p>
      <w:pPr>
        <w:ind w:right="440"/>
        <w:spacing w:after="0" w:line="277" w:lineRule="auto"/>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Restated Certificate of Incorporation of the Registrant, as amended (incorporated by reference to Exhibit 3.1 of the Registrant’s Quarterly</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Report on Form 10-Q filed August 9, 2012).</w:t>
        </w:r>
      </w:hyperlink>
    </w:p>
    <w:p>
      <w:pPr>
        <w:spacing w:after="0" w:line="76" w:lineRule="exact"/>
        <w:rPr>
          <w:sz w:val="20"/>
          <w:szCs w:val="20"/>
          <w:color w:val="auto"/>
        </w:rPr>
      </w:pPr>
    </w:p>
    <w:p>
      <w:pPr>
        <w:spacing w:after="0" w:line="277"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Amended and Restated Bylaws of the Registrant (incorporated by reference to Exhibit 3.1 of the Registrant’s Current Report on Form 8-K filed</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April 25, 2019).</w:t>
        </w:r>
      </w:hyperlink>
    </w:p>
    <w:p>
      <w:pPr>
        <w:spacing w:after="0" w:line="76"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Certification of Principal Executive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Certification of Principal Financial Officer pursuant to Section 302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Certification of Principal Executive Officer pursuant to 18 U.S.C. Section 1350 (Section 906 of the Sarbanes-Oxley Act of 2002).</w:t>
        </w:r>
      </w:hyperlink>
    </w:p>
    <w:p>
      <w:pPr>
        <w:spacing w:after="0" w:line="131"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 of Principal Financial Officer pursuant to 18 U.S.C. Section 1350 (Section 906 of the Sarbanes-Oxley Act of 2002).</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financial statements from the MediciNova, Inc. Quarterly Report on Form 10-Q for the quarter ended June 30, 2020 formatted in Inline Extensible Business Reporting Language (iXBRL):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187" w:lineRule="exact"/>
        <w:rPr>
          <w:sz w:val="20"/>
          <w:szCs w:val="20"/>
          <w:color w:val="auto"/>
        </w:rPr>
      </w:pPr>
    </w:p>
    <w:p>
      <w:pPr>
        <w:sectPr>
          <w:pgSz w:w="11900" w:h="16838" w:orient="portrait"/>
          <w:cols w:equalWidth="0" w:num="2">
            <w:col w:w="600" w:space="200"/>
            <w:col w:w="10340"/>
          </w:cols>
          <w:pgMar w:left="320" w:top="661" w:right="439" w:bottom="1440" w:gutter="0" w:footer="0" w:header="0"/>
          <w:type w:val="continuous"/>
        </w:sectPr>
      </w:pPr>
    </w:p>
    <w:p>
      <w:pPr>
        <w:spacing w:after="0"/>
        <w:tabs>
          <w:tab w:leader="none" w:pos="780" w:val="left"/>
        </w:tabs>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32"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type w:val="continuous"/>
        </w:sectPr>
      </w:pPr>
    </w:p>
    <w:bookmarkStart w:id="23" w:name="page24"/>
    <w:bookmarkEnd w:id="2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440" w:val="left"/>
          <w:tab w:leader="none" w:pos="8340" w:val="left"/>
          <w:tab w:leader="none" w:pos="8680" w:val="left"/>
        </w:tabs>
        <w:rPr>
          <w:sz w:val="20"/>
          <w:szCs w:val="20"/>
          <w:color w:val="auto"/>
        </w:rPr>
      </w:pPr>
      <w:r>
        <w:rPr>
          <w:rFonts w:ascii="Arial" w:cs="Arial" w:eastAsia="Arial" w:hAnsi="Arial"/>
          <w:sz w:val="18"/>
          <w:szCs w:val="18"/>
          <w:color w:val="auto"/>
        </w:rPr>
        <w:t>Date: July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Yuichi Iwaki, M.D., Ph.D.</w:t>
      </w:r>
    </w:p>
    <w:p>
      <w:pPr>
        <w:jc w:val="center"/>
        <w:ind w:left="67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460"/>
        <w:spacing w:after="0"/>
        <w:tabs>
          <w:tab w:leader="none" w:pos="8120" w:val="left"/>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2"/>
          <w:szCs w:val="12"/>
          <w:color w:val="auto"/>
        </w:rPr>
        <w:t>DWARD</w:t>
      </w:r>
      <w:r>
        <w:rPr>
          <w:rFonts w:ascii="Arial" w:cs="Arial" w:eastAsia="Arial" w:hAnsi="Arial"/>
          <w:sz w:val="17"/>
          <w:szCs w:val="17"/>
          <w:color w:val="auto"/>
        </w:rPr>
        <w:t xml:space="preserve"> S</w:t>
      </w:r>
      <w:r>
        <w:rPr>
          <w:rFonts w:ascii="Arial" w:cs="Arial" w:eastAsia="Arial" w:hAnsi="Arial"/>
          <w:sz w:val="12"/>
          <w:szCs w:val="12"/>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Edward Stepanow</w:t>
      </w:r>
    </w:p>
    <w:p>
      <w:pPr>
        <w:jc w:val="center"/>
        <w:ind w:left="67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320" w:top="337" w:right="7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July 28, 2020</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b w:val="1"/>
          <w:bCs w:val="1"/>
          <w:color w:val="auto"/>
        </w:rPr>
        <w:t>Yuichi Iwaki, M.D., Ph.D.</w:t>
      </w:r>
    </w:p>
    <w:p>
      <w:pPr>
        <w:ind w:left="73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Stepanow, certify that:</w:t>
      </w:r>
    </w:p>
    <w:p>
      <w:pPr>
        <w:spacing w:after="0" w:line="117" w:lineRule="exact"/>
        <w:rPr>
          <w:sz w:val="20"/>
          <w:szCs w:val="20"/>
          <w:color w:val="auto"/>
        </w:rPr>
      </w:pPr>
    </w:p>
    <w:p>
      <w:pPr>
        <w:ind w:left="700" w:hanging="18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2020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July 28, 2020</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E</w:t>
      </w:r>
      <w:r>
        <w:rPr>
          <w:rFonts w:ascii="Arial" w:cs="Arial" w:eastAsia="Arial" w:hAnsi="Arial"/>
          <w:sz w:val="12"/>
          <w:szCs w:val="12"/>
          <w:color w:val="auto"/>
        </w:rPr>
        <w:t>DWARD</w:t>
      </w:r>
      <w:r>
        <w:rPr>
          <w:rFonts w:ascii="Arial" w:cs="Arial" w:eastAsia="Arial" w:hAnsi="Arial"/>
          <w:sz w:val="17"/>
          <w:szCs w:val="17"/>
          <w:color w:val="auto"/>
        </w:rPr>
        <w:t xml:space="preserve"> S</w:t>
      </w:r>
      <w:r>
        <w:rPr>
          <w:rFonts w:ascii="Arial" w:cs="Arial" w:eastAsia="Arial" w:hAnsi="Arial"/>
          <w:sz w:val="12"/>
          <w:szCs w:val="12"/>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4"/>
          <w:szCs w:val="14"/>
          <w:b w:val="1"/>
          <w:bCs w:val="1"/>
          <w:color w:val="auto"/>
        </w:rPr>
        <w:t>Edward Stepanow</w:t>
      </w:r>
    </w:p>
    <w:p>
      <w:pPr>
        <w:ind w:left="72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June 30, 2020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July 28, 2020</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2020, as filed with the Securities and Exchange Commission on the date hereof (the “Report”), I, Edward Stepanow, as Chief Financial Officer of the Company, hereby certify, pursuant to 18 U.S.C. Section 1350, as adopted pursuant to Section 906 of the Sarbanes-Oxley Act of 2002, that to my knowledge:</w:t>
      </w:r>
    </w:p>
    <w:p>
      <w:pPr>
        <w:spacing w:after="0" w:line="41" w:lineRule="exact"/>
        <w:rPr>
          <w:sz w:val="20"/>
          <w:szCs w:val="20"/>
          <w:color w:val="auto"/>
        </w:rPr>
      </w:pPr>
    </w:p>
    <w:p>
      <w:pPr>
        <w:ind w:left="1180" w:hanging="17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July 28, 2020</w:t>
      </w:r>
    </w:p>
    <w:p>
      <w:pPr>
        <w:spacing w:after="0" w:line="252" w:lineRule="exact"/>
        <w:rPr>
          <w:sz w:val="20"/>
          <w:szCs w:val="20"/>
          <w:color w:val="auto"/>
        </w:rPr>
      </w:pPr>
    </w:p>
    <w:p>
      <w:pPr>
        <w:ind w:left="67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w:t>
      </w:r>
      <w:r>
        <w:rPr>
          <w:rFonts w:ascii="Arial" w:cs="Arial" w:eastAsia="Arial" w:hAnsi="Arial"/>
          <w:sz w:val="12"/>
          <w:szCs w:val="12"/>
          <w:color w:val="auto"/>
        </w:rPr>
        <w:t>DWARD</w:t>
      </w:r>
      <w:r>
        <w:rPr>
          <w:rFonts w:ascii="Arial" w:cs="Arial" w:eastAsia="Arial" w:hAnsi="Arial"/>
          <w:sz w:val="17"/>
          <w:szCs w:val="17"/>
          <w:color w:val="auto"/>
        </w:rPr>
        <w:t xml:space="preserve"> S</w:t>
      </w:r>
      <w:r>
        <w:rPr>
          <w:rFonts w:ascii="Arial" w:cs="Arial" w:eastAsia="Arial" w:hAnsi="Arial"/>
          <w:sz w:val="12"/>
          <w:szCs w:val="12"/>
          <w:color w:val="auto"/>
        </w:rPr>
        <w:t>TEPANOW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Edward Stepanow</w:t>
      </w:r>
    </w:p>
    <w:p>
      <w:pPr>
        <w:jc w:val="center"/>
        <w:ind w:left="72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20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2" Type="http://schemas.openxmlformats.org/officeDocument/2006/relationships/hyperlink" Target="http://www.sec.gov/Archives/edgar/data/1226616/000119312512347932/d344794dex31.htm" TargetMode="External"/><Relationship Id="rId43" Type="http://schemas.openxmlformats.org/officeDocument/2006/relationships/hyperlink" Target="http://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2020-07-28T16:08:28Z</dcterms:created>
  <dcterms:modified xsi:type="dcterms:W3CDTF">2020-07-28T16:08:28Z</dcterms:modified>
</cp:coreProperties>
</file>