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660" w:space="580"/>
            <w:col w:w="41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8"/>
              </w:rPr>
              <w:t>Delaware</w:t>
            </w: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40" w:type="dxa"/>
            <w:vAlign w:val="bottom"/>
          </w:tcPr>
          <w:p>
            <w:pPr>
              <w:jc w:val="center"/>
              <w:ind w:right="33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6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40" w:type="dxa"/>
            <w:vAlign w:val="bottom"/>
          </w:tcPr>
          <w:p>
            <w:pPr>
              <w:jc w:val="center"/>
              <w:ind w:right="3342"/>
              <w:spacing w:after="0"/>
              <w:rPr>
                <w:sz w:val="20"/>
                <w:szCs w:val="20"/>
                <w:color w:val="auto"/>
              </w:rPr>
            </w:pPr>
            <w:r>
              <w:rPr>
                <w:rFonts w:ascii="Arial" w:cs="Arial" w:eastAsia="Arial" w:hAnsi="Arial"/>
                <w:sz w:val="14"/>
                <w:szCs w:val="14"/>
                <w:b w:val="1"/>
                <w:bCs w:val="1"/>
                <w:color w:val="auto"/>
                <w:w w:val="89"/>
              </w:rPr>
              <w:t>Incorporation or Organization)</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460" w:type="dxa"/>
            <w:vAlign w:val="bottom"/>
          </w:tcPr>
          <w:p>
            <w:pPr>
              <w:spacing w:after="0"/>
              <w:rPr>
                <w:sz w:val="24"/>
                <w:szCs w:val="24"/>
                <w:color w:val="auto"/>
              </w:rPr>
            </w:pPr>
          </w:p>
        </w:tc>
      </w:tr>
      <w:tr>
        <w:trPr>
          <w:trHeight w:val="231"/>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8"/>
              </w:rPr>
              <w:t>San Diego, CA</w:t>
            </w:r>
          </w:p>
        </w:tc>
        <w:tc>
          <w:tcPr>
            <w:tcW w:w="146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240" w:type="dxa"/>
            <w:vAlign w:val="bottom"/>
          </w:tcPr>
          <w:p>
            <w:pPr>
              <w:jc w:val="center"/>
              <w:ind w:right="33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40" w:type="dxa"/>
            <w:vAlign w:val="bottom"/>
          </w:tcPr>
          <w:p>
            <w:pPr>
              <w:jc w:val="right"/>
              <w:ind w:right="1382"/>
              <w:spacing w:after="0"/>
              <w:rPr>
                <w:sz w:val="20"/>
                <w:szCs w:val="20"/>
                <w:color w:val="auto"/>
              </w:rPr>
            </w:pPr>
            <w:r>
              <w:rPr>
                <w:rFonts w:ascii="Arial" w:cs="Arial" w:eastAsia="Arial" w:hAnsi="Arial"/>
                <w:sz w:val="18"/>
                <w:szCs w:val="18"/>
                <w:b w:val="1"/>
                <w:bCs w:val="1"/>
                <w:color w:val="auto"/>
              </w:rPr>
              <w:t>(858) 373-1500</w:t>
            </w:r>
          </w:p>
        </w:tc>
        <w:tc>
          <w:tcPr>
            <w:tcW w:w="1460" w:type="dxa"/>
            <w:vAlign w:val="bottom"/>
          </w:tcPr>
          <w:p>
            <w:pPr>
              <w:spacing w:after="0"/>
              <w:rPr>
                <w:sz w:val="24"/>
                <w:szCs w:val="24"/>
                <w:color w:val="auto"/>
              </w:rPr>
            </w:pPr>
          </w:p>
        </w:tc>
      </w:tr>
      <w:tr>
        <w:trPr>
          <w:trHeight w:val="174"/>
        </w:trPr>
        <w:tc>
          <w:tcPr>
            <w:tcW w:w="6240" w:type="dxa"/>
            <w:vAlign w:val="bottom"/>
          </w:tcPr>
          <w:p>
            <w:pPr>
              <w:jc w:val="center"/>
              <w:ind w:left="214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As of November 7, 2012, the registrant had 17,203,125 shares of Common Stock ($0.001 par value)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660" w:type="dxa"/>
            <w:vAlign w:val="bottom"/>
            <w:gridSpan w:val="6"/>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88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6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360" w:type="dxa"/>
            <w:vAlign w:val="bottom"/>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2"/>
          </w:tcPr>
          <w:p>
            <w:pPr>
              <w:spacing w:after="0"/>
              <w:rPr>
                <w:sz w:val="17"/>
                <w:szCs w:val="17"/>
                <w:color w:val="auto"/>
              </w:rPr>
            </w:pPr>
          </w:p>
        </w:tc>
        <w:tc>
          <w:tcPr>
            <w:tcW w:w="338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7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36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RISK FACTORS</w:t>
              </w:r>
            </w:hyperlink>
          </w:p>
        </w:tc>
        <w:tc>
          <w:tcPr>
            <w:tcW w:w="600" w:type="dxa"/>
            <w:vAlign w:val="bottom"/>
            <w:tcBorders>
              <w:top w:val="single" w:sz="8" w:color="0000EE"/>
            </w:tcBorders>
            <w:gridSpan w:val="3"/>
          </w:tcPr>
          <w:p>
            <w:pPr>
              <w:spacing w:after="0"/>
              <w:rPr>
                <w:sz w:val="17"/>
                <w:szCs w:val="17"/>
                <w:color w:val="auto"/>
              </w:rPr>
            </w:pPr>
          </w:p>
        </w:tc>
        <w:tc>
          <w:tcPr>
            <w:tcW w:w="754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936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SIGNATURES</w:t>
              </w:r>
            </w:hyperlink>
          </w:p>
        </w:tc>
        <w:tc>
          <w:tcPr>
            <w:tcW w:w="8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8"/>
          </w:tcPr>
          <w:p>
            <w:pPr>
              <w:ind w:left="456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5,744,523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6,344,933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9,600,241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666,357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21,499,635</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332,998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575,137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Current deferred revenue</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4,798,682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7,289,784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Preferred stock, $0.01 par value; 3,000,000 and 500,000 shares authorized at September 30, 2012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95"/>
              </w:rPr>
              <w:t>December 31, 2011, respectively; 220,000 shares issued at September 30, 2012 and December 31, 2011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and 30,000,000 shares authorized at September 30,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December 31, 2011, respectively; 17,157,311 and 16,127,615 shares issued at September 30,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December 31, 2011, respectively, and 17,153,125 and 16,088,015 shares outstanding at September 30, 2012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December 31, 2011,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311,671,370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309,998,251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Treasury stock, at cost; 4,186 shares at September 30, 2012 and 39,600 shares at December 31, 2011</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(1,131,086)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(293,799,824)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(285,272,483)</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16,700,953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21,499,635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tcPr>
          <w:p>
            <w:pPr>
              <w:ind w:left="54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6"/>
          </w:tcPr>
          <w:p>
            <w:pPr>
              <w:jc w:val="right"/>
              <w:ind w:right="84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1,679,896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4,234,956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6,343,854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166,276,518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1,573,943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2,227,492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5,057,802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6,262,214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110,580,327</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2,446,498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3,907,388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9,292,758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12,606,068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278,115,266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(2,362,711)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(3,907,388)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(8,524,174)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(12,606,068)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(275,788,455)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(1,595,094)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19,142,419</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(2,372,950)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(3,893,743)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(8,521,523)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(14,230,821)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(262,366,067)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(70,635)</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(2,378,768)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(3,893,743)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(8,527,341)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(14,230,821)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(262,436,702)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to redemption value of redeemable convertible preferred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 redeemable convertible preferred stock</w:t>
            </w:r>
          </w:p>
        </w:tc>
        <w:tc>
          <w:tcPr>
            <w:tcW w:w="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(2,378,768)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(3,893,743)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(8,527,341)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(14,230,821)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(293,799,824)</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used to compute basic and diluted net loss per common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16,585,172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15,327,275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16,273,247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14,408,284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(2,378,768)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(3,893,743)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(8,527,341)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(14,230,821)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(293,799,824)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(2,375,904)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(3,888,398)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(8,529,360)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(14,230,819)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(293,858,688)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ind w:right="86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(8,527,341)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(14,230,821)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(262,436,702)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Non-cash 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540,385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warrant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(768,584)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24,497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1,969,921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w w:val="92"/>
              </w:rPr>
              <w:t>Amortization of premium/discount on investment securities, convertible debt, debt discount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1060"/>
              <w:spacing w:after="0"/>
              <w:rPr>
                <w:sz w:val="20"/>
                <w:szCs w:val="20"/>
                <w:color w:val="auto"/>
              </w:rPr>
            </w:pPr>
            <w:r>
              <w:rPr>
                <w:rFonts w:ascii="Arial" w:cs="Arial" w:eastAsia="Arial" w:hAnsi="Arial"/>
                <w:sz w:val="18"/>
                <w:szCs w:val="18"/>
                <w:color w:val="auto"/>
              </w:rPr>
              <w:t>and issuance costs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752,125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(1,099,365)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 net on investment securities and ARS Put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Loss on disposal of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sublease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103,108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Accounts payable, income tax payable, accrued expenses and deferred 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(664,938)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(395,957)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(9,677,808)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(12,364,305)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(207,525,841)</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acquired business, net of acquired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Purchases of investment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or sales of investment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377,918,240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(83,176)</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joint venture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(4,901,232)</w:t>
            </w: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and units, net of issuance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1,033,764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7,763,146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132,212,386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85,572,825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ARS loan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Net proceeds from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conversion of convertible notes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Purchase of treasury stock, net of employee stock purchases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58,619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Repayments of ARS loan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(17,605,485)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1,092,383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(7,152,151)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218,171,596</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(9,348,601)</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(19,516,456)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5,744,523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15,093,124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28,252,204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5,744,523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8,735,748</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5,744,523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investing and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Issuance of warrants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2,882,258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2,882,258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 upon initial public offering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Restricted assets, cash unrestricted upon conversion of convertible notes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76,473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taxes paid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12,010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2,487,343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and nine months ended September 30, 2012 are not necessarily indicative of the results that may be expected for the year ending December 31, 2012 or for any other period. For further information, see the financial statements and disclosures thereto for the year ended December 31, 2011 in our Annual Report on Form 10-K as filed with the Securities and Exchange Commission on March 29,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acquisition with Avigen, Inc. (“Avigen”).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 In the three and nine months ended September 30, 2012 we recorded revenue relating to this agreement of approximately $100,000 and $800,000, respectively. The amount received from Kissei, net of the amount recorded as revenue, is recorded on the balance sheet at September 30, 2012 as deferred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have not experienced any losses in such accounts and management believes that we do not have significant credit risk with respect to such cash and cash equivalents. We have sustained operating losses since inception and expect such losses to continue over the next several years. Management plans to continue financing operations with equity issuances, debt arrangements, or a combination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Effective January 1, 2012, the Company adopted guidance issued by the Financial Accounting Standards Board, or FASB, concerning presentation and disclosure only for the presentation of comprehensive (loss) income. The adoption of this guidance did not have a material impact on the Company’s consolidated financial position or results of operations, other than its impact on the presentation of comprehensive (loss) income.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May 2011, the FASB issued updated accounting guidance that clarifies existing fair value measurements and disclosures, and eliminates differences between GAAP and International Financial Reporting Standards to make convergence guidance more understandable. This guidance is effective for interim and annual periods beginning after December 15, 2011. The adoption of this guidance did not have a material impact on the Company’s consolidated financial statements.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2011, the FASB, issued guidance to simplify how entities test for goodwill impairment. The updated guidance permits an assessment of qualitative factors to determine whether it is more likely than not that the fair value of a reporting unit in which goodwill resides is less than its carrying value. For reporting units in which this assessment concludes it is more likely than not that the fair value is more than its carrying value, the updated guidance eliminates the requirement to perform further goodwill impairment testing. This new guidance is effective for fiscal years beginning after December 15, 2011. The adoption of this guidance did not have a material impact on the Company’s consolidated financial statements.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August 2012, the FASB issued updated guidance to 2011 guidance that permits an assessment of the qualitative factors to determine whether it is more likely than not that the fair value of a reporting unit in which goodwill resides is less than its carrying value. This updated guidance is effective for annual and interim impairment tests performed for fiscal years beginning after September 15, 2012 with early adoption permitted. The adoption of this standard is not expected to have a material impact on our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whose potential product candidate was a therapeutic for Central Nervous System, or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 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 The amount paid in the two installments was net of a reconciliation of Avigen expenses and a letter of credit after expiry. Under the first and second installments, we paid $140,119 and $73,449, respectively, to Avigen shareholders who elected payment in cash and we issued an additional principal amount of $685,917 and $359,551, respectively, in convertible notes to Avigen shareholders who elected payment in convertible notes in lieu of a cash payment. We have included Avigen’s business operations in our consolidated financial statements since the acquisition date and we have accounted for the acquisition under the acquisition method of accounting.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Joint Venture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 sublicense,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of Zhejiang Sunmy’s activities. We have not entered into the sublicense of MN-221 with Zhejiang Sunmy as of the date of this report.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2012 we reflect a long-term asset on our consolidated balance sheet which represents our investment in Zhejiang Sunmy, net of our portion of any generated loss or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6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220" w:right="520" w:hanging="742"/>
        <w:spacing w:after="0" w:line="268" w:lineRule="auto"/>
        <w:tabs>
          <w:tab w:leader="none" w:pos="1200" w:val="left"/>
        </w:tabs>
        <w:rPr>
          <w:sz w:val="20"/>
          <w:szCs w:val="20"/>
          <w:color w:val="auto"/>
        </w:rPr>
      </w:pPr>
      <w:r>
        <w:rPr>
          <w:rFonts w:ascii="Arial" w:cs="Arial" w:eastAsia="Arial" w:hAnsi="Arial"/>
          <w:sz w:val="18"/>
          <w:szCs w:val="18"/>
          <w:color w:val="auto"/>
        </w:rPr>
        <w:t>Level 2:</w:t>
        <w:tab/>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220" w:right="500" w:hanging="742"/>
        <w:spacing w:after="0" w:line="332" w:lineRule="auto"/>
        <w:tabs>
          <w:tab w:leader="none" w:pos="12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2012</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2"/>
                <w:szCs w:val="12"/>
                <w:color w:val="auto"/>
              </w:rPr>
            </w:pPr>
          </w:p>
        </w:tc>
        <w:tc>
          <w:tcPr>
            <w:tcW w:w="234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4"/>
              </w:rPr>
              <w:t>Level 1</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4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$ 1,717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$ 1,717</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right="2"/>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2011</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2"/>
                <w:szCs w:val="12"/>
                <w:color w:val="auto"/>
              </w:rPr>
            </w:pPr>
          </w:p>
        </w:tc>
        <w:tc>
          <w:tcPr>
            <w:tcW w:w="234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4"/>
              </w:rPr>
              <w:t>Level 1</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4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4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$ 1,661</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$ 1,661</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right="2"/>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00" w:type="dxa"/>
            <w:vAlign w:val="bottom"/>
            <w:vMerge w:val="restart"/>
          </w:tcPr>
          <w:p>
            <w:pPr>
              <w:jc w:val="right"/>
              <w:ind w:right="2192"/>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At September 30, 2012, cash equivalents (instruments with maturities of three months or less at the date of purchase) were primarily invested in money market accounts, the fair value of which is based on Level 1 criteria in which their carrying amount is a reasonable estimate of their fair value based on daily quoted market prices. At September 30, 2012 we did not hold financial instruments measured at fair value on a non-recurring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In May 2010, we entered into a loan and security agreement, or the Loan Agreement, with Oxford Finance Corporation, or Oxford, under which we borrowed $15.0 million at a stated interest rate of 12.87 percent. Our obligations under the Loan Agreement were secured by a first priority security interest on substantially all of our assets, other than our intellectual property, and we also agreed not to pledge or otherwise encumber our intellectual property assets. Our obligations under the Loan Agreement were guaranteed on a senior secured basis by Avigen. The Loan Agreement also contained certain restrictive covenants.</w:t>
      </w:r>
    </w:p>
    <w:p>
      <w:pPr>
        <w:spacing w:after="0" w:line="9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Pursuant to the Loan Agreement, we issued to Oxford a warrant to purchase up to 198,020 shares of our common stock, par value $0.001 per share. The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accounted for the interest on the debt using the effective interest method wherein we treated the debt issuance costs paid directly to Oxford and the relative fair value of the warrants issued to Oxford as a discount on the debt (or a contra liability)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agreed to waive the early payment penalty of approximately $400,000.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common share when their effect is dilutive. For the three and nine months ended September 30, 2012, 2,200,000 of common stock equivalents and for the three and nine months ended September 30, 2011, 22,857 and 130,733 of common stock equivalents, respectively, were excluded from determining diluted net loss per common share because of their anti-dilutive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excluded from diluted net loss per common share because of their anti-dilutive effect: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w:t>
            </w:r>
          </w:p>
        </w:tc>
        <w:tc>
          <w:tcPr>
            <w:tcW w:w="5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2,200,000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Stock options</w:t>
            </w:r>
          </w:p>
        </w:tc>
        <w:tc>
          <w:tcPr>
            <w:tcW w:w="6280" w:type="dxa"/>
            <w:vAlign w:val="bottom"/>
            <w:gridSpan w:val="3"/>
          </w:tcPr>
          <w:p>
            <w:pPr>
              <w:jc w:val="right"/>
              <w:ind w:right="200"/>
              <w:spacing w:after="0"/>
              <w:rPr>
                <w:sz w:val="20"/>
                <w:szCs w:val="20"/>
                <w:color w:val="auto"/>
              </w:rPr>
            </w:pPr>
            <w:r>
              <w:rPr>
                <w:rFonts w:ascii="Arial" w:cs="Arial" w:eastAsia="Arial" w:hAnsi="Arial"/>
                <w:sz w:val="18"/>
                <w:szCs w:val="18"/>
                <w:color w:val="auto"/>
              </w:rPr>
              <w:t>3,328,981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3,089,182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5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3,128,686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2,998,686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8,657,667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8,287,868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340" w:type="dxa"/>
            <w:vAlign w:val="bottom"/>
            <w:vMerge w:val="restart"/>
          </w:tcPr>
          <w:p>
            <w:pPr>
              <w:jc w:val="right"/>
              <w:ind w:right="3772"/>
              <w:spacing w:after="0"/>
              <w:rPr>
                <w:sz w:val="20"/>
                <w:szCs w:val="20"/>
                <w:color w:val="auto"/>
              </w:rPr>
            </w:pPr>
            <w:r>
              <w:rPr>
                <w:rFonts w:ascii="Arial" w:cs="Arial" w:eastAsia="Arial" w:hAnsi="Arial"/>
                <w:sz w:val="18"/>
                <w:szCs w:val="18"/>
                <w:color w:val="auto"/>
              </w:rPr>
              <w:t>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changes to our accumulated other comprehensive loss for the nine months ended September 30, 2012 and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nine months</w:t>
            </w:r>
          </w:p>
        </w:tc>
        <w:tc>
          <w:tcPr>
            <w:tcW w:w="5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860" w:type="dxa"/>
            <w:vAlign w:val="bottom"/>
            <w:gridSpan w:val="4"/>
          </w:tcPr>
          <w:p>
            <w:pPr>
              <w:ind w:left="1120"/>
              <w:spacing w:after="0" w:line="149" w:lineRule="exact"/>
              <w:rPr>
                <w:sz w:val="20"/>
                <w:szCs w:val="20"/>
                <w:color w:val="auto"/>
              </w:rPr>
            </w:pPr>
            <w:r>
              <w:rPr>
                <w:rFonts w:ascii="Arial" w:cs="Arial" w:eastAsia="Arial" w:hAnsi="Arial"/>
                <w:sz w:val="14"/>
                <w:szCs w:val="14"/>
                <w:b w:val="1"/>
                <w:bCs w:val="1"/>
                <w:color w:val="auto"/>
              </w:rPr>
              <w:t>ended September 30,</w:t>
            </w:r>
          </w:p>
        </w:tc>
        <w:tc>
          <w:tcPr>
            <w:tcW w:w="182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(56,845)</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(58,864)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62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spacing w:after="0" w:line="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 substantial portion of our ongoing research and development activities are performed under agreements with external service providers, including clinical research organizations which conduct many of our research and development activities. A portion of our ongoing general and administrative activities relate to legal, financial and consulting services. We accrue for costs incurred as the services are provided. Accrued expenses consist of the following:</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560" w:type="dxa"/>
            <w:vAlign w:val="bottom"/>
            <w:gridSpan w:val="3"/>
          </w:tcPr>
          <w:p>
            <w:pPr>
              <w:ind w:left="1740"/>
              <w:spacing w:after="0"/>
              <w:rPr>
                <w:sz w:val="20"/>
                <w:szCs w:val="20"/>
                <w:color w:val="auto"/>
              </w:rPr>
            </w:pPr>
            <w:r>
              <w:rPr>
                <w:rFonts w:ascii="Arial" w:cs="Arial" w:eastAsia="Arial" w:hAnsi="Arial"/>
                <w:sz w:val="14"/>
                <w:szCs w:val="14"/>
                <w:b w:val="1"/>
                <w:bCs w:val="1"/>
                <w:color w:val="auto"/>
                <w:w w:val="83"/>
              </w:rPr>
              <w:t>September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6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407,983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615,792</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53,635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100,823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capital contribution payable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113,519</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149,200</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575,137</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1,515,815</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three months ended September 30, 2012 and 2011, stock-based compensation expense related to stock options and the employee stock purchase plan (or ESPP), was approximately $179,000 and $598,000, respectively, and was recorded as a component of general and administrative expense (approximately $111,000 and $483,000, respectively) and research and development expense (approximately $68,000 and $115,000, respectively). For the nine months ended September 30, 2012 and 2011, stock-based compensation expense related to stock options and the employee stock purchase plan (or ESPP), was approximately $540,000 and $931,000, respectively, and was recorded as a component of general and administrative expense (approximately $325,000 and $728,000, respectively) and research and development expense (approximately $215,000 and $203,000, respectively).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three months ended September 30, 2012 and 2011, 0 and 921 stock options were exercised, respectively, from which proceeds of approximately $0 and $2,000, respectively were received. During the nine months ended September 30, 2012 and 2011, 60,000 and 32,836 stock options were exercised, respectively, from which proceeds of approximately $138,000 and $76,000, respectively, were received. As of September 30, 2012, there was $2.0 million of unamortized compensation expense related to unvested stock option awards which is expected to be recognized over a remaining weighted-average vesting period of 1.50 years.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three and nine months ended September 30, 2012, respectively, options to purchase 735,000 shares of common stock and 750,000 shares of common stock were granted. During the three and nine months ended September 30, 2011, respectively, options to purchase 1,412,000 shares of common stock and 1,416,000 shares of common stock were granted. The exercise price of the options granted was equal to market value on the date of grant.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share-based compensation expense recognized in the accompanying consolidated statements of operations and comprehensive loss included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we have a small number of employees, we did not estimate any forfeitures during 2011, or during the nine months ended September 30, 2012. We will adjust our stock-based compensation expense should any forfeitures occur.</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MediciNova, Inc. 2007 ESPP permits full-time employees to purchase our common stock through payroll deductions (not to exceed 15% of each employee’s compensation) at the lower of 85% of fair market value at the beginning or the end of each six-month ESPP offering period. For the three and nine months ended September 30, 2012, the number of shares of common stock issued under the ESPP were 19,864 and 35,414 for the three and nine months ended September 30, 2011, the number of shares of common stock issued under the ESPP were 2,309 and 4,135. Shares of common stock available for future issuance at September 30, 2012 and 2011 were 249,578 and 269,992,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uses the Black-Scholes option valuation model for determining the estimated fair value and the stock-based compensation for stock-based awards to employees. The following table provides the assumptions used in the Black-Scholes option-pricing model for the three and nine months ended September 30, 2012 and 2011. The ESPP assumptions for the three months ended September 30, 2012 and 2011 are actual amounts, and for the nine months ended September 30, 2012 and 2011 are weighted average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Three Months Ended</w:t>
            </w:r>
          </w:p>
        </w:tc>
        <w:tc>
          <w:tcPr>
            <w:tcW w:w="1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Three Months Ended</w:t>
            </w:r>
          </w:p>
        </w:tc>
        <w:tc>
          <w:tcPr>
            <w:tcW w:w="18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Nine months ended</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3460" w:type="dxa"/>
            <w:vAlign w:val="bottom"/>
          </w:tcPr>
          <w:p>
            <w:pPr>
              <w:spacing w:after="0"/>
              <w:rPr>
                <w:sz w:val="14"/>
                <w:szCs w:val="14"/>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September 30, 2012</w:t>
            </w:r>
          </w:p>
        </w:tc>
        <w:tc>
          <w:tcPr>
            <w:tcW w:w="19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September 30, 2011</w:t>
            </w:r>
          </w:p>
        </w:tc>
        <w:tc>
          <w:tcPr>
            <w:tcW w:w="18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September 30, 2012</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September 30, 2011</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assumptions:</w:t>
            </w:r>
          </w:p>
        </w:tc>
        <w:tc>
          <w:tcPr>
            <w:tcW w:w="1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0.62%</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0.71%</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0.62%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0.70%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82.22%</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77.71%</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82.14%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0.0%</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5.31</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0.16%</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0.12%</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74.34%</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78.00%</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75.52%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78.00%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8"/>
        </w:trPr>
        <w:tc>
          <w:tcPr>
            <w:tcW w:w="3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tcPr>
          <w:p>
            <w:pPr>
              <w:jc w:val="right"/>
              <w:ind w:right="700"/>
              <w:spacing w:after="0"/>
              <w:rPr>
                <w:sz w:val="20"/>
                <w:szCs w:val="20"/>
                <w:color w:val="auto"/>
              </w:rPr>
            </w:pPr>
            <w:r>
              <w:rPr>
                <w:rFonts w:ascii="Arial" w:cs="Arial" w:eastAsia="Arial" w:hAnsi="Arial"/>
                <w:sz w:val="18"/>
                <w:szCs w:val="18"/>
                <w:color w:val="auto"/>
              </w:rPr>
              <w:t>0.5</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0.5</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have had no accrued interest or penalties since implementation of guidance on accounting for uncertainty in income taxes.</w:t>
      </w:r>
    </w:p>
    <w:p>
      <w:pPr>
        <w:spacing w:after="0" w:line="207" w:lineRule="exact"/>
        <w:rPr>
          <w:sz w:val="20"/>
          <w:szCs w:val="20"/>
          <w:color w:val="auto"/>
        </w:rPr>
      </w:pPr>
    </w:p>
    <w:p>
      <w:pPr>
        <w:ind w:right="8660" w:firstLine="8"/>
        <w:spacing w:after="0" w:line="391"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August 1, 2012, the arbitrator stayed all proceedings to allow the plaintiff time to obtain new counsel. The plaintiff has since obtained new counsel and the arbitrator has continued the stay to allow the parties to mutually determine what to do with documents and property held by the plaintiff’s former counsel. We have engaged legal counsel in this matter, and based on our current assessment, we do not expect its outcome to have a material adverse effect on our business, financial condition or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may become involved in various other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15" w:lineRule="exact"/>
        <w:rPr>
          <w:sz w:val="20"/>
          <w:szCs w:val="20"/>
          <w:color w:val="auto"/>
        </w:rPr>
      </w:pPr>
    </w:p>
    <w:p>
      <w:pPr>
        <w:ind w:right="952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grant stock options to our employees, officers, directors and consultants under the MediciNova, Inc. Amended and Restated 2004 Stock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stock options outstanding during the nine months ended September 30, 2012 is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rPr>
              <w:t>Options</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3,092,671</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Cancelled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453,690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3,328,981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2012</w:t>
            </w:r>
          </w:p>
        </w:tc>
        <w:tc>
          <w:tcPr>
            <w:tcW w:w="76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2,018,340</w:t>
            </w:r>
          </w:p>
        </w:tc>
        <w:tc>
          <w:tcPr>
            <w:tcW w:w="7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There was no aggregate intrinsic value of stock options outstanding and options exercisable at September 30, 2012. The weighted average contractual life of options outstanding at September 30, 2012 was 7.5 years and the weighted average contractual life of exercisable options at September 30, 2012 was 6.3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the closing of the Avigen acquisition, we and American Stock Transfer &amp; Trust Company, LLC, as trustee, entered into an agreement whereby $29.4 million, which represented the initial principal amount of secured convertible notes we issued under the terms of the Avigen acquisition, was deposited with a trust agent for the benefit of the holders and us.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$1.9 million of the convertible notes were converted to 276,655 shares of our common stock. All remaining convertible notes expired on June 18, 2011 and the principal was repaid in full.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provisions which may require cash settlement.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20, 2012, we entered into a common stock purchase agreement with Aspire Capital Fund, LLC (“Aspire”) pursuant to which the Company may sell to Aspire, and Aspire would be obligated to purchase, up to an aggregate of $20 million of our common stock over the two year term of the agreement. Daily sales of our common stock to Aspire are subject to certain limitations and the per share sales price is based on closing stock prices at or near each transaction date. Our net proceeds will depend on the frequency and number of shares of our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November 7, 2012 the Company has completed sales totaling 656,060 shares of common stock at prices ranging from $1.65 to $1.92 per share and generating gross proceeds of $1.1 million.</w:t>
      </w:r>
    </w:p>
    <w:p>
      <w:pPr>
        <w:spacing w:after="0" w:line="12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On August 22, 2012, we issued a warrant in exchange for investor relations services to purchase up to 130,000 of our common shares at a price of $1.88 per share, the closing price of our common stock on that date. The warrant contains provisions whereby the warrant becomes exercisable for specified shares of our common stock as a result of our stock achieving certain share price targets within a 15 month period beginning on August 22, 2012. The warrant expires in five years. The warrant is valued at its fair value of approximately $100,000 on August 22, 2012, is classified as equity and as a prepaid expense, and is being amortized over the one year period beginning August 22,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2011 included in our Annual Report on Form 10-K filed with the Securities and Exchange Commission, or SEC, on March 29, 2012. Past operating results are not necessarily indicative of results that may occur in future periods.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 We were incorporated in Delaware in September 2000.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sustained operating losses since our inception. At September 30, 2012, our accumulated deficit from inception was $293.8 million, including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$50.2 million of non-cash stock-based compensation expenses related to stock-based awards to employees. We expect to incur substantial operating losses for at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least the next several years as we continue to invest in certain of our existing product development programs. We may also incur substantial losses over the long-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term if we expand our research and product development programs and/or acquire or in-license products, technologies or businesses that are complementary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own. While there can be no assurances given, we believe that our working capital at September 30, 2012, will be sufficient to fund our operations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2013, assuming that we operate our business in accordance with our current operating plan and do not commence any new clinical trials. This belief 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based on assumptions that could prove to be wrong, and we could utilize our available working capital sooner than we currently expect. If adequate funds are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available, we may be required to delay, reduce the scope of or terminate one or more of our product development programs, and/or implement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operating cost reductions. Certain operating cost reductions could result in the termination of license rights related to any of our product candidates. We have had,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continue to have, an ongoing need to raise additional cash from outside sources to fund our operations. As discussed further below, on August 20, 2012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a common stock purchase agreement with Aspire Capital Fund, LLC (“Aspire”) pursuant to which the Company may sell to Aspire, and Aspire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be obligated to purchase, up to an aggregate of $20 million of our common stock over the two year term of the agreement.</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acquired licenses to eight compounds for the development of ten product candidates, which include clinical development for the treatment of acute exacerbations of asthma, multiple sclerosis (MS) and other central nervous system (CNS) disorders, bronchial asthma, interstitial cystitis (IC), solid tumor cancers, generalized anxiety disorders/insomnia, preterm labor and urinary incontinence. Two of such compounds have been in preclinical development for the treatment of thrombotic disorders.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to develop and commercialize MN-221 in China. A sublicense ,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for Zhejiang Sunmy’s activities. We have not entered into the sublicense of MN-221 with Zhejiang Sunmy as of the date of this report. There is no assurance the sublicense will be executed and there is no assurance that Zhejiang Sunmy will be able to proceed with the development of MN-221 in China. Zhejiang Sunmy is considered a variable interest entity for which we are not the primary beneficiary as we will not have a majority of the board seats and we will not have any power to direct or significantly influence the actions of Zhejiang Sunmy. We absorb any loss and income generated by Zhejiang Sunmy according to our percentage ownership.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6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(MN-221-CL-007) in the first quarter of 2009 to evaluate the safety and efficacy of MN-221 in patients with acute exacerbations of asthma treated in the emergency room. On March 21, 2012, we announced completion of the 176 patient enrollment of the Phase 2 MN-221-CL-007 clinical trial and on May 23, 2012, we announced that preliminary trial results did not statistically meet the primary endpoint, improvement in FEV1 (Forced Expiratory Volume in One Second) compared to placebo. On October 22, 2012 we met with the FDA to review future development of this product candidate. Although discussions have not been finalized, during the meeting the FDA identified the risk/benefit profile of MN-221 as a focal point for any further development of MN-221 and advised that a reduction in hospitalizations would need to be a pivotal trial primary endpoint. We are considering the design, costs and timing of potential future clinical trials of MN-221 and will determine its development strategy following the completion of our review. In 2010 we completed MN-221 COPD development, which included a Phase 1b clinical trial in patients with stable, moderate to severe COPD. In the first quarter of 2012 we initiated an additional Phase 1b/2a COPD clinical trial (MN-221–CL-012), and on August 23, 2012 we announced positive preliminary trial results.</w:t>
      </w:r>
    </w:p>
    <w:p>
      <w:pPr>
        <w:spacing w:after="0" w:line="46" w:lineRule="exact"/>
        <w:rPr>
          <w:rFonts w:ascii="Arial" w:cs="Arial" w:eastAsia="Arial" w:hAnsi="Arial"/>
          <w:sz w:val="16"/>
          <w:szCs w:val="16"/>
          <w:color w:val="auto"/>
        </w:rPr>
      </w:pPr>
    </w:p>
    <w:p>
      <w:pPr>
        <w:ind w:left="900" w:right="20" w:hanging="325"/>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MN-166, an ibudilast-based product development, for which we continue to pursue discussions with potential partners and other strategic collaborations. An MN-166 Phase 2 clinical trial in MS was completed in Eastern Europe in 2008 wherein positive safety and neuroprotective efficacy indicators were obtained, thus, directing next stage development towards a Phase 2b progressive MS indication. Limited animal safety and product manufacturing and stability development has been completed. In the area of drug addiction, a Phase 1b/2a opioid withdrawal clinical trial funded by the National Institute on Drug Abuse, or NIDA, was completed at the end of 2010. A Phase 1b NIDA-funded clinical trial in methamphetamine-dependent volunteers with expert investigators at UCLA initiated in the fourth quarter of 2010 and is currently enrolling patients. A headache and pain specialist in Australia initiated an investigator sponsored Phase 2 clinical trial of MN-166 as a potential new pharmacotherapy for medication overuse headache that is expected to complete enrollment at the end of 2012. In September 2012 we announced approval and funding by NIDA of a Phase 2 clinical trial studying the use of MN-166 for the treatment of methamphetamine addiction. In partnership with UCLA, this clinical trial will build on the ongoing UCLA MN-166 Phase 1b safety trial. We intend to enter into additional strategic alliances to support further clinical development of MN-166.</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 companies to support further clinical development, and plan to maintain certain commercialization rights in selected markets. Depending on decisions we may make as to further development of MN-221, we may seek to raise addition capital and/or enter into a collaboration. We may also pursue potential partners and potential acquirers of license rights to our programs in markets outside the U.S. In addition, we continue to limit activities for the balance of our existing product development programs in order to focus on our prioritized product development programs. For our remaining product development programs, we plan to conduct development activities only to the extent deemed necessary to maintain our license rights or maximize value while pursuing a variety of initiatives to monetize such programs.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18, 2009, we acquired Avigen, a biopharmaceutical company whose potential product candidate was a therapeutic for central nervous system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 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consolidated financial statements include Avigen’s operations following the completion of the acquisition.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acquisition agreement. Our annual test date for IPR&amp;D and goodwill impairment is December 31. We operate as one reporting segment and during the nine months ended September 30, 2012 and through the date of this report, there were no triggering events, market conditions or other factors such as adverse clinical trial results that would indicate possible or actual impairment of IPR&amp;D or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2010 we entered into the Loan Agreement with Oxford under which we borrowed $15.0 million at a stated annual interest rate of 12.87 percent. The financing was used to satisfy working capital needs, including the continued clinical development of MN-221. Pursuant to the Loan Agreement, we issued to Oxford a warrant to purchase up to 198,020 shares of our common stock, par value $0.001 per share, at an exercise price of $6.06 per share. We accounted for the warrant as a component of stockholders’ equity as the agreement requires settlement in shares and under no provision of the agreement are we required to settle the warrant in cash.</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accounted for the interest on the debt under the effective interest method wherein we treated the debt issuance costs paid directly to Oxford and the relative fair value of the warrants issued to Oxford as a discount on the debt, and we treated the debt issuance costs paid to third parties as an asset.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waived the prepayment penalty of approximately $400,000.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January 2011, we had a reduction-in-force to reduce costs. We believe that we remain adequately staffed given our research and development focus and utilization of external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 which may require cash settlement.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6, 2011, we entered into a fifth amendment (the “Fifth Lease Amendment”) of our lease agreement (the “Lease”), with 4350 La Jolla Village LLC (the “Landlord”). The Fifth Lease Amendment amended the Lease of our headquarters located at 4350 La Jolla Village Drive, Suite 950, San Diego, California, 92122, and extended the Lease term, with respect to 5,089 square feet, from August 31, 2011 to May 31, 2012. The Fifth Lease Amendment provided that we will pay the Landlord a monthly base rent of $12,468 for the premises during the nine-month extension period. On March 19, 2012, we entered into a sixth amendment of the Lease (the “Sixth Lease Amendment”), which extends the lease term through February 28, 2013, and provides that we will pay the Landlord a monthly base rent of $12,672 for the premises during the term of the Sixth Lease Amendment.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Daily sales of our common stock to Aspire are subject to certain limitations and the per share sales price is based on closing stock prices at or near each transaction date. Our net proceeds will depend on the frequency and number of shares of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November 7, 2012 the Company has completed sales totaling 656,060 shares of common stock at prices ranging from $1.65 to $1.92 per share and generating gross proceeds of $1.1 million.</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2011, as filed with the SEC on March 29,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and nine months ended September 30, 2012, we recorded revenue relating to the Kissei services agreement of approximately $100,000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$800,000, respectively, based on the development services we performed during that period. All expenses incurred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related to these development services have been recorded as research and development expenses. In addition to the revenue recorded in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2012, our revenues to date have been from development services revenues under service agreements pursuant to which we billed consulting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fees and our pass-through clinical contract costs. The primary costs associated with these revenues were the clinical contract costs we incurred and passed-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to our customers.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and development costs are expensed as incurred based on certain contractual factors such as estimates of work performed, milestones achieved, patient enrollment and experience with similar contracts. As actual costs become known, accruals are adjusted. To date, our accrued research and development expenses have not differed significantly from the actual expenses incurred.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8"/>
              </w:rPr>
              <w:t>Three months ended</w:t>
            </w:r>
          </w:p>
        </w:tc>
        <w:tc>
          <w:tcPr>
            <w:tcW w:w="14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2"/>
              </w:rPr>
              <w:t>Nine months ended</w:t>
            </w:r>
          </w:p>
        </w:tc>
      </w:t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Product</w:t>
            </w:r>
          </w:p>
        </w:tc>
        <w:tc>
          <w:tcPr>
            <w:tcW w:w="3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9"/>
        </w:trPr>
        <w:tc>
          <w:tcPr>
            <w:tcW w:w="9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300" w:type="dxa"/>
            <w:vAlign w:val="bottom"/>
          </w:tcPr>
          <w:p>
            <w:pPr>
              <w:spacing w:after="0"/>
              <w:rPr>
                <w:sz w:val="12"/>
                <w:szCs w:val="12"/>
                <w:color w:val="auto"/>
              </w:rPr>
            </w:pPr>
          </w:p>
        </w:tc>
        <w:tc>
          <w:tcPr>
            <w:tcW w:w="7180" w:type="dxa"/>
            <w:vAlign w:val="bottom"/>
            <w:gridSpan w:val="2"/>
          </w:tcPr>
          <w:p>
            <w:pPr>
              <w:ind w:left="2580"/>
              <w:spacing w:after="0" w:line="129" w:lineRule="exact"/>
              <w:rPr>
                <w:sz w:val="20"/>
                <w:szCs w:val="20"/>
                <w:color w:val="auto"/>
              </w:rPr>
            </w:pPr>
            <w:r>
              <w:rPr>
                <w:rFonts w:ascii="Arial" w:cs="Arial" w:eastAsia="Arial" w:hAnsi="Arial"/>
                <w:sz w:val="14"/>
                <w:szCs w:val="14"/>
                <w:b w:val="1"/>
                <w:bCs w:val="1"/>
                <w:color w:val="auto"/>
              </w:rPr>
              <w:t>Product Development Program</w:t>
            </w: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MN-221</w:t>
            </w:r>
          </w:p>
        </w:tc>
        <w:tc>
          <w:tcPr>
            <w:tcW w:w="300" w:type="dxa"/>
            <w:vAlign w:val="bottom"/>
            <w:tcBorders>
              <w:top w:val="single" w:sz="8" w:color="CCEEFF"/>
            </w:tcBorders>
            <w:shd w:val="clear" w:color="auto" w:fill="CCEEFF"/>
          </w:tcPr>
          <w:p>
            <w:pPr>
              <w:spacing w:after="0"/>
              <w:rPr>
                <w:sz w:val="17"/>
                <w:szCs w:val="17"/>
                <w:color w:val="auto"/>
              </w:rPr>
            </w:pPr>
          </w:p>
        </w:tc>
        <w:tc>
          <w:tcPr>
            <w:tcW w:w="6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Acute exacerbations of asthma/COPD</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$ 673</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1,219</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$3,185</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$4,651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MN-166</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Multiple sclerosis/other CNS disorders</w:t>
            </w: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7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Bronchial asthma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MN-001</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Interstitial cystitis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MN-029</w:t>
            </w:r>
          </w:p>
        </w:tc>
        <w:tc>
          <w:tcPr>
            <w:tcW w:w="7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Solid tumors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MN-305</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Generalized Anxiety Disorder/insomnia</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MN-221</w:t>
            </w:r>
          </w:p>
        </w:tc>
        <w:tc>
          <w:tcPr>
            <w:tcW w:w="7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Preterm labor</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MN-246</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Urinary incontinence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MN-447</w:t>
            </w:r>
          </w:p>
        </w:tc>
        <w:tc>
          <w:tcPr>
            <w:tcW w:w="7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Thrombotic disorders</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MN-462</w:t>
            </w:r>
          </w:p>
        </w:tc>
        <w:tc>
          <w:tcPr>
            <w:tcW w:w="7480" w:type="dxa"/>
            <w:vAlign w:val="bottom"/>
            <w:gridSpan w:val="3"/>
          </w:tcPr>
          <w:p>
            <w:pPr>
              <w:ind w:left="300"/>
              <w:spacing w:after="0"/>
              <w:rPr>
                <w:sz w:val="20"/>
                <w:szCs w:val="20"/>
                <w:color w:val="auto"/>
              </w:rPr>
            </w:pPr>
            <w:r>
              <w:rPr>
                <w:rFonts w:ascii="Arial" w:cs="Arial" w:eastAsia="Arial" w:hAnsi="Arial"/>
                <w:sz w:val="18"/>
                <w:szCs w:val="18"/>
                <w:color w:val="auto"/>
              </w:rPr>
              <w:t>Thrombotic disorders</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4"/>
              </w:rPr>
              <w:t>Unallocated</w:t>
            </w:r>
          </w:p>
        </w:tc>
        <w:tc>
          <w:tcPr>
            <w:tcW w:w="30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1,680</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4,235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6,344</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in recent years focused our resources on the development of our two prioritized product development programs, MN-221 for the treatment of acute exacerbations of asthma and COPD exacerbations, and MN-166 for the treatment of methamphetamine and opioid addiction, progressive MS and medication overuse headache. Since 2007 the Company has funded a significant portion of MN-221 development while proceeding with external grant funded MN-166 trials. We are currently considering certain MN-166 development opportunities to advance the ibudilast-based development program. On May 23, 2012 we announced preliminary trial results of the Phase 2 MN-221-CL-007 clinical trial for the treatment of acute exacerbations of asthma. On August 23, 2012 we announced preliminary trial results of an additional Phase 1b/2a COPD MN-221–CL-012 clinical trial. On October 22, 2012 we met with the FDA to review future development of this product candidate. Although discussions have not been finalized, during the meeting the FDA identified the risk/benefit profile of MN-221 as a focal point for any further development of MN-221 and advised that a reduction in hospitalizations would need to be a pivotal trial primary endpoint. We are considering the design, costs and timing of potential future clinical trials of MN-221 and will determine its development strategy following the completion of our review. Our research and development expenses may increase in connection with clinical trials related to our two prioritized product development programs, and any other development activities that we may initiate.</w:t>
      </w:r>
    </w:p>
    <w:p>
      <w:pPr>
        <w:spacing w:after="0" w:line="12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while pursuing a variety of initiatives to monetize such product development. As a result, we expect that research and development expenses will remain low for the remainder of our existing product candidates in the foreseeable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current prioritized product development programs and in raising capital to support those and other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expense consists of accretion related to the convertible notes, amortization of debt issuance costs paid to third parties, losses from the joint venture accounted for under the equity method, and net foreign exchange gains and losses related to vendor invoices denominated in foreign currencies to the extent that there are differences between the exchange rate at the transaction date and the exchange rate at the invoice settlement date, or the balance sheet date if the transaction had not yet been settled.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expense consists of interest charged on our long-term debt based on the effective interest method and amortization of debt discount. In the first three quarters of 2012, we held no debt and had no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2012 and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for the three months ended September 30, 2012 was approximately $100,000. There was no revenue for the three months ended September 30,</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2011. The revenue recorded in the third quarter of 2012 related to the development services we performed under the Kissei services agreement during that period.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Research and development expenses for the three months ended September 30, 2012 were approximately $900,000, a decrease of approximately $800,000 when compared to $1.7 million for the three months ended September 30, 2011. This decrease in research and development expenses primarily related to a decrease of approximately $700,000 in spending on MN-221 due primarily to the completion of the CL-007 clinical trial in March, 2012, and a decrease of approximately $200,000 in employee compensation expense including approximately $50,000 related to stock based compensation, partially offset by an increase in spending of approximately $100,000 for our MN-221-CL-012 clinical trial.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General and administrative expenses for the three months ended September 30, 2012 were $1.6 million, a decrease of approximately $600,000 when compared to $2.2 million for the three months ended September 30, 2011. This decrease in general and administrative expenses was due primarily to an approximately $600,000 decrease in employee compensation expense including approximately $400,000 related to stock-based compensation.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Other expense for the three months ended September 30, 2012 was approximately $14,000, as compared to approximately $4,000 for the three months ended September 30, 2011. In the third quarter of 2012, other expense consisted of losses from the joint venture accounted for under the equity method and net foreign exchange losses related to vendor invoices denominated in foreign currencies.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Interest expense for the three months ended September 30, 2011 was approximately $1,000, consisting of a write-off of debt related costs pursuant to the early repayment of our debt with Oxford. In the third quarter of 2012, we held no debt and had no interest expense.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income for the three months ended September 30, 2012 was approximately $4,000, as compared to approximately $8,000 for the three months ended September 30, 2011. The decrease is due to a decrease in interest income on lower cash equivalents.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2012 and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for the nine months ended September 30, 2012 was approximately $800,000. There was no revenue for the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2011. The revenue recorded in 2012 related to the development services we performed under the Kissei services agreement during that period.</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Research and development expenses for the nine months ended September 30, 2012 were $4.2 million, a decrease of $2.1 million when compared to $6.3 million for the nine months ended September 30, 2011. This decrease in research and development expenses primarily related to a decrease of $2.7 million in spending on MN-221 primarily to the completion of the CL-007 clinical trial in March 2012, and a decrease in spending of approximately $200,000 for MN-166, partially offset by an increase in spending of $1.3 million for our MN-221–CL-012 clinical trial and decreases in unallocated employee compensation, occupancy and legal costs totaling approximately $500,000.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 and administrative expenses for the nine months ended September 30, 2012 were $5.1 million, a decrease of $1.2 million when compared to $6.3 million for the nine months ended September 30, 2011. This decrease in general and administrative expenses was due primarily to $1.2 million decrease in employee compensation expense including approximately $600,000 related to stock based compensation.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Other expense for the nine months ended September 30, 2012 was approximately $19,000, as compared to approximately $80,000 for the nine months ended September 30, 2011. In 2011, other expense primarily consisted of accretion related to convertible notes and amortization of debt issuance costs paid to third parties. In 2012, other expense consisted of losses from the joint venture accounted for under the equity method according to our percentage ownership, and net foreign exchange losses related to vendor invoices denominated in foreign currencies. We held no debt or convertible notes in 2012.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Interest expense for the nine months ended September 30, 2011 was $1.6 million and consisted of interest on our debt under the effective interest method and write-off of debt related costs pursuant to the early repayment of our debt with Oxford. In 2012, we held no debt and had no interest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Other income for the nine months ended September 30, 2012 was approximately $22,000, as compared to approximately $50,000 for the nine months ended September 30, 2011. The decrease is due to a decrease in interest income on lower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incurred losses of $2.4 million and $8.5 million for the three and nine months ended September 30, 2012, and we have incurred losses of $17.7 million, $20.2 million and $20.4 million for the years ended December 31, 2011, 2010, and 2009, respectively. We have an accumulated deficit of $293.8 million as of September 30, 2012. Additionally, we have used net cash of $9.7 million, $13.3 million, $17.7 million and $17.0 million to fund our operating activities for the nine months ended September 30, 2012 and for the years ended December 31, 2011, 2010, and 2009,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2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w:t>
      </w:r>
    </w:p>
    <w:p>
      <w:pPr>
        <w:spacing w:after="0" w:line="8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are responsible for all costs incurred in the performance of these services which are expected to be completed in 2012 and 2013. We assessed the deliverables in accordance with the authoritative guidance and concluded the existence of one deliverable, which was research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development services. As such, we will recognize as revenue the $2.5 million payment as the research and development services are performed. In the three and nine months ended September 30, 2012 we recorded revenue relating to this agreement of approximately $100,000 and $ 800,000, respectively. The amount received from Kissei net of the amount recorded as revenue is included on the balance sheet at September 30, 2012 as deferred revenue.</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Daily sales of our common stock to Aspire are subject to certain limitations and the per share sales price is based on closing stock prices at or near each transaction date. Our net proceeds will depend on the frequency and number of shares of our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We initially issued 363,636 shares of our common stock to Aspire as consideration for entering into the agreement. As of November 7, 2012 the Company has completed sales totaling 656,060 shares of common stock at prices ranging from $1.65 to $1.92 per share and generating gross proceeds of $1.1 million.</w:t>
      </w:r>
    </w:p>
    <w:p>
      <w:pPr>
        <w:spacing w:after="0" w:line="12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agreement with Aspire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current cash and cash equivalents are our principal sources of liquidity. We utilize our cash and cash equivalents to fund our operations, including research and development of our product development candidates and clinical trials. While there can be no assurances given, we believe our working capital at September 30, 2012 will be sufficient to fund our operations through March 31, 2013, assuming that we operate our business in accordance with our current operating plan and do not commence any new clinical trials. This belief is based on assumptions that could prove to be wrong, and we could utilize our available capital working capital sooner than we currently expect. We have had, and continue to have, an ongoing need to raise additional cash from outside sources to fund our operations. We have a history of raising capital through equity and debt, and management plans to continue its efforts to finance operations with equity issuances, debt arrangements, or a combination thereof.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Because of the numerous risks and uncertainties associated with development and commercialization of our products, we are unable to estimate the exact amount of our working capital requirements. Our future funding requirements will depend on many factors, including, but not limited to:</w:t>
      </w:r>
    </w:p>
    <w:p>
      <w:pPr>
        <w:spacing w:after="0" w:line="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Cash and cash equivalents as of September 30, 2012 were $5.7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2012.</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August 1, 2012, the arbitrator stayed all proceedings to allow the plaintiff time to obtain new counsel. The plaintiff has since obtained new counsel and the arbitrator has continued the stay to allow the parties to mutually determine what to do with documents and property held by the plaintiff’s former counsel. We have engaged legal counsel in this matter. Based on our current assessment, we do not expect its outcome to have a material adverse effect on our business, financial condition and results of operations.</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may become involved in various other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2011 other than the addition of the following risk factor: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develop viable future development options for MN-221, we may be unable to develop and commercialize this product candidate.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Following our May 23, 2012 announcement that preliminary trial results of the Phase 2 MN-221-CL-007 clinical trial did not statistically meet the primary endpoint, improvement in FEV1 (Forced Expiratory Volume in One Second) compared to placebo, we scheduled an End-of-Phase 2 meeting with the FDA pertaining to the future development of MN-221. On October 22, 2012 we met with the FDA to review future development of this product candidate. During the meeting the FDA identified the risk/benefit profile of MN-221 as a focal point for any further development of MN-221 and advised that a reduction in hospitalizations would need to be a pivotal trial primary endpoint. We are considering the design, costs and timing of potential future clinical trials of MN-221 and will determine its development strategy following the completion of our review. Accordingly, our potential future development costs and timeline for completing development of MN-221 for the treatment of acute exacerbations of asthma are uncertain at this time.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ind w:left="1200" w:right="1060" w:hanging="894"/>
        <w:spacing w:after="0" w:line="268" w:lineRule="auto"/>
        <w:tabs>
          <w:tab w:leader="none" w:pos="11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Agreement and Plan of Merger among Registrant, Absolute Merger, Inc. and Avigen, Inc. (attached as Annex A to the joint proxy statement/prospectus), dated as of August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-292735</wp:posOffset>
            </wp:positionV>
            <wp:extent cx="6491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64"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5"/>
          <w:szCs w:val="15"/>
          <w:color w:val="auto"/>
        </w:rPr>
        <w:t>Restated Certificate of Incorporation of the Registrant, as amended.</w:t>
      </w:r>
    </w:p>
    <w:p>
      <w:pPr>
        <w:spacing w:after="0" w:line="117"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Amended and Restated Bylaws of the Registrant.</w:t>
      </w:r>
    </w:p>
    <w:p>
      <w:pPr>
        <w:spacing w:after="0" w:line="117"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color w:val="auto"/>
        </w:rPr>
        <w:t>Certificate of Designation, Preferences and Rights of the Series B Convertible Preferred Stock.</w:t>
      </w:r>
    </w:p>
    <w:p>
      <w:pPr>
        <w:spacing w:after="0" w:line="117"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Specimen of Common Stock Certificate.</w:t>
      </w:r>
    </w:p>
    <w:p>
      <w:pPr>
        <w:spacing w:after="0" w:line="117"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Amended and Restated Registration Rights Agreement among the Registrant, its founders and the investors named therein, dated September 2,</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2004.</w:t>
      </w:r>
    </w:p>
    <w:p>
      <w:pPr>
        <w:spacing w:after="0" w:line="111" w:lineRule="exact"/>
        <w:rPr>
          <w:sz w:val="20"/>
          <w:szCs w:val="20"/>
          <w:color w:val="auto"/>
        </w:rPr>
      </w:pPr>
    </w:p>
    <w:p>
      <w:pPr>
        <w:ind w:left="1200" w:right="220" w:hanging="894"/>
        <w:spacing w:after="0" w:line="268" w:lineRule="auto"/>
        <w:tabs>
          <w:tab w:leader="none" w:pos="11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Form of Indenture by and between Registrant and American Stock Transfer and Trust Company, LLC (attached as Annex C to the joint proxy statement/prospectus).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5"/>
                <w:szCs w:val="15"/>
                <w:color w:val="auto"/>
              </w:rPr>
            </w:pPr>
          </w:p>
        </w:tc>
        <w:tc>
          <w:tcPr>
            <w:tcW w:w="10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4.4(3)</w:t>
            </w:r>
          </w:p>
        </w:tc>
        <w:tc>
          <w:tcPr>
            <w:tcW w:w="10220" w:type="dxa"/>
            <w:vAlign w:val="bottom"/>
          </w:tcPr>
          <w:p>
            <w:pPr>
              <w:spacing w:after="0"/>
              <w:rPr>
                <w:sz w:val="20"/>
                <w:szCs w:val="20"/>
                <w:color w:val="auto"/>
              </w:rPr>
            </w:pPr>
            <w:r>
              <w:rPr>
                <w:rFonts w:ascii="Arial" w:cs="Arial" w:eastAsia="Arial" w:hAnsi="Arial"/>
                <w:sz w:val="18"/>
                <w:szCs w:val="18"/>
                <w:color w:val="auto"/>
              </w:rPr>
              <w:t>Form of Convertible Note (included in Exhibit 4.3).</w:t>
            </w:r>
          </w:p>
        </w:tc>
      </w:tr>
      <w:tr>
        <w:trPr>
          <w:trHeight w:val="316"/>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4.5(4)</w:t>
            </w:r>
          </w:p>
        </w:tc>
        <w:tc>
          <w:tcPr>
            <w:tcW w:w="10220" w:type="dxa"/>
            <w:vAlign w:val="bottom"/>
          </w:tcPr>
          <w:p>
            <w:pPr>
              <w:spacing w:after="0"/>
              <w:rPr>
                <w:sz w:val="20"/>
                <w:szCs w:val="20"/>
                <w:color w:val="auto"/>
              </w:rPr>
            </w:pPr>
            <w:r>
              <w:rPr>
                <w:rFonts w:ascii="Arial" w:cs="Arial" w:eastAsia="Arial" w:hAnsi="Arial"/>
                <w:sz w:val="18"/>
                <w:szCs w:val="18"/>
                <w:color w:val="auto"/>
              </w:rPr>
              <w:t>Warrant dated May 10, 2010 issued to Oxford Finance Corporation.</w:t>
            </w:r>
          </w:p>
        </w:tc>
      </w:tr>
      <w:tr>
        <w:trPr>
          <w:trHeight w:val="324"/>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4.6(6)</w:t>
            </w:r>
          </w:p>
        </w:tc>
        <w:tc>
          <w:tcPr>
            <w:tcW w:w="10220" w:type="dxa"/>
            <w:vAlign w:val="bottom"/>
          </w:tcPr>
          <w:p>
            <w:pPr>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4.7(8)</w:t>
            </w:r>
          </w:p>
        </w:tc>
        <w:tc>
          <w:tcPr>
            <w:tcW w:w="10220" w:type="dxa"/>
            <w:vAlign w:val="bottom"/>
          </w:tcPr>
          <w:p>
            <w:pPr>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r>
      <w:tr>
        <w:trPr>
          <w:trHeight w:val="324"/>
        </w:trPr>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4.8</w:t>
            </w:r>
          </w:p>
        </w:tc>
        <w:tc>
          <w:tcPr>
            <w:tcW w:w="10220" w:type="dxa"/>
            <w:vAlign w:val="bottom"/>
          </w:tcPr>
          <w:p>
            <w:pPr>
              <w:spacing w:after="0"/>
              <w:rPr>
                <w:sz w:val="20"/>
                <w:szCs w:val="20"/>
                <w:color w:val="auto"/>
              </w:rPr>
            </w:pPr>
            <w:r>
              <w:rPr>
                <w:rFonts w:ascii="Arial" w:cs="Arial" w:eastAsia="Arial" w:hAnsi="Arial"/>
                <w:sz w:val="18"/>
                <w:szCs w:val="18"/>
                <w:color w:val="auto"/>
              </w:rPr>
              <w:t>Warrant dated August 22, 2012 issued to Redington, Inc., as amended.</w:t>
            </w:r>
          </w:p>
        </w:tc>
      </w:tr>
      <w:tr>
        <w:trPr>
          <w:trHeight w:val="324"/>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4.9(9)</w:t>
            </w:r>
          </w:p>
        </w:tc>
        <w:tc>
          <w:tcPr>
            <w:tcW w:w="10220" w:type="dxa"/>
            <w:vAlign w:val="bottom"/>
          </w:tcPr>
          <w:p>
            <w:pPr>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r>
      <w:tr>
        <w:trPr>
          <w:trHeight w:val="324"/>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10.1(8)</w:t>
            </w:r>
          </w:p>
        </w:tc>
        <w:tc>
          <w:tcPr>
            <w:tcW w:w="10220" w:type="dxa"/>
            <w:vAlign w:val="bottom"/>
          </w:tcPr>
          <w:p>
            <w:pPr>
              <w:spacing w:after="0"/>
              <w:rPr>
                <w:sz w:val="20"/>
                <w:szCs w:val="20"/>
                <w:color w:val="auto"/>
              </w:rPr>
            </w:pPr>
            <w:r>
              <w:rPr>
                <w:rFonts w:ascii="Arial" w:cs="Arial" w:eastAsia="Arial" w:hAnsi="Arial"/>
                <w:sz w:val="18"/>
                <w:szCs w:val="18"/>
                <w:color w:val="auto"/>
              </w:rPr>
              <w:t>Common Stock Purchase Agreement, between the Company and Aspire Capital Fund, LLC., dated as of August 20, 2012.</w:t>
            </w:r>
          </w:p>
        </w:tc>
      </w:tr>
      <w:tr>
        <w:trPr>
          <w:trHeight w:val="318"/>
        </w:trPr>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31.1</w:t>
            </w:r>
          </w:p>
        </w:tc>
        <w:tc>
          <w:tcPr>
            <w:tcW w:w="1022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2012.</w:t>
            </w:r>
          </w:p>
        </w:tc>
      </w:tr>
      <w:tr>
        <w:trPr>
          <w:trHeight w:val="324"/>
        </w:trPr>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31.2</w:t>
            </w:r>
          </w:p>
        </w:tc>
        <w:tc>
          <w:tcPr>
            <w:tcW w:w="10220" w:type="dxa"/>
            <w:vAlign w:val="bottom"/>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September 30, 2012.</w:t>
            </w:r>
          </w:p>
        </w:tc>
      </w:tr>
      <w:tr>
        <w:trPr>
          <w:trHeight w:val="324"/>
        </w:trPr>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32.1</w:t>
            </w:r>
          </w:p>
        </w:tc>
        <w:tc>
          <w:tcPr>
            <w:tcW w:w="1022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32.2</w:t>
            </w:r>
          </w:p>
        </w:tc>
        <w:tc>
          <w:tcPr>
            <w:tcW w:w="102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10220" w:type="dxa"/>
            <w:vAlign w:val="bottom"/>
          </w:tcPr>
          <w:p>
            <w:pPr>
              <w:spacing w:after="0"/>
              <w:rPr>
                <w:sz w:val="20"/>
                <w:szCs w:val="20"/>
                <w:color w:val="auto"/>
              </w:rPr>
            </w:pPr>
            <w:r>
              <w:rPr>
                <w:rFonts w:ascii="Arial" w:cs="Arial" w:eastAsia="Arial" w:hAnsi="Arial"/>
                <w:sz w:val="18"/>
                <w:szCs w:val="18"/>
                <w:color w:val="auto"/>
                <w:w w:val="94"/>
              </w:rPr>
              <w:t>The following financial statements from the MediciNova, Inc. Quarterly Report on Form 10-Q for the quarter ended September 30, 2012</w:t>
            </w: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formatted in Extensible Business Reporting Language (XBRL): (i) Consolidated Balance Sheets; (ii) Consolidated Statements of Operations and</w:t>
            </w: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Comprehensive Loss; (iii) Consolidated Statements of Cash Flows; and (iv) the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sz w:val="20"/>
          <w:szCs w:val="20"/>
          <w:color w:val="auto"/>
        </w:rPr>
      </w:pPr>
    </w:p>
    <w:p>
      <w:pPr>
        <w:ind w:left="460" w:right="10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60" w:val="left"/>
          <w:tab w:leader="none" w:pos="7900" w:val="left"/>
          <w:tab w:leader="none" w:pos="824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Yuichi Iwaki, M.D., Ph.D.</w:t>
      </w:r>
    </w:p>
    <w:p>
      <w:pPr>
        <w:jc w:val="center"/>
        <w:ind w:left="60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Executive Officer)</w:t>
      </w:r>
    </w:p>
    <w:p>
      <w:pPr>
        <w:sectPr>
          <w:pgSz w:w="11900" w:h="16838" w:orient="portrait"/>
          <w:cols w:equalWidth="0" w:num="1">
            <w:col w:w="10780"/>
          </w:cols>
          <w:pgMar w:left="240" w:top="459" w:right="879" w:bottom="1440" w:gutter="0" w:footer="0" w:header="0"/>
        </w:sectPr>
      </w:pP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10795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auto"/>
        </w:rPr>
        <w:t>Michael Gennaro</w:t>
      </w:r>
    </w:p>
    <w:p>
      <w:pPr>
        <w:jc w:val="center"/>
        <w:ind w:right="72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right="7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right="720"/>
        <w:spacing w:after="0"/>
        <w:rPr>
          <w:sz w:val="20"/>
          <w:szCs w:val="20"/>
          <w:color w:val="auto"/>
        </w:rPr>
      </w:pPr>
      <w:r>
        <w:rPr>
          <w:rFonts w:ascii="Arial" w:cs="Arial" w:eastAsia="Arial" w:hAnsi="Arial"/>
          <w:sz w:val="12"/>
          <w:szCs w:val="12"/>
          <w:b w:val="1"/>
          <w:bCs w:val="1"/>
          <w:color w:val="auto"/>
        </w:rPr>
        <w:t>as the registrant’s Principal Financial Officer)</w:t>
      </w:r>
    </w:p>
    <w:p>
      <w:pPr>
        <w:sectPr>
          <w:pgSz w:w="11900" w:h="16838" w:orient="portrait"/>
          <w:cols w:equalWidth="0" w:num="2">
            <w:col w:w="6680" w:space="720"/>
            <w:col w:w="3380"/>
          </w:cols>
          <w:pgMar w:left="240" w:top="459" w:right="8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90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5"/>
                <w:szCs w:val="15"/>
                <w:color w:val="auto"/>
              </w:rPr>
            </w:pPr>
          </w:p>
        </w:tc>
        <w:tc>
          <w:tcPr>
            <w:tcW w:w="103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2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rPr>
              <w:t>2.1(3)</w:t>
            </w:r>
          </w:p>
        </w:tc>
        <w:tc>
          <w:tcPr>
            <w:tcW w:w="400" w:type="dxa"/>
            <w:vAlign w:val="bottom"/>
          </w:tcPr>
          <w:p>
            <w:pPr>
              <w:spacing w:after="0"/>
              <w:rPr>
                <w:sz w:val="16"/>
                <w:szCs w:val="16"/>
                <w:color w:val="auto"/>
              </w:rPr>
            </w:pPr>
          </w:p>
        </w:tc>
        <w:tc>
          <w:tcPr>
            <w:tcW w:w="9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Agreement and Plan of Merger among Registrant, Absolute Merger, Inc. and Avigen, Inc. (attached as Annex A to the joint proxy</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statement/prospectus), dated as of August 20, 2009.</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3.1(7)</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Restated Certificate of Incorporation of the Registrant, as amended.</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3.2(1)</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4.1(2)</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4.2(1)</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87"/>
              </w:rPr>
              <w:t>Amended and Restated Registration Rights Agreement among the Registrant, its founders and the investors named therein, dated September</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2, 2004.</w:t>
            </w:r>
          </w:p>
        </w:tc>
      </w:tr>
      <w:tr>
        <w:trPr>
          <w:trHeight w:val="318"/>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4.3(3)</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2"/>
              </w:rPr>
              <w:t>Form of Indenture by and between Registrant and American Stock Transfer and Trust Company, LLC (attached as Annex C to the joint</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proxy statement/prospectus).</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4.4(3)</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Form of Convertible Note (included in Exhibit 4.3).</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4.5(4)</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Warrant dated May 10, 2010 issued to Oxford Finance Corporation.</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4.6(6)</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4.7(8)</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r>
      <w:tr>
        <w:trPr>
          <w:trHeight w:val="324"/>
        </w:trPr>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4.8</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Warrant dated August 22, 2012 issued to Redington, Inc., as amended.</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4.9(9)</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r>
      <w:tr>
        <w:trPr>
          <w:trHeight w:val="324"/>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10.1(8)</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Common Stock Purchase Agreement, between the Company and Aspire Capital Fund, LLC., dated as of August 20, 2012.</w:t>
            </w:r>
          </w:p>
        </w:tc>
      </w:tr>
      <w:tr>
        <w:trPr>
          <w:trHeight w:val="318"/>
        </w:trPr>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31.1</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2012.</w:t>
            </w:r>
          </w:p>
        </w:tc>
      </w:tr>
      <w:tr>
        <w:trPr>
          <w:trHeight w:val="318"/>
        </w:trPr>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31.2</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September 30,</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2012.</w:t>
            </w:r>
          </w:p>
        </w:tc>
      </w:tr>
      <w:tr>
        <w:trPr>
          <w:trHeight w:val="324"/>
        </w:trPr>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32.1</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9"/>
              </w:rPr>
              <w:t>Certification of Chief Executive Officer pursuant to 18 U.S.C. Section 1350 (Section 906 of the Sarbanes-Oxley Act of 2002).</w:t>
            </w:r>
          </w:p>
        </w:tc>
      </w:tr>
      <w:tr>
        <w:trPr>
          <w:trHeight w:val="324"/>
        </w:trPr>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32.2</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1"/>
              </w:rPr>
              <w:t>The following financial statements from the MediciNova, Inc. Quarterly Report on Form 10-Q for the quarter ended September 30, 2012</w:t>
            </w: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89"/>
              </w:rPr>
              <w:t>formatted in Extensible Business Reporting Language (XBRL): (i) Consolidated Balance Sheets; (ii) Consolidated Statements of Operations</w:t>
            </w:r>
          </w:p>
        </w:tc>
      </w:tr>
      <w:tr>
        <w:trPr>
          <w:trHeight w:val="222"/>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300" w:type="dxa"/>
            <w:vAlign w:val="bottom"/>
            <w:gridSpan w:val="2"/>
          </w:tcPr>
          <w:p>
            <w:pPr>
              <w:ind w:left="400"/>
              <w:spacing w:after="0"/>
              <w:rPr>
                <w:sz w:val="20"/>
                <w:szCs w:val="20"/>
                <w:color w:val="auto"/>
              </w:rPr>
            </w:pPr>
            <w:r>
              <w:rPr>
                <w:rFonts w:ascii="Arial" w:cs="Arial" w:eastAsia="Arial" w:hAnsi="Arial"/>
                <w:sz w:val="18"/>
                <w:szCs w:val="18"/>
                <w:color w:val="auto"/>
                <w:w w:val="95"/>
              </w:rPr>
              <w:t>and Comprehensive Loss; (iii) Consolidated Statements of Cash Flows; and (iv) the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sz w:val="20"/>
          <w:szCs w:val="20"/>
          <w:color w:val="auto"/>
        </w:rPr>
      </w:pPr>
    </w:p>
    <w:p>
      <w:pPr>
        <w:ind w:left="460" w:right="10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4.8</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WARRANT CERTIFICATE</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TO PURCHASE</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SHARES OF COMMON STOCK</w:t>
      </w:r>
    </w:p>
    <w:p>
      <w:pPr>
        <w:spacing w:after="0" w:line="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i w:val="1"/>
          <w:iCs w:val="1"/>
          <w:color w:val="auto"/>
        </w:rPr>
        <w:t>Corporation</w:t>
      </w:r>
      <w:r>
        <w:rPr>
          <w:rFonts w:ascii="Arial" w:cs="Arial" w:eastAsia="Arial" w:hAnsi="Arial"/>
          <w:sz w:val="18"/>
          <w:szCs w:val="18"/>
          <w:b w:val="1"/>
          <w:bCs w:val="1"/>
          <w:color w:val="auto"/>
        </w:rPr>
        <w:t>”)</w:t>
      </w:r>
    </w:p>
    <w:p>
      <w:pPr>
        <w:spacing w:after="0" w:line="19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#W-1</w:t>
      </w:r>
      <w:r>
        <w:rPr>
          <w:sz w:val="20"/>
          <w:szCs w:val="20"/>
          <w:color w:val="auto"/>
        </w:rPr>
        <w:tab/>
      </w:r>
      <w:r>
        <w:rPr>
          <w:rFonts w:ascii="Arial" w:cs="Arial" w:eastAsia="Arial" w:hAnsi="Arial"/>
          <w:sz w:val="15"/>
          <w:szCs w:val="15"/>
          <w:b w:val="1"/>
          <w:bCs w:val="1"/>
          <w:color w:val="auto"/>
        </w:rPr>
        <w:t>Warrant to Purchase up to 130,000 Shares of Common Stock</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ERTIFY</w:t>
      </w:r>
      <w:r>
        <w:rPr>
          <w:rFonts w:ascii="Arial" w:cs="Arial" w:eastAsia="Arial" w:hAnsi="Arial"/>
          <w:sz w:val="18"/>
          <w:szCs w:val="18"/>
          <w:b w:val="1"/>
          <w:bCs w:val="1"/>
          <w:color w:val="auto"/>
        </w:rPr>
        <w:t xml:space="preserve"> </w:t>
      </w:r>
      <w:r>
        <w:rPr>
          <w:rFonts w:ascii="Arial" w:cs="Arial" w:eastAsia="Arial" w:hAnsi="Arial"/>
          <w:sz w:val="18"/>
          <w:szCs w:val="18"/>
          <w:color w:val="auto"/>
        </w:rPr>
        <w:t>that, for value received, the receipt and sufficiency of which is hereby acknowledged, Redington, Inc.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is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hereinafter set forth below, to subscribe for and purchase from the Corporation up to one hundred and thirty thousand (130,000) shares of the Corporation’s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by surrendering to the Corporation at its principal office in the City of San Diego, State of California this Warrant Certificate, together with a subscription form, duly completed and executed, and cash or a certified check in lawful money of the United States payable to or to the order of the Corporation for an amount equal to the Exercise Price (as hereinafter defined) multiplied by the number of Common Stock then being purchased.</w:t>
      </w:r>
    </w:p>
    <w:p>
      <w:pPr>
        <w:spacing w:after="0" w:line="13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Definitions</w:t>
      </w:r>
      <w:r>
        <w:rPr>
          <w:rFonts w:ascii="Arial" w:cs="Arial" w:eastAsia="Arial" w:hAnsi="Arial"/>
          <w:sz w:val="18"/>
          <w:szCs w:val="18"/>
          <w:color w:val="auto"/>
        </w:rPr>
        <w:t>. In this Warrant Certificate, including the preamble, unless there is something in the subject matter or context inconsistent herewith,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shall have the following meanings, respectively:</w:t>
      </w:r>
    </w:p>
    <w:p>
      <w:pPr>
        <w:spacing w:after="0" w:line="1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Sunday or other day on which commercial banks in The City of New York, NY are authorized or required by law to remain closed.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has the meaning ascribed thereto in the introductory paragraph hereto;</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Reorganization</w:t>
      </w:r>
      <w:r>
        <w:rPr>
          <w:rFonts w:ascii="Arial" w:cs="Arial" w:eastAsia="Arial" w:hAnsi="Arial"/>
          <w:sz w:val="16"/>
          <w:szCs w:val="16"/>
          <w:color w:val="auto"/>
        </w:rPr>
        <w:t>” means: (i) any reclassification of the Common Stock at any time outstanding; (ii) any change of the Common Stock at any time outstanding into other shares or securities; (iii) any sale of all of the Common Stock at any time outstanding to a third party; or (iv) any consolidation, amalgamation or merger of the Corporation with or into any other corporation or other entity (other than a consolidation, amalgamation or merger which does not result in a reclassification of the outstanding Common Stock or a change of the Common Stock into other shares or securities) and, for the avoidance of doubt, the term “</w:t>
      </w:r>
      <w:r>
        <w:rPr>
          <w:rFonts w:ascii="Arial" w:cs="Arial" w:eastAsia="Arial" w:hAnsi="Arial"/>
          <w:sz w:val="16"/>
          <w:szCs w:val="16"/>
          <w:b w:val="1"/>
          <w:bCs w:val="1"/>
          <w:i w:val="1"/>
          <w:iCs w:val="1"/>
          <w:color w:val="auto"/>
        </w:rPr>
        <w:t>Capital Reorganization</w:t>
      </w:r>
      <w:r>
        <w:rPr>
          <w:rFonts w:ascii="Arial" w:cs="Arial" w:eastAsia="Arial" w:hAnsi="Arial"/>
          <w:sz w:val="16"/>
          <w:szCs w:val="16"/>
          <w:color w:val="auto"/>
        </w:rPr>
        <w:t>” shall not include a Share Reorganization;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Notice</w:t>
      </w:r>
      <w:r>
        <w:rPr>
          <w:rFonts w:ascii="Arial" w:cs="Arial" w:eastAsia="Arial" w:hAnsi="Arial"/>
          <w:sz w:val="18"/>
          <w:szCs w:val="18"/>
          <w:color w:val="auto"/>
        </w:rPr>
        <w:t>” has the meaning ascribed thereto in Section 4(b);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MediciNova, Inc., a corporation incorporated under the laws of Delaware;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has the meaning ascribed thereto in Section 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has the meaning ascribed thereto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Global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Reorganization</w:t>
      </w:r>
      <w:r>
        <w:rPr>
          <w:rFonts w:ascii="Arial" w:cs="Arial" w:eastAsia="Arial" w:hAnsi="Arial"/>
          <w:sz w:val="18"/>
          <w:szCs w:val="18"/>
          <w:color w:val="auto"/>
        </w:rPr>
        <w:t>” has the meaning ascribed thereto in Section 8(b);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Form</w:t>
      </w:r>
      <w:r>
        <w:rPr>
          <w:rFonts w:ascii="Arial" w:cs="Arial" w:eastAsia="Arial" w:hAnsi="Arial"/>
          <w:sz w:val="18"/>
          <w:szCs w:val="18"/>
          <w:color w:val="auto"/>
        </w:rPr>
        <w:t>” means the form of subscription annexed hereto as Schedule A;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means the common share purchase warrant represented by this Warrant Certificate.</w:t>
      </w:r>
    </w:p>
    <w:p>
      <w:pPr>
        <w:spacing w:after="0" w:line="165" w:lineRule="exact"/>
        <w:rPr>
          <w:sz w:val="20"/>
          <w:szCs w:val="20"/>
          <w:color w:val="auto"/>
        </w:rPr>
      </w:pPr>
    </w:p>
    <w:p>
      <w:pPr>
        <w:ind w:right="40" w:firstLine="464"/>
        <w:spacing w:after="0" w:line="262" w:lineRule="auto"/>
        <w:tabs>
          <w:tab w:leader="none" w:pos="6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The Warrant represented by this Warrant Certificate entitles the Holder, to the extent the Warrant has vested pursuant to Section 3 below,</w:t>
      </w:r>
      <w:r>
        <w:rPr>
          <w:rFonts w:ascii="Arial" w:cs="Arial" w:eastAsia="Arial" w:hAnsi="Arial"/>
          <w:sz w:val="18"/>
          <w:szCs w:val="18"/>
          <w:b w:val="1"/>
          <w:bCs w:val="1"/>
          <w:color w:val="auto"/>
        </w:rPr>
        <w:t xml:space="preserve"> </w:t>
      </w:r>
      <w:r>
        <w:rPr>
          <w:rFonts w:ascii="Arial" w:cs="Arial" w:eastAsia="Arial" w:hAnsi="Arial"/>
          <w:sz w:val="18"/>
          <w:szCs w:val="18"/>
          <w:color w:val="auto"/>
        </w:rPr>
        <w:t>to subscribe for and purchase up to 130,000 shares of Common Stock at a price per share of $1.88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which price shall be subject to adjustment as hereinafter provided.</w:t>
      </w:r>
    </w:p>
    <w:p>
      <w:pPr>
        <w:spacing w:after="0" w:line="132" w:lineRule="exact"/>
        <w:rPr>
          <w:rFonts w:ascii="Arial" w:cs="Arial" w:eastAsia="Arial" w:hAnsi="Arial"/>
          <w:sz w:val="18"/>
          <w:szCs w:val="18"/>
          <w:b w:val="1"/>
          <w:bCs w:val="1"/>
          <w:color w:val="auto"/>
        </w:rPr>
      </w:pPr>
    </w:p>
    <w:p>
      <w:pPr>
        <w:jc w:val="both"/>
        <w:ind w:right="280" w:firstLine="464"/>
        <w:spacing w:after="0" w:line="301" w:lineRule="auto"/>
        <w:tabs>
          <w:tab w:leader="none" w:pos="63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Warrants</w:t>
      </w:r>
      <w:r>
        <w:rPr>
          <w:rFonts w:ascii="Arial" w:cs="Arial" w:eastAsia="Arial" w:hAnsi="Arial"/>
          <w:sz w:val="16"/>
          <w:szCs w:val="16"/>
          <w:color w:val="auto"/>
        </w:rPr>
        <w:t>. The shares of Common Stock subject to the Warrant will vest and become exercisable in the amounts listed in the table below,</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Corporation’s determination, in its sole discretion, that the applicable Share Price Targets as set forth in the table below (each a “</w:t>
      </w:r>
      <w:r>
        <w:rPr>
          <w:rFonts w:ascii="Arial" w:cs="Arial" w:eastAsia="Arial" w:hAnsi="Arial"/>
          <w:sz w:val="16"/>
          <w:szCs w:val="16"/>
          <w:b w:val="1"/>
          <w:bCs w:val="1"/>
          <w:i w:val="1"/>
          <w:iCs w:val="1"/>
          <w:color w:val="auto"/>
        </w:rPr>
        <w:t>Share Price Target</w:t>
      </w:r>
      <w:r>
        <w:rPr>
          <w:rFonts w:ascii="Arial" w:cs="Arial" w:eastAsia="Arial" w:hAnsi="Arial"/>
          <w:sz w:val="16"/>
          <w:szCs w:val="16"/>
          <w:color w:val="auto"/>
        </w:rPr>
        <w:t>” and, together, the “</w:t>
      </w:r>
      <w:r>
        <w:rPr>
          <w:rFonts w:ascii="Arial" w:cs="Arial" w:eastAsia="Arial" w:hAnsi="Arial"/>
          <w:sz w:val="16"/>
          <w:szCs w:val="16"/>
          <w:b w:val="1"/>
          <w:bCs w:val="1"/>
          <w:i w:val="1"/>
          <w:iCs w:val="1"/>
          <w:color w:val="auto"/>
        </w:rPr>
        <w:t>Share Price Targets</w:t>
      </w:r>
      <w:r>
        <w:rPr>
          <w:rFonts w:ascii="Arial" w:cs="Arial" w:eastAsia="Arial" w:hAnsi="Arial"/>
          <w:sz w:val="16"/>
          <w:szCs w:val="16"/>
          <w:color w:val="auto"/>
        </w:rPr>
        <w:t>”) have been achieved on ten (10) of any thirty (30) consecutive trading days (a “</w:t>
      </w:r>
      <w:r>
        <w:rPr>
          <w:rFonts w:ascii="Arial" w:cs="Arial" w:eastAsia="Arial" w:hAnsi="Arial"/>
          <w:sz w:val="16"/>
          <w:szCs w:val="16"/>
          <w:b w:val="1"/>
          <w:bCs w:val="1"/>
          <w:i w:val="1"/>
          <w:iCs w:val="1"/>
          <w:color w:val="auto"/>
        </w:rPr>
        <w:t>Trading Period</w:t>
      </w:r>
      <w:r>
        <w:rPr>
          <w:rFonts w:ascii="Arial" w:cs="Arial" w:eastAsia="Arial" w:hAnsi="Arial"/>
          <w:sz w:val="16"/>
          <w:szCs w:val="16"/>
          <w:color w:val="auto"/>
        </w:rPr>
        <w:t>”) during the period of time beginning on August 22, 2012 and ending on and including the 15-month anniversary of such date (the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10420" w:type="dxa"/>
            <w:vAlign w:val="bottom"/>
          </w:tcPr>
          <w:p>
            <w:pPr>
              <w:spacing w:after="0"/>
              <w:rPr>
                <w:sz w:val="14"/>
                <w:szCs w:val="14"/>
                <w:color w:val="auto"/>
              </w:rPr>
            </w:pPr>
          </w:p>
        </w:tc>
      </w:tr>
      <w:tr>
        <w:trPr>
          <w:trHeight w:val="16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1042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Share Price Target</w:t>
            </w:r>
          </w:p>
        </w:tc>
      </w:tr>
      <w:tr>
        <w:trPr>
          <w:trHeight w:val="309"/>
        </w:trPr>
        <w:tc>
          <w:tcPr>
            <w:tcW w:w="680" w:type="dxa"/>
            <w:vAlign w:val="bottom"/>
          </w:tcPr>
          <w:p>
            <w:pPr>
              <w:jc w:val="center"/>
              <w:spacing w:after="0"/>
              <w:rPr>
                <w:sz w:val="20"/>
                <w:szCs w:val="20"/>
                <w:color w:val="auto"/>
              </w:rPr>
            </w:pPr>
            <w:r>
              <w:rPr>
                <w:rFonts w:ascii="Arial" w:cs="Arial" w:eastAsia="Arial" w:hAnsi="Arial"/>
                <w:sz w:val="18"/>
                <w:szCs w:val="18"/>
                <w:color w:val="auto"/>
                <w:w w:val="87"/>
              </w:rPr>
              <w:t>15,000</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the closing price per share of the Common Stock on Nasdaq is at least 50% above the Exercise Price during a Trading Period</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87"/>
              </w:rPr>
              <w:t>32,500</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the closing price per share of the Common Stock on Nasdaq is at least 100% above the Exercise Price during a Trading Period</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87"/>
              </w:rPr>
              <w:t>32,500</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the closing price per share of the Common Stock on Nasdaq is at least 125% above the Exercise Price during a Trading Period</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0740" w:type="dxa"/>
            <w:vAlign w:val="bottom"/>
            <w:gridSpan w:val="2"/>
          </w:tcPr>
          <w:p>
            <w:pPr>
              <w:ind w:left="320"/>
              <w:spacing w:after="0"/>
              <w:rPr>
                <w:sz w:val="20"/>
                <w:szCs w:val="20"/>
                <w:color w:val="auto"/>
              </w:rPr>
            </w:pPr>
            <w:r>
              <w:rPr>
                <w:rFonts w:ascii="Arial" w:cs="Arial" w:eastAsia="Arial" w:hAnsi="Arial"/>
                <w:sz w:val="18"/>
                <w:szCs w:val="18"/>
                <w:color w:val="auto"/>
              </w:rPr>
              <w:t>the closing price per share of the Common Stock on Nasdaq is at least 150% above the Exercise Price during a Trading Period</w:t>
            </w:r>
          </w:p>
        </w:tc>
      </w:tr>
    </w:tbl>
    <w:p>
      <w:pPr>
        <w:spacing w:after="0" w:line="15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avoidance of doubt, for purposes of vesting in a number of shares, a Share Price Target shall not be deemed to occur more than once and accordingly, the maximum amount of shares that may vest pursuant to the schedule above will be 130,000 shares, however, more than one Share Price Target can be achieved based on the closing stock prices within a Trading Period. The Warrant to acquire any shares relating to Share Price Targets that are not achieved during the Performance Period will be immediately forfeited effective as of the last day of the Performance Period and the Holder will have no right, title or interest to acquire these shares following the Performance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9" w:name="page30"/>
    <w:bookmarkEnd w:id="29"/>
    <w:p>
      <w:pPr>
        <w:ind w:left="-20" w:firstLine="464"/>
        <w:spacing w:after="0" w:line="275" w:lineRule="auto"/>
        <w:tabs>
          <w:tab w:leader="none" w:pos="6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Expiration of Warrants</w:t>
      </w:r>
      <w:r>
        <w:rPr>
          <w:rFonts w:ascii="Arial" w:cs="Arial" w:eastAsia="Arial" w:hAnsi="Arial"/>
          <w:sz w:val="18"/>
          <w:szCs w:val="18"/>
          <w:color w:val="auto"/>
        </w:rPr>
        <w:t>. All rights under this Warrant Certificate which have not been exercised shall cease and this Warrant Certificate shall be wholly</w:t>
      </w:r>
      <w:r>
        <w:rPr>
          <w:rFonts w:ascii="Arial" w:cs="Arial" w:eastAsia="Arial" w:hAnsi="Arial"/>
          <w:sz w:val="18"/>
          <w:szCs w:val="18"/>
          <w:b w:val="1"/>
          <w:bCs w:val="1"/>
          <w:color w:val="auto"/>
        </w:rPr>
        <w:t xml:space="preserve"> </w:t>
      </w:r>
      <w:r>
        <w:rPr>
          <w:rFonts w:ascii="Arial" w:cs="Arial" w:eastAsia="Arial" w:hAnsi="Arial"/>
          <w:sz w:val="18"/>
          <w:szCs w:val="18"/>
          <w:color w:val="auto"/>
        </w:rPr>
        <w:t>void and of no valid or binding effect at 5:00 PM (Pacific Daylight Time) on August 22, 2017.</w:t>
      </w:r>
    </w:p>
    <w:p>
      <w:pPr>
        <w:spacing w:after="0" w:line="119" w:lineRule="exact"/>
        <w:rPr>
          <w:rFonts w:ascii="Arial" w:cs="Arial" w:eastAsia="Arial" w:hAnsi="Arial"/>
          <w:sz w:val="18"/>
          <w:szCs w:val="18"/>
          <w:b w:val="1"/>
          <w:bCs w:val="1"/>
          <w:color w:val="auto"/>
        </w:rPr>
      </w:pPr>
    </w:p>
    <w:p>
      <w:pPr>
        <w:ind w:left="620" w:hanging="176"/>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Warrants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20" w:firstLine="921"/>
        <w:spacing w:after="0" w:line="291" w:lineRule="auto"/>
        <w:tabs>
          <w:tab w:leader="none" w:pos="1141"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Cash Exercise</w:t>
      </w:r>
      <w:r>
        <w:rPr>
          <w:rFonts w:ascii="Arial" w:cs="Arial" w:eastAsia="Arial" w:hAnsi="Arial"/>
          <w:sz w:val="16"/>
          <w:szCs w:val="16"/>
          <w:color w:val="auto"/>
        </w:rPr>
        <w:t>. To the extent vested pursuant to Section 3 above, the Warrant represented by this Warrant Certificate may be exercised, in whole</w:t>
      </w:r>
      <w:r>
        <w:rPr>
          <w:rFonts w:ascii="Arial" w:cs="Arial" w:eastAsia="Arial" w:hAnsi="Arial"/>
          <w:sz w:val="16"/>
          <w:szCs w:val="16"/>
          <w:b w:val="1"/>
          <w:bCs w:val="1"/>
          <w:color w:val="auto"/>
        </w:rPr>
        <w:t xml:space="preserve"> </w:t>
      </w:r>
      <w:r>
        <w:rPr>
          <w:rFonts w:ascii="Arial" w:cs="Arial" w:eastAsia="Arial" w:hAnsi="Arial"/>
          <w:sz w:val="16"/>
          <w:szCs w:val="16"/>
          <w:color w:val="auto"/>
        </w:rPr>
        <w:t>or in part, by the surrender of this Warrant Certificate, with the attached Subscription Form duly executed, at the principal office of the Corporation at 4350 La Jolla Village Drive, Suite 950, San Diego, California 92122 and payment to the Corporation, by cash or by certified check or bank draft, of the aggregate Exercise Price for the number of shares of Common Stock in respect of which the Warrant is being exercised. The Corporation agrees that any shares subscribed for and purchased by exercise of the Warrant shall be and be deemed to be issued to the Holder as the registered owner of such shares as of the close of business on the date on which this Warrant Certificate shall have been surrendered and payment made for such shares as aforesaid. Certificates for any shares so purchased shall be delivered to the Holder within a reasonable time, not exceeding ten (10) Business Days, after the Warrant has been so exercised.</w:t>
      </w:r>
    </w:p>
    <w:p>
      <w:pPr>
        <w:spacing w:after="0" w:line="113" w:lineRule="exact"/>
        <w:rPr>
          <w:rFonts w:ascii="Arial" w:cs="Arial" w:eastAsia="Arial" w:hAnsi="Arial"/>
          <w:sz w:val="16"/>
          <w:szCs w:val="16"/>
          <w:b w:val="1"/>
          <w:bCs w:val="1"/>
          <w:color w:val="auto"/>
        </w:rPr>
      </w:pPr>
    </w:p>
    <w:p>
      <w:pPr>
        <w:ind w:left="-20" w:right="40" w:firstLine="921"/>
        <w:spacing w:after="0" w:line="301" w:lineRule="auto"/>
        <w:tabs>
          <w:tab w:leader="none" w:pos="1151"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Unexercised Warrants</w:t>
      </w:r>
      <w:r>
        <w:rPr>
          <w:rFonts w:ascii="Arial" w:cs="Arial" w:eastAsia="Arial" w:hAnsi="Arial"/>
          <w:sz w:val="16"/>
          <w:szCs w:val="16"/>
          <w:color w:val="auto"/>
        </w:rPr>
        <w:t>. In the event that the Warrant is exercised for less than the maximum number of shares of Common Stock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pursuant to the exercise thereof, the Corporation shall, upon the surrender of this Warrant Certificate in accordance with Section 5(a), issue a replacement warrant certificate representing the right to subscribe for the remaining number of shares of Common Stock which the Holder is entitled to subscribe for (which if issued after the Performance Period shall represent only the remaining number of such shares that have vested and not been exercised).</w:t>
      </w:r>
    </w:p>
    <w:p>
      <w:pPr>
        <w:spacing w:after="0" w:line="103" w:lineRule="exact"/>
        <w:rPr>
          <w:rFonts w:ascii="Arial" w:cs="Arial" w:eastAsia="Arial" w:hAnsi="Arial"/>
          <w:sz w:val="16"/>
          <w:szCs w:val="16"/>
          <w:b w:val="1"/>
          <w:bCs w:val="1"/>
          <w:color w:val="auto"/>
        </w:rPr>
      </w:pPr>
    </w:p>
    <w:p>
      <w:pPr>
        <w:ind w:left="-20" w:right="80" w:firstLine="464"/>
        <w:spacing w:after="0" w:line="275" w:lineRule="auto"/>
        <w:tabs>
          <w:tab w:leader="none" w:pos="6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Not a Stockholder</w:t>
      </w:r>
      <w:r>
        <w:rPr>
          <w:rFonts w:ascii="Arial" w:cs="Arial" w:eastAsia="Arial" w:hAnsi="Arial"/>
          <w:sz w:val="18"/>
          <w:szCs w:val="18"/>
          <w:color w:val="auto"/>
        </w:rPr>
        <w:t>. For the avoidance of doubt, nothing in this Warrant Certificate or in the holding of the Warrant evidenced hereby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as conferring upon the Holder any right or interest whatsoever as a stockholder of the Corporation.</w:t>
      </w:r>
    </w:p>
    <w:p>
      <w:pPr>
        <w:spacing w:after="0" w:line="119" w:lineRule="exact"/>
        <w:rPr>
          <w:rFonts w:ascii="Arial" w:cs="Arial" w:eastAsia="Arial" w:hAnsi="Arial"/>
          <w:sz w:val="18"/>
          <w:szCs w:val="18"/>
          <w:b w:val="1"/>
          <w:bCs w:val="1"/>
          <w:color w:val="auto"/>
        </w:rPr>
      </w:pPr>
    </w:p>
    <w:p>
      <w:pPr>
        <w:ind w:left="-20" w:firstLine="464"/>
        <w:spacing w:after="0" w:line="256" w:lineRule="auto"/>
        <w:tabs>
          <w:tab w:leader="none" w:pos="6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No Fractional Shares</w:t>
      </w:r>
      <w:r>
        <w:rPr>
          <w:rFonts w:ascii="Arial" w:cs="Arial" w:eastAsia="Arial" w:hAnsi="Arial"/>
          <w:sz w:val="18"/>
          <w:szCs w:val="18"/>
          <w:color w:val="auto"/>
        </w:rPr>
        <w:t>. Notwithstanding any provisions to the contrary herein, the Corporation shall not be required to issue any fractional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the Corporation in connection with any exercise of the Warrant. If the calculation of the number of shares of Common Stock issuable upon such exercise results in a number which includes a fraction of whole shares, the Corporation shall issue to the Holder the largest number of whole shares into which the Warrant is exercisable and make a cash payment to the Holder in lieu of the fractional share in an amount determined in good faith by the Corporation’s board of directors.</w:t>
      </w:r>
    </w:p>
    <w:p>
      <w:pPr>
        <w:spacing w:after="0" w:line="138" w:lineRule="exact"/>
        <w:rPr>
          <w:rFonts w:ascii="Arial" w:cs="Arial" w:eastAsia="Arial" w:hAnsi="Arial"/>
          <w:sz w:val="18"/>
          <w:szCs w:val="18"/>
          <w:b w:val="1"/>
          <w:bCs w:val="1"/>
          <w:color w:val="auto"/>
        </w:rPr>
      </w:pPr>
    </w:p>
    <w:p>
      <w:pPr>
        <w:ind w:left="620" w:hanging="176"/>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Subscription Rights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20" w:firstLine="921"/>
        <w:spacing w:after="0" w:line="293" w:lineRule="auto"/>
        <w:tabs>
          <w:tab w:leader="none" w:pos="1141"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Capital Reorganization</w:t>
      </w:r>
      <w:r>
        <w:rPr>
          <w:rFonts w:ascii="Arial" w:cs="Arial" w:eastAsia="Arial" w:hAnsi="Arial"/>
          <w:sz w:val="16"/>
          <w:szCs w:val="16"/>
          <w:color w:val="auto"/>
        </w:rPr>
        <w:t>. If at any time while all or any portion of the Warrant remains outstanding there shall be a Capital Reorganization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exercises the Warrant after the effective date of such Capital Reorganization, the Holder shall be entitled to receive, in lieu of the number of shares of Common Stock to which it was theretofore entitled to receive upon such exercise, the kind and amount of securities or property (including cash) which the Holder would have been entitled to receive as a result of such Capital Reorganization if, on the effective date thereof immediately prior to the Capital Reorganization, the Holder had been the registered holder of the number of shares of Common Stock to which the Holder was theretofore entitled to receive upon exercise of the Warrant pursuant to Section 5(a).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30" w:name="page31"/>
    <w:bookmarkEnd w:id="30"/>
    <w:p>
      <w:pPr>
        <w:ind w:left="-8" w:right="140" w:firstLine="921"/>
        <w:spacing w:after="0" w:line="262" w:lineRule="auto"/>
        <w:tabs>
          <w:tab w:leader="none" w:pos="1163"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Reorganization</w:t>
      </w:r>
      <w:r>
        <w:rPr>
          <w:rFonts w:ascii="Arial" w:cs="Arial" w:eastAsia="Arial" w:hAnsi="Arial"/>
          <w:sz w:val="18"/>
          <w:szCs w:val="18"/>
          <w:color w:val="auto"/>
        </w:rPr>
        <w:t>. If at any time while all or any portion of the Warrant remains outstanding the Corporation shall (i) subdivide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then outstanding into a greater number of shares of Common Stock or (ii) consolidate the Common Stock then outstanding into a lesser number of shares of Common Stock (each such event, a “</w:t>
      </w:r>
      <w:r>
        <w:rPr>
          <w:rFonts w:ascii="Arial" w:cs="Arial" w:eastAsia="Arial" w:hAnsi="Arial"/>
          <w:sz w:val="18"/>
          <w:szCs w:val="18"/>
          <w:b w:val="1"/>
          <w:bCs w:val="1"/>
          <w:i w:val="1"/>
          <w:iCs w:val="1"/>
          <w:color w:val="auto"/>
        </w:rPr>
        <w:t>Share Reorganization</w:t>
      </w:r>
      <w:r>
        <w:rPr>
          <w:rFonts w:ascii="Arial" w:cs="Arial" w:eastAsia="Arial" w:hAnsi="Arial"/>
          <w:sz w:val="18"/>
          <w:szCs w:val="18"/>
          <w:color w:val="auto"/>
        </w:rPr>
        <w:t>”), then:</w:t>
      </w:r>
    </w:p>
    <w:p>
      <w:pPr>
        <w:spacing w:after="0" w:line="138" w:lineRule="exact"/>
        <w:rPr>
          <w:rFonts w:ascii="Arial" w:cs="Arial" w:eastAsia="Arial" w:hAnsi="Arial"/>
          <w:sz w:val="18"/>
          <w:szCs w:val="18"/>
          <w:b w:val="1"/>
          <w:bCs w:val="1"/>
          <w:color w:val="auto"/>
        </w:rPr>
      </w:pPr>
    </w:p>
    <w:p>
      <w:pPr>
        <w:ind w:left="-8" w:right="20" w:firstLine="1492"/>
        <w:spacing w:after="0" w:line="256" w:lineRule="auto"/>
        <w:tabs>
          <w:tab w:leader="none" w:pos="1685" w:val="left"/>
        </w:tabs>
        <w:numPr>
          <w:ilvl w:val="2"/>
          <w:numId w:val="16"/>
        </w:numPr>
        <w:rPr>
          <w:rFonts w:ascii="Arial" w:cs="Arial" w:eastAsia="Arial" w:hAnsi="Arial"/>
          <w:sz w:val="18"/>
          <w:szCs w:val="18"/>
          <w:b w:val="1"/>
          <w:bCs w:val="1"/>
          <w:color w:val="auto"/>
        </w:rPr>
      </w:pPr>
      <w:r>
        <w:rPr>
          <w:rFonts w:ascii="Arial" w:cs="Arial" w:eastAsia="Arial" w:hAnsi="Arial"/>
          <w:sz w:val="18"/>
          <w:szCs w:val="18"/>
          <w:color w:val="auto"/>
        </w:rPr>
        <w:t>the Exercise Price will be adjusted on the effective date of the Share Reorganization by multiplying the Exercise Price in effect immediately prior to such date by a fraction (A) the numerator of which is the number of shares of Common Stock outstanding immediately before giving effect to the Share Reorganization and (B) the denominator of which is the number of shares of Common Stock outstanding immediately after giving effect to the Share Reorganization; and</w:t>
      </w:r>
    </w:p>
    <w:p>
      <w:pPr>
        <w:spacing w:after="0" w:line="143" w:lineRule="exact"/>
        <w:rPr>
          <w:rFonts w:ascii="Arial" w:cs="Arial" w:eastAsia="Arial" w:hAnsi="Arial"/>
          <w:sz w:val="18"/>
          <w:szCs w:val="18"/>
          <w:b w:val="1"/>
          <w:bCs w:val="1"/>
          <w:color w:val="auto"/>
        </w:rPr>
      </w:pPr>
    </w:p>
    <w:p>
      <w:pPr>
        <w:ind w:left="-8" w:right="100" w:firstLine="1492"/>
        <w:spacing w:after="0" w:line="303" w:lineRule="auto"/>
        <w:tabs>
          <w:tab w:leader="none" w:pos="1734" w:val="left"/>
        </w:tabs>
        <w:numPr>
          <w:ilvl w:val="2"/>
          <w:numId w:val="16"/>
        </w:numPr>
        <w:rPr>
          <w:rFonts w:ascii="Arial" w:cs="Arial" w:eastAsia="Arial" w:hAnsi="Arial"/>
          <w:sz w:val="15"/>
          <w:szCs w:val="15"/>
          <w:b w:val="1"/>
          <w:bCs w:val="1"/>
          <w:color w:val="auto"/>
        </w:rPr>
      </w:pPr>
      <w:r>
        <w:rPr>
          <w:rFonts w:ascii="Arial" w:cs="Arial" w:eastAsia="Arial" w:hAnsi="Arial"/>
          <w:sz w:val="15"/>
          <w:szCs w:val="15"/>
          <w:color w:val="auto"/>
        </w:rPr>
        <w:t>concurrent with each adjustment of the Exercise Price in accordance with subparagraph 8(b)(i), the number of shares of Common Stock the Holder shall be entitled to acquire on any exercise of the Warrant shall be adjusted to that number of shares of Common Stock obtained by multiplying the number of shares of Common Stock the Holder was entitled to acquire upon the exercise of the Warrant immediately prior to such adjustment by a fraction</w:t>
      </w:r>
    </w:p>
    <w:p>
      <w:pPr>
        <w:spacing w:after="0" w:line="1" w:lineRule="exact"/>
        <w:rPr>
          <w:rFonts w:ascii="Arial" w:cs="Arial" w:eastAsia="Arial" w:hAnsi="Arial"/>
          <w:sz w:val="15"/>
          <w:szCs w:val="15"/>
          <w:b w:val="1"/>
          <w:bCs w:val="1"/>
          <w:color w:val="auto"/>
        </w:rPr>
      </w:pPr>
    </w:p>
    <w:p>
      <w:pPr>
        <w:ind w:left="-8" w:firstLine="8"/>
        <w:spacing w:after="0" w:line="261"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numerator of which is the Exercise Price in effect immediately prior to such adjustment and (B) the denominator of which is Exercise Price resulting from such adjustment.</w:t>
      </w:r>
    </w:p>
    <w:p>
      <w:pPr>
        <w:spacing w:after="0" w:line="131" w:lineRule="exact"/>
        <w:rPr>
          <w:rFonts w:ascii="Arial" w:cs="Arial" w:eastAsia="Arial" w:hAnsi="Arial"/>
          <w:sz w:val="18"/>
          <w:szCs w:val="18"/>
          <w:color w:val="auto"/>
        </w:rPr>
      </w:pPr>
    </w:p>
    <w:p>
      <w:pPr>
        <w:ind w:left="-8" w:right="240" w:firstLine="921"/>
        <w:spacing w:after="0" w:line="262" w:lineRule="auto"/>
        <w:tabs>
          <w:tab w:leader="none" w:pos="1144"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or Distributions Payable in Common Stock</w:t>
      </w:r>
      <w:r>
        <w:rPr>
          <w:rFonts w:ascii="Arial" w:cs="Arial" w:eastAsia="Arial" w:hAnsi="Arial"/>
          <w:sz w:val="18"/>
          <w:szCs w:val="18"/>
          <w:color w:val="auto"/>
        </w:rPr>
        <w:t>. If at any time while all or any portion of the Warrant remains outstanding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pay a dividend or otherwise make a distribution on the Common Stock or any other securities of the Corporation payable in Common Stock, then:</w:t>
      </w:r>
    </w:p>
    <w:p>
      <w:pPr>
        <w:spacing w:after="0" w:line="138" w:lineRule="exact"/>
        <w:rPr>
          <w:rFonts w:ascii="Arial" w:cs="Arial" w:eastAsia="Arial" w:hAnsi="Arial"/>
          <w:sz w:val="18"/>
          <w:szCs w:val="18"/>
          <w:b w:val="1"/>
          <w:bCs w:val="1"/>
          <w:color w:val="auto"/>
        </w:rPr>
      </w:pPr>
    </w:p>
    <w:p>
      <w:pPr>
        <w:ind w:left="-8" w:right="580" w:firstLine="1492"/>
        <w:spacing w:after="0" w:line="306" w:lineRule="auto"/>
        <w:tabs>
          <w:tab w:leader="none" w:pos="1685" w:val="left"/>
        </w:tabs>
        <w:numPr>
          <w:ilvl w:val="2"/>
          <w:numId w:val="17"/>
        </w:numPr>
        <w:rPr>
          <w:rFonts w:ascii="Arial" w:cs="Arial" w:eastAsia="Arial" w:hAnsi="Arial"/>
          <w:sz w:val="16"/>
          <w:szCs w:val="16"/>
          <w:b w:val="1"/>
          <w:bCs w:val="1"/>
          <w:color w:val="auto"/>
        </w:rPr>
      </w:pPr>
      <w:r>
        <w:rPr>
          <w:rFonts w:ascii="Arial" w:cs="Arial" w:eastAsia="Arial" w:hAnsi="Arial"/>
          <w:sz w:val="16"/>
          <w:szCs w:val="16"/>
          <w:color w:val="auto"/>
        </w:rPr>
        <w:t>the Exercise Price will be adjusted by multiplying the Exercise Price in effect immediately prior to such date by a fraction (A) the numerator of which is the number of shares of Common Stock outstanding immediately before giving effect to such dividend or distribution and (B) the denominator of which is the number of shares of Common Stock outstanding immediately after giving effect to such dividend or distribution; and</w:t>
      </w:r>
    </w:p>
    <w:p>
      <w:pPr>
        <w:spacing w:after="0" w:line="106" w:lineRule="exact"/>
        <w:rPr>
          <w:rFonts w:ascii="Arial" w:cs="Arial" w:eastAsia="Arial" w:hAnsi="Arial"/>
          <w:sz w:val="16"/>
          <w:szCs w:val="16"/>
          <w:b w:val="1"/>
          <w:bCs w:val="1"/>
          <w:color w:val="auto"/>
        </w:rPr>
      </w:pPr>
    </w:p>
    <w:p>
      <w:pPr>
        <w:ind w:left="-8" w:right="100" w:firstLine="1492"/>
        <w:spacing w:after="0" w:line="303" w:lineRule="auto"/>
        <w:tabs>
          <w:tab w:leader="none" w:pos="1734" w:val="left"/>
        </w:tabs>
        <w:numPr>
          <w:ilvl w:val="2"/>
          <w:numId w:val="17"/>
        </w:numPr>
        <w:rPr>
          <w:rFonts w:ascii="Arial" w:cs="Arial" w:eastAsia="Arial" w:hAnsi="Arial"/>
          <w:sz w:val="15"/>
          <w:szCs w:val="15"/>
          <w:b w:val="1"/>
          <w:bCs w:val="1"/>
          <w:color w:val="auto"/>
        </w:rPr>
      </w:pPr>
      <w:r>
        <w:rPr>
          <w:rFonts w:ascii="Arial" w:cs="Arial" w:eastAsia="Arial" w:hAnsi="Arial"/>
          <w:sz w:val="15"/>
          <w:szCs w:val="15"/>
          <w:color w:val="auto"/>
        </w:rPr>
        <w:t>concurrent with each adjustment of the Exercise Price in accordance with subparagraph 8(c)(i), the number of shares of Common Stock the Holder shall be entitled to acquire on any exercise of the Warrant shall be adjusted to that number of shares of Common Stock obtained by multiplying the number of shares of Common Stock the Holder was entitled to acquire upon the exercise of the Warrant immediately prior to such adjustment by a fraction</w:t>
      </w:r>
    </w:p>
    <w:p>
      <w:pPr>
        <w:spacing w:after="0" w:line="1" w:lineRule="exact"/>
        <w:rPr>
          <w:rFonts w:ascii="Arial" w:cs="Arial" w:eastAsia="Arial" w:hAnsi="Arial"/>
          <w:sz w:val="15"/>
          <w:szCs w:val="15"/>
          <w:b w:val="1"/>
          <w:bCs w:val="1"/>
          <w:color w:val="auto"/>
        </w:rPr>
      </w:pPr>
    </w:p>
    <w:p>
      <w:pPr>
        <w:ind w:left="-8" w:firstLine="8"/>
        <w:spacing w:after="0" w:line="261"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numerator of which is the Exercise Price in effect immediately prior to such adjustment and (B) the denominator of which is Exercise Price resulting from such adjustment.</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31" w:name="page32"/>
    <w:bookmarkEnd w:id="31"/>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adjustment made pursuant to this Section 8(c) shall be made on the payment date for the applicable dividend or distribution; provided, however, that such adjustment shall be retroactive to the record date for such dividend or distribution.</w:t>
      </w:r>
    </w:p>
    <w:p>
      <w:pPr>
        <w:spacing w:after="0" w:line="126" w:lineRule="exact"/>
        <w:rPr>
          <w:sz w:val="20"/>
          <w:szCs w:val="20"/>
          <w:color w:val="auto"/>
        </w:rPr>
      </w:pPr>
    </w:p>
    <w:p>
      <w:pPr>
        <w:ind w:left="1180" w:hanging="259"/>
        <w:spacing w:after="0"/>
        <w:tabs>
          <w:tab w:leader="none" w:pos="1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Rules Regarding Adjustment of Subscription Rights</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left="1700" w:hanging="208"/>
        <w:spacing w:after="0"/>
        <w:tabs>
          <w:tab w:leader="none" w:pos="1700"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The adjustments provided for in this Section 8 are cumulative and shall be made successively whenever an event referred to herein shall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165" w:lineRule="exact"/>
        <w:rPr>
          <w:sz w:val="20"/>
          <w:szCs w:val="20"/>
          <w:color w:val="auto"/>
        </w:rPr>
      </w:pPr>
    </w:p>
    <w:p>
      <w:pPr>
        <w:jc w:val="both"/>
        <w:ind w:right="80" w:firstLine="1492"/>
        <w:spacing w:after="0" w:line="259" w:lineRule="auto"/>
        <w:tabs>
          <w:tab w:leader="none" w:pos="1742"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In the event of any dispute arising with respect to the adjustments provided in this Section 8, such dispute will, absent manifest error, be conclusively resolved by a firm of certified public accountants (the costs of whom will be borne by the Corporation) appointed by the Corporation (who may be the Corporation’s auditors).</w:t>
      </w:r>
    </w:p>
    <w:p>
      <w:pPr>
        <w:spacing w:after="0" w:line="140" w:lineRule="exact"/>
        <w:rPr>
          <w:rFonts w:ascii="Arial" w:cs="Arial" w:eastAsia="Arial" w:hAnsi="Arial"/>
          <w:sz w:val="18"/>
          <w:szCs w:val="18"/>
          <w:b w:val="1"/>
          <w:bCs w:val="1"/>
          <w:color w:val="auto"/>
        </w:rPr>
      </w:pPr>
    </w:p>
    <w:p>
      <w:pPr>
        <w:ind w:firstLine="1492"/>
        <w:spacing w:after="0" w:line="306" w:lineRule="auto"/>
        <w:tabs>
          <w:tab w:leader="none" w:pos="1791"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As a condition precedent to the taking of any action which would require any adjustment pursuant to this Section 8, the Corporation will take any corporate action which may, in the opinion of counsel, be necessary in order that the securities to which the Holder is entitled on the full exercise of the Warrant shall be available for such purpose and that such shares may be validly and legally issued as fully paid and non-assessable shares.</w:t>
      </w:r>
    </w:p>
    <w:p>
      <w:pPr>
        <w:spacing w:after="0" w:line="106" w:lineRule="exact"/>
        <w:rPr>
          <w:rFonts w:ascii="Arial" w:cs="Arial" w:eastAsia="Arial" w:hAnsi="Arial"/>
          <w:sz w:val="16"/>
          <w:szCs w:val="16"/>
          <w:b w:val="1"/>
          <w:bCs w:val="1"/>
          <w:color w:val="auto"/>
        </w:rPr>
      </w:pPr>
    </w:p>
    <w:p>
      <w:pPr>
        <w:ind w:right="620" w:firstLine="1492"/>
        <w:spacing w:after="0" w:line="268" w:lineRule="auto"/>
        <w:tabs>
          <w:tab w:leader="none" w:pos="1781"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Any adjustment pursuant to this Section 8 is subject to the prior approval, if required, of Nasdaq or any other stock exchange or regulatory authority having jurisdiction over the Corporation.</w:t>
      </w:r>
    </w:p>
    <w:p>
      <w:pPr>
        <w:spacing w:after="0" w:line="131" w:lineRule="exact"/>
        <w:rPr>
          <w:rFonts w:ascii="Arial" w:cs="Arial" w:eastAsia="Arial" w:hAnsi="Arial"/>
          <w:sz w:val="18"/>
          <w:szCs w:val="18"/>
          <w:b w:val="1"/>
          <w:bCs w:val="1"/>
          <w:color w:val="auto"/>
        </w:rPr>
      </w:pPr>
    </w:p>
    <w:p>
      <w:pPr>
        <w:ind w:right="380" w:firstLine="1492"/>
        <w:spacing w:after="0" w:line="259" w:lineRule="auto"/>
        <w:tabs>
          <w:tab w:leader="none" w:pos="1722"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As promptly as reasonably practicable after the occurrence of any event which requires an adjustment pursuant to this Section 8, the Corporation will deliver a written notice to the Holder specifying in reasonable detail the nature of the event requiring the adjustment and the amount of the adjustment necessitated by such event.</w:t>
      </w:r>
    </w:p>
    <w:p>
      <w:pPr>
        <w:spacing w:after="0" w:line="134" w:lineRule="exact"/>
        <w:rPr>
          <w:rFonts w:ascii="Arial" w:cs="Arial" w:eastAsia="Arial" w:hAnsi="Arial"/>
          <w:sz w:val="18"/>
          <w:szCs w:val="18"/>
          <w:b w:val="1"/>
          <w:bCs w:val="1"/>
          <w:color w:val="auto"/>
        </w:rPr>
      </w:pPr>
    </w:p>
    <w:p>
      <w:pPr>
        <w:jc w:val="both"/>
        <w:ind w:right="20" w:firstLine="464"/>
        <w:spacing w:after="0" w:line="258" w:lineRule="auto"/>
        <w:tabs>
          <w:tab w:leader="none" w:pos="6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Mutilated or Missing Warrant Certificates</w:t>
      </w:r>
      <w:r>
        <w:rPr>
          <w:rFonts w:ascii="Arial" w:cs="Arial" w:eastAsia="Arial" w:hAnsi="Arial"/>
          <w:sz w:val="18"/>
          <w:szCs w:val="18"/>
          <w:color w:val="auto"/>
        </w:rPr>
        <w:t>. Upon receipt of evidence satisfactory to the Corporation of the loss, theft, destruction or mutilation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and, in the case of any such loss, theft or destruction, upon delivery of a bond or indemnity satisfactory to the Corporation, acting reasonably, or, in the case of any such mutilation, upon surrender of this Warrant Certificate, the Corporation will issue to the Holder a new certificate of like tenor in respect of the Warrant represented hereby.</w:t>
      </w:r>
    </w:p>
    <w:p>
      <w:pPr>
        <w:spacing w:after="0" w:line="136" w:lineRule="exact"/>
        <w:rPr>
          <w:rFonts w:ascii="Arial" w:cs="Arial" w:eastAsia="Arial" w:hAnsi="Arial"/>
          <w:sz w:val="18"/>
          <w:szCs w:val="18"/>
          <w:b w:val="1"/>
          <w:bCs w:val="1"/>
          <w:color w:val="auto"/>
        </w:rPr>
      </w:pPr>
    </w:p>
    <w:p>
      <w:pPr>
        <w:ind w:right="240" w:firstLine="464"/>
        <w:spacing w:after="0" w:line="262" w:lineRule="auto"/>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Warrant Certificate shall be governed by and construed in accordance with, and all questions concerning the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interpretation and performance of this Warrant shall be governed by, the internal laws of the State of California, without giving effect to any choice of law or conflict of law provision or rule.</w:t>
      </w:r>
    </w:p>
    <w:p>
      <w:pPr>
        <w:spacing w:after="0" w:line="132" w:lineRule="exact"/>
        <w:rPr>
          <w:rFonts w:ascii="Arial" w:cs="Arial" w:eastAsia="Arial" w:hAnsi="Arial"/>
          <w:sz w:val="18"/>
          <w:szCs w:val="18"/>
          <w:b w:val="1"/>
          <w:bCs w:val="1"/>
          <w:color w:val="auto"/>
        </w:rPr>
      </w:pPr>
    </w:p>
    <w:p>
      <w:pPr>
        <w:ind w:right="60" w:firstLine="464"/>
        <w:spacing w:after="0" w:line="293" w:lineRule="auto"/>
        <w:tabs>
          <w:tab w:leader="none" w:pos="71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one or more of the provisions or parts thereof contained in this Warrant Certificate should be or become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respect in any jurisdiction, the remaining provisions or parts thereof contained herein shall be and shall be conclusively deemed to be, as to such jurisdiction, severable therefrom and (a) the validity, legality or enforceability of such remaining provisions or parts thereof shall not in any way be affected or impaired by the severance of the provisions or parts thereof severed and (b) the invalidity, illegality or unenforceability of any provision or part thereof contained in this Warrant Certificate in any jurisdiction shall not affect or impair such provision or part thereof or any other provisions of this Warrant Certificate in any other jurisdiction.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2" w:name="page33"/>
    <w:bookmarkEnd w:id="32"/>
    <w:p>
      <w:pPr>
        <w:ind w:right="680" w:firstLine="464"/>
        <w:spacing w:after="0" w:line="339" w:lineRule="auto"/>
        <w:tabs>
          <w:tab w:leader="none" w:pos="7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r>
        <w:rPr>
          <w:rFonts w:ascii="Arial" w:cs="Arial" w:eastAsia="Arial" w:hAnsi="Arial"/>
          <w:sz w:val="16"/>
          <w:szCs w:val="16"/>
          <w:color w:val="auto"/>
        </w:rPr>
        <w:t>. The headings of the sections, subsections, paragraphs, subparagraphs and clauses of this Warrant Certificate have been inserted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of reference only and do not define, limit, alter or enlarge the meaning of any provision of this Warrant Certificate.</w:t>
      </w:r>
    </w:p>
    <w:p>
      <w:pPr>
        <w:spacing w:after="0" w:line="74" w:lineRule="exact"/>
        <w:rPr>
          <w:rFonts w:ascii="Arial" w:cs="Arial" w:eastAsia="Arial" w:hAnsi="Arial"/>
          <w:sz w:val="16"/>
          <w:szCs w:val="16"/>
          <w:b w:val="1"/>
          <w:bCs w:val="1"/>
          <w:color w:val="auto"/>
        </w:rPr>
      </w:pPr>
    </w:p>
    <w:p>
      <w:pPr>
        <w:ind w:right="340" w:firstLine="464"/>
        <w:spacing w:after="0" w:line="275" w:lineRule="auto"/>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Numbering of Articles, etc</w:t>
      </w:r>
      <w:r>
        <w:rPr>
          <w:rFonts w:ascii="Arial" w:cs="Arial" w:eastAsia="Arial" w:hAnsi="Arial"/>
          <w:sz w:val="18"/>
          <w:szCs w:val="18"/>
          <w:color w:val="auto"/>
        </w:rPr>
        <w:t>. Unless otherwise stated, a reference herein to a numbered or lettered Section, subparagraph or Schedules refers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subparagraph or schedule bearing that number or letter in this Warrant Certificate.</w:t>
      </w:r>
    </w:p>
    <w:p>
      <w:pPr>
        <w:spacing w:after="0" w:line="119" w:lineRule="exact"/>
        <w:rPr>
          <w:rFonts w:ascii="Arial" w:cs="Arial" w:eastAsia="Arial" w:hAnsi="Arial"/>
          <w:sz w:val="18"/>
          <w:szCs w:val="18"/>
          <w:b w:val="1"/>
          <w:bCs w:val="1"/>
          <w:color w:val="auto"/>
        </w:rPr>
      </w:pPr>
    </w:p>
    <w:p>
      <w:pPr>
        <w:ind w:left="720" w:hanging="256"/>
        <w:spacing w:after="0"/>
        <w:tabs>
          <w:tab w:leader="none" w:pos="7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Words Importing the Singular</w:t>
      </w:r>
      <w:r>
        <w:rPr>
          <w:rFonts w:ascii="Arial" w:cs="Arial" w:eastAsia="Arial" w:hAnsi="Arial"/>
          <w:sz w:val="16"/>
          <w:szCs w:val="16"/>
          <w:color w:val="auto"/>
        </w:rPr>
        <w:t>. Whenever used in this Warrant Certificate, words importing the singular number only shall include the plural and vice</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versa.</w:t>
      </w:r>
    </w:p>
    <w:p>
      <w:pPr>
        <w:spacing w:after="0" w:line="158" w:lineRule="exact"/>
        <w:rPr>
          <w:rFonts w:ascii="Arial" w:cs="Arial" w:eastAsia="Arial" w:hAnsi="Arial"/>
          <w:sz w:val="16"/>
          <w:szCs w:val="16"/>
          <w:b w:val="1"/>
          <w:bCs w:val="1"/>
          <w:color w:val="auto"/>
        </w:rPr>
      </w:pPr>
    </w:p>
    <w:p>
      <w:pPr>
        <w:ind w:right="20" w:firstLine="464"/>
        <w:spacing w:after="0" w:line="310" w:lineRule="auto"/>
        <w:tabs>
          <w:tab w:leader="none" w:pos="7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Day not a Business Day</w:t>
      </w:r>
      <w:r>
        <w:rPr>
          <w:rFonts w:ascii="Arial" w:cs="Arial" w:eastAsia="Arial" w:hAnsi="Arial"/>
          <w:sz w:val="16"/>
          <w:szCs w:val="16"/>
          <w:color w:val="auto"/>
        </w:rPr>
        <w:t>. In the event that any day on or before which any action is required to be taken hereunder is not a Business Day, then such</w:t>
      </w:r>
      <w:r>
        <w:rPr>
          <w:rFonts w:ascii="Arial" w:cs="Arial" w:eastAsia="Arial" w:hAnsi="Arial"/>
          <w:sz w:val="16"/>
          <w:szCs w:val="16"/>
          <w:b w:val="1"/>
          <w:bCs w:val="1"/>
          <w:color w:val="auto"/>
        </w:rPr>
        <w:t xml:space="preserve"> </w:t>
      </w:r>
      <w:r>
        <w:rPr>
          <w:rFonts w:ascii="Arial" w:cs="Arial" w:eastAsia="Arial" w:hAnsi="Arial"/>
          <w:sz w:val="16"/>
          <w:szCs w:val="16"/>
          <w:color w:val="auto"/>
        </w:rPr>
        <w:t>action shall be required to be taken on or before the requisite time on the next succeeding day that is a Business Day. If the payment of any amount is deferred for any period, then such period shall be included for purposes of the computation of any interest payable hereunder.</w:t>
      </w:r>
    </w:p>
    <w:p>
      <w:pPr>
        <w:spacing w:after="0" w:line="97" w:lineRule="exact"/>
        <w:rPr>
          <w:rFonts w:ascii="Arial" w:cs="Arial" w:eastAsia="Arial" w:hAnsi="Arial"/>
          <w:sz w:val="16"/>
          <w:szCs w:val="16"/>
          <w:b w:val="1"/>
          <w:bCs w:val="1"/>
          <w:color w:val="auto"/>
        </w:rPr>
      </w:pPr>
    </w:p>
    <w:p>
      <w:pPr>
        <w:ind w:right="200" w:firstLine="464"/>
        <w:spacing w:after="0" w:line="275" w:lineRule="auto"/>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Warrant Certificate and all of its provisions shall inure to the benefit of the Holder and its successors and permitted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the Corporation and its successors and permitted assigns.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3" w:name="page34"/>
    <w:bookmarkEnd w:id="33"/>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has caused this Warrant to be signed by its duly authorized officers under its corporate seal, and this Warrant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dated the 22nd day of August,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INC</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Michael Coffee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Coffee, Chief Business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8860" w:type="dxa"/>
            <w:vAlign w:val="bottom"/>
          </w:tcPr>
          <w:p>
            <w:pPr>
              <w:jc w:val="center"/>
              <w:ind w:left="2472"/>
              <w:spacing w:after="0"/>
              <w:rPr>
                <w:sz w:val="20"/>
                <w:szCs w:val="20"/>
                <w:color w:val="auto"/>
              </w:rPr>
            </w:pPr>
            <w:r>
              <w:rPr>
                <w:rFonts w:ascii="Arial" w:cs="Arial" w:eastAsia="Arial" w:hAnsi="Arial"/>
                <w:sz w:val="18"/>
                <w:szCs w:val="18"/>
                <w:b w:val="1"/>
                <w:bCs w:val="1"/>
                <w:color w:val="auto"/>
                <w:w w:val="97"/>
              </w:rPr>
              <w:t>SCHEDULE A</w:t>
            </w: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66"/>
        </w:trPr>
        <w:tc>
          <w:tcPr>
            <w:tcW w:w="8860" w:type="dxa"/>
            <w:vAlign w:val="bottom"/>
          </w:tcPr>
          <w:p>
            <w:pPr>
              <w:jc w:val="center"/>
              <w:ind w:left="2472"/>
              <w:spacing w:after="0"/>
              <w:rPr>
                <w:sz w:val="20"/>
                <w:szCs w:val="20"/>
                <w:color w:val="auto"/>
              </w:rPr>
            </w:pPr>
            <w:r>
              <w:rPr>
                <w:rFonts w:ascii="Arial" w:cs="Arial" w:eastAsia="Arial" w:hAnsi="Arial"/>
                <w:sz w:val="18"/>
                <w:szCs w:val="18"/>
                <w:b w:val="1"/>
                <w:bCs w:val="1"/>
                <w:color w:val="auto"/>
              </w:rPr>
              <w:t>MEDICINOVA, INC.</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8860" w:type="dxa"/>
            <w:vAlign w:val="bottom"/>
          </w:tcPr>
          <w:p>
            <w:pPr>
              <w:jc w:val="center"/>
              <w:ind w:left="2472"/>
              <w:spacing w:after="0"/>
              <w:rPr>
                <w:sz w:val="20"/>
                <w:szCs w:val="20"/>
                <w:color w:val="auto"/>
              </w:rPr>
            </w:pPr>
            <w:r>
              <w:rPr>
                <w:rFonts w:ascii="Arial" w:cs="Arial" w:eastAsia="Arial" w:hAnsi="Arial"/>
                <w:sz w:val="18"/>
                <w:szCs w:val="18"/>
                <w:b w:val="1"/>
                <w:bCs w:val="1"/>
                <w:color w:val="auto"/>
                <w:w w:val="97"/>
              </w:rPr>
              <w:t>SUBSCRIPTION FORM</w:t>
            </w: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78"/>
        </w:trPr>
        <w:tc>
          <w:tcPr>
            <w:tcW w:w="8860" w:type="dxa"/>
            <w:vAlign w:val="bottom"/>
          </w:tcPr>
          <w:p>
            <w:pPr>
              <w:jc w:val="center"/>
              <w:ind w:left="2472"/>
              <w:spacing w:after="0"/>
              <w:rPr>
                <w:sz w:val="20"/>
                <w:szCs w:val="20"/>
                <w:color w:val="auto"/>
              </w:rPr>
            </w:pPr>
            <w:r>
              <w:rPr>
                <w:rFonts w:ascii="Arial" w:cs="Arial" w:eastAsia="Arial" w:hAnsi="Arial"/>
                <w:sz w:val="18"/>
                <w:szCs w:val="18"/>
                <w:color w:val="auto"/>
                <w:w w:val="88"/>
              </w:rPr>
              <w:t>(to be signed only upon exercise of this Warrant)</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0"/>
        </w:trPr>
        <w:tc>
          <w:tcPr>
            <w:tcW w:w="8860" w:type="dxa"/>
            <w:vAlign w:val="bottom"/>
          </w:tcPr>
          <w:p>
            <w:pPr>
              <w:ind w:left="460"/>
              <w:spacing w:after="0"/>
              <w:rPr>
                <w:sz w:val="20"/>
                <w:szCs w:val="20"/>
                <w:color w:val="auto"/>
              </w:rPr>
            </w:pPr>
            <w:r>
              <w:rPr>
                <w:rFonts w:ascii="Arial" w:cs="Arial" w:eastAsia="Arial" w:hAnsi="Arial"/>
                <w:sz w:val="18"/>
                <w:szCs w:val="18"/>
                <w:color w:val="auto"/>
                <w:w w:val="88"/>
              </w:rPr>
              <w:t>The undersigned hereby exercises the Warrant represented by the Warrant Certificate included herewith with respect to</w:t>
            </w:r>
          </w:p>
        </w:tc>
        <w:tc>
          <w:tcPr>
            <w:tcW w:w="700" w:type="dxa"/>
            <w:vAlign w:val="bottom"/>
            <w:tcBorders>
              <w:bottom w:val="single" w:sz="8" w:color="auto"/>
            </w:tcBorders>
          </w:tcPr>
          <w:p>
            <w:pPr>
              <w:spacing w:after="0"/>
              <w:rPr>
                <w:sz w:val="24"/>
                <w:szCs w:val="24"/>
                <w:color w:val="auto"/>
              </w:rPr>
            </w:pPr>
          </w:p>
        </w:tc>
        <w:tc>
          <w:tcPr>
            <w:tcW w:w="1640" w:type="dxa"/>
            <w:vAlign w:val="bottom"/>
          </w:tcPr>
          <w:p>
            <w:pPr>
              <w:ind w:left="40"/>
              <w:spacing w:after="0"/>
              <w:rPr>
                <w:sz w:val="20"/>
                <w:szCs w:val="20"/>
                <w:color w:val="auto"/>
              </w:rPr>
            </w:pPr>
            <w:r>
              <w:rPr>
                <w:rFonts w:ascii="Arial" w:cs="Arial" w:eastAsia="Arial" w:hAnsi="Arial"/>
                <w:sz w:val="18"/>
                <w:szCs w:val="18"/>
                <w:color w:val="auto"/>
                <w:w w:val="86"/>
              </w:rPr>
              <w:t>shares of the Common</w:t>
            </w:r>
          </w:p>
        </w:tc>
      </w:tr>
      <w:tr>
        <w:trPr>
          <w:trHeight w:val="235"/>
        </w:trPr>
        <w:tc>
          <w:tcPr>
            <w:tcW w:w="8860" w:type="dxa"/>
            <w:vAlign w:val="bottom"/>
          </w:tcPr>
          <w:p>
            <w:pPr>
              <w:spacing w:after="0"/>
              <w:rPr>
                <w:sz w:val="20"/>
                <w:szCs w:val="20"/>
                <w:color w:val="auto"/>
              </w:rPr>
            </w:pPr>
            <w:r>
              <w:rPr>
                <w:rFonts w:ascii="Arial" w:cs="Arial" w:eastAsia="Arial" w:hAnsi="Arial"/>
                <w:sz w:val="18"/>
                <w:szCs w:val="18"/>
                <w:color w:val="auto"/>
              </w:rPr>
              <w:t>Stock which may be purchased under the Warrant.</w:t>
            </w:r>
          </w:p>
        </w:tc>
        <w:tc>
          <w:tcPr>
            <w:tcW w:w="7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68" w:lineRule="auto"/>
        <w:rPr>
          <w:sz w:val="20"/>
          <w:szCs w:val="20"/>
          <w:color w:val="auto"/>
        </w:rPr>
      </w:pPr>
      <w:r>
        <w:rPr>
          <w:rFonts w:ascii="Arial" w:cs="Arial" w:eastAsia="Arial" w:hAnsi="Arial"/>
          <w:sz w:val="18"/>
          <w:szCs w:val="18"/>
          <w:color w:val="auto"/>
        </w:rPr>
        <w:t>The Corporation is instructed to issue certificates for such shares of Common Stock in the name of the undersigned and to deliver the same to the address indicated.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Street and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27940</wp:posOffset>
            </wp:positionV>
            <wp:extent cx="1878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City and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27940</wp:posOffset>
            </wp:positionV>
            <wp:extent cx="2143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27940</wp:posOffset>
            </wp:positionV>
            <wp:extent cx="16808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27940</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5680" w:right="2660" w:hanging="5672"/>
        <w:spacing w:after="0" w:line="440" w:lineRule="auto"/>
        <w:tabs>
          <w:tab w:leader="none" w:pos="4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Signature must conform exactly with the name of the registered owner on the Warrant Certificate included herewith 8</w:t>
      </w:r>
    </w:p>
    <w:p>
      <w:pPr>
        <w:sectPr>
          <w:pgSz w:w="11900" w:h="16838" w:orient="portrait"/>
          <w:cols w:equalWidth="0" w:num="1">
            <w:col w:w="11240"/>
          </w:cols>
          <w:pgMar w:left="240" w:top="274" w:right="4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MEDICINOVA,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TO WARRANT CERTIFICATE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No. 1 (the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to that certain Warrant Certificate to Purchase Shares of Common Stock dated as of August 22, 2012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by MediciNova,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favor of Redington, Inc. (the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is made and entered into effective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the Company and the Holder.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and the Holder desire to amend the Warrant as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w:t>
      </w:r>
      <w:r>
        <w:rPr>
          <w:rFonts w:ascii="Arial" w:cs="Arial" w:eastAsia="Arial" w:hAnsi="Arial"/>
          <w:sz w:val="16"/>
          <w:szCs w:val="16"/>
          <w:b w:val="1"/>
          <w:bCs w:val="1"/>
          <w:color w:val="auto"/>
        </w:rPr>
        <w:t>, T</w:t>
      </w:r>
      <w:r>
        <w:rPr>
          <w:rFonts w:ascii="Arial" w:cs="Arial" w:eastAsia="Arial" w:hAnsi="Arial"/>
          <w:sz w:val="13"/>
          <w:szCs w:val="13"/>
          <w:b w:val="1"/>
          <w:bCs w:val="1"/>
          <w:color w:val="auto"/>
        </w:rPr>
        <w:t>HEREFORE</w:t>
      </w:r>
      <w:r>
        <w:rPr>
          <w:rFonts w:ascii="Arial" w:cs="Arial" w:eastAsia="Arial" w:hAnsi="Arial"/>
          <w:sz w:val="16"/>
          <w:szCs w:val="16"/>
          <w:color w:val="auto"/>
        </w:rPr>
        <w:t>, for the consideration set forth below, the receipt and sufficiency of which is hereby acknowledged, the parties hereto agree that:</w:t>
      </w:r>
    </w:p>
    <w:p>
      <w:pPr>
        <w:spacing w:after="0" w:line="194"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The first sentence of Section 3 of the Warrant is amended and restated to read as follows:</w:t>
      </w:r>
    </w:p>
    <w:p>
      <w:pPr>
        <w:spacing w:after="0" w:line="96" w:lineRule="exact"/>
        <w:rPr>
          <w:sz w:val="20"/>
          <w:szCs w:val="20"/>
          <w:color w:val="auto"/>
        </w:rPr>
      </w:pPr>
    </w:p>
    <w:p>
      <w:pPr>
        <w:ind w:left="920"/>
        <w:spacing w:after="0" w:line="305" w:lineRule="auto"/>
        <w:rPr>
          <w:sz w:val="20"/>
          <w:szCs w:val="20"/>
          <w:color w:val="auto"/>
        </w:rPr>
      </w:pPr>
      <w:r>
        <w:rPr>
          <w:rFonts w:ascii="Arial" w:cs="Arial" w:eastAsia="Arial" w:hAnsi="Arial"/>
          <w:sz w:val="15"/>
          <w:szCs w:val="15"/>
          <w:color w:val="auto"/>
        </w:rPr>
        <w:t>“The shares of Common Stock subject to the Warrant will vest and become exercisable in the amounts listed in the table below upon the achievement of the applicable Share Price Targets as set forth in the table below (each a “</w:t>
      </w:r>
      <w:r>
        <w:rPr>
          <w:rFonts w:ascii="Arial" w:cs="Arial" w:eastAsia="Arial" w:hAnsi="Arial"/>
          <w:sz w:val="15"/>
          <w:szCs w:val="15"/>
          <w:b w:val="1"/>
          <w:bCs w:val="1"/>
          <w:i w:val="1"/>
          <w:iCs w:val="1"/>
          <w:color w:val="auto"/>
        </w:rPr>
        <w:t>Share Price Target</w:t>
      </w:r>
      <w:r>
        <w:rPr>
          <w:rFonts w:ascii="Arial" w:cs="Arial" w:eastAsia="Arial" w:hAnsi="Arial"/>
          <w:sz w:val="15"/>
          <w:szCs w:val="15"/>
          <w:color w:val="auto"/>
        </w:rPr>
        <w:t>” and, together, the “</w:t>
      </w:r>
      <w:r>
        <w:rPr>
          <w:rFonts w:ascii="Arial" w:cs="Arial" w:eastAsia="Arial" w:hAnsi="Arial"/>
          <w:sz w:val="15"/>
          <w:szCs w:val="15"/>
          <w:b w:val="1"/>
          <w:bCs w:val="1"/>
          <w:i w:val="1"/>
          <w:iCs w:val="1"/>
          <w:color w:val="auto"/>
        </w:rPr>
        <w:t>Share Price Targets</w:t>
      </w:r>
      <w:r>
        <w:rPr>
          <w:rFonts w:ascii="Arial" w:cs="Arial" w:eastAsia="Arial" w:hAnsi="Arial"/>
          <w:sz w:val="15"/>
          <w:szCs w:val="15"/>
          <w:color w:val="auto"/>
        </w:rPr>
        <w:t>”) on ten</w:t>
      </w:r>
    </w:p>
    <w:p>
      <w:pPr>
        <w:ind w:left="920" w:right="320" w:firstLine="1"/>
        <w:spacing w:after="0" w:line="261" w:lineRule="auto"/>
        <w:tabs>
          <w:tab w:leader="none" w:pos="12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of any thirty (30) consecutive trading days (a “</w:t>
      </w:r>
      <w:r>
        <w:rPr>
          <w:rFonts w:ascii="Arial" w:cs="Arial" w:eastAsia="Arial" w:hAnsi="Arial"/>
          <w:sz w:val="18"/>
          <w:szCs w:val="18"/>
          <w:b w:val="1"/>
          <w:bCs w:val="1"/>
          <w:i w:val="1"/>
          <w:iCs w:val="1"/>
          <w:color w:val="auto"/>
        </w:rPr>
        <w:t>Trading Period</w:t>
      </w:r>
      <w:r>
        <w:rPr>
          <w:rFonts w:ascii="Arial" w:cs="Arial" w:eastAsia="Arial" w:hAnsi="Arial"/>
          <w:sz w:val="18"/>
          <w:szCs w:val="18"/>
          <w:color w:val="auto"/>
        </w:rPr>
        <w:t>”) during the period of time beginning on August 22, 2012 and ending on and including the 15-month anniversary of such date (the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0" w:firstLine="464"/>
        <w:spacing w:after="0" w:line="275" w:lineRule="auto"/>
        <w:tabs>
          <w:tab w:leader="none" w:pos="6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 Further Modification</w:t>
      </w:r>
      <w:r>
        <w:rPr>
          <w:rFonts w:ascii="Arial" w:cs="Arial" w:eastAsia="Arial" w:hAnsi="Arial"/>
          <w:sz w:val="18"/>
          <w:szCs w:val="18"/>
          <w:color w:val="auto"/>
        </w:rPr>
        <w:t>. Except as is specifically provided herein, this Amendment shall not be deemed to amend or modify the Warrant,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shall remain in full force and effect in accordance with its terms.</w:t>
      </w:r>
    </w:p>
    <w:p>
      <w:pPr>
        <w:spacing w:after="0" w:line="119" w:lineRule="exact"/>
        <w:rPr>
          <w:rFonts w:ascii="Arial" w:cs="Arial" w:eastAsia="Arial" w:hAnsi="Arial"/>
          <w:sz w:val="18"/>
          <w:szCs w:val="18"/>
          <w:b w:val="1"/>
          <w:bCs w:val="1"/>
          <w:color w:val="auto"/>
        </w:rPr>
      </w:pPr>
    </w:p>
    <w:p>
      <w:pPr>
        <w:ind w:right="240" w:firstLine="464"/>
        <w:spacing w:after="0" w:line="339" w:lineRule="auto"/>
        <w:tabs>
          <w:tab w:leader="none" w:pos="63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Amendment may be executed in one or more counterparts (including by means of facsimile or electronic transmission in portable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format (pdf)), each of which shall be deemed an original, but all of which together shall constitute one and the same instrument.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T</w:t>
      </w:r>
      <w:r>
        <w:rPr>
          <w:rFonts w:ascii="Arial" w:cs="Arial" w:eastAsia="Arial" w:hAnsi="Arial"/>
          <w:sz w:val="14"/>
          <w:szCs w:val="14"/>
          <w:color w:val="auto"/>
        </w:rPr>
        <w:t>HIS</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have executed this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w:t>
      </w:r>
      <w:r>
        <w:rPr>
          <w:rFonts w:ascii="Arial" w:cs="Arial" w:eastAsia="Arial" w:hAnsi="Arial"/>
          <w:sz w:val="16"/>
          <w:szCs w:val="16"/>
          <w:b w:val="1"/>
          <w:bCs w:val="1"/>
          <w:color w:val="auto"/>
        </w:rPr>
        <w:t>. 1 T</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ARRANT</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Effective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EDICI</w:t>
      </w:r>
      <w:r>
        <w:rPr>
          <w:rFonts w:ascii="Arial" w:cs="Arial" w:eastAsia="Arial" w:hAnsi="Arial"/>
          <w:sz w:val="18"/>
          <w:szCs w:val="18"/>
          <w:b w:val="1"/>
          <w:bCs w:val="1"/>
          <w:color w:val="auto"/>
        </w:rPr>
        <w:t>N</w:t>
      </w:r>
      <w:r>
        <w:rPr>
          <w:rFonts w:ascii="Arial" w:cs="Arial" w:eastAsia="Arial" w:hAnsi="Arial"/>
          <w:sz w:val="14"/>
          <w:szCs w:val="14"/>
          <w:b w:val="1"/>
          <w:bCs w:val="1"/>
          <w:color w:val="auto"/>
        </w:rPr>
        <w:t>OVA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Yuichi Iwaki, President &amp; CEO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240" w:top="274" w:right="8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have executed this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w:t>
      </w:r>
      <w:r>
        <w:rPr>
          <w:rFonts w:ascii="Arial" w:cs="Arial" w:eastAsia="Arial" w:hAnsi="Arial"/>
          <w:sz w:val="16"/>
          <w:szCs w:val="16"/>
          <w:b w:val="1"/>
          <w:bCs w:val="1"/>
          <w:color w:val="auto"/>
        </w:rPr>
        <w:t>. 1 T</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ARRANT</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Effective Date.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HOLDER:</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EDINGTON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Redington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Thomas Redington, President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80"/>
          </w:cols>
          <w:pgMar w:left="700" w:top="274" w:right="8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6860"/>
        <w:spacing w:after="0"/>
        <w:tabs>
          <w:tab w:leader="none" w:pos="846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6860"/>
        <w:spacing w:after="0"/>
        <w:tabs>
          <w:tab w:leader="none" w:pos="846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2012,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8, 2012</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8"/>
    </w:lvl>
  </w:abstractNum>
  <w:abstractNum w:abstractNumId="4">
    <w:nsid w:val="519B500D"/>
    <w:multiLevelType w:val="hybridMultilevel"/>
    <w:lvl w:ilvl="0">
      <w:lvlJc w:val="left"/>
      <w:lvlText w:val="%1."/>
      <w:numFmt w:val="decimal"/>
      <w:start w:val="11"/>
    </w:lvl>
  </w:abstractNum>
  <w:abstractNum w:abstractNumId="5">
    <w:nsid w:val="431BD7B7"/>
    <w:multiLevelType w:val="hybridMultilevel"/>
    <w:lvl w:ilvl="0">
      <w:lvlJc w:val="left"/>
      <w:lvlText w:val="%1."/>
      <w:numFmt w:val="decimal"/>
      <w:start w:val="12"/>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2"/>
    </w:lvl>
  </w:abstractNum>
  <w:abstractNum w:abstractNumId="14">
    <w:nsid w:val="2443A858"/>
    <w:multiLevelType w:val="hybridMultilevel"/>
    <w:lvl w:ilvl="0">
      <w:lvlJc w:val="left"/>
      <w:lvlText w:val="%1."/>
      <w:numFmt w:val="decimal"/>
      <w:start w:val="4"/>
    </w:lvl>
    <w:lvl w:ilvl="1">
      <w:lvlJc w:val="left"/>
      <w:lvlText w:val="(%2)"/>
      <w:numFmt w:val="lowerLetter"/>
      <w:start w:val="1"/>
    </w:lvl>
  </w:abstractNum>
  <w:abstractNum w:abstractNumId="15">
    <w:nsid w:val="2D1D5AE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
    <w:nsid w:val="6763845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7">
    <w:nsid w:val="75A2A8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
    <w:nsid w:val="8EDBDAB"/>
    <w:multiLevelType w:val="hybridMultilevel"/>
    <w:lvl w:ilvl="0">
      <w:lvlJc w:val="left"/>
      <w:lvlText w:val="(%1)"/>
      <w:numFmt w:val="lowerLetter"/>
      <w:start w:val="4"/>
    </w:lvl>
    <w:lvl w:ilvl="1">
      <w:lvlJc w:val="left"/>
      <w:lvlText w:val="(%2)"/>
      <w:numFmt w:val="lowerLetter"/>
      <w:start w:val="9"/>
    </w:lvl>
  </w:abstractNum>
  <w:abstractNum w:abstractNumId="19">
    <w:nsid w:val="79838CB2"/>
    <w:multiLevelType w:val="hybridMultilevel"/>
    <w:lvl w:ilvl="0">
      <w:lvlJc w:val="left"/>
      <w:lvlText w:val="%1"/>
      <w:numFmt w:val="decimal"/>
      <w:start w:val="1"/>
    </w:lvl>
    <w:lvl w:ilvl="1">
      <w:lvlJc w:val="left"/>
      <w:lvlText w:val="(%2)"/>
      <w:numFmt w:val="lowerRoman"/>
      <w:start w:val="2"/>
    </w:lvl>
  </w:abstractNum>
  <w:abstractNum w:abstractNumId="20">
    <w:nsid w:val="4353D0CD"/>
    <w:multiLevelType w:val="hybridMultilevel"/>
    <w:lvl w:ilvl="0">
      <w:lvlJc w:val="left"/>
      <w:lvlText w:val="%1."/>
      <w:numFmt w:val="decimal"/>
      <w:start w:val="9"/>
    </w:lvl>
    <w:lvl w:ilvl="1">
      <w:lvlJc w:val="left"/>
      <w:lvlText w:val="%2"/>
      <w:numFmt w:val="lowerRoman"/>
      <w:start w:val="1"/>
    </w:lvl>
  </w:abstractNum>
  <w:abstractNum w:abstractNumId="21">
    <w:nsid w:val="B03E0C6"/>
    <w:multiLevelType w:val="hybridMultilevel"/>
    <w:lvl w:ilvl="0">
      <w:lvlJc w:val="left"/>
      <w:lvlText w:val="%1."/>
      <w:numFmt w:val="decimal"/>
      <w:start w:val="12"/>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lvl w:ilvl="1">
      <w:lvlJc w:val="left"/>
      <w:lvlText w:val="(%2)"/>
      <w:numFmt w:val="decimal"/>
      <w:start w:val="10"/>
    </w:lvl>
  </w:abstractNum>
  <w:abstractNum w:abstractNumId="25">
    <w:nsid w:val="2CA88611"/>
    <w:multiLevelType w:val="hybridMultilevel"/>
    <w:lvl w:ilvl="0">
      <w:lvlJc w:val="left"/>
      <w:lvlText w:val="%1."/>
      <w:numFmt w:val="decimal"/>
      <w:start w:val="2"/>
    </w:lvl>
    <w:lvl w:ilvl="1">
      <w:lvlJc w:val="left"/>
      <w:lvlText w:val="%2"/>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2019-12-09T15:58:45Z</dcterms:created>
  <dcterms:modified xsi:type="dcterms:W3CDTF">2019-12-09T15:58:45Z</dcterms:modified>
</cp:coreProperties>
</file>