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Matsuda Kazuko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MEDICINOVA,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4275 EXECUTIVE SQUARE,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MEDICINOVA INC</w:t>
              </w:r>
            </w:hyperlink>
            <w:r>
              <w:rPr/>
              <w:t xml:space="preserve"> [ </w:t>
            </w:r>
            <w:r>
              <w:rPr>
                <w:rFonts w:ascii="Times;serif" w:hAnsi="Times;serif"/>
                <w:color w:val="0000FF"/>
                <w:sz w:val="24"/>
                <w:shd w:fill="FFFFFF" w:val="clear"/>
              </w:rPr>
              <w:t>MNOV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350,000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January 7, 2025, the reporting person was granted an option to purchase 350,000 shares of common stock. The option vests based on the satisfaction of certain performance criteria for the fiscal year ended December 31, 2025. Such performance criteria for 2025 were met, resulting in full vesting of the option.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Yuichi Iwaki,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1140" TargetMode="External"/><Relationship Id="rId5" Type="http://schemas.openxmlformats.org/officeDocument/2006/relationships/hyperlink" Target="http://www.sec.gov/cgi-bin/browse-edgar?action=getcompany&amp;CIK=00012266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3395</Characters>
  <CharactersWithSpaces>3957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