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77"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41"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4"/>
          <w:szCs w:val="24"/>
          <w:color w:val="auto"/>
        </w:rPr>
      </w:pPr>
    </w:p>
    <w:p>
      <w:pPr>
        <w:sectPr>
          <w:pgSz w:w="11900" w:h="16838" w:orient="portrait"/>
          <w:cols w:equalWidth="0" w:num="2">
            <w:col w:w="3740" w:space="620"/>
            <w:col w:w="7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1500"/>
              <w:spacing w:after="0"/>
              <w:rPr>
                <w:sz w:val="20"/>
                <w:szCs w:val="20"/>
                <w:color w:val="auto"/>
              </w:rPr>
            </w:pPr>
            <w:r>
              <w:rPr>
                <w:rFonts w:ascii="Arial" w:cs="Arial" w:eastAsia="Arial" w:hAnsi="Arial"/>
                <w:sz w:val="18"/>
                <w:szCs w:val="18"/>
                <w:color w:val="auto"/>
                <w:w w:val="88"/>
              </w:rPr>
              <w:t>Accelerated filer</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75"/>
        </w:trPr>
        <w:tc>
          <w:tcPr>
            <w:tcW w:w="66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800" w:type="dxa"/>
            <w:vAlign w:val="bottom"/>
            <w:gridSpan w:val="2"/>
          </w:tcPr>
          <w:p>
            <w:pPr>
              <w:ind w:left="15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928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  Yes </w:t>
            </w:r>
            <w:r>
              <w:rPr>
                <w:rFonts w:ascii="MS PGothic" w:cs="MS PGothic" w:eastAsia="MS PGothic" w:hAnsi="MS PGothic"/>
                <w:sz w:val="18"/>
                <w:szCs w:val="18"/>
                <w:color w:val="auto"/>
                <w:w w:val="91"/>
              </w:rPr>
              <w:t>☐</w:t>
            </w:r>
          </w:p>
        </w:tc>
        <w:tc>
          <w:tcPr>
            <w:tcW w:w="21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9280" w:type="dxa"/>
            <w:vAlign w:val="bottom"/>
            <w:gridSpan w:val="2"/>
          </w:tcPr>
          <w:p>
            <w:pPr>
              <w:ind w:left="460"/>
              <w:spacing w:after="0"/>
              <w:rPr>
                <w:sz w:val="20"/>
                <w:szCs w:val="20"/>
                <w:color w:val="auto"/>
              </w:rPr>
            </w:pPr>
            <w:r>
              <w:rPr>
                <w:rFonts w:ascii="Arial" w:cs="Arial" w:eastAsia="Arial" w:hAnsi="Arial"/>
                <w:sz w:val="18"/>
                <w:szCs w:val="18"/>
                <w:color w:val="auto"/>
                <w:w w:val="97"/>
              </w:rPr>
              <w:t>As of November 5, 2008, the registrant had 11,984,713 shares of Common Stock ($0.001 par value) outstanding.</w:t>
            </w:r>
          </w:p>
        </w:tc>
        <w:tc>
          <w:tcPr>
            <w:tcW w:w="2140" w:type="dxa"/>
            <w:vAlign w:val="bottom"/>
          </w:tcPr>
          <w:p>
            <w:pPr>
              <w:spacing w:after="0"/>
              <w:rPr>
                <w:sz w:val="24"/>
                <w:szCs w:val="24"/>
                <w:color w:val="auto"/>
              </w:rPr>
            </w:pPr>
          </w:p>
        </w:tc>
      </w:tr>
      <w:tr>
        <w:trPr>
          <w:trHeight w:val="124"/>
        </w:trPr>
        <w:tc>
          <w:tcPr>
            <w:tcW w:w="66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3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1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10"/>
          </w:tcPr>
          <w:p>
            <w:pPr>
              <w:ind w:left="43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80" w:type="dxa"/>
            <w:vAlign w:val="bottom"/>
          </w:tcPr>
          <w:p>
            <w:pPr>
              <w:jc w:val="center"/>
              <w:ind w:left="203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8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2032"/>
              <w:spacing w:after="0"/>
              <w:rPr>
                <w:sz w:val="20"/>
                <w:szCs w:val="20"/>
                <w:color w:val="auto"/>
              </w:rPr>
            </w:pPr>
            <w:r>
              <w:rPr>
                <w:rFonts w:ascii="Arial" w:cs="Arial" w:eastAsia="Arial" w:hAnsi="Arial"/>
                <w:sz w:val="18"/>
                <w:szCs w:val="18"/>
                <w:b w:val="1"/>
                <w:bCs w:val="1"/>
                <w:color w:val="auto"/>
              </w:rPr>
              <w:t>MEDICINOVA,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80" w:type="dxa"/>
            <w:vAlign w:val="bottom"/>
          </w:tcPr>
          <w:p>
            <w:pPr>
              <w:jc w:val="center"/>
              <w:ind w:left="2052"/>
              <w:spacing w:after="0"/>
              <w:rPr>
                <w:sz w:val="20"/>
                <w:szCs w:val="20"/>
                <w:color w:val="auto"/>
              </w:rPr>
            </w:pPr>
            <w:r>
              <w:rPr>
                <w:rFonts w:ascii="Arial" w:cs="Arial" w:eastAsia="Arial" w:hAnsi="Arial"/>
                <w:sz w:val="18"/>
                <w:szCs w:val="18"/>
                <w:b w:val="1"/>
                <w:bCs w:val="1"/>
                <w:color w:val="auto"/>
                <w:w w:val="86"/>
              </w:rPr>
              <w:t>(a development stage company)</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20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23,078,732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24,372,280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51,856,571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48,565,672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73,079,121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427,067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2,886,187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51,878,926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369,502</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2,880,462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2,605,071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798,768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3,773,341</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7,140,927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w w:val="98"/>
              </w:rPr>
              <w:t>Common stock, $0.001 par value; 30,000,000 shares authorized at September 30, 2008 and 20,000,000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shares authorized at December 31, 2007; 12,072,027 shares issued at September 30, 2008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12,072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275,570,859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273,189,063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(592,603)</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Treasury stock, at cost; 87,314 shares at September 30, 2008 and 124,581 shares at December 31, 2007</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(1,317,361)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w w:val="87"/>
              </w:rPr>
              <w:t>(225,567,382)</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(205,057,380)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48,105,585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66,608,201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51,878,926</w:t>
            </w:r>
          </w:p>
        </w:tc>
        <w:tc>
          <w:tcPr>
            <w:tcW w:w="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5"/>
          </w:tcPr>
          <w:p>
            <w:pPr>
              <w:jc w:val="right"/>
              <w:ind w:right="104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2460" w:type="dxa"/>
            <w:vAlign w:val="bottom"/>
            <w:gridSpan w:val="6"/>
          </w:tcPr>
          <w:p>
            <w:pPr>
              <w:jc w:val="right"/>
              <w:ind w:right="98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3,500,876</w:t>
            </w: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8,668,763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11,823,065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40,729,374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131,668,112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2,195,787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2,672,630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76,880,207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5,696,663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11,341,393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18,816,260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49,461,518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209,806,740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(5,696,663)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(11,341,393)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(18,816,260)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(49,461,518)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(208,248,513)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Impairment charge on marketable securities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(3,295,621)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(3,295,621)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532,392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352,768</w:t>
            </w: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1,113,210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3,549,957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17,454,682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(23,811)</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(4,815,167)</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(10,228,183)</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(20,510,002)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(45,911,561)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(194,204,260)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Deemed dividend resulting from beneficial conversion feature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on Series C redeemable convertible preferred stock</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(4,815,167)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(10,228,183)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(20,510,002)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(45,911,561)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(225,567,382)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9"/>
              </w:rPr>
              <w:t>Shares used to compute basic and diluted net loss per common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12,072,027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11,768,001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12,072,027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11,640,405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60" w:type="dxa"/>
            <w:vAlign w:val="bottom"/>
            <w:gridSpan w:val="6"/>
            <w:vMerge w:val="continue"/>
          </w:tcPr>
          <w:p>
            <w:pPr>
              <w:spacing w:after="0"/>
              <w:rPr>
                <w:sz w:val="6"/>
                <w:szCs w:val="6"/>
                <w:color w:val="auto"/>
              </w:rPr>
            </w:pPr>
          </w:p>
        </w:tc>
        <w:tc>
          <w:tcPr>
            <w:tcW w:w="11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(20,510,002)</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(45,911,561)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(194,204,260)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2,381,796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2,961,929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43,145,046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393,899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(708,654)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(155,983)</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Impairment charge on marketable securities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3,295,621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3,295,621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80"/>
              <w:spacing w:after="0"/>
              <w:rPr>
                <w:sz w:val="20"/>
                <w:szCs w:val="20"/>
                <w:color w:val="auto"/>
              </w:rPr>
            </w:pPr>
            <w:r>
              <w:rPr>
                <w:rFonts w:ascii="Arial" w:cs="Arial" w:eastAsia="Arial" w:hAnsi="Arial"/>
                <w:sz w:val="18"/>
                <w:szCs w:val="18"/>
                <w:color w:val="auto"/>
              </w:rPr>
              <w:t>Prepaid expenses and receivables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1,328,952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419,592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(1,114,660)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accrued expenses, income taxes payable and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(3,549,061)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3,435,183</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199,593</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(17,336,933)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(38,657,348)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(146,045,693)</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(23,909,045)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Maturities, sales or reclassification of marketable securities available-for-sale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23,550,000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58,740,285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348,553,451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(385,451)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21,550,000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34,507,813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(30,631,969)</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10,672,374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120,890,566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80,216,971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(1,351,143)</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86,727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10,672,374</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199,756,394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4,299,794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6,522,839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18,778,938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8,334,496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23,078,732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14,857,335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Unrealized loss on current marketable securities available-for-sale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(53,756)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and investing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Reclassification of current marketable securities available-for-sale to other long-term</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2,886,187</w:t>
            </w:r>
          </w:p>
        </w:tc>
        <w:tc>
          <w:tcPr>
            <w:tcW w:w="3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2,886,187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were incorporated in the state of Delaware in September 2000. 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Since we have not begun principal operations of commercializing any of our product candidates, we are considered to be a development stage company as defined in Statement of Financial Accounting Standards (“SFAS”) No. 7, </w:t>
      </w:r>
      <w:r>
        <w:rPr>
          <w:rFonts w:ascii="Arial" w:cs="Arial" w:eastAsia="Arial" w:hAnsi="Arial"/>
          <w:sz w:val="16"/>
          <w:szCs w:val="16"/>
          <w:i w:val="1"/>
          <w:iCs w:val="1"/>
          <w:color w:val="auto"/>
        </w:rPr>
        <w:t>Accounting and Reporting by Development Stage Enterprises.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and nine months ended September 30, 2008 are not necessarily indicative of the results that may be expected for the year ending December 31, 2008 or for any other period. For further information, see the financial statements and disclosures thereto for the year ended December 31, 2007 in our Annual Report on Form 10-K as filed with the Securities and Exchange Commission on March 17,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11,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prepared the accompanying unaudited consolidated financial statements in conformity with accounting principles generally accepted in the United States of America, which requires management to make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Recently Adopted</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allows an entity to voluntarily choose to measure certain financial assets and liabilities at fair value. SFAS No. 159 was effective for 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related disclosures regarding our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stated above in Note 1, Interim Financial Information, we adopted SFAS No. 157 as of January 1, 2008. As defined in SFAS No. 157, fair value is based on the price that would be received to sell an asset or would be paid to transfer a liability in an orderly transaction between market participants at the measurement date. To increase the comparability and consistency of fair value measurements, SFAS No. 157 prescribes a fair value hierarchy that prioritizes observable and unobservable inputs used to measure fair value into three broad levels, as generally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0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 party which reflect those inputs that a market participant would use. The fair value hierarchy gives the lowest priority to Level 3 inputs.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September 30, 2008, cash and cash equivalents (instruments with maturities of three months or less at the date of purchase) were $23.1 million and primarily invested in money market funds.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September 30, 2008, marketable securities available-for-sale consisted solely of auction rate securities (“ARS”). All government-sponsored securities and corporate debt securities held at December 31, 2007 either matured or were redeemed at par value during the nine months ended September 30, 2008, and the proceeds were reinvested in cash equivalents. The ARS have stated maturities that are structured with short-term holding periods. The length of the holding period is determined at the original issuance of each ARS investment. ARS holding periods generally range from seven to 63 days. As of December 31, 2007, we had $47.7 million of ARS classified as current marketable securities available-for-sale with stated maturity dates ranging from 2022 to 2044 and reset dates primarily ranging from seven to 63 days. As of September 30, 2008, we had $24.4 million of ARS classified as current marketable securities available-for-sale with stated maturity dates ranging from 2022 to 2044 and reset dates ranging from seven to 63 days.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7"/>
              </w:rPr>
              <w:t>September 30, 2008</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December 31, 2007</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Gains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Losses</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$ 24,372,280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9"/>
              </w:rPr>
              <w:t>$ 24,372,280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$ 47,800,000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(98,975)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47,701,025</w:t>
            </w:r>
          </w:p>
        </w:tc>
        <w:tc>
          <w:tcPr>
            <w:tcW w:w="2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700,700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700,054</w:t>
            </w:r>
          </w:p>
        </w:tc>
        <w:tc>
          <w:tcPr>
            <w:tcW w:w="2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10,603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3,455,492</w:t>
            </w:r>
          </w:p>
        </w:tc>
        <w:tc>
          <w:tcPr>
            <w:tcW w:w="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$ 24,372,280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$ 24,372,280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$ 51,945,589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10,603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(99,621)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51,856,571</w:t>
            </w:r>
          </w:p>
        </w:tc>
      </w:tr>
      <w:tr>
        <w:trPr>
          <w:trHeight w:val="20"/>
        </w:trPr>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all of our marketable securities available-for-sale on a recurring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current marketable securities available-for-sale was determined by using the following inputs at September 30, 2008: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6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6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6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78"/>
              </w:rPr>
              <w:t>Assets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44"/>
              <w:spacing w:after="0" w:line="142" w:lineRule="exact"/>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24,372,280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24,372,280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24,372,280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center"/>
              <w:ind w:left="5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24,372,280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the Level 3 reconciliation table below and the respective notes for further information on the method of measuring fair value.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ARS investments, which are categorized as current marketable securities available-for-sale or other long-term assets, principally represent interests in municipal bonds, government-guaranteed student loans, insurance notes and portfolios of securities (primarily commercial paper). All of our ARS had AAA ratings at the time of purchase. At September 30, 2008, we reclassified certain of our ARS, principally those purchased in private placements representing interests in insurance notes and portfolios of securities (primarily commercial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paper), out of current marketable securities available-for-sale to other long-term assets. Other than the ARS described above, at September 30, 2008, the balance of our ARS, which consisted principally of government-guaranteed student loans, remained classified as current marketable securities available-for-sale. None of the underlying collateral for our ARS consisted of subprime mortgages or collateralized debt obligations. Due to continued negative conditions in the global credit markets, all of our ARS continue to fail at auction with few to no trades in either the primary or the secondary markets. As a result, there are not sufficient transactions and associated pricing data available to provide a Level 1 or Level 2 basis for determining the fair value of such investments. Consequently, we referenced pricing models provided by the respective brokerage firm holding the ARS, if applicable, and performed a fair market valuation analysis using a discounted cash flow model with a liquidity discount to determine the fair value of our ARS portfolio, including the ARS classified as current marketable securities available-for-sale and other long-term assets.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table below reconciles amortized cost at December 31, 2007 with fair value at September 30, 2008, as determined by Level 3 (unobservable) inputs, for the ARS classified as current marketable securities available-for-sale: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0"/>
              </w:rPr>
              <w:t>Sales or</w:t>
            </w: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Impairment</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Transfers out of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Redemptions</w:t>
            </w: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Charge on</w:t>
            </w:r>
          </w:p>
        </w:tc>
        <w:tc>
          <w:tcPr>
            <w:tcW w:w="1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Marketable</w:t>
            </w: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Marketable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Securities Available-</w:t>
            </w: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For-Sale at Par</w:t>
            </w: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Available-For-</w:t>
            </w: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Available-For-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Cost at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from 1/1/08 to</w:t>
            </w:r>
          </w:p>
        </w:tc>
        <w:tc>
          <w:tcPr>
            <w:tcW w:w="2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Sale at</w:t>
            </w:r>
          </w:p>
        </w:tc>
        <w:tc>
          <w:tcPr>
            <w:tcW w:w="1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Sale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9/30/08 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12/31/07</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5"/>
              </w:rPr>
              <w:t>9/30/08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9/30/08</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9/30/08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on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 available-for-sale(1)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$ 41,400,000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(14,100,000)</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(2,927,720)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24,372,280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Auction rate securities available-for-sale</w:t>
            </w:r>
          </w:p>
        </w:tc>
        <w:tc>
          <w:tcPr>
            <w:tcW w:w="960" w:type="dxa"/>
            <w:vAlign w:val="bottom"/>
          </w:tcPr>
          <w:p>
            <w:pPr>
              <w:jc w:val="right"/>
              <w:spacing w:after="0"/>
              <w:rPr>
                <w:sz w:val="20"/>
                <w:szCs w:val="20"/>
                <w:color w:val="auto"/>
              </w:rPr>
            </w:pPr>
            <w:r>
              <w:rPr>
                <w:rFonts w:ascii="Arial" w:cs="Arial" w:eastAsia="Arial" w:hAnsi="Arial"/>
                <w:sz w:val="18"/>
                <w:szCs w:val="18"/>
                <w:color w:val="auto"/>
              </w:rPr>
              <w:t>6,400,000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(2,600,000)</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(367,901)</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(3,432,099)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$ 47,800,000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(16,700,000)</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(3,295,621)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(3,432,099)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24,372,280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Aggregated fair value reported at September 30, 2008 reflects fair value primarily as determined principally by our discounted cash flow model with a liquidity discount, pursuant to which we took into consideration the brokerage firm’s pricing model, if applicable, the tax status (taxable vs. tax exempt) of the security, credit quality of the issuer, assumed maturity (within two years), insurance wraps and the portfolio composition. We also made assumptions regarding future cash flows and the likelihood of the ARS being redeemed or refinanced. In addition, we performed a sensitivity analysis by calculating fair value with a maturity of one year through five years. The annual coupon rate utilized was set at the U.S. Treasury Department published average of the bond equivalent rates of the 91-day Treasury bills auctioned during the quarter ending September 30, 2008 (which was the Federal Family Education Loan Program special allowance rate for the quarter ending September 30, 2008) plus 120 basis points. We believe that using this interest rate is reasonable given that a majority of our ARS portfolio is collateralized by student loans guaranteed by the U.S. government under the Federal Family Education Loan Program. Using our discounted cash flow model with a three percent liquidity discount, we calculated aggregate fair value for these securities, which ranged between $26.5 million with a one-year maturity, $25.8 million with a two-year maturity and $23.7 million with a five-year maturity.</w:t>
      </w:r>
    </w:p>
    <w:p>
      <w:pPr>
        <w:spacing w:after="0" w:line="12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the three months ended September 30, 2008, based on our discounted cash flow valuations, the fact that certain brokerage firms had announced plans and/or entered into settlements with the Securities and Exchange Commission (“SEC”), state attorneys general and other state agencies to repurchase ARS at par and the continued intervention and monitoring of various government agencies of the credit markets, we determined that there was no further decline in market value of our ARS classified as current marketable securities available-for-sale. Prior to the three months ended September 30, 2008, we determined, based on the outlook of the ARS market and the timing of when we may be required to liquidate our ARS for operating purposes, that the decline in the market value of our entire ARS portfolio, which securities were considered at the time to be current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was other-than-temporary. As a result, for the nine months ended September 30, 2008, the carrying value of our ARS classified as current marketable securities available-for-sale had been other-than-temporarily lowered by $2.9 million and the carrying value of our ARS reclassified to other long-term assets had been other-than-temporarily lowered by $0.4 million, with the impairment charges running through our consolidated statements of operations. In addition, at September 30, 2008, given the announced brokerage firm ARS repurchase offer associated with our ARS classified as current marketable securities available-for-sale, pursuant to which the brokerage firm is obligated to repurchase the ARS subject to the offer at par (</w:t>
      </w:r>
      <w:r>
        <w:rPr>
          <w:rFonts w:ascii="Arial" w:cs="Arial" w:eastAsia="Arial" w:hAnsi="Arial"/>
          <w:sz w:val="16"/>
          <w:szCs w:val="16"/>
          <w:i w:val="1"/>
          <w:iCs w:val="1"/>
          <w:color w:val="auto"/>
        </w:rPr>
        <w:t>see Note 9, Subsequent Events, for further information</w:t>
      </w:r>
      <w:r>
        <w:rPr>
          <w:rFonts w:ascii="Arial" w:cs="Arial" w:eastAsia="Arial" w:hAnsi="Arial"/>
          <w:sz w:val="16"/>
          <w:szCs w:val="16"/>
          <w:color w:val="auto"/>
        </w:rPr>
        <w:t>), and the fact that we had already other-than-temporarily written down the carrying value of such securities, we determined it was appropriate to classify these securities as current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reconciles amortized cost at December 31, 2007, with fair value at September 30, 2008, for ARS classified as other long-term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Transfers in from</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Sales or</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4"/>
              </w:rPr>
              <w:t>Current</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5"/>
              </w:rPr>
              <w:t>Redemptions</w:t>
            </w:r>
          </w:p>
        </w:tc>
        <w:tc>
          <w:tcPr>
            <w:tcW w:w="720" w:type="dxa"/>
            <w:vAlign w:val="bottom"/>
          </w:tcPr>
          <w:p>
            <w:pPr>
              <w:spacing w:after="0"/>
              <w:rPr>
                <w:sz w:val="12"/>
                <w:szCs w:val="12"/>
                <w:color w:val="auto"/>
              </w:rPr>
            </w:pPr>
          </w:p>
        </w:tc>
        <w:tc>
          <w:tcPr>
            <w:tcW w:w="16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Temporary Decline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2"/>
              </w:rPr>
              <w:t>Marketable</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7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Securities at Par</w:t>
            </w:r>
          </w:p>
        </w:tc>
        <w:tc>
          <w:tcPr>
            <w:tcW w:w="720" w:type="dxa"/>
            <w:vAlign w:val="bottom"/>
          </w:tcPr>
          <w:p>
            <w:pPr>
              <w:spacing w:after="0"/>
              <w:rPr>
                <w:sz w:val="12"/>
                <w:szCs w:val="12"/>
                <w:color w:val="auto"/>
              </w:rPr>
            </w:pPr>
          </w:p>
        </w:tc>
        <w:tc>
          <w:tcPr>
            <w:tcW w:w="16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Fair Value of 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4"/>
              </w:rPr>
              <w:t>Cost at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from 1/1/08 to</w:t>
            </w:r>
          </w:p>
        </w:tc>
        <w:tc>
          <w:tcPr>
            <w:tcW w:w="720" w:type="dxa"/>
            <w:vAlign w:val="bottom"/>
          </w:tcPr>
          <w:p>
            <w:pPr>
              <w:spacing w:after="0"/>
              <w:rPr>
                <w:sz w:val="12"/>
                <w:szCs w:val="12"/>
                <w:color w:val="auto"/>
              </w:rPr>
            </w:pPr>
          </w:p>
        </w:tc>
        <w:tc>
          <w:tcPr>
            <w:tcW w:w="16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Long-Term Assets at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Available-For-</w:t>
            </w:r>
          </w:p>
        </w:tc>
        <w:tc>
          <w:tcPr>
            <w:tcW w:w="7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9/30/08 Based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12/31/07</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9/30/08</w:t>
            </w: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9/30/08</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7"/>
              </w:rPr>
              <w:t>Sale at 9/30/08</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on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(545,912)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3,432,099</w:t>
            </w:r>
          </w:p>
        </w:tc>
        <w:tc>
          <w:tcPr>
            <w:tcW w:w="15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2,886,187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(545,912)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3,432,099</w:t>
            </w:r>
          </w:p>
        </w:tc>
        <w:tc>
          <w:tcPr>
            <w:tcW w:w="1540" w:type="dxa"/>
            <w:vAlign w:val="bottom"/>
            <w:gridSpan w:val="3"/>
          </w:tcPr>
          <w:p>
            <w:pPr>
              <w:jc w:val="center"/>
              <w:ind w:left="61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2,886,187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September 30, 2008, with the continued decline of the global credit market and the sale and collapse of certain brokerage firms and banking institutions, we determined that certain of our ARS holdings at one brokerage firm were no longer considered current assets as there was a higher likelihood of redemption or refinancing occurring outside of a 12-month period; therefore, these ARS holdings were reclassified to other long-term assets. Aggregated fair value reported at September 30, 2008 for the ARS reclassified to other long-term assets was determined by our discounted cash flow model, which employed a liquidity discount ranging from three percent to six percent depending on the security type and included assumptions regarding future cash flows and the likelihood of the redemption or refinancing of such ARS. We also performed a sensitivity analysis by calculating fair value with a maturity of one year through five years. The interest rate utilized in the model was either LIBOR plus the spread, as indicated in the respective security prospectus, or the U.S. Treasury Department published average of the bond equivalent rates of the 91-day Treasury bills auctioned during the quarter ending September 30, 2008 (which was the Federal Family Education Loan Program special allowance rate for the quarter ending September 30, 2008) plus 120 basis points for the ARS collateralized by student loans. Using this methodology, we calculated aggregate fair value for these securities, which ranged between $3.6 million with a one-year maturity, $3.4 million with a two-year maturity and $2.9 million with a five-year maturity.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three months ended September 30, 2008, based on our discounted cash flow valuations and the fact that there were no announced plans and/or settlements by the brokerage firm with the SEC, state attorneys general and other state agencies to repurchase the ARS we reclassified as long-term assets, we lowered the carrying value of these securities by $0.5 million, which we determined to be temporary given the continued pressure of various government agencies on the credit markets and the continued announcements by brokerage firms to repurchase the ARS sold by such firms during certain time periods at par. At September 30, 2008, we ran the reduction in carrying value through our consolidated balance sheets in accumulated other comprehensive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Net loss per share is presented as basic and diluted net loss per share. 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(of which we have none outstanding), stock options and warrants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are considered to be common stock equivalents and are only included in the calculation of diluted net loss per share when their effect is dilutive.</w:t>
      </w:r>
    </w:p>
    <w:p>
      <w:pPr>
        <w:spacing w:after="0" w:line="19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Common stock equivalents of options to purchase 2,581,376 shares of common stock and warrants to purchase 50,000 shares of common stock and common stock equivalents of options to purchase 2,039,324 shares of common stock and warrants to purchase 50,000 shares of common stock for the three months and nine months ended September 30, 2008 and 2007, respectively, are excluded from the calculations of diluted loss per share for all periods presented because the effect is non-dilutive.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have applied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for the three months and nine months ended September 30, 2008 was $5,363,030 and $21,102,605, respectively. Comprehensive loss did not differ significantly from net loss for the three months and nine months ended September 30,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which is the successor to the 2000 Plan. Stock options issued to non-employees were recorded at their fair value as determined in accordance with EITF Issue No. 96-18, </w:t>
      </w:r>
      <w:r>
        <w:rPr>
          <w:rFonts w:ascii="Arial" w:cs="Arial" w:eastAsia="Arial" w:hAnsi="Arial"/>
          <w:sz w:val="18"/>
          <w:szCs w:val="18"/>
          <w:i w:val="1"/>
          <w:iCs w:val="1"/>
          <w:color w:val="auto"/>
        </w:rPr>
        <w:t>Accounting for Equity Instruments that are Issued to Other than Employees for Acquiring, or in Conjunction with 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or Services. </w:t>
      </w:r>
      <w:r>
        <w:rPr>
          <w:rFonts w:ascii="Arial" w:cs="Arial" w:eastAsia="Arial" w:hAnsi="Arial"/>
          <w:sz w:val="18"/>
          <w:szCs w:val="18"/>
          <w:color w:val="auto"/>
        </w:rPr>
        <w:t>Effective January 1, 2006, the benefits provided under these plans constitute share-based compensation subject to the provisions of 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4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For the three months and nine months ended September 30, 2008 and 2007, share-based compensation expense related to stock options was recorded as a component of general and administrative expense and research and development expense. There were no stock option exercises during the three months and nine months ended September 30, 2008. As of September 30, 2008, there was $6.1 million of unamortized compensation cost related to unvested stock option awards, which is expected to be recognized over a remaining weighted-average vesting period of 2.0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exercise price of stock options to purchase 11,000 and 615,540 shares of common stock granted during the three months and nine months ended September 30, 2008, respectively, was equal to market value on the date of grant and the share-based compensation expense for such stock options is reflected in operating results for the three months and nine months ended September 30, 2008.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1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Three months ended</w:t>
            </w:r>
          </w:p>
        </w:tc>
        <w:tc>
          <w:tcPr>
            <w:tcW w:w="21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Three months ended</w:t>
            </w:r>
          </w:p>
        </w:tc>
        <w:tc>
          <w:tcPr>
            <w:tcW w:w="20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4"/>
              </w:rPr>
              <w:t>Nine months ended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3780" w:type="dxa"/>
            <w:vAlign w:val="bottom"/>
          </w:tcPr>
          <w:p>
            <w:pPr>
              <w:spacing w:after="0"/>
              <w:rPr>
                <w:sz w:val="12"/>
                <w:szCs w:val="12"/>
                <w:color w:val="auto"/>
              </w:rPr>
            </w:pPr>
          </w:p>
        </w:tc>
        <w:tc>
          <w:tcPr>
            <w:tcW w:w="21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37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9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9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2.88%</w:t>
            </w:r>
          </w:p>
        </w:tc>
        <w:tc>
          <w:tcPr>
            <w:tcW w:w="21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w:t>
            </w: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140" w:type="dxa"/>
            <w:vAlign w:val="bottom"/>
            <w:gridSpan w:val="2"/>
          </w:tcPr>
          <w:p>
            <w:pPr>
              <w:jc w:val="right"/>
              <w:ind w:right="800"/>
              <w:spacing w:after="0"/>
              <w:rPr>
                <w:sz w:val="20"/>
                <w:szCs w:val="20"/>
                <w:color w:val="auto"/>
              </w:rPr>
            </w:pPr>
            <w:r>
              <w:rPr>
                <w:rFonts w:ascii="Arial" w:cs="Arial" w:eastAsia="Arial" w:hAnsi="Arial"/>
                <w:sz w:val="18"/>
                <w:szCs w:val="18"/>
                <w:color w:val="auto"/>
              </w:rPr>
              <w:t>69.00%</w:t>
            </w:r>
          </w:p>
        </w:tc>
        <w:tc>
          <w:tcPr>
            <w:tcW w:w="2160" w:type="dxa"/>
            <w:vAlign w:val="bottom"/>
            <w:gridSpan w:val="2"/>
          </w:tcPr>
          <w:p>
            <w:pPr>
              <w:jc w:val="right"/>
              <w:ind w:right="820"/>
              <w:spacing w:after="0"/>
              <w:rPr>
                <w:sz w:val="20"/>
                <w:szCs w:val="20"/>
                <w:color w:val="auto"/>
              </w:rPr>
            </w:pPr>
            <w:r>
              <w:rPr>
                <w:rFonts w:ascii="Arial" w:cs="Arial" w:eastAsia="Arial" w:hAnsi="Arial"/>
                <w:sz w:val="18"/>
                <w:szCs w:val="18"/>
                <w:color w:val="auto"/>
              </w:rPr>
              <w:t>69.00%</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69.00%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0.00</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0.00</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4.0</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4.0</w:t>
            </w:r>
          </w:p>
        </w:tc>
        <w:tc>
          <w:tcPr>
            <w:tcW w:w="2080" w:type="dxa"/>
            <w:vAlign w:val="bottom"/>
            <w:gridSpan w:val="2"/>
          </w:tcPr>
          <w:p>
            <w:pPr>
              <w:jc w:val="right"/>
              <w:ind w:right="9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weighted average volatility of our stock price, factoring in changes in the daily share price, the volatility of certain peers within our industry sector and management’s judgment. We have not paid any dividends on our common stock since our inception, and we do not anticipate paying any dividends on our common stock in the foreseeable future. The expected option term represents the weighted average of the expected term of our stock options and the expected term of the stock options of our peer group.</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and nine months ended September 30, 2008 was based on stock option awards ultimately expected to vest, such expense should be reduced for estimated forfeitures. SFAS No. 123R requires forfeitures to be estimated at the time of grant and revised, if necessary, in subsequent periods if actual forfeitures differ from those estimates. We have very few employees, our turnover has been minimal and our stock options vest monthly; therefore, we do not estimate any forfeitures in 2008 and will adjust our stock-based compensation expense should any forfeitures occur. The weighted-average fair value of each stock option granted during the three months and nine months ended September 30, 2008, estimated as of the grant date using the Black-Scholes option valuation model, was $1.71 and $2.37 per stock option, respectively, whereas the weighted-average fair value of each stock option granted during the nine months ended September 30, 2007 was $5.27 per stock option. There were no stock options granted during the three months ended September 30,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adopted the provisions of Interpretation No. 48, </w:t>
      </w:r>
      <w:r>
        <w:rPr>
          <w:rFonts w:ascii="Arial" w:cs="Arial" w:eastAsia="Arial" w:hAnsi="Arial"/>
          <w:sz w:val="18"/>
          <w:szCs w:val="18"/>
          <w:i w:val="1"/>
          <w:iCs w:val="1"/>
          <w:color w:val="auto"/>
        </w:rPr>
        <w:t>Accounting for Uncertainty in Income Taxes—An Interpretation of FASB Statement No. 109</w:t>
      </w:r>
      <w:r>
        <w:rPr>
          <w:rFonts w:ascii="Arial" w:cs="Arial" w:eastAsia="Arial" w:hAnsi="Arial"/>
          <w:sz w:val="18"/>
          <w:szCs w:val="18"/>
          <w:color w:val="auto"/>
        </w:rPr>
        <w:t xml:space="preserve"> (“FIN 48”), on January 1, 2007. As a result of the adoption of FIN 48, we had no cumulative effect adjustment, and therefore no change to the January 1, 2007 balance in retained earnings. At January 1, 2007, December 31, 2007 and September 30, 2008, we had no unrecognized tax benefits that, if recognized, would affect our effective income tax rate in future periods.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December 31, 2007 and no accrued interest or penalties at September 30,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adoption of FIN 48 did not impact our consolidated financial condition, results of operations or cash flows. At January 1, 2007 and September 30, 2008, we had net deferred tax assets of $37.1 million. The deferred tax assets are primarily composed of federal and state tax net operating loss (“NOL”) carryforwards and federal and state research and development (“R&amp;D”) credit carryforwards. Due to uncertainties surrounding our 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determined that an ownership change occurred on May 28, 2003 and September 2, 2004, in which approximately $0.5 million on each date, were estimated as the annual limitation. These limitations will result in the expiration of unused federal net operating loss carryforwards and federal tax credits in the amount of $8.8 million and $0.2 million, respectively. The January 1, 2007 net deferred tax asset was reduced by $3.3 million, with a corresponding reduction of the valuation allowance. In each period since our inception, we have recorded a valuation allowance for the full amount of our deferred tax asset, as the realization of the deferred tax asset is uncertain. As a result, for the three months and nine months ended September 30, 2008, we have not recorded any federal or state income tax benefit in our consolidated statement of operations.</w:t>
      </w:r>
    </w:p>
    <w:p>
      <w:pPr>
        <w:spacing w:after="0" w:line="193" w:lineRule="exact"/>
        <w:rPr>
          <w:sz w:val="20"/>
          <w:szCs w:val="20"/>
          <w:color w:val="auto"/>
        </w:rPr>
      </w:pPr>
    </w:p>
    <w:p>
      <w:pPr>
        <w:ind w:right="870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182" w:lineRule="exact"/>
        <w:rPr>
          <w:sz w:val="20"/>
          <w:szCs w:val="20"/>
          <w:color w:val="auto"/>
        </w:rPr>
      </w:pPr>
    </w:p>
    <w:p>
      <w:pPr>
        <w:ind w:right="9620" w:firstLine="8"/>
        <w:spacing w:after="0" w:line="391" w:lineRule="auto"/>
        <w:tabs>
          <w:tab w:leader="none" w:pos="1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of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stock option is granted.</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summary of the changes in stock options outstanding under the 2000 Plan and 2004 Plan during the three months ended September 30, 2008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1,990,078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5760" w:type="dxa"/>
            <w:vAlign w:val="bottom"/>
            <w:gridSpan w:val="3"/>
          </w:tcPr>
          <w:p>
            <w:pPr>
              <w:jc w:val="right"/>
              <w:ind w:right="880"/>
              <w:spacing w:after="0"/>
              <w:rPr>
                <w:sz w:val="20"/>
                <w:szCs w:val="20"/>
                <w:color w:val="auto"/>
              </w:rPr>
            </w:pPr>
            <w:r>
              <w:rPr>
                <w:rFonts w:ascii="Arial" w:cs="Arial" w:eastAsia="Arial" w:hAnsi="Arial"/>
                <w:sz w:val="18"/>
                <w:szCs w:val="18"/>
                <w:color w:val="auto"/>
              </w:rPr>
              <w:t>615,540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Cancelled</w:t>
            </w:r>
          </w:p>
        </w:tc>
        <w:tc>
          <w:tcPr>
            <w:tcW w:w="418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4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4"/>
              </w:rPr>
              <w:t>2,581,376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180" w:type="dxa"/>
            <w:vAlign w:val="bottom"/>
            <w:vMerge w:val="restart"/>
          </w:tcPr>
          <w:p>
            <w:pPr>
              <w:jc w:val="right"/>
              <w:ind w:right="2432"/>
              <w:spacing w:after="0"/>
              <w:rPr>
                <w:sz w:val="20"/>
                <w:szCs w:val="20"/>
                <w:color w:val="auto"/>
              </w:rPr>
            </w:pPr>
            <w:r>
              <w:rPr>
                <w:rFonts w:ascii="Arial" w:cs="Arial" w:eastAsia="Arial" w:hAnsi="Arial"/>
                <w:sz w:val="18"/>
                <w:szCs w:val="18"/>
                <w:color w:val="auto"/>
              </w:rPr>
              <w:t>13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aggregate intrinsic value of stock options exercised, outstanding and exercisable during the three months and nine months ended September 30, 2008 was $0 in each case. Of the total stock options outstanding as of September 30, 2008, options to purchase 1,266,549 shares of common stock are exercisable, with a weighted average exercise price of $12.37 per share and a weighted average contractual life of 7.7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MediciNova, Inc. 2007 Employee Stock Purchase Plan (“ESPP”), 300,000 shares of our common stock have been reserved for issuance.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ESPP permits full-time employees to purchase our common stock through payroll deductions (which cannot exceed 15% of each employee’s compensation) at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lower of 85% of fair market value at the beginning of the offering period or the end of each six-month purchase period. The estimated fair value of each ESPP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is determined on the date the offering period begins using the Black-Scholes option valuation model.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2008, 22,466 shares and 37,267 shares of common stock were issued, respectively. At September 30, 2008, 257,706 shares of common stock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available for future issuance under the ESPP.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Firm ARS Repurchase Program</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August 2008, the brokerage firm through which we purchased the majority of our ARS investments entered into a settlement with the SEC, the New York Attorney General and other state agencies. Under the settlement, the brokerage firm agreed to arrange for the orderly repurchase of the ARS investments it had marketed over a period of time (“ARS Rights Offer”). We subsequently received the ARS Rights Offer from such firm in October 2008, pursuant to which the firm offered us the right to cause the brokerage firm to purchase the ARS investments purchased through such firm at par plus accrued but unpaid interest beginning June 30, 2010. The brokerage firm also offered to us a no net cost loan program (“ARS loan”), whereby we will be able to borrow up to 75 percent of the fair value of our ARS investments purchased through such firm, per their value determination, at an interest cost that would not exceed the interest being paid on the underlying ARS investments. On November 5, 2008, we accepted the ARS Rights Offer, and we intend to participate in the ARS loan. Although the ARS loan will be callable at any time by the brokerage firm, that firm has agreed to arrange for alternative financing on the same terms in the event it calls the loan absent our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 Commitment</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3, 2008, we entered into a fourth amendment (“Lease Amendment”) of our lease agreement (“Lease”) with 4350 La Jolla Village LLC (“Landlord”), the successor in interest to CA-La Jolla II Limited Partnership. The Lease Amendment amends the Lease for the our headquarters located at 4350 La Jolla Village Drive, Suite 950, San Diego, California, 92122, and extends the Lease term for thirty additional months, from March 1, 2009 to August 31, 2011. The Lease Amendment provides that we will pay the Landlord a monthly base rent of $38,097.00 for the premises for the first twelve months, $40,002.00 for the second twelve months and $41,907.00 for the final six months.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2007 included in our Annual Report on Form 10-K filed with the Securities and Exchange Commission, or SEC, on March 17, 2008. Past operating results are not necessarily indicative of results that may occur in future periods.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may include, but are not limited to,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development stage company. We have incurred significant net losses since our inception. At September 30, 2008, from inception, our accumulated deficit was approximately $225.6 million, including $43.1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over the long-term if we are successful in expanding our research and development programs and acquiring or in-licensing products, technologies or businesses that are complementary to our own.</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pipeline includes six clinical-stage product candidates and two preclinical-stage product candidates. At present, we are focusing our resources on the development of the following two prioritized product development programs:</w:t>
      </w:r>
    </w:p>
    <w:p>
      <w:pPr>
        <w:spacing w:after="0" w:line="51" w:lineRule="exact"/>
        <w:rPr>
          <w:sz w:val="20"/>
          <w:szCs w:val="20"/>
          <w:color w:val="auto"/>
        </w:rPr>
      </w:pPr>
    </w:p>
    <w:p>
      <w:pPr>
        <w:ind w:left="900" w:right="20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for which we initiated a Phase IIb clinical trial in the first quarter of 2008 to determine the safety and efficacy of MN-221 in patients with severe, acute exacerbations of asthma, or status asthmaticus, in the emergency room and completed a Phase IIa clinical trial in the third quarter of 2008 to determine the safety and efficacy of MN-221 with more prolonged infusions and different infusion rates in patients with moderate to severe, but stable asthma; and</w:t>
      </w:r>
    </w:p>
    <w:p>
      <w:pPr>
        <w:spacing w:after="0" w:line="31"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the treatment of multiple sclerosis, or MS, for which we completed a Phase II clinical trial in Eastern Europe in the second quarter of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proof-of-concept Phase II clinical trials, we will either continue to pursue development independently, as we presently intend with MN-221, or establish strategic collaborations to support Phase III clinical development, as we presently intend with MN-166. Following the completion of the Phase II clinical trial for MN-166, we are not planning to pursue any further significant clinical development of MN-166 until such time that we are able to secure a strategic collaboration to advance MN-166 into Phase III clinical development.</w:t>
      </w:r>
    </w:p>
    <w:p>
      <w:pPr>
        <w:spacing w:after="0" w:line="143"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Beyond MN-221 for the treatment of acute exacerbations of asthma and MN-166 for the treatment of MS, the remainder of our pipeline will not be the subject of significant development activity, except as deemed necessary by management to maintain our license rights or maximize the value of such product candidates. We will pursue a variety of initiatives to monetize these product candidates. Our other product development programs consist of the following:</w:t>
      </w:r>
    </w:p>
    <w:p>
      <w:pPr>
        <w:spacing w:after="0" w:line="7" w:lineRule="exact"/>
        <w:rPr>
          <w:sz w:val="20"/>
          <w:szCs w:val="20"/>
          <w:color w:val="auto"/>
        </w:rPr>
      </w:pPr>
    </w:p>
    <w:p>
      <w:pPr>
        <w:ind w:left="900" w:right="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IIa clinical trial for the treatment of insomnia in the fourth quarter of 2007;</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Ib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February 1, 2008, we announced additional data from a double-blind analysis of the first year of treatment from our two-year Phase II clinical trial of MN-166 for the treatment of MS. The analysis showed that MN-166 decreased the formation of black holes, which are permanent brain lesions believed to indicate the death of nerves in the brain, on magnetic resonance imaging, or MRI, in MS patients, adding support to our belief that MN-166 may provide neuroprotection in relapsing MS. Data demonstrated that a 60 mg per day dosing regimen of MN-166 significantly reduced the proportion of new T1 gadolinium-enhancing or new T2 lesions identified at month two of the study that evolved into persistent black holes at month ten compared to placebo (RR 0.63, p=0.011). Treatment with a 30 mg per day dosing regimen of MN-166 also showed a trend toward reduced risk of new lesion evolution to persistent black holes compared to placebo (RR 0.735, p=0.074).</w:t>
      </w:r>
    </w:p>
    <w:p>
      <w:pPr>
        <w:spacing w:after="0" w:line="14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March 31, 2008, we announced the initiation of a Phase IIb clinical trial for MN-221 in patients with severe, acute exacerbations of asthma, or status asthmaticus, by holding the investigators’ meeting for such study. This randomized, modified single-blind, placebo-controlled, dose escalation Phase IIb clinical trial, which is designed to determine the safety and efficacy of MN-221 in patients with severe, acute exacerbations of asthma will involve approximately 36 patients in three dose cohorts at eight emergency department clinical sites in the United States. Enrollment of patients in this Phase IIb clinical trial has been slower than we anticipated; however, we plan on holding an investigators’ meeting for a second, larger Phase IIb clinical trial in the first quarter of 2009. The successful completion of both of these Phase IIb clinical trials, the first of which is ongoing but somewhat delayed, as well as the successful completion of two planned Phase III clinical trials, are all conditions to the filing of a New Drug Application, or NDA, with the U.S. Food and Drug Administration, or FDA, for this product candidate.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7, 2008, we announced the results of a completed Phase II clinical trial of MN-166 for the treatment of MS. The two-year randomized, double-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blind, placebo-controlled Phase II clinical trial included 297 patients with relapsing MS. We previously announced the one-year results for this study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27, 2007. In the second year of the study, all patients received active drug. Patients who received 30 or 60 mg of MN-166 per day during the first year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study remained on the assigned dose for the second 12 months of the study; patients who received placebo during the first 12 months of the study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randomized to receive either 30 or 60 mg of MN-166 per day (double-blind maintained) during the second 12 months of the study. Clinical and radiological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outcomes were evaluated. MN-166 treatment resulted in positive findings on three independent measures indicative of a potential disease-progression modifying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First, sustained disability progression was significantly less likely (by approximately 50%) in those patients receiving MN-166 at either 30 or 60 mg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for 24 months than in those patients receiving the drug for 12 months (p=0.026). Sustained disability progression was measured as a greater than or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point increase from baseline in the Expanded Disability Status Scale, or EDSS, score for four consecutive months. Second, the significant reduction in brain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 loss (p=0.035), as measured by cranial MRI scans, observed after 12 months in patients treated with 60 mg per day of MN-166 compared to placebo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 demonstrated in year two of the study. Brain volume loss was significantly less (p=0.030) in patients receiving 60 mg per day of MN-166 for 24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other treatment groups. Third, MN-166 treatment at 60 mg per day significantly reduced the relative risk for conversion of new inflammatory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lesions identified at month two to Persistent Black Holes, or PBHs, an MRI indicator of neuronal loss, eight months later at month ten by 37% (p=0.011);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lesions that remain unchanged for eight months are considered PBHs as compared to transient inflammatory lesions that are more closely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relapses. MN-166 treatment at 30 mg per day resulted in a trend toward reducing evolution to PBH (p=0.074). MN-166 was well tolerated at all doses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two years of this clinical trial, with the most common adverse events possibly related to MN-166 involving mild, transient gastrointestinal disturbances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depression. Of the 297 patients enrolled in this clinical trial, 245 patients completed the full two years of treatment.</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9, 2008, we announced preliminary results of a completed Phase IIa clinical trial of MN-221 designed to determine the safety and efficacy of MN-221 with more prolonged infusions and different infusion rates in patients with moderate to severe, but stable asthma. The randomized, open-label, placebo-controlled Phase IIa clinical trial included 17 patients in two dose cohorts at four clinical sites in the United States. In one dosing cohort, each patient received MN-221 at a dose of 1,125 micrograms or placebo over one hour by continuous intravenous infusion. In the second dosing cohort, each patient received MN-221 at a dose of 1,080 micrograms or placebo over two hours by a continuous intravenous infusion. Based on a preliminary analysis of the study results, both infusion rates of MN-221 produced a clinically significant improvement in forced expiratory volume in one second, or FEV1. FEV1 results were expressed as “percent predicted” based on standard reference equations accounting for an individual’s race, gender, age and height. At the end of the one-hour infusion, FEV1 increased by an average of 17.5 percent predicted for MN-221 compared to an increase of three percent predicted for placebo. At the end of the two-hour infusion, FEV1 increased by an average of 12.1 percent predicted for MN-221 compared to an increase of 1.4 percent predicted for placebo. MN-221 was well tolerated by the patients who received either infusion rate of MN-221. There were no clinically significant safety concerns noted among the adverse events, electrocardiogram, or ECG, data, vital sign data or laboratory assessments collected during this clinical trial. Further review and analysis of the study results following the announcement have confirmed the reported preliminary results.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September 18, 2008, we announced that data from the completed two-year Phase II clinical trial of MN-166 for the treatment of MS was presented in two presentations at the World Congress for Treatment and Research in MS, or WCTRIMS, held in Montreal, Canada.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have not generated any revenues from licensing, achievement of milestones or product sales to date, and we do not expect to generate any revenues from licensing, achievement of milestones or product sales until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are able to commercialize our product candidates ourselves or execute license or collaboration agreements with third parties. Any revenues generated prior to fiscal year 2007 were from the performance of development management services under master service agreements with Asahi Kasei Pharma Corporation and Argenes, Inc., pursuant to which we billed consulting fees and our pass-through clinical contract costs. We will not generate any revenues from either of these agreements in fiscal year 2008 or thereafter.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research and development expenses primarily consist of costs incurred to further our research and development activities, including feasibility and toxicology studies, regulatory activities, licensing and preclinical and clinical development activities, for our product candidates. These research and development expenses include external costs, such as fees paid to external service providers to conduct clinical trials, develop, manufacture and test our product candidates and provide various other products and services related to our product development programs, and internal costs of compensation and other expenses for research and development personnel, supplies, materials, facility costs and depreciation.</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4"/>
              </w:rPr>
              <w:t>Three months ended</w:t>
            </w:r>
          </w:p>
        </w:tc>
        <w:tc>
          <w:tcPr>
            <w:tcW w:w="100" w:type="dxa"/>
            <w:vAlign w:val="bottom"/>
          </w:tcPr>
          <w:p>
            <w:pPr>
              <w:spacing w:after="0"/>
              <w:rPr>
                <w:sz w:val="14"/>
                <w:szCs w:val="14"/>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53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Disease/Indication</w:t>
            </w:r>
          </w:p>
        </w:tc>
        <w:tc>
          <w:tcPr>
            <w:tcW w:w="420" w:type="dxa"/>
            <w:vAlign w:val="bottom"/>
          </w:tcPr>
          <w:p>
            <w:pPr>
              <w:spacing w:after="0"/>
              <w:rPr>
                <w:sz w:val="14"/>
                <w:szCs w:val="14"/>
                <w:color w:val="auto"/>
              </w:rPr>
            </w:pPr>
          </w:p>
        </w:tc>
        <w:tc>
          <w:tcPr>
            <w:tcW w:w="1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Candidate</w:t>
            </w:r>
          </w:p>
        </w:tc>
        <w:tc>
          <w:tcPr>
            <w:tcW w:w="5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70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Acute exacerbations of asthma</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$ 1,169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MN-166</w:t>
            </w:r>
          </w:p>
        </w:tc>
        <w:tc>
          <w:tcPr>
            <w:tcW w:w="5320" w:type="dxa"/>
            <w:vAlign w:val="bottom"/>
          </w:tcPr>
          <w:p>
            <w:pPr>
              <w:spacing w:after="0"/>
              <w:rPr>
                <w:sz w:val="20"/>
                <w:szCs w:val="20"/>
                <w:color w:val="auto"/>
              </w:rPr>
            </w:pPr>
            <w:r>
              <w:rPr>
                <w:rFonts w:ascii="Arial" w:cs="Arial" w:eastAsia="Arial" w:hAnsi="Arial"/>
                <w:sz w:val="18"/>
                <w:szCs w:val="18"/>
                <w:color w:val="auto"/>
              </w:rPr>
              <w:t>Multiple sclerosis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MN-001</w:t>
            </w:r>
          </w:p>
        </w:tc>
        <w:tc>
          <w:tcPr>
            <w:tcW w:w="5320" w:type="dxa"/>
            <w:vAlign w:val="bottom"/>
          </w:tcPr>
          <w:p>
            <w:pPr>
              <w:spacing w:after="0"/>
              <w:rPr>
                <w:sz w:val="20"/>
                <w:szCs w:val="20"/>
                <w:color w:val="auto"/>
              </w:rPr>
            </w:pPr>
            <w:r>
              <w:rPr>
                <w:rFonts w:ascii="Arial" w:cs="Arial" w:eastAsia="Arial" w:hAnsi="Arial"/>
                <w:sz w:val="18"/>
                <w:szCs w:val="18"/>
                <w:color w:val="auto"/>
              </w:rPr>
              <w:t>Interstitial cystitis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Solid tumors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MN-305</w:t>
            </w:r>
          </w:p>
        </w:tc>
        <w:tc>
          <w:tcPr>
            <w:tcW w:w="5320" w:type="dxa"/>
            <w:vAlign w:val="bottom"/>
          </w:tcPr>
          <w:p>
            <w:pPr>
              <w:spacing w:after="0"/>
              <w:rPr>
                <w:sz w:val="20"/>
                <w:szCs w:val="20"/>
                <w:color w:val="auto"/>
              </w:rPr>
            </w:pPr>
            <w:r>
              <w:rPr>
                <w:rFonts w:ascii="Arial" w:cs="Arial" w:eastAsia="Arial" w:hAnsi="Arial"/>
                <w:sz w:val="18"/>
                <w:szCs w:val="18"/>
                <w:color w:val="auto"/>
              </w:rPr>
              <w:t>Generalized Anxiety Disorder/insomnia</w:t>
            </w:r>
          </w:p>
        </w:tc>
        <w:tc>
          <w:tcPr>
            <w:tcW w:w="4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Preterm labor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MN-246</w:t>
            </w:r>
          </w:p>
        </w:tc>
        <w:tc>
          <w:tcPr>
            <w:tcW w:w="5320" w:type="dxa"/>
            <w:vAlign w:val="bottom"/>
          </w:tcPr>
          <w:p>
            <w:pPr>
              <w:spacing w:after="0"/>
              <w:rPr>
                <w:sz w:val="20"/>
                <w:szCs w:val="20"/>
                <w:color w:val="auto"/>
              </w:rPr>
            </w:pPr>
            <w:r>
              <w:rPr>
                <w:rFonts w:ascii="Arial" w:cs="Arial" w:eastAsia="Arial" w:hAnsi="Arial"/>
                <w:sz w:val="18"/>
                <w:szCs w:val="18"/>
                <w:color w:val="auto"/>
              </w:rPr>
              <w:t>Urinary incontinence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MN-462</w:t>
            </w:r>
          </w:p>
        </w:tc>
        <w:tc>
          <w:tcPr>
            <w:tcW w:w="5320" w:type="dxa"/>
            <w:vAlign w:val="bottom"/>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5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4"/>
            <w:vMerge w:val="restart"/>
          </w:tcPr>
          <w:p>
            <w:pPr>
              <w:spacing w:after="0"/>
              <w:rPr>
                <w:sz w:val="20"/>
                <w:szCs w:val="20"/>
                <w:color w:val="auto"/>
              </w:rPr>
            </w:pPr>
            <w:r>
              <w:rPr>
                <w:rFonts w:ascii="Arial" w:cs="Arial" w:eastAsia="Arial" w:hAnsi="Arial"/>
                <w:sz w:val="18"/>
                <w:szCs w:val="18"/>
                <w:color w:val="auto"/>
              </w:rPr>
              <w:t>Total research and development</w:t>
            </w: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4"/>
            <w:vMerge w:val="continue"/>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$ 3,501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$ 8,669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11,823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40,729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all activities related to the Phase II clinical trial of MN-166 for the treatment of MS, we are not planning to pursue any further significant clinical development of MN-166 until such time that we secure a strategic collaboration to advance MN-166 into Phase III clinical development. In addition, we will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Given the completion of the Phase II clinical trial for MN-166 for the treatment of MS in the second quarter of 2008, we anticipate that our research and development expenses will increase with respect to MN-221 in future periods as we continue development and launch clinical trials in support of potential commercialization of this product candidate and decrease with respect to MN-166 in future periods as we will limit expenditures 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product candidate to those development activities deemed necessary, if any, to maximize its value for purposes of securing a partner for Phase III clinical development. Beyond MN-221 and MN-166, we expect that research and development expenses will decrease or otherwise remain low for the remainder of our existing product candidates in future periods, as we will limit expenditures on these product candidates to those development activities deemed necessary, if any, to maintain our license rights or maximize their value for purposes of monetizing such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 on Marketable Securities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impairment charge consists of loss recognized on our marketable securities available-for-sale as a result of other-than-temporary declines in the fair value of such securities. Our marketable securities available-for-sale consist of auction rate securities, or ARS, and are classified as current assets or long-term assets. All of our ARS had AAA ratings at the time they were acquired. ARS are generally long-term debt instruments that historically have provided liquidity through a “Dutch” auction process that resets the applicable interest rate at predetermined calendar intervals, typically seven, 28, 35 or 49 days. At September 30, 2007, the ARS market was functioning properly, we had no failed auctions and the fair value of our ARS portfolio was equivalent to its original purchase price. Through December 31, 2007, only our ARS consisting of private placement securities had experienced failed auctions. However, in February 2008, all of our ARS began experiencing failed auctions. Due to continued negative conditions in the global credit markets, a significant portion of our ARS investments have continued to fail at auction with few to no trades in either the primary or the secondary markets. As such, with the required adoption of SFAS No. 157 as of January 1, 2008, we determined the fair value of our ARS portfolio primarily on Level 3 criteria as prescribed by the accounting standard, which resulted in our reliance on a discounted cash flow model with assumptions related to interest rates, maturities and liquidity discounts determined by us based on the credit quality of the security, the credit quality of the associated insurer, if applicable, and the credit market outlook. Prior to September 30, 2008, we deemed the reduction in the overall fair value of our ARS portfolio to be other-than-temporary and recorded the $3.3 million charge in our consolidated statements of operations due to the continued illiquidity of the ARS market, the uncertainty of when and if liquidity will return to the overall ARS market and the timing of when we may be required to liquidate our ARS for operating purposes. However, in August 2008, the brokerage firm through which we purchased the ARS investments classified as current marketable securities available-for-sale entered into a settlement with the SEC, New York Attorney General and other state agencies, pursuant to which the brokerage firm agreed to arrange for the orderly repurchase of the ARS investments it had marketed over a period of time, or ARS Rights Offer. We subsequently received the ARS Rights Offer from such firm in October 2008, pursuant to which the firm offered us the right to cause the brokerage firm to purchase the ARS investments purchased through such firm at par plus accrued but unpaid interest beginning June 30, 2010. The brokerage firm also offered to us a no net cost loan program, or ARS loan, whereby we will be able to borrow up to 75 percent of the fair value of our ARS investments purchased through such firm, based on their value determination, at an interest cost that would not exceed the interest being paid on the underlying ARS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foreign exchange loss is attributable to the weakness of the U.S. dollar against the euro.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income consists primarily of interest earned on our cash, cash equivalents and short-term investments.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2007 as filed with the SEC on March 17, 2008, with the exception of the three accounting standards discussed below which we adopted as of January 1, 2008.</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2007, the Financial Accounting Standards Board, or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 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February 2007, the FASB issued Statement of Financial Accounting Standards, or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allows an entity to voluntarily choose to measure certain financial assets and liabilities at fair value. SFAS No. 159 was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November 15, 2007. Effective January 1, 2008, we adopted SFAS No. 159, which resulted in no impact to our consolidated financial statements as we did not elect to measure any eligible financial assets or liabilities at fair value.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notes to our consolidated financial statements for information and related disclosures regarding our fair value measurements.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2008 and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September 30, 2008 or September 30,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Research and development expenses for the three months ended September 30, 2008 were $3.5 million, a decrease of $5.2 million when compared to $8.7 million for the three months ended September 30, 2007. The decrease in research and development expenses primarily resulted from our business decision to focus on the development of our two prioritized assets, MN-221 for the treatment of acute exacerbations of asthma and MN-166 for the treatment of MS. This decrease in research and development expenses primarily included a decrease of $3.4 million due to the completion of the two-year Phase II clinical trial for MN-166 for the treatment of MS, a decrease of $1.3 million related to the termination of a Phase III clinical trial for MN-001 for the treatment of bronchial asthma, a decrease of $1.2 million related to the ceased clinical development of MN-305 for the treatment of Generalized Anxiety Disorder/insomnia and a decrease of $0.9 million primarily related to the ceased clinical development of MN-029 for the treatment of solid tumors, offset by an increase of $1.6 million in program development costs primarily related to the conduct of Phase II clinical trials for MN-221 for the treatment of acute exacerbations of asthma.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September 30, 2008, a decrease of $0.5 million when compared to $2.7 million for the three months ended September 30, 2007. The decrease was primarily due to a $0.2 million decrease in stock-based compensation and a $0.3 million decrease in corporate expenses related to fees paid to third-party consultants.</w:t>
      </w:r>
    </w:p>
    <w:p>
      <w:pPr>
        <w:spacing w:after="0" w:line="140"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 other than MN-221.</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 on Marketable Securities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the three months ended September 30, 2008, we did not record an additional other-than-temporary write-down of the carrying value of our ARS. We determined that the carrying value of our ARS classified as current marketable securities available-for-sale approximated fair value at September 30, 2008 based upon an analysis of these ARS on a security-by-security basis, the ARS Rights Offer and the continued intervention and monitoring of various government agencies of the credit markets. In addition, at September 30, 2008, given the existence of ARS Rights Offer associated with our ARS classified as current marketable securities available-for-sale and the fact that we had already other-than-temporarily written down the carrying value of these ARS, we determined that it was appropriate to classify these securities as current assets. However, our ARS not associated with the ARS Rights Offer were determined to be long-term in nature and therefore classified as other long-term assets. For the three months ended September 30, 2008, we determined that our ARS classified as other long-term assets had experienced a temporary decline in market value of $0.5 million, which we recorded in accumulated other comprehensive loss in the consolidated balance sheets based upon an analysis of these ARS on a security-by-security basis and our assumptions on when liquidity would return for these securities. At September 30, 2008, the fair value of our ARS classified as current marketable securities available-for-sale, which consisted primarily of government-guaranteed student loan securities, was $24.4 million, and the fair value of our ARS classified as other long-term assets, which consisted of private placement securities, a municipal bond and student loan securities, was $2.9 million.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Phase II clinical trial for MN-166 for the treatment of MS was conducted in Eastern Europe. At the time we entered into the euro-denominated contract with the contract research organization, or CRO, selected to manage this clinical trial on our behalf, the U.S. dollar to euro conversion rate had remained fairly constant; therefore, we did not enter into a hedging program to mitigate our foreign exchange exposure. At September 30, 2007, the conversion rate was approximately 1.30 U.S. dollars for each euro, which approximated the conversion rate at the time we entered into the contract. With the overall downturn in the U.S. financial markets in the first half of 2008, the conversion rate was approximately 1.60 U.S. dollars during the six months ended June 30, 2008. However, at September 30, 2008, the conversion rate was approximately $1.44 U.S. dollars for each euro, and we determined that the accrued liability related to this clinical research contract was overstated, including the associated foreign exchange loss previously recorded during the six months ended June 30, 2008. Therefore, at September 30, 2008, we trued-up the foreign exchange loss associated with this contract, which resulted in a reversal of $0.5 million of foreign exchange loss.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$0.4 million for the three months ended September 30, 2008, a decrease of $0.7 million when compared to $1.1 million for the three months ended September 30, 2007. The decrease was primarily due to a decrease of our investment balances, and a decrease in interest rates on certain of our ARS due to lower interest rate resets on these securities as a result of continued failed auctions.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2008 and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nine months ended September 30, 2008 or September 30,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for the nine months ended September 30, 2008 were $11.8 million, a decrease of $28.9 million when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$40.7 million for the nine months ended September 30, 2007. The decrease in research and development expenses primarily resulted from our business decision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focus on the development of our two prioritized assets, MN-221 for the treatment of acute exacerbations of asthma and MN-166 for the treatment of MS.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research and development expenditures primarily included a decrease of $16.2 million related to the termination of a Phase III clinical trial for MN-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for the treatment of bronchial asthma, a decrease of $5.2 million related to the ceased clinical development of MN-305 for the treatment of Generalized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Anxiety Disorder/insomnia, a decrease of $4.0 million due to the completion of the two year Phase II clinical trial for MN-166 for the treatment of MS,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of $5.8 million related primarily to MN-029 for the treatment of solid tumors, MN-221 for the treatment of preterm labor and MN-246 for the treatment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urinary incontinence, offset primarily by a net increase of $2.3 million related to the conduct of Phase II clinical trials for MN-221 for the treatment of acute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exacerbations of asthma.</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were $7.0 million for the nine months ended September 30, 2008, a decrease of $1.7 million when compared to $8.7 million for the nine months ended September 30, 2007. The decrease was primarily due to a $1.0 million decrease in stock-based compensation and a $0.7 million decrease related to reduced administrative headcount and fees paid to third-party consultants.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 on Marketable Securities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nine months ended September 30, 2008, we recorded a $3.3 million write-down of the carrying value of our ARS based upon an analysis of the fair value of our entire ARS portfolio conducted on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security-by-security basis, the outlook of the ARS market and the timing on when we may be required to liquidate our ARS for operating purposes. The $3.3 million decline in the market value of our entire ARS portfolio was previously booked in the first six months of 2008, and we took the charge into operations as we considered the decline to be other-than-temporary. During the three months ended September 30, 2008, many brokerage firms announced plans or entered into settlements with the SEC, state attorneys general and other state agencies to buy-back ARS at par, including the ARS Rights Offer made to us by the brokerage firm through which we purchased a majority of our ARS investments. As such, based on our discounted cash flow model valuations, the existence of the ARS Rights Offer and the continued intervention and monitoring of various government agencies of the credit markets, we determined that there was no further decline in the market value of our ARS classified as current marketable securities available-for-sale. For our ARS classified as long-term assets, we determined that there was a further decline of $0.5 million in the market value of these securities based on our discounted cash flow valuations and our underlying assumptions as to when liquidity would return for these securities. We considered the decline in market value associated with these long-term assets to be temporary; therefore, we ran the reduction in carrying value through accumulated other comprehensive loss in our consolidated balance sheets.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September 30, 2007, the conversion rate was approximately 1.30 U.S. dollars for each euro, which approximated the conversion rate at the time we entered into the contract with the CRO managing our Phase II clinical trial for MN-166 for the treatment of MS. With the overall downturn in the U.S. financial markets, the conversion rate was approximately 1.60 U.S. dollars for each euro through the six months ended June 30, 2008. However, at September 30, 2008, the conversion rate was approximately $1.44 U.S. dollars for each euro, and we determined that the accrued liability related to this clinical research contract was overstated, including the associated foreign exchange loss previously recorded during the six months ended June 30, 2008. As a result, at September 30, 2008, we trued-up the foreign exchange loss associated with this contract, which resulted in a $0.1 million foreign exchange loss related to the revaluation of our euro-denominated liabilities for the nine months ended September 30,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primarily consisted of income earned on our cash and investment balances and totaled $1.7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2008, a decrease of $1.8 million when compared to $3.5 million for the nine months ended September 30, 2007. The decrease was primarily due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decrease in our investment balances, partially offset by an overall year-to-date net increase in interest rates on certain of our ARS due to interest rate resets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securities as a result of continued failed auctions.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Since our inception, we have financed our operations through the private placement of our equity securities, the public sale of our common stock and the exercise of founders’ warrants, net of treasury stock repurchases. Through September 30, 2008, we received estimated net proceeds of $201.3 million from the sale of equity securities and warrant and stock option exercises as follows:</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1,000,000 shares of Series A preferred stock for aggregate net proceeds of $10.0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2, 2004, we issued and sold 27,677,856 shares of Series C preferred stock for aggregate net proceeds of $43.4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900" w:right="180" w:hanging="446"/>
        <w:spacing w:after="0" w:line="35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September 30, 2008, we had approximately $47.5 million in cash, cash equivalents and current marketable securities available-for-sale, as compared to $70.6 million at December 31, 2007. Our current marketable securities available-for-sale, which totaled approximately $24.4 million at September 30, 2008, are ARS which principally consist of interests in government-guaranteed student loans. None of the underlying collateral for our ARS consisted of subprime mortgages or collateralized debt obligations. Through the nine months ended September 30, 2008, we other-than-temporarily lowered the carrying value of our entire ARS portfolio by $3.3 million to reflect the reduced market value of our ARS due to continued failed auctions for such securities. We took a $3.3 million impairment charge, which we recorded as a realized loss in our consolidated statements of operations, because management determined that the decline in the market value of the ARS was other-than-temporary given the continued illiquidity of the ARS market and the uncertainty of when or if liquidity will return to the ARS market. In addition, through the nine months ended September 30, 2008, we temporarily lowered the market value of our ARS classified as other long-term assets by $0.5 million given our discounted cash flow valuations and assumptions as to when liquidity would return for these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August 2008, the brokerage firm through which we purchased the majority of our ARS investments entered into a settlement with the SEC, New York Attorney General and other state agencies, pursuant to which the firm agreed to arrange for the repurchase of the ARS investments it had marketed and sold over a certain period of time, or ARS Rights Offer. This brokerage firm subsequently presented the ARS Rights Offer to us in October 2008, by which it offered us the right to cause the brokerage firm to purchase the ARS investments purchased through that firm at par plus accrued but unpaid interest beginning June 30, 2010. The brokerage firm also offered to us a no net cost loan program, or ARS loan, whereby we will be able to borrow up to 75 percent of the fair value of our ARS investments purchased through such firm, based on their valuation, at an interest cost that would not exceed the interest being paid on the underlying ARS investments. On November 5, 2008, we accepted the ARS Rights Offer, and we intend to participate in the ARS loan. Although the ARS loan will be callable at any time by the brokerage firm, the firm has agreed to arrange for alternative financing on the same terms in the event it calls the loan absent our default. There can be no assurance, however, that the ARS loan will ultimately be funded or that the brokerage firm will be able to arrange alternative financing on satisfactory terms, or at all, in the event that it wishes to call our ARS loan if and when such loan is funded.</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continue to closely monitor our ARS investments, as the liquidity of such marketable securities available-for-sale could impact our ability to fund our operations if we are unable to liquidate such securities or otherwise obtain capital to fund our operations. In the event that the credit crisis continues to worsen and the ARS market remains illiquid, we may not be able to recover the full value of our ARS investments should we determine it is necessary to liquidate any such securities. Further, in such event we may not be able to borrow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maximum available amount under the ARS loan or, if we have borrowed the maximum available amount, maintain such loan outstanding.</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cash used in operating activities decreased to $17.3 million for the nine months ended September 30, 2008 from $38.7 million for the nine months ended September 30, 2007. The decrease was primarily due to a reduction in spending on research and development on certain of our product development programs, as we focused our resources on the development of our prioritized product candidates, MN-221 and MN-166. Net cash provided by investing activities for the nine months ended September 30, 2008 was $21.6 million and primarily consisted of the sale of certain of our ARS. Net cash provided by financing activities was less than $0.1 million for the nine months ended September 30, 2008 and primarily consisted of cash receipts from the purchase of common stock under our employee stock purchase program.</w:t>
      </w:r>
    </w:p>
    <w:p>
      <w:pPr>
        <w:spacing w:after="0" w:line="14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we believe that our existing cash, cash equivalents and marketable securities as of September 30, 2008 will be sufficient to fund our anticipated operating requirements, at a minimum, through September 30, 2009. We may require significant additional financing in the future to fund our operations.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future uses and capital requirements will depend on, and could increase significantly as a result of, many factors, including but not limited to the following:</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of our marketable securities are classified as available-for-sale and reported on the balance sheet at fair value as current assets or long-term assets. Our marketable securities consist of ARS, all of which had AAA ratings at the time of purchase. At September 30, 2008, we held $24.4 million of ARS classified as current marketable securities available-for-sale, consisting primarily of government-guaranteed student loan securities, and $2.9 million of ARS classified as other long-term assets, consisting primarily of private placement securities. Our ARS are debt instruments with long-term maturities in which the interest rates are reset in short intervals through “Dutch” auctions by matching buyers and sellers. The recent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In general, when auctions for these securities fail, the investments may not be readily convertible to cash until a future auction of these investments is successful or the securities are redeemed or mature.</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the credit ratings of the security issuers deteriorate and any decline in market value is determined to be other-than-temporary, we are required to adjust the carrying value of the investment through an impairment charge. With the continued uncertainty as to when liquidity will return to the overall ARS market, the downgrade of the credit quality of certain of our ARS insurers and the fact that auctions of our ARS have continued to fail, we considered the decline in fair value of such marketable securities as other-than-temporary during the first six months of 2008. For the nine months ended September 30, 2008, we recorded a $3.3 million impairment charge related to our entire ARS portfolio in our consolidated statements of operations. During the three months ended September 30, 2008, we determined that the ARS classified as long-term assets had temporarily declined in fair value by $0.5 million, and we recorded the decline in market value in accumulated other comprehensive loss in the consolidated balance sheets. At September 30, 2008, the carrying value of our ARS classified as current marketable securities available-for-sale was $24.4 million, and the carrying value of our ARS classified as long-term assets was $2.9 million.</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Through September 30, 2008, we successfully liquidated $16.7 million of ARS at par value, which we reinvested in cash equivalents. As a result, we believe that we have sufficient capital to fund operations at least through the third quarter of 2009. In addition, in August 2008, the brokerage firm through which we purchased the majority of our ARS investments entered into a settlement with the SEC, New York Attorney General and other state agencies. Under the settlement, that brokerage firm agreed to arrange for the orderly repurchase of the ARS investments it had marketed over a period of time, or the ARS Rights Offer. This brokerage firm subsequently made the ARS Rights Offer to us in October 2008, by which it offered us the right to cause the brokerage firm to purchase the ARS investments purchased through that firm at par plus accrued but unpaid interest beginning June 30, 2010. The brokerage firm also offered to us a no net cost loan program, or ARS loan, whereby we will be able to borrow up to 75 percent of the fair value of our ARS investments purchased through such firm, based on their valuation, at an interest cost that would not exceed the interest being paid on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underlying ARS investments. On November 5, 2008, we accepted the ARS Rights Offer, and we intend to participate in the ARS loan. Although the ARS loan will be callable at any time by the brokerage firm, that firm has agreed to arrange for alternative financing on the same terms in the event it calls the loan absent our default. There can be no assurance, however, that the ARS loan will ultimately be funded or that the brokerage firm will be able to arrange alternative financing on satisfactory terms, or at all, in the event that it wishes to call our ARS loan if and when such loan is funded.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continue to closely monitor the market and evaluate our ARS portfolio on an ongoing basis, and we will adjust the carrying value of the investments through an impairment charge recorded as realized loss in our consolidated statements of operations should any further decline in market value be considered other-than- temporary. Any liquidity issues in the credit markets that extend into 2009 or beyond could adversely affect our business in the event that we are unable to borrow the maximum available amount under the ARS loan, successfully consummate the repurchase by the brokerage firm of our ARS subject to the ARS Rights Offer or otherwise obtain capital to fund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Rate Fluctuations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were exposed to foreign currency exchange rate risk with respect to the Phase II clinical trial for MN-166 for the treatment of MS, which we recently completed in Eastern Europe. We currently do not hedge our currency exchange rate risk; therefore, we are exposed to the fluctuations in the value of the U.S. dollar against the euro. The effects of changes in exchange rates between the U.S. dollar and euro denominated transactions are recorded as foreign currency transaction gain (loss) as a separate component of net loss. At September 30, 2008, a hypothetical 100 basis point change in the exchange rate would not have a material impact on our consolidated financial statements.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effect on our business, financial condition or operating results.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Securities and Exchange Commission, or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the near-term, the success of our business will depend on many factors, including the following risks:</w:t>
      </w:r>
    </w:p>
    <w:p>
      <w:pPr>
        <w:spacing w:after="0" w:line="90" w:lineRule="exact"/>
        <w:rPr>
          <w:sz w:val="20"/>
          <w:szCs w:val="20"/>
          <w:color w:val="auto"/>
        </w:rPr>
      </w:pPr>
    </w:p>
    <w:p>
      <w:pPr>
        <w:ind w:left="900" w:right="100" w:hanging="446"/>
        <w:spacing w:after="0" w:line="298" w:lineRule="auto"/>
        <w:tabs>
          <w:tab w:leader="none" w:pos="90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we are largely dependent on the success of our two prioritized product candidates, MN-221 for the treatment of acute exacerbations of asthma and MN-166 for the treatment of MS, and we cannot be certain that our ongoing and planned clinical development programs will demonstrate to the satisfaction of the U.S. Food and Drug Administration, or FDA, or similar foreign regulatory authorities that these product candidates are safe and effective or that either product candidate will receive regulatory approval or be successfully commercialized;</w:t>
      </w:r>
    </w:p>
    <w:p>
      <w:pPr>
        <w:spacing w:after="0" w:line="31" w:lineRule="exact"/>
        <w:rPr>
          <w:rFonts w:ascii="Arial" w:cs="Arial" w:eastAsia="Arial" w:hAnsi="Arial"/>
          <w:sz w:val="16"/>
          <w:szCs w:val="16"/>
          <w:i w:val="1"/>
          <w:iCs w:val="1"/>
          <w:color w:val="auto"/>
        </w:rPr>
      </w:pPr>
    </w:p>
    <w:p>
      <w:pPr>
        <w:ind w:left="900" w:right="100" w:hanging="446"/>
        <w:spacing w:after="0" w:line="259"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delays in the commencement, enrollment or completion of clinical testing for either of our prioritized product candidates, or significant issues regarding the adequacy of our clinical trial designs or the execution or success of our clinical trials, could result in increased costs to us and delay, limit or prevent our ability to complete clinical testing and obtain regulatory approval;</w:t>
      </w:r>
    </w:p>
    <w:p>
      <w:pPr>
        <w:spacing w:after="0" w:line="59" w:lineRule="exact"/>
        <w:rPr>
          <w:rFonts w:ascii="Arial" w:cs="Arial" w:eastAsia="Arial" w:hAnsi="Arial"/>
          <w:sz w:val="18"/>
          <w:szCs w:val="18"/>
          <w:i w:val="1"/>
          <w:iCs w:val="1"/>
          <w:color w:val="auto"/>
        </w:rPr>
      </w:pPr>
    </w:p>
    <w:p>
      <w:pPr>
        <w:ind w:left="900" w:hanging="446"/>
        <w:spacing w:after="0" w:line="268"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final analyses of data from our clinical trials may vary from our initial analyses, and the FDA or other regulatory authorities may not agree with our interpretation of these results;</w:t>
      </w:r>
    </w:p>
    <w:p>
      <w:pPr>
        <w:spacing w:after="0" w:line="50" w:lineRule="exact"/>
        <w:rPr>
          <w:rFonts w:ascii="Arial" w:cs="Arial" w:eastAsia="Arial" w:hAnsi="Arial"/>
          <w:sz w:val="18"/>
          <w:szCs w:val="18"/>
          <w:i w:val="1"/>
          <w:iCs w:val="1"/>
          <w:color w:val="auto"/>
        </w:rPr>
      </w:pPr>
    </w:p>
    <w:p>
      <w:pPr>
        <w:ind w:left="900" w:right="80" w:hanging="446"/>
        <w:spacing w:after="0" w:line="259"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ongoing or planned clinical trials for our prioritized product candidates may produce negative or inconclusive results, or may be inconsistent with previous clinical trial results, and we may decide, or the FDA or other regulatory authorities may require us, to conduct additional clinical trials or to modify our ongoing clinical trials;</w:t>
      </w:r>
    </w:p>
    <w:p>
      <w:pPr>
        <w:spacing w:after="0" w:line="59" w:lineRule="exact"/>
        <w:rPr>
          <w:rFonts w:ascii="Arial" w:cs="Arial" w:eastAsia="Arial" w:hAnsi="Arial"/>
          <w:sz w:val="18"/>
          <w:szCs w:val="18"/>
          <w:i w:val="1"/>
          <w:iCs w:val="1"/>
          <w:color w:val="auto"/>
        </w:rPr>
      </w:pPr>
    </w:p>
    <w:p>
      <w:pPr>
        <w:ind w:left="900" w:right="240" w:hanging="446"/>
        <w:spacing w:after="0" w:line="268"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unexpected adverse effects or inadequate therapeutic efficacy of our prioritized product candidates could delay or prevent regulatory approval or commercialization or result in product liability claims;</w:t>
      </w:r>
    </w:p>
    <w:p>
      <w:pPr>
        <w:spacing w:after="0" w:line="50" w:lineRule="exact"/>
        <w:rPr>
          <w:rFonts w:ascii="Arial" w:cs="Arial" w:eastAsia="Arial" w:hAnsi="Arial"/>
          <w:sz w:val="18"/>
          <w:szCs w:val="18"/>
          <w:i w:val="1"/>
          <w:iCs w:val="1"/>
          <w:color w:val="auto"/>
        </w:rPr>
      </w:pPr>
    </w:p>
    <w:p>
      <w:pPr>
        <w:jc w:val="both"/>
        <w:ind w:left="900" w:right="200" w:hanging="446"/>
        <w:spacing w:after="0" w:line="259"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delays or quality issues with respect to the completion of required pre-commercialization manufacturing development activities for our prioritized product candidates could result in increased costs to us, cause us to be required to perform additional non-clinical or clinical studies and delay or limit our clinical trials and our ability to obtain regulatory approval;</w:t>
      </w:r>
    </w:p>
    <w:p>
      <w:pPr>
        <w:spacing w:after="0" w:line="180" w:lineRule="exact"/>
        <w:rPr>
          <w:rFonts w:ascii="Arial" w:cs="Arial" w:eastAsia="Arial" w:hAnsi="Arial"/>
          <w:sz w:val="18"/>
          <w:szCs w:val="18"/>
          <w:i w:val="1"/>
          <w:iCs w:val="1"/>
          <w:color w:val="auto"/>
        </w:rPr>
      </w:pPr>
    </w:p>
    <w:p>
      <w:pPr>
        <w:ind w:left="900" w:right="100" w:hanging="446"/>
        <w:spacing w:after="0" w:line="268"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may not be able to maintain patent protection for our product candidates and to commercialize our products without infringing the patent rights of others;</w:t>
      </w:r>
    </w:p>
    <w:p>
      <w:pPr>
        <w:spacing w:after="0" w:line="50" w:lineRule="exact"/>
        <w:rPr>
          <w:rFonts w:ascii="Arial" w:cs="Arial" w:eastAsia="Arial" w:hAnsi="Arial"/>
          <w:sz w:val="18"/>
          <w:szCs w:val="18"/>
          <w:i w:val="1"/>
          <w:iCs w:val="1"/>
          <w:color w:val="auto"/>
        </w:rPr>
      </w:pPr>
    </w:p>
    <w:p>
      <w:pPr>
        <w:ind w:left="900" w:right="400" w:hanging="446"/>
        <w:spacing w:after="0" w:line="268"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even if our product candidates are approved by regulatory authorities, the market potential may be less than anticipated, and we expect intense competition for our targeted indications;</w:t>
      </w:r>
    </w:p>
    <w:p>
      <w:pPr>
        <w:spacing w:after="0" w:line="172" w:lineRule="exact"/>
        <w:rPr>
          <w:rFonts w:ascii="Arial" w:cs="Arial" w:eastAsia="Arial" w:hAnsi="Arial"/>
          <w:sz w:val="18"/>
          <w:szCs w:val="18"/>
          <w:i w:val="1"/>
          <w:iCs w:val="1"/>
          <w:color w:val="auto"/>
        </w:rPr>
      </w:pPr>
    </w:p>
    <w:p>
      <w:pPr>
        <w:ind w:left="900" w:right="200" w:hanging="446"/>
        <w:spacing w:after="0" w:line="268" w:lineRule="auto"/>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will require substantial additional funding and may be unable to raise capital when needed, which would force us to delay, reduce or eliminate our development programs and commercialization effort;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268" w:lineRule="auto"/>
        <w:tabs>
          <w:tab w:leader="none" w:pos="9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recent turmoil in the financial markets has adversely affected the liquidity of our investments in auction rate securities, or ARS, and may have an adverse effect upon our ability to raise capital to fund our operations.</w:t>
      </w:r>
    </w:p>
    <w:p>
      <w:pPr>
        <w:spacing w:after="0" w:line="13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i w:val="1"/>
          <w:iCs w:val="1"/>
          <w:color w:val="auto"/>
        </w:rPr>
        <w:t>Each of these factors, as well as other factors that may impact our business, are described in more detail in the following discussion. Although the factors highlighted above are among the most significant, any of the following factors could materially adversely affect our business or cause our actual results to differ materially from those contained in forward-looking statements we have made in this Quarterly Report on Form 10-Q and those we may make from time to time, and you should consider all of the factors described when evaluating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are a development-stage biopharmaceutical company with a limited operating history. We have incurred significant net losses since our inception. For the three and nine months ended September 30, 2008, we had a net loss of $4.8 million and $20.5 million, respectively. At September 30, 2008, our accumulated deficit was approximately $225.6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any other development activities that we may initiate. In addition, we anticipate that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20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if at all, any revenues from the commercialization of our product candidates. To date, we have not generated any revenues from product sales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0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currently have no products for sale, and we cannot guarantee that we will ever have any drug products approved for sale. The research, testing, manufacturing, labeling, approval, selling, marketing and distribution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drug products are subject to extensive regulation by the FDA and comparable regulatory authorities in other countries with regulations differing from country to country. We are not permitted to market any of our product candidates in the United States until we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MN-166 for the treatment of MS, and the success of our business currently depends on their successful development and commercialization. Both of these product candidates are in clinical development; therefore, we have not submitted an NDA or foreign equivalent or received marketing approval for either of these two prioritized product candidates. In addition, we are not currently planning to pursue any further significant clinical development of MN-166 for the treatment of MS following completion of the Phase II clinical trial until such time that we are able to secure a strategic collaboration to advance MN-166 into Phase III development, which may delay or impede the process of completing clinical trials and seeking regulatory approval for this product candidate.</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Any failure or delay in completing clinical trials or obtaining regulatory approval for either MN-221 or MN-166 in a timely manner would have a material and adverse impact on our business and our stock price.</w:t>
      </w:r>
    </w:p>
    <w:p>
      <w:pPr>
        <w:spacing w:after="0" w:line="19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and are active for seven of our product candidates. We also obtained five Clinical Trial Authorizations, or CTAs, which are the equivalent of a U.S. IND, to conduct the completed Phase II clinical trial for MN-166 in patients with MS in five countries in Eastern Europe and obtained two CTAs in Canada to conduct the two completed Phase I clinical trials for MN-246 in healthy subjects.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IIa clinical trial of MN-305 for the treatment of insomnia failed to achieve statistical significance in its primary endpoint; as a result, we are no longer pursuing the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do not successfully complete clinical development of our product candidates,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97"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Delays in the commencement or completion of clinical trials, or significant issues regarding the adequacy of our clinical trial designs or the execution of our clinical trials, could result in increased costs to us and delay or limit our ability to obtain regulatory approval for our product candidates.</w:t>
      </w:r>
    </w:p>
    <w:p>
      <w:pPr>
        <w:ind w:right="160" w:firstLine="456"/>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or amend a clinical trial at a prospective site.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8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Amendments may require us to resubmit our clinical trial protocols to institutional review boards for reexamination, which may delay or otherwise impact the costs, timing or successful completion of a clinical trial.</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In addition, many of the factors that cause or lead to delays in the commencement or completion of clinical trials may also ultimately lead to the denial of regulatory approval for a product candidate.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MN-221 for acute exacerbations of asthma and preterm labor licensed from Kissei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MN-166 for MS licensed from Kyorin Pharmaceutical Co.,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 Co., Ltd.;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MN-305 for General Anxiety Disorder/insomnia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Tanabe Pharma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consumed substantial amounts of capital since our inception. From our inception to September 30, 2008, we had an accumulated deficit of $225.6 million. Our cash and marketable securities totaled approximately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$47.5 million at September 30, 2008. We intend to manage our product development programs such that our existing cash, cash equivalents and marketable securities as of September 30, 2008 will be sufficient to meet our operating requirements through at least September 30, 2009. We have based this estimate on assumptions that may prove to be wrong, and we could spend our available financial resources faster than we currently expect. Our future capital requirements will depend on, and could increase significantly as a result of, many factors including:</w:t>
      </w:r>
    </w:p>
    <w:p>
      <w:pPr>
        <w:spacing w:after="0" w:line="3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To the extent that we raise additional capital by issuing equity securities, our existing stockholders’ ownership will be diluted. If we raise additional funds by incurring debt financing, the terms of the debt may involve significant cash payment obligations, as well as covenants and specific financial terms that may restrict our ability to operate our business.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hold marketable securities available-for-sale consisting of auction rate securities, or ARS, which we classify as current assets or long-term assets. All of our ARS had AAA ratings at the time they were acquired. ARS are generally long-term debt instruments that historically have provided liquidity through a “Dutch” auction process that resets the applicable interest rate at predetermined calendar intervals, typically seven, 28, 35 or 49 days. At September 30, 2007, the ARS market was functioning properly and no failed auctions had occurred. The negative conditions in the global credit markets, however, have caused us to experience failed ARS auctions. At December 31, 2007, only our ARS consisting of private placement securities had experienced failed auctions; however, beginning in February 2008, all of our ARS began experiencing failed auctions. As a result, we have been prevented from liquidating certain of our ARS investments. At September 30, 2008, we held $24.4 million of ARS, consisting primarily of government-guaranteed student loans, which are classified as current marketable securities available-for-sale; and we held $2.9 million of ARS, consisting of private placement securities, a municipal bond and student loan securities, which are classified as other long-term assets. Through September 30, 2008, we successfully liquidated $16.7 million of ARS at par value, which we reinvested in cash equivalents. During the first six months of 2008, with the continued uncertainty as to when or if liquidity will return to the overall ARS market, the downgrade of the credit quality of certain of our ARS insurers and the continued failure of auctions for our ARS, we considered the decline in fair value as other-than-temporary. As a result, for the nine months ended September 30, 2008, we recorded a $3.3 million impairment charge related to our ARS in our consolidated statements of operations. In addition, during the nine months ended September 30, 2008, we recorded in accumulated other comprehensive loss in our consolidated balance sheets a $0.5 million temporary decline in the market value of our ARS classified as other long-term assets.</w:t>
      </w:r>
    </w:p>
    <w:p>
      <w:pPr>
        <w:spacing w:after="0" w:line="12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August 2008, the brokerage firm through which we purchased the majority of our ARS investments entered into a settlement with the SEC, New York Attorney General and other state agencies. Under the settlement, that brokerage firm agreed to arrange for the orderly repurchase of the ARS investments it had marketed over a certain time period, or ARS Rights Offer. This brokerage firm subsequently made an ARS Rights Offer to us in October 2008, by which it offered us the right to cause the brokerage firm to purchase the ARS investments purchased through that brokerage firm at par plus accrued but unpaid interest beginning June 30, 2010. The brokerage firm also has offered to us a no net cost loan program, or ARS loan, whereby we will be able to borrow up to 75 percent of the fair value of our ARS investments purchased through such brokerage firm at an interest cost that would not exceed the interest being paid on the underlying ARS investments. Although the ARS loan will be callable at any time by the brokerage firm, that brokerage firm has agreed to arrange for alternative financing on the same terms in the event it calls the loan absent our default. There can be no assurance, however, that the brokerage firm will be able to arrange alternative financing on satisfactory terms, or at all, in the event that it wishes to call our loan if and when such loan is funded.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continue to closely monitor our ARS investments and evaluate the need to further adjust the carrying value of our investments on an ongoing basis. In the event that the credit crisis continues to worsen and the ARS market remains illiquid, we may not be able to recover the full value of our ARS investments should we determine it is necessary to liquidate any such securities or in the event that the brokerage firm offering the ARS Rights Offer to us fails to consummate the offer and repurchase our ARS subject to such offer at par value. Further, we may not be able to borrow the maximum available amount under the ARS loan or, if we have borrowed the maximum available amount, maintain such loan outstanding. Any liquidity issues in the credit markets that extend into 2009 and beyond could adversely affect our business in the event that we are unable to obtain and maintain the capital necessary to fund our operations.</w:t>
      </w:r>
    </w:p>
    <w:p>
      <w:pPr>
        <w:spacing w:after="0" w:line="20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we are not planning to undertake any further significant clinical development activities, other than those activities deemed necessary to maximize each product candidate’s value, for any of our product candidates other than MN-221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treatment of acute exacerbations of asthma,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addressing drug safety issues, the FDA Amendments Act of 2007. This new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 might differ from that required to obtain FDA approval. The regulatory approval process in other countries may include all of the risks detailed above regarding FDA approval in the United States. Approval by the FDA does not automatically lead to the approval of regulatory authorities outside of the United States, and approval by regulatory authorities outside of the United States does not automatically lead to FDA approval. In addition, regulatory approval in one country does not ensure regulatory approval in another, but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or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rely on CROs, medical institutions, clinical investigators, contract laboratories and other service providers to conduct our clinical trials, which includes the collection, monitoring, analysis and reporting of clinical data. Although we design and manage our current clinical trials to ensure that each clinical trial is conducted in accordance with its investigational plan and protocol, we do not have the ability to conduct all aspects of our clinical trials directly for our product candidates. In the course of clinical development, we have contracted and will continue to contract with a number of these organizations, including: Accelsiors CRO and Consultancy Services of Budapest, Hungary; PRA International of Raleigh, North Carolina; Fulcrum Pharma Developments, Inc. of Durham, North Carolina; Paragon Biomedical, Inc. of Irvine, California; Quintiles, Inc. of Morrisville, North Carolina; PharmaNet, Inc. of Princeton, New Jersey; and Synteract, Inc. of Carlsbad, California.</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for commercial sale.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for preclinical and clinical studies, and we do not have any long-term commitments from our suppliers of clinical trial materials or guaranteed prices for our product candidates.</w:t>
      </w:r>
    </w:p>
    <w:p>
      <w:pPr>
        <w:spacing w:after="0" w:line="145"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do not yet have agreements established regarding commercial supply of any of our product candidates and may not be able to establish or maintain commercial manufacturing arrangements on commercially reasonable terms for any of our product candidates. In particular, pursuant to our license agreement with Kissei Pharmaceutical Co., Ltd., Kissei Pharmaceutical has the exclusive right to manufacture the commercial supply of the active pharmaceutical ingredient, or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Any problems or delays we experience in preparing for commercial-scale manufacturing of a product candidate may result in a delay in FDA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If any of these risks occur, our product supply will be interrupted and may result in lost or delayed revenues and delayed clinical trials or receipt of regulatory approval.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impacted.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commercial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clinical trials, obtaining regulatory approval of product candidates or the ultimate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compounds for our clinical trials, and we will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Even if U.S. regulatory approval is obtained, the FDA may still impose significant restrictions on a product’s indicated uses or marketing or impose ongoing requirements for potentially costly post-approval studies.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6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jc w:val="both"/>
        <w:ind w:right="120" w:firstLine="456"/>
        <w:spacing w:after="0" w:line="357" w:lineRule="auto"/>
        <w:rPr>
          <w:sz w:val="20"/>
          <w:szCs w:val="20"/>
          <w:color w:val="auto"/>
        </w:rPr>
      </w:pPr>
      <w:r>
        <w:rPr>
          <w:rFonts w:ascii="Arial" w:cs="Arial" w:eastAsia="Arial" w:hAnsi="Arial"/>
          <w:sz w:val="15"/>
          <w:szCs w:val="15"/>
          <w:color w:val="auto"/>
        </w:rPr>
        <w:t>Even 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cheaper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2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If we are unable to establish our sales and marketing capability or any other capabilities necessary to commercialize any approved product,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any proposed sales, marketing and education programs.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2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 required to pay up to three times the actual damages sustained by the government, plus civil penalties for each separate false claim. Various states have also enacted laws modeled after the federal False Claims Act.</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development and commercialization of drug products entails significant product liability risks.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November 5, 2008, we had 27 employees, of whom 25 were full-time employees, one was a part-time employee and one was an intern.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92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make some activities more time- consuming and costly. For example,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For example, the loss of clinical trial data from completed or ongoing clinical trials for MN-221 or MN-166, or our other product candidates,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For some of our product candidates, patent protection is no longer available for the API in such product candidates without regard to specific formulation or method of use. As a result, competitors that obtain the requisite regulatory approval will be able to offer products with the same API as found in some of our products so long as the competitors do not infringe any method of use, method of manufacture or formulation patents that we hold or have exclusive rights to through our licensors. For example, we currently do not have any unqualified composition of matter claims for MN-166. We are aware that Avigen, Inc. is conducting preclinical studies and clinical trials for a product that contains the same API contained in MN-166 to treat neuropathic pain.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outside the United States may be less willing to protect trade secrets or know-how. The failure to obtain or maintain trade secret protection could adversely affect our competitive position.</w:t>
      </w:r>
    </w:p>
    <w:p>
      <w:pPr>
        <w:spacing w:after="0" w:line="2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 not exist or have not been filed and will not be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3" w:lineRule="exact"/>
        <w:rPr>
          <w:sz w:val="20"/>
          <w:szCs w:val="20"/>
          <w:color w:val="auto"/>
        </w:rPr>
      </w:pPr>
    </w:p>
    <w:p>
      <w:pPr>
        <w:ind w:left="900" w:right="3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developing and commercializing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Prior to our listing on the Nasdaq Global Market on December 7, 2006, there was no active trading market for our common stock in the United States, as our common stock had only been listed on the Hercules Market of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September 30, 2008, our common stock has traded as high as approximately $42.00 and as low approximately $2.27.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biopharmaceutical companies. These broad market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 to 1,285,657 shares were exercisable at $1.00 per share and a warrant held by a separate investor that relates to 50,000 shares was exercisable at $10.00 per share. At September 30, 2008, one warrant for 50,000 shares held by a separate investor was outstanding. All of the warrants held by our founders have been exercised, and the warrant held by a separate investor expires in May 2009. All of such shares, other than shares held by our affiliates, may also be sold from time to time in exempt transactions pursuant to Rule 144 promulgated by the SEC. The trading volume for our stock is low, with an average trading volume of approximately 1,700 shares per day on the Hercules Market of the Osaka Securities Exchange and approximately 17,700 shares per day on the Nasdaq Global Market during the month of September 2008.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900" w:right="520" w:hanging="446"/>
        <w:spacing w:after="0" w:line="27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Executive</w:t>
            </w:r>
          </w:p>
        </w:tc>
        <w:tc>
          <w:tcPr>
            <w:tcW w:w="9520" w:type="dxa"/>
            <w:vAlign w:val="bottom"/>
          </w:tcPr>
          <w:p>
            <w:pPr>
              <w:ind w:left="40"/>
              <w:spacing w:after="0"/>
              <w:rPr>
                <w:sz w:val="20"/>
                <w:szCs w:val="20"/>
                <w:color w:val="auto"/>
              </w:rPr>
            </w:pPr>
            <w:r>
              <w:rPr>
                <w:rFonts w:ascii="Arial" w:cs="Arial" w:eastAsia="Arial" w:hAnsi="Arial"/>
                <w:sz w:val="18"/>
                <w:szCs w:val="18"/>
                <w:color w:val="auto"/>
              </w:rPr>
              <w:t>Employment Agreement between MediciNova, Inc. and Michael E. Kalafer, M.D., dated July 3, 2008.</w:t>
            </w:r>
          </w:p>
        </w:tc>
      </w:tr>
      <w:tr>
        <w:trPr>
          <w:trHeight w:val="316"/>
        </w:trPr>
        <w:tc>
          <w:tcPr>
            <w:tcW w:w="840" w:type="dxa"/>
            <w:vAlign w:val="bottom"/>
            <w:gridSpan w:val="2"/>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Severance Protection Agreement between MediciNova, Inc. and Michael E. Kalafer, M.D., dated July 3, 2008.</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Fourth Amendment to Lease Agreement between MediciNova, Inc. and 4350 La Jolla Village LLC, dated October 3,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Section 302 of the Sarbanes-Oxley Act of 2002 for the period ended September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July 7, 2008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October 8, 2008 and incorporated herein by reference.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6280" w:val="left"/>
          <w:tab w:leader="none" w:pos="8240" w:val="left"/>
          <w:tab w:leader="none" w:pos="858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4"/>
          <w:szCs w:val="14"/>
          <w:b w:val="1"/>
          <w:bCs w:val="1"/>
          <w:color w:val="auto"/>
        </w:rPr>
        <w:t>Yuichi Iwaki, M.D., Ph.D.</w:t>
      </w:r>
    </w:p>
    <w:p>
      <w:pPr>
        <w:jc w:val="center"/>
        <w:ind w:left="674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4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6740"/>
        <w:spacing w:after="0"/>
        <w:rPr>
          <w:sz w:val="20"/>
          <w:szCs w:val="20"/>
          <w:color w:val="auto"/>
        </w:rPr>
      </w:pPr>
      <w:r>
        <w:rPr>
          <w:rFonts w:ascii="Arial" w:cs="Arial" w:eastAsia="Arial" w:hAnsi="Arial"/>
          <w:sz w:val="14"/>
          <w:szCs w:val="14"/>
          <w:b w:val="1"/>
          <w:bCs w:val="1"/>
          <w:color w:val="auto"/>
        </w:rPr>
        <w:t>as the registrant’s Principal Executive Officer)</w:t>
      </w:r>
    </w:p>
    <w:p>
      <w:pPr>
        <w:sectPr>
          <w:pgSz w:w="11900" w:h="16838" w:orient="portrait"/>
          <w:cols w:equalWidth="0" w:num="1">
            <w:col w:w="10780"/>
          </w:cols>
          <w:pgMar w:left="240" w:top="459" w:right="879" w:bottom="1440" w:gutter="0" w:footer="0" w:header="0"/>
        </w:sectPr>
      </w:pPr>
    </w:p>
    <w:p>
      <w:pPr>
        <w:spacing w:after="0" w:line="222"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3035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4"/>
          <w:szCs w:val="14"/>
          <w:b w:val="1"/>
          <w:bCs w:val="1"/>
          <w:color w:val="auto"/>
        </w:rPr>
        <w:t>Shintaro Asako</w:t>
      </w:r>
    </w:p>
    <w:p>
      <w:pPr>
        <w:spacing w:after="0" w:line="2"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Vice President and Chief Financial Officer</w:t>
      </w:r>
    </w:p>
    <w:p>
      <w:pPr>
        <w:jc w:val="center"/>
        <w:ind w:right="360"/>
        <w:spacing w:after="0" w:line="237" w:lineRule="auto"/>
        <w:rPr>
          <w:sz w:val="20"/>
          <w:szCs w:val="20"/>
          <w:color w:val="auto"/>
        </w:rPr>
      </w:pPr>
      <w:r>
        <w:rPr>
          <w:rFonts w:ascii="Arial" w:cs="Arial" w:eastAsia="Arial" w:hAnsi="Arial"/>
          <w:sz w:val="14"/>
          <w:szCs w:val="14"/>
          <w:b w:val="1"/>
          <w:bCs w:val="1"/>
          <w:color w:val="auto"/>
        </w:rPr>
        <w:t>(on behalf of the registrant and</w:t>
      </w:r>
    </w:p>
    <w:p>
      <w:pPr>
        <w:jc w:val="center"/>
        <w:ind w:right="360"/>
        <w:spacing w:after="0"/>
        <w:rPr>
          <w:sz w:val="20"/>
          <w:szCs w:val="20"/>
          <w:color w:val="auto"/>
        </w:rPr>
      </w:pPr>
      <w:r>
        <w:rPr>
          <w:rFonts w:ascii="Arial" w:cs="Arial" w:eastAsia="Arial" w:hAnsi="Arial"/>
          <w:sz w:val="12"/>
          <w:szCs w:val="12"/>
          <w:b w:val="1"/>
          <w:bCs w:val="1"/>
          <w:color w:val="auto"/>
        </w:rPr>
        <w:t>as the registrant’s Principal Financial Officer)</w:t>
      </w:r>
    </w:p>
    <w:p>
      <w:pPr>
        <w:sectPr>
          <w:pgSz w:w="11900" w:h="16838" w:orient="portrait"/>
          <w:cols w:equalWidth="0" w:num="2">
            <w:col w:w="7040" w:space="720"/>
            <w:col w:w="3020"/>
          </w:cols>
          <w:pgMar w:left="240" w:top="459" w:right="8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Executive</w:t>
            </w:r>
          </w:p>
        </w:tc>
        <w:tc>
          <w:tcPr>
            <w:tcW w:w="9520" w:type="dxa"/>
            <w:vAlign w:val="bottom"/>
          </w:tcPr>
          <w:p>
            <w:pPr>
              <w:ind w:left="40"/>
              <w:spacing w:after="0"/>
              <w:rPr>
                <w:sz w:val="20"/>
                <w:szCs w:val="20"/>
                <w:color w:val="auto"/>
              </w:rPr>
            </w:pPr>
            <w:r>
              <w:rPr>
                <w:rFonts w:ascii="Arial" w:cs="Arial" w:eastAsia="Arial" w:hAnsi="Arial"/>
                <w:sz w:val="18"/>
                <w:szCs w:val="18"/>
                <w:color w:val="auto"/>
              </w:rPr>
              <w:t>Employment Agreement between MediciNova, Inc. and Michael E. Kalafer, M.D., dated July 3, 2008.</w:t>
            </w:r>
          </w:p>
        </w:tc>
      </w:tr>
      <w:tr>
        <w:trPr>
          <w:trHeight w:val="316"/>
        </w:trPr>
        <w:tc>
          <w:tcPr>
            <w:tcW w:w="11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220" w:type="dxa"/>
            <w:vAlign w:val="bottom"/>
            <w:gridSpan w:val="2"/>
          </w:tcPr>
          <w:p>
            <w:pPr>
              <w:spacing w:after="0"/>
              <w:rPr>
                <w:sz w:val="20"/>
                <w:szCs w:val="20"/>
                <w:color w:val="auto"/>
              </w:rPr>
            </w:pPr>
            <w:r>
              <w:rPr>
                <w:rFonts w:ascii="Arial" w:cs="Arial" w:eastAsia="Arial" w:hAnsi="Arial"/>
                <w:sz w:val="18"/>
                <w:szCs w:val="18"/>
                <w:color w:val="auto"/>
              </w:rPr>
              <w:t>Severance Protection Agreement between MediciNova, Inc. and Michael E. Kalafer, M.D., dated July 3, 2008.</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10.3(2)</w:t>
            </w:r>
          </w:p>
        </w:tc>
        <w:tc>
          <w:tcPr>
            <w:tcW w:w="10220" w:type="dxa"/>
            <w:vAlign w:val="bottom"/>
            <w:gridSpan w:val="2"/>
          </w:tcPr>
          <w:p>
            <w:pPr>
              <w:spacing w:after="0"/>
              <w:rPr>
                <w:sz w:val="20"/>
                <w:szCs w:val="20"/>
                <w:color w:val="auto"/>
              </w:rPr>
            </w:pPr>
            <w:r>
              <w:rPr>
                <w:rFonts w:ascii="Arial" w:cs="Arial" w:eastAsia="Arial" w:hAnsi="Arial"/>
                <w:sz w:val="18"/>
                <w:szCs w:val="18"/>
                <w:color w:val="auto"/>
              </w:rPr>
              <w:t>Fourth Amendment to Lease Agreement between MediciNova, Inc. and 4350 La Jolla Village LLC, dated October 3,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Section 302 of the Sarbanes-Oxley Act of 2002 for the period ended September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 2008.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July 7, 2008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of Form 8-K filed October 8, 2008 and incorporated herein by reference.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10, 2008</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2008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10,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2008,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10, 2008</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2008,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10, 2008</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7"/>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2019-12-15T08:42:47Z</dcterms:created>
  <dcterms:modified xsi:type="dcterms:W3CDTF">2019-12-15T08:42:47Z</dcterms:modified>
</cp:coreProperties>
</file>