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580" w:hanging="559"/>
        <w:spacing w:after="0"/>
        <w:tabs>
          <w:tab w:leader="none" w:pos="5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81" w:lineRule="exact"/>
        <w:rPr>
          <w:rFonts w:ascii="MS PGothic" w:cs="MS PGothic" w:eastAsia="MS PGothic" w:hAnsi="MS PGothic"/>
          <w:sz w:val="18"/>
          <w:szCs w:val="18"/>
          <w:color w:val="auto"/>
          <w:highlight w:val="black"/>
        </w:rPr>
      </w:pPr>
    </w:p>
    <w:p>
      <w:pPr>
        <w:ind w:left="328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FOR THE QUARTERLY PERIOD ENDED SEPTEMBER 30, 2023</w:t>
      </w:r>
    </w:p>
    <w:p>
      <w:pPr>
        <w:spacing w:after="0" w:line="95" w:lineRule="exact"/>
        <w:rPr>
          <w:sz w:val="24"/>
          <w:szCs w:val="24"/>
          <w:color w:val="auto"/>
        </w:rPr>
      </w:pPr>
    </w:p>
    <w:p>
      <w:pPr>
        <w:ind w:left="580" w:hanging="559"/>
        <w:spacing w:after="0"/>
        <w:tabs>
          <w:tab w:leader="none" w:pos="5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95" w:lineRule="exact"/>
        <w:rPr>
          <w:sz w:val="24"/>
          <w:szCs w:val="24"/>
          <w:color w:val="auto"/>
        </w:rPr>
      </w:pPr>
    </w:p>
    <w:p>
      <w:pPr>
        <w:ind w:left="3140"/>
        <w:spacing w:after="0"/>
        <w:tabs>
          <w:tab w:leader="none" w:pos="70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MEDICINOVA,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jc w:val="center"/>
              <w:ind w:left="898"/>
              <w:spacing w:after="0"/>
              <w:rPr>
                <w:sz w:val="20"/>
                <w:szCs w:val="20"/>
                <w:color w:val="auto"/>
              </w:rPr>
            </w:pPr>
            <w:r>
              <w:rPr>
                <w:rFonts w:ascii="Arial" w:cs="Arial" w:eastAsia="Arial" w:hAnsi="Arial"/>
                <w:sz w:val="18"/>
                <w:szCs w:val="18"/>
                <w:b w:val="1"/>
                <w:bCs w:val="1"/>
                <w:color w:val="auto"/>
                <w:w w:val="91"/>
              </w:rPr>
              <w:t>Delaware</w:t>
            </w:r>
          </w:p>
        </w:tc>
        <w:tc>
          <w:tcPr>
            <w:tcW w:w="3140" w:type="dxa"/>
            <w:vAlign w:val="bottom"/>
          </w:tcPr>
          <w:p>
            <w:pPr>
              <w:spacing w:after="0"/>
              <w:rPr>
                <w:sz w:val="20"/>
                <w:szCs w:val="20"/>
                <w:color w:val="auto"/>
              </w:rPr>
            </w:pPr>
          </w:p>
        </w:tc>
        <w:tc>
          <w:tcPr>
            <w:tcW w:w="3560" w:type="dxa"/>
            <w:vAlign w:val="bottom"/>
            <w:gridSpan w:val="2"/>
          </w:tcPr>
          <w:p>
            <w:pPr>
              <w:jc w:val="right"/>
              <w:ind w:right="2244"/>
              <w:spacing w:after="0"/>
              <w:rPr>
                <w:sz w:val="20"/>
                <w:szCs w:val="20"/>
                <w:color w:val="auto"/>
              </w:rPr>
            </w:pPr>
            <w:r>
              <w:rPr>
                <w:rFonts w:ascii="Arial" w:cs="Arial" w:eastAsia="Arial" w:hAnsi="Arial"/>
                <w:sz w:val="18"/>
                <w:szCs w:val="18"/>
                <w:b w:val="1"/>
                <w:bCs w:val="1"/>
                <w:color w:val="auto"/>
              </w:rPr>
              <w:t>33-0927979</w:t>
            </w:r>
          </w:p>
        </w:tc>
      </w:tr>
      <w:tr>
        <w:trPr>
          <w:trHeight w:val="153"/>
        </w:trPr>
        <w:tc>
          <w:tcPr>
            <w:tcW w:w="4540" w:type="dxa"/>
            <w:vAlign w:val="bottom"/>
            <w:gridSpan w:val="3"/>
          </w:tcPr>
          <w:p>
            <w:pPr>
              <w:jc w:val="center"/>
              <w:ind w:left="918"/>
              <w:spacing w:after="0" w:line="153" w:lineRule="exact"/>
              <w:rPr>
                <w:sz w:val="20"/>
                <w:szCs w:val="20"/>
                <w:color w:val="auto"/>
              </w:rPr>
            </w:pPr>
            <w:r>
              <w:rPr>
                <w:rFonts w:ascii="Arial" w:cs="Arial" w:eastAsia="Arial" w:hAnsi="Arial"/>
                <w:sz w:val="14"/>
                <w:szCs w:val="14"/>
                <w:b w:val="1"/>
                <w:bCs w:val="1"/>
                <w:color w:val="auto"/>
                <w:w w:val="93"/>
              </w:rPr>
              <w:t>(State or Other Jurisdiction of</w:t>
            </w:r>
          </w:p>
        </w:tc>
        <w:tc>
          <w:tcPr>
            <w:tcW w:w="3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40" w:type="dxa"/>
            <w:vAlign w:val="bottom"/>
          </w:tcPr>
          <w:p>
            <w:pPr>
              <w:jc w:val="center"/>
              <w:ind w:right="1964"/>
              <w:spacing w:after="0" w:line="153"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40" w:type="dxa"/>
            <w:vAlign w:val="bottom"/>
            <w:gridSpan w:val="3"/>
          </w:tcPr>
          <w:p>
            <w:pPr>
              <w:jc w:val="center"/>
              <w:ind w:left="898"/>
              <w:spacing w:after="0"/>
              <w:rPr>
                <w:sz w:val="20"/>
                <w:szCs w:val="20"/>
                <w:color w:val="auto"/>
              </w:rPr>
            </w:pPr>
            <w:r>
              <w:rPr>
                <w:rFonts w:ascii="Arial" w:cs="Arial" w:eastAsia="Arial" w:hAnsi="Arial"/>
                <w:sz w:val="14"/>
                <w:szCs w:val="14"/>
                <w:b w:val="1"/>
                <w:bCs w:val="1"/>
                <w:color w:val="auto"/>
                <w:w w:val="94"/>
              </w:rPr>
              <w:t>Incorporation or Organization)</w:t>
            </w:r>
          </w:p>
        </w:tc>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jc w:val="center"/>
              <w:ind w:right="1984"/>
              <w:spacing w:after="0"/>
              <w:rPr>
                <w:sz w:val="20"/>
                <w:szCs w:val="20"/>
                <w:color w:val="auto"/>
              </w:rPr>
            </w:pPr>
            <w:r>
              <w:rPr>
                <w:rFonts w:ascii="Arial" w:cs="Arial" w:eastAsia="Arial" w:hAnsi="Arial"/>
                <w:sz w:val="14"/>
                <w:szCs w:val="14"/>
                <w:b w:val="1"/>
                <w:bCs w:val="1"/>
                <w:color w:val="auto"/>
                <w:w w:val="96"/>
              </w:rPr>
              <w:t>Identification No.)</w:t>
            </w:r>
          </w:p>
        </w:tc>
      </w:tr>
      <w:tr>
        <w:trPr>
          <w:trHeight w:val="385"/>
        </w:trPr>
        <w:tc>
          <w:tcPr>
            <w:tcW w:w="4540" w:type="dxa"/>
            <w:vAlign w:val="bottom"/>
            <w:gridSpan w:val="3"/>
          </w:tcPr>
          <w:p>
            <w:pPr>
              <w:jc w:val="center"/>
              <w:ind w:left="918"/>
              <w:spacing w:after="0"/>
              <w:rPr>
                <w:sz w:val="20"/>
                <w:szCs w:val="20"/>
                <w:color w:val="auto"/>
              </w:rPr>
            </w:pPr>
            <w:r>
              <w:rPr>
                <w:rFonts w:ascii="Arial" w:cs="Arial" w:eastAsia="Arial" w:hAnsi="Arial"/>
                <w:sz w:val="18"/>
                <w:szCs w:val="18"/>
                <w:b w:val="1"/>
                <w:bCs w:val="1"/>
                <w:color w:val="auto"/>
                <w:w w:val="89"/>
              </w:rPr>
              <w:t>4275 Executive Square, Suite 300</w:t>
            </w: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34"/>
        </w:trPr>
        <w:tc>
          <w:tcPr>
            <w:tcW w:w="4540" w:type="dxa"/>
            <w:vAlign w:val="bottom"/>
            <w:gridSpan w:val="3"/>
          </w:tcPr>
          <w:p>
            <w:pPr>
              <w:jc w:val="center"/>
              <w:ind w:left="898"/>
              <w:spacing w:after="0"/>
              <w:rPr>
                <w:sz w:val="20"/>
                <w:szCs w:val="20"/>
                <w:color w:val="auto"/>
              </w:rPr>
            </w:pPr>
            <w:r>
              <w:rPr>
                <w:rFonts w:ascii="Arial" w:cs="Arial" w:eastAsia="Arial" w:hAnsi="Arial"/>
                <w:sz w:val="18"/>
                <w:szCs w:val="18"/>
                <w:b w:val="1"/>
                <w:bCs w:val="1"/>
                <w:color w:val="auto"/>
                <w:w w:val="93"/>
              </w:rPr>
              <w:t>La Jolla, CA</w:t>
            </w:r>
          </w:p>
        </w:tc>
        <w:tc>
          <w:tcPr>
            <w:tcW w:w="3140" w:type="dxa"/>
            <w:vAlign w:val="bottom"/>
          </w:tcPr>
          <w:p>
            <w:pPr>
              <w:spacing w:after="0"/>
              <w:rPr>
                <w:sz w:val="20"/>
                <w:szCs w:val="20"/>
                <w:color w:val="auto"/>
              </w:rPr>
            </w:pPr>
          </w:p>
        </w:tc>
        <w:tc>
          <w:tcPr>
            <w:tcW w:w="3560" w:type="dxa"/>
            <w:vAlign w:val="bottom"/>
            <w:gridSpan w:val="2"/>
          </w:tcPr>
          <w:p>
            <w:pPr>
              <w:jc w:val="right"/>
              <w:ind w:right="2444"/>
              <w:spacing w:after="0"/>
              <w:rPr>
                <w:sz w:val="20"/>
                <w:szCs w:val="20"/>
                <w:color w:val="auto"/>
              </w:rPr>
            </w:pPr>
            <w:r>
              <w:rPr>
                <w:rFonts w:ascii="Arial" w:cs="Arial" w:eastAsia="Arial" w:hAnsi="Arial"/>
                <w:sz w:val="18"/>
                <w:szCs w:val="18"/>
                <w:b w:val="1"/>
                <w:bCs w:val="1"/>
                <w:color w:val="auto"/>
              </w:rPr>
              <w:t>92037</w:t>
            </w:r>
          </w:p>
        </w:tc>
      </w:tr>
      <w:tr>
        <w:trPr>
          <w:trHeight w:val="190"/>
        </w:trPr>
        <w:tc>
          <w:tcPr>
            <w:tcW w:w="4540" w:type="dxa"/>
            <w:vAlign w:val="bottom"/>
            <w:gridSpan w:val="3"/>
          </w:tcPr>
          <w:p>
            <w:pPr>
              <w:jc w:val="center"/>
              <w:ind w:left="91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jc w:val="center"/>
              <w:ind w:right="1984"/>
              <w:spacing w:after="0"/>
              <w:rPr>
                <w:sz w:val="20"/>
                <w:szCs w:val="20"/>
                <w:color w:val="auto"/>
              </w:rPr>
            </w:pPr>
            <w:r>
              <w:rPr>
                <w:rFonts w:ascii="Arial" w:cs="Arial" w:eastAsia="Arial" w:hAnsi="Arial"/>
                <w:sz w:val="14"/>
                <w:szCs w:val="14"/>
                <w:b w:val="1"/>
                <w:bCs w:val="1"/>
                <w:color w:val="auto"/>
                <w:w w:val="95"/>
              </w:rPr>
              <w:t>(Zip Code)</w:t>
            </w:r>
          </w:p>
        </w:tc>
      </w:tr>
      <w:tr>
        <w:trPr>
          <w:trHeight w:val="268"/>
        </w:trPr>
        <w:tc>
          <w:tcPr>
            <w:tcW w:w="3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140" w:type="dxa"/>
            <w:vAlign w:val="bottom"/>
          </w:tcPr>
          <w:p>
            <w:pPr>
              <w:jc w:val="center"/>
              <w:ind w:right="879"/>
              <w:spacing w:after="0"/>
              <w:rPr>
                <w:sz w:val="20"/>
                <w:szCs w:val="20"/>
                <w:color w:val="auto"/>
              </w:rPr>
            </w:pPr>
            <w:r>
              <w:rPr>
                <w:rFonts w:ascii="Arial" w:cs="Arial" w:eastAsia="Arial" w:hAnsi="Arial"/>
                <w:sz w:val="16"/>
                <w:szCs w:val="16"/>
                <w:b w:val="1"/>
                <w:bCs w:val="1"/>
                <w:color w:val="auto"/>
                <w:w w:val="93"/>
              </w:rPr>
              <w:t>(858) 373-1500</w:t>
            </w:r>
          </w:p>
        </w:tc>
        <w:tc>
          <w:tcPr>
            <w:tcW w:w="120" w:type="dxa"/>
            <w:vAlign w:val="bottom"/>
          </w:tcPr>
          <w:p>
            <w:pPr>
              <w:spacing w:after="0"/>
              <w:rPr>
                <w:sz w:val="23"/>
                <w:szCs w:val="23"/>
                <w:color w:val="auto"/>
              </w:rPr>
            </w:pPr>
          </w:p>
        </w:tc>
        <w:tc>
          <w:tcPr>
            <w:tcW w:w="3440" w:type="dxa"/>
            <w:vAlign w:val="bottom"/>
          </w:tcPr>
          <w:p>
            <w:pPr>
              <w:spacing w:after="0"/>
              <w:rPr>
                <w:sz w:val="23"/>
                <w:szCs w:val="23"/>
                <w:color w:val="auto"/>
              </w:rPr>
            </w:pPr>
          </w:p>
        </w:tc>
      </w:tr>
      <w:tr>
        <w:trPr>
          <w:trHeight w:val="210"/>
        </w:trPr>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(Registrant’s Telephone Number, Including Area Code)</w:t>
            </w: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344"/>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78"/>
        </w:trPr>
        <w:tc>
          <w:tcPr>
            <w:tcW w:w="4540" w:type="dxa"/>
            <w:vAlign w:val="bottom"/>
            <w:gridSpan w:val="3"/>
          </w:tcPr>
          <w:p>
            <w:pPr>
              <w:jc w:val="center"/>
              <w:ind w:right="1079"/>
              <w:spacing w:after="0"/>
              <w:rPr>
                <w:sz w:val="20"/>
                <w:szCs w:val="20"/>
                <w:color w:val="auto"/>
              </w:rPr>
            </w:pPr>
            <w:r>
              <w:rPr>
                <w:rFonts w:ascii="Arial" w:cs="Arial" w:eastAsia="Arial" w:hAnsi="Arial"/>
                <w:sz w:val="14"/>
                <w:szCs w:val="14"/>
                <w:b w:val="1"/>
                <w:bCs w:val="1"/>
                <w:color w:val="auto"/>
                <w:w w:val="92"/>
              </w:rPr>
              <w:t>Common Stock, $0.001 par value</w:t>
            </w:r>
          </w:p>
        </w:tc>
        <w:tc>
          <w:tcPr>
            <w:tcW w:w="3140" w:type="dxa"/>
            <w:vAlign w:val="bottom"/>
          </w:tcPr>
          <w:p>
            <w:pPr>
              <w:jc w:val="center"/>
              <w:ind w:right="839"/>
              <w:spacing w:after="0"/>
              <w:rPr>
                <w:sz w:val="20"/>
                <w:szCs w:val="20"/>
                <w:color w:val="auto"/>
              </w:rPr>
            </w:pPr>
            <w:r>
              <w:rPr>
                <w:rFonts w:ascii="Arial" w:cs="Arial" w:eastAsia="Arial" w:hAnsi="Arial"/>
                <w:sz w:val="14"/>
                <w:szCs w:val="14"/>
                <w:b w:val="1"/>
                <w:bCs w:val="1"/>
                <w:color w:val="auto"/>
              </w:rPr>
              <w:t>MNOV</w:t>
            </w:r>
          </w:p>
        </w:tc>
        <w:tc>
          <w:tcPr>
            <w:tcW w:w="12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97"/>
              </w:rPr>
              <w:t>The Nasdaq Stock Market LLC</w:t>
            </w:r>
          </w:p>
        </w:tc>
      </w:tr>
      <w:tr>
        <w:trPr>
          <w:trHeight w:val="224"/>
        </w:trPr>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140" w:type="dxa"/>
            <w:vAlign w:val="bottom"/>
            <w:tcBorders>
              <w:top w:val="single" w:sz="8" w:color="auto"/>
            </w:tcBorders>
          </w:tcPr>
          <w:p>
            <w:pPr>
              <w:jc w:val="center"/>
              <w:ind w:right="859"/>
              <w:spacing w:after="0"/>
              <w:rPr>
                <w:sz w:val="20"/>
                <w:szCs w:val="20"/>
                <w:color w:val="auto"/>
              </w:rPr>
            </w:pPr>
            <w:r>
              <w:rPr>
                <w:rFonts w:ascii="Arial" w:cs="Arial" w:eastAsia="Arial" w:hAnsi="Arial"/>
                <w:sz w:val="18"/>
                <w:szCs w:val="18"/>
                <w:color w:val="auto"/>
                <w:w w:val="92"/>
              </w:rPr>
              <w:t>(Trading symbol(s))</w:t>
            </w:r>
          </w:p>
        </w:tc>
        <w:tc>
          <w:tcPr>
            <w:tcW w:w="120" w:type="dxa"/>
            <w:vAlign w:val="bottom"/>
          </w:tcPr>
          <w:p>
            <w:pPr>
              <w:spacing w:after="0"/>
              <w:rPr>
                <w:sz w:val="19"/>
                <w:szCs w:val="19"/>
                <w:color w:val="auto"/>
              </w:rPr>
            </w:pPr>
          </w:p>
        </w:tc>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bl>
    <w:p>
      <w:pPr>
        <w:spacing w:after="0" w:line="115" w:lineRule="exact"/>
        <w:rPr>
          <w:sz w:val="24"/>
          <w:szCs w:val="24"/>
          <w:color w:val="auto"/>
        </w:rPr>
      </w:pPr>
    </w:p>
    <w:p>
      <w:pPr>
        <w:jc w:val="both"/>
        <w:ind w:right="80" w:firstLine="509"/>
        <w:spacing w:after="0" w:line="184"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-229235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 w:lineRule="exact"/>
        <w:rPr>
          <w:sz w:val="24"/>
          <w:szCs w:val="24"/>
          <w:color w:val="auto"/>
        </w:rPr>
      </w:pPr>
    </w:p>
    <w:p>
      <w:pPr>
        <w:jc w:val="both"/>
        <w:ind w:right="80" w:firstLine="509"/>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4" w:lineRule="exact"/>
        <w:rPr>
          <w:sz w:val="24"/>
          <w:szCs w:val="24"/>
          <w:color w:val="auto"/>
        </w:rPr>
      </w:pPr>
    </w:p>
    <w:p>
      <w:pPr>
        <w:ind w:right="160" w:firstLine="509"/>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ectPr>
          <w:pgSz w:w="11900" w:h="16838" w:orient="portrait"/>
          <w:cols w:equalWidth="0" w:num="1">
            <w:col w:w="11240"/>
          </w:cols>
          <w:pgMar w:left="320" w:top="647" w:right="339" w:bottom="1440" w:gutter="0" w:footer="0" w:header="0"/>
        </w:sectPr>
      </w:pPr>
    </w:p>
    <w:p>
      <w:pPr>
        <w:spacing w:after="0" w:line="30" w:lineRule="exact"/>
        <w:rPr>
          <w:sz w:val="24"/>
          <w:szCs w:val="24"/>
          <w:color w:val="auto"/>
        </w:rPr>
      </w:pPr>
    </w:p>
    <w:p>
      <w:pPr>
        <w:ind w:left="20"/>
        <w:spacing w:after="0" w:line="161" w:lineRule="exact"/>
        <w:tabs>
          <w:tab w:leader="none" w:pos="2480" w:val="left"/>
          <w:tab w:leader="none" w:pos="79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217" w:lineRule="exact"/>
        <w:rPr>
          <w:sz w:val="24"/>
          <w:szCs w:val="24"/>
          <w:color w:val="auto"/>
        </w:rPr>
      </w:pPr>
    </w:p>
    <w:p>
      <w:pPr>
        <w:ind w:left="20"/>
        <w:spacing w:after="0" w:line="161" w:lineRule="exact"/>
        <w:tabs>
          <w:tab w:leader="none" w:pos="2480" w:val="left"/>
          <w:tab w:leader="none" w:pos="796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w:t>
      </w:r>
    </w:p>
    <w:p>
      <w:pPr>
        <w:spacing w:after="0" w:line="10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04"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 w:lineRule="exact"/>
        <w:rPr>
          <w:sz w:val="24"/>
          <w:szCs w:val="24"/>
          <w:color w:val="auto"/>
        </w:rPr>
      </w:pPr>
    </w:p>
    <w:p>
      <w:pPr>
        <w:ind w:left="520" w:right="2540"/>
        <w:spacing w:after="0" w:line="23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November 7, 2023, the registrant had 49,046,246 shares of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432435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5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ectPr>
          <w:pgSz w:w="11900" w:h="16838" w:orient="portrait"/>
          <w:cols w:equalWidth="0" w:num="2">
            <w:col w:w="10680" w:space="300"/>
            <w:col w:w="260"/>
          </w:cols>
          <w:pgMar w:left="320" w:top="647" w:right="339" w:bottom="1440" w:gutter="0" w:footer="0" w:header="0"/>
          <w:type w:val="continuous"/>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This quarterly report on Form 10-Q, in particular "Item 2. Management's Discussion and Analysis of Financial Condition and Results of Operations," and the information incorporated by reference herein contains “forward-looking statements”.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w:t>
      </w:r>
    </w:p>
    <w:p>
      <w:pPr>
        <w:spacing w:after="0" w:line="178"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Considering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17"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if needed;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generate revenues from product sales to continue business operations;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develop and commercialize our product candidates;</w:t>
      </w:r>
    </w:p>
    <w:p>
      <w:pPr>
        <w:spacing w:after="0" w:line="117" w:lineRule="exact"/>
        <w:rPr>
          <w:rFonts w:ascii="Arial" w:cs="Arial" w:eastAsia="Arial" w:hAnsi="Arial"/>
          <w:sz w:val="18"/>
          <w:szCs w:val="18"/>
          <w:color w:val="auto"/>
        </w:rPr>
      </w:pPr>
    </w:p>
    <w:p>
      <w:pPr>
        <w:ind w:left="1020" w:right="4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or delay in completing clinical trials or obtaining Food and Drug Administration or foreign regulatory approval for our product candidates in a timely manner;</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Unsuccessful clinical trials stemming from clinical trial designs, failure to enroll a sufficient number of patients, undesirable side effects and other safety concerns;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demonstrate sufficient efficacy of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the success of our MN-166 (ibudilast) and MN-001 (tipelukast)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commencement or completion of clinical trials or suspension or termination of clinical trials;</w:t>
      </w:r>
    </w:p>
    <w:p>
      <w:pPr>
        <w:spacing w:after="0" w:line="117" w:lineRule="exact"/>
        <w:rPr>
          <w:rFonts w:ascii="Arial" w:cs="Arial" w:eastAsia="Arial" w:hAnsi="Arial"/>
          <w:sz w:val="18"/>
          <w:szCs w:val="18"/>
          <w:color w:val="auto"/>
        </w:rPr>
      </w:pPr>
    </w:p>
    <w:p>
      <w:pPr>
        <w:ind w:left="1020" w:right="46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our licensed rights to develop and commercialize a product candidate as a result of the termination of the underlying licensing agreement;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Competitors may develop products rendering our product candidates obsolete and noncompetitive;</w:t>
      </w:r>
    </w:p>
    <w:p>
      <w:pPr>
        <w:spacing w:after="0" w:line="117"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widespread outbreak of an illness or any other communicable disease, such as COVID-19, which would lead key employees becoming ill for a period of time;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successfully attract partners and enter into collaborations on acceptable terms;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conduct clinical trials and to manufacture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market and distribute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product candidates, if approved, may not gain market acceptance or obtain adequate coverage for third party reimbursement;</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quality material for our products may become difficult to obtain or expensive;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 w:name="page3"/>
    <w:bookmarkEnd w:id="2"/>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product candidates;</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or inability to attract, key personnel; and</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4"/>
        </w:numPr>
        <w:rPr>
          <w:rFonts w:ascii="Arial" w:cs="Arial" w:eastAsia="Arial" w:hAnsi="Arial"/>
          <w:sz w:val="16"/>
          <w:szCs w:val="16"/>
          <w:color w:val="auto"/>
        </w:rPr>
      </w:pPr>
      <w:r>
        <w:rPr>
          <w:rFonts w:ascii="Arial" w:cs="Arial" w:eastAsia="Arial" w:hAnsi="Arial"/>
          <w:sz w:val="16"/>
          <w:szCs w:val="16"/>
          <w:color w:val="auto"/>
        </w:rPr>
        <w:t>Economic, political, foreign exchange and other risks associated with international operations.</w:t>
      </w:r>
    </w:p>
    <w:p>
      <w:pPr>
        <w:spacing w:after="0" w:line="329" w:lineRule="exact"/>
        <w:rPr>
          <w:sz w:val="20"/>
          <w:szCs w:val="20"/>
          <w:color w:val="auto"/>
        </w:rPr>
      </w:pPr>
    </w:p>
    <w:p>
      <w:pPr>
        <w:ind w:left="5063"/>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23"/>
          </w:cols>
          <w:pgMar w:left="837" w:top="44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0" w:type="dxa"/>
            <w:vAlign w:val="bottom"/>
            <w:gridSpan w:val="6"/>
          </w:tcPr>
          <w:p>
            <w:pPr>
              <w:jc w:val="center"/>
              <w:ind w:right="3740"/>
              <w:spacing w:after="0"/>
              <w:rPr>
                <w:sz w:val="20"/>
                <w:szCs w:val="20"/>
                <w:color w:val="auto"/>
              </w:rPr>
            </w:pPr>
            <w:r>
              <w:rPr>
                <w:rFonts w:ascii="Arial" w:cs="Arial" w:eastAsia="Arial" w:hAnsi="Arial"/>
                <w:sz w:val="18"/>
                <w:szCs w:val="18"/>
                <w:b w:val="1"/>
                <w:bCs w:val="1"/>
                <w:color w:val="auto"/>
              </w:rPr>
              <w:t>MEDICINOVA, INC.</w:t>
            </w:r>
          </w:p>
        </w:tc>
        <w:tc>
          <w:tcPr>
            <w:tcW w:w="6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0" w:type="dxa"/>
            <w:vAlign w:val="bottom"/>
            <w:gridSpan w:val="6"/>
          </w:tcPr>
          <w:p>
            <w:pPr>
              <w:jc w:val="center"/>
              <w:ind w:right="376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10580" w:type="dxa"/>
            <w:vAlign w:val="bottom"/>
            <w:gridSpan w:val="18"/>
          </w:tcPr>
          <w:p>
            <w:pPr>
              <w:spacing w:after="0"/>
              <w:rPr>
                <w:sz w:val="20"/>
                <w:szCs w:val="20"/>
                <w:color w:val="auto"/>
              </w:rPr>
            </w:pPr>
            <w:r>
              <w:rPr>
                <w:rFonts w:ascii="Arial" w:cs="Arial" w:eastAsia="Arial" w:hAnsi="Arial"/>
                <w:sz w:val="18"/>
                <w:szCs w:val="18"/>
                <w:color w:val="0000FF"/>
              </w:rPr>
              <w:t>PART I. FINANCIAL INFORMATION</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ITEM 1.</w:t>
            </w:r>
          </w:p>
        </w:tc>
        <w:tc>
          <w:tcPr>
            <w:tcW w:w="558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5"/>
              </w:rPr>
              <w:t>CONDENSED CONSOLIDATED FINANCIAL STATEMENTS (unaudited)</w:t>
            </w:r>
          </w:p>
        </w:tc>
        <w:tc>
          <w:tcPr>
            <w:tcW w:w="20" w:type="dxa"/>
            <w:vAlign w:val="bottom"/>
            <w:tcBorders>
              <w:bottom w:val="single" w:sz="8" w:color="0000EE"/>
            </w:tcBorders>
          </w:tcPr>
          <w:p>
            <w:pPr>
              <w:spacing w:after="0"/>
              <w:rPr>
                <w:sz w:val="24"/>
                <w:szCs w:val="24"/>
                <w:color w:val="auto"/>
              </w:rPr>
            </w:pPr>
          </w:p>
        </w:tc>
        <w:tc>
          <w:tcPr>
            <w:tcW w:w="3780" w:type="dxa"/>
            <w:vAlign w:val="bottom"/>
            <w:gridSpan w:val="4"/>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2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ITEM 2.</w:t>
            </w:r>
          </w:p>
        </w:tc>
        <w:tc>
          <w:tcPr>
            <w:tcW w:w="892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7"/>
              </w:rPr>
              <w:t>MANAGEMENT’S DISCUSSION AND ANALYSIS OF FINANCIAL CONDITION AND RESULTS OF OPERATIONS</w:t>
            </w: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2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ITEM 3.</w:t>
            </w:r>
          </w:p>
        </w:tc>
        <w:tc>
          <w:tcPr>
            <w:tcW w:w="9380" w:type="dxa"/>
            <w:vAlign w:val="bottom"/>
            <w:gridSpan w:val="16"/>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2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ITEM 4.</w:t>
            </w:r>
          </w:p>
        </w:tc>
        <w:tc>
          <w:tcPr>
            <w:tcW w:w="614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CONTROLS AND PROCEDURES</w:t>
            </w:r>
          </w:p>
        </w:tc>
        <w:tc>
          <w:tcPr>
            <w:tcW w:w="3240" w:type="dxa"/>
            <w:vAlign w:val="bottom"/>
            <w:gridSpan w:val="2"/>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25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5"/>
              </w:rPr>
              <w:t>PART II. OTHER INFORMATION</w:t>
            </w:r>
          </w:p>
        </w:tc>
        <w:tc>
          <w:tcPr>
            <w:tcW w:w="20" w:type="dxa"/>
            <w:vAlign w:val="bottom"/>
            <w:tcBorders>
              <w:bottom w:val="single" w:sz="8" w:color="0000EE"/>
            </w:tcBorders>
          </w:tcPr>
          <w:p>
            <w:pPr>
              <w:spacing w:after="0"/>
              <w:rPr>
                <w:sz w:val="24"/>
                <w:szCs w:val="24"/>
                <w:color w:val="auto"/>
              </w:rPr>
            </w:pPr>
          </w:p>
        </w:tc>
        <w:tc>
          <w:tcPr>
            <w:tcW w:w="7980" w:type="dxa"/>
            <w:vAlign w:val="bottom"/>
            <w:gridSpan w:val="11"/>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72"/>
        </w:trPr>
        <w:tc>
          <w:tcPr>
            <w:tcW w:w="20" w:type="dxa"/>
            <w:vAlign w:val="bottom"/>
          </w:tcPr>
          <w:p>
            <w:pPr>
              <w:spacing w:after="0"/>
              <w:rPr>
                <w:sz w:val="24"/>
                <w:szCs w:val="24"/>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ITEM 1.</w:t>
            </w:r>
          </w:p>
        </w:tc>
        <w:tc>
          <w:tcPr>
            <w:tcW w:w="18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4"/>
              </w:rPr>
              <w:t>LEGAL PROCEEDINGS</w:t>
            </w:r>
          </w:p>
        </w:tc>
        <w:tc>
          <w:tcPr>
            <w:tcW w:w="7500" w:type="dxa"/>
            <w:vAlign w:val="bottom"/>
            <w:gridSpan w:val="9"/>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2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ITEM 1A.</w:t>
            </w:r>
          </w:p>
        </w:tc>
        <w:tc>
          <w:tcPr>
            <w:tcW w:w="12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3"/>
              </w:rPr>
              <w:t>RISK FACTORS</w:t>
            </w:r>
          </w:p>
        </w:tc>
        <w:tc>
          <w:tcPr>
            <w:tcW w:w="20" w:type="dxa"/>
            <w:vAlign w:val="bottom"/>
            <w:tcBorders>
              <w:bottom w:val="single" w:sz="8" w:color="0000EE"/>
            </w:tcBorders>
          </w:tcPr>
          <w:p>
            <w:pPr>
              <w:spacing w:after="0"/>
              <w:rPr>
                <w:sz w:val="19"/>
                <w:szCs w:val="19"/>
                <w:color w:val="auto"/>
              </w:rPr>
            </w:pPr>
          </w:p>
        </w:tc>
        <w:tc>
          <w:tcPr>
            <w:tcW w:w="8100" w:type="dxa"/>
            <w:vAlign w:val="bottom"/>
            <w:gridSpan w:val="13"/>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2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ITEM 2.</w:t>
            </w:r>
          </w:p>
        </w:tc>
        <w:tc>
          <w:tcPr>
            <w:tcW w:w="60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4"/>
              </w:rPr>
              <w:t>UNREGISTERED SALES OF EQUITY SECURITIES AND USE OF PROCEEDS</w:t>
            </w:r>
          </w:p>
        </w:tc>
        <w:tc>
          <w:tcPr>
            <w:tcW w:w="3300" w:type="dxa"/>
            <w:vAlign w:val="bottom"/>
            <w:gridSpan w:val="3"/>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2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ITEM 3.</w:t>
            </w:r>
          </w:p>
        </w:tc>
        <w:tc>
          <w:tcPr>
            <w:tcW w:w="9380" w:type="dxa"/>
            <w:vAlign w:val="bottom"/>
            <w:gridSpan w:val="16"/>
          </w:tcPr>
          <w:p>
            <w:pPr>
              <w:spacing w:after="0"/>
              <w:rPr>
                <w:sz w:val="20"/>
                <w:szCs w:val="20"/>
                <w:color w:val="auto"/>
              </w:rPr>
            </w:pPr>
            <w:r>
              <w:rPr>
                <w:rFonts w:ascii="Arial" w:cs="Arial" w:eastAsia="Arial" w:hAnsi="Arial"/>
                <w:sz w:val="18"/>
                <w:szCs w:val="18"/>
                <w:color w:val="0000FF"/>
              </w:rPr>
              <w:t>DEFAULTS UPON SENIOR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2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ITEM 4.</w:t>
            </w:r>
          </w:p>
        </w:tc>
        <w:tc>
          <w:tcPr>
            <w:tcW w:w="318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MINE SAFETY DISCLOSURES</w:t>
            </w:r>
          </w:p>
        </w:tc>
        <w:tc>
          <w:tcPr>
            <w:tcW w:w="6200" w:type="dxa"/>
            <w:vAlign w:val="bottom"/>
            <w:gridSpan w:val="6"/>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2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ITEM 5.</w:t>
            </w:r>
          </w:p>
        </w:tc>
        <w:tc>
          <w:tcPr>
            <w:tcW w:w="244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OTHER INFORMATION</w:t>
            </w:r>
          </w:p>
        </w:tc>
        <w:tc>
          <w:tcPr>
            <w:tcW w:w="6940" w:type="dxa"/>
            <w:vAlign w:val="bottom"/>
            <w:gridSpan w:val="8"/>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2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ITEM 6.</w:t>
            </w:r>
          </w:p>
        </w:tc>
        <w:tc>
          <w:tcPr>
            <w:tcW w:w="188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EXHIBITS</w:t>
            </w:r>
          </w:p>
        </w:tc>
        <w:tc>
          <w:tcPr>
            <w:tcW w:w="7500" w:type="dxa"/>
            <w:vAlign w:val="bottom"/>
            <w:gridSpan w:val="9"/>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71"/>
        </w:trPr>
        <w:tc>
          <w:tcPr>
            <w:tcW w:w="1220" w:type="dxa"/>
            <w:vAlign w:val="bottom"/>
            <w:gridSpan w:val="3"/>
          </w:tcPr>
          <w:p>
            <w:pPr>
              <w:ind w:left="20"/>
              <w:spacing w:after="0"/>
              <w:rPr>
                <w:sz w:val="20"/>
                <w:szCs w:val="20"/>
                <w:color w:val="auto"/>
              </w:rPr>
            </w:pPr>
            <w:r>
              <w:rPr>
                <w:rFonts w:ascii="Arial" w:cs="Arial" w:eastAsia="Arial" w:hAnsi="Arial"/>
                <w:sz w:val="18"/>
                <w:szCs w:val="18"/>
                <w:color w:val="0000FF"/>
              </w:rPr>
              <w:t>SIGNATURES</w:t>
            </w:r>
          </w:p>
        </w:tc>
        <w:tc>
          <w:tcPr>
            <w:tcW w:w="82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682"/>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5580" w:type="dxa"/>
            <w:vAlign w:val="bottom"/>
            <w:gridSpan w:val="11"/>
          </w:tcPr>
          <w:p>
            <w:pPr>
              <w:jc w:val="center"/>
              <w:ind w:left="3130"/>
              <w:spacing w:after="0"/>
              <w:rPr>
                <w:sz w:val="20"/>
                <w:szCs w:val="20"/>
                <w:color w:val="auto"/>
              </w:rPr>
            </w:pPr>
            <w:r>
              <w:rPr>
                <w:rFonts w:ascii="Arial" w:cs="Arial" w:eastAsia="Arial" w:hAnsi="Arial"/>
                <w:sz w:val="18"/>
                <w:szCs w:val="18"/>
                <w:color w:val="auto"/>
                <w:w w:val="79"/>
              </w:rPr>
              <w:t>4</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left="410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215"/>
        </w:trPr>
        <w:tc>
          <w:tcPr>
            <w:tcW w:w="7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r>
      <w:tr>
        <w:trPr>
          <w:trHeight w:val="237"/>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5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51,507,361</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18,505,493</w:t>
            </w:r>
          </w:p>
        </w:tc>
        <w:tc>
          <w:tcPr>
            <w:tcW w:w="100" w:type="dxa"/>
            <w:vAlign w:val="bottom"/>
            <w:shd w:val="clear" w:color="auto" w:fill="CFF0FC"/>
          </w:tcPr>
          <w:p>
            <w:pPr>
              <w:spacing w:after="0"/>
              <w:rPr>
                <w:sz w:val="21"/>
                <w:szCs w:val="21"/>
                <w:color w:val="auto"/>
              </w:rPr>
            </w:pPr>
          </w:p>
        </w:tc>
      </w:tr>
      <w:tr>
        <w:trPr>
          <w:trHeight w:val="243"/>
        </w:trPr>
        <w:tc>
          <w:tcPr>
            <w:tcW w:w="7520" w:type="dxa"/>
            <w:vAlign w:val="bottom"/>
          </w:tcPr>
          <w:p>
            <w:pPr>
              <w:ind w:left="30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1,000,000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43"/>
        </w:trPr>
        <w:tc>
          <w:tcPr>
            <w:tcW w:w="75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488,786</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499,403</w:t>
            </w:r>
          </w:p>
        </w:tc>
        <w:tc>
          <w:tcPr>
            <w:tcW w:w="100" w:type="dxa"/>
            <w:vAlign w:val="bottom"/>
            <w:shd w:val="clear" w:color="auto" w:fill="CFF0FC"/>
          </w:tcPr>
          <w:p>
            <w:pPr>
              <w:spacing w:after="0"/>
              <w:rPr>
                <w:sz w:val="21"/>
                <w:szCs w:val="21"/>
                <w:color w:val="auto"/>
              </w:rPr>
            </w:pPr>
          </w:p>
        </w:tc>
      </w:tr>
      <w:tr>
        <w:trPr>
          <w:trHeight w:val="243"/>
        </w:trPr>
        <w:tc>
          <w:tcPr>
            <w:tcW w:w="7520" w:type="dxa"/>
            <w:vAlign w:val="bottom"/>
          </w:tcPr>
          <w:p>
            <w:pPr>
              <w:ind w:left="30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39,982,213</w:t>
            </w:r>
          </w:p>
        </w:tc>
        <w:tc>
          <w:tcPr>
            <w:tcW w:w="100" w:type="dxa"/>
            <w:vAlign w:val="bottom"/>
          </w:tcPr>
          <w:p>
            <w:pPr>
              <w:spacing w:after="0"/>
              <w:rPr>
                <w:sz w:val="21"/>
                <w:szCs w:val="21"/>
                <w:color w:val="auto"/>
              </w:rPr>
            </w:pPr>
          </w:p>
        </w:tc>
      </w:tr>
      <w:tr>
        <w:trPr>
          <w:trHeight w:val="237"/>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52,996,147</w:t>
            </w:r>
          </w:p>
        </w:tc>
        <w:tc>
          <w:tcPr>
            <w:tcW w:w="22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58,987,109</w:t>
            </w:r>
          </w:p>
        </w:tc>
        <w:tc>
          <w:tcPr>
            <w:tcW w:w="100" w:type="dxa"/>
            <w:vAlign w:val="bottom"/>
            <w:shd w:val="clear" w:color="auto" w:fill="CFF0FC"/>
          </w:tcPr>
          <w:p>
            <w:pPr>
              <w:spacing w:after="0"/>
              <w:rPr>
                <w:sz w:val="20"/>
                <w:szCs w:val="20"/>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9,600,240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9,600,240</w:t>
            </w:r>
          </w:p>
        </w:tc>
        <w:tc>
          <w:tcPr>
            <w:tcW w:w="100" w:type="dxa"/>
            <w:vAlign w:val="bottom"/>
          </w:tcPr>
          <w:p>
            <w:pPr>
              <w:spacing w:after="0"/>
              <w:rPr>
                <w:sz w:val="20"/>
                <w:szCs w:val="20"/>
                <w:color w:val="auto"/>
              </w:rPr>
            </w:pPr>
          </w:p>
        </w:tc>
      </w:tr>
      <w:tr>
        <w:trPr>
          <w:trHeight w:val="249"/>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In-process research and development</w:t>
            </w: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100" w:type="dxa"/>
            <w:vAlign w:val="bottom"/>
            <w:shd w:val="clear" w:color="auto" w:fill="CFF0FC"/>
          </w:tcPr>
          <w:p>
            <w:pPr>
              <w:spacing w:after="0"/>
              <w:rPr>
                <w:sz w:val="21"/>
                <w:szCs w:val="21"/>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51,241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45,269</w:t>
            </w:r>
          </w:p>
        </w:tc>
        <w:tc>
          <w:tcPr>
            <w:tcW w:w="100" w:type="dxa"/>
            <w:vAlign w:val="bottom"/>
          </w:tcPr>
          <w:p>
            <w:pPr>
              <w:spacing w:after="0"/>
              <w:rPr>
                <w:sz w:val="20"/>
                <w:szCs w:val="20"/>
                <w:color w:val="auto"/>
              </w:rPr>
            </w:pPr>
          </w:p>
        </w:tc>
      </w:tr>
      <w:tr>
        <w:trPr>
          <w:trHeight w:val="249"/>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w:t>
            </w: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617,866</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629,495</w:t>
            </w:r>
          </w:p>
        </w:tc>
        <w:tc>
          <w:tcPr>
            <w:tcW w:w="100" w:type="dxa"/>
            <w:vAlign w:val="bottom"/>
            <w:shd w:val="clear" w:color="auto" w:fill="CFF0FC"/>
          </w:tcPr>
          <w:p>
            <w:pPr>
              <w:spacing w:after="0"/>
              <w:rPr>
                <w:sz w:val="21"/>
                <w:szCs w:val="21"/>
                <w:color w:val="auto"/>
              </w:rPr>
            </w:pP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71,067</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92,792</w:t>
            </w:r>
          </w:p>
        </w:tc>
        <w:tc>
          <w:tcPr>
            <w:tcW w:w="100" w:type="dxa"/>
            <w:vAlign w:val="bottom"/>
          </w:tcPr>
          <w:p>
            <w:pPr>
              <w:spacing w:after="0"/>
              <w:rPr>
                <w:sz w:val="21"/>
                <w:szCs w:val="21"/>
                <w:color w:val="auto"/>
              </w:rPr>
            </w:pPr>
          </w:p>
        </w:tc>
      </w:tr>
      <w:tr>
        <w:trPr>
          <w:trHeight w:val="276"/>
        </w:trPr>
        <w:tc>
          <w:tcPr>
            <w:tcW w:w="7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68,136,561</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74,154,905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9"/>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520" w:type="dxa"/>
            <w:vAlign w:val="bottom"/>
          </w:tcPr>
          <w:p>
            <w:pPr>
              <w:ind w:left="30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736,896</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424,646</w:t>
            </w:r>
          </w:p>
        </w:tc>
        <w:tc>
          <w:tcPr>
            <w:tcW w:w="100" w:type="dxa"/>
            <w:vAlign w:val="bottom"/>
          </w:tcPr>
          <w:p>
            <w:pPr>
              <w:spacing w:after="0"/>
              <w:rPr>
                <w:sz w:val="20"/>
                <w:szCs w:val="20"/>
                <w:color w:val="auto"/>
              </w:rPr>
            </w:pPr>
          </w:p>
        </w:tc>
      </w:tr>
      <w:tr>
        <w:trPr>
          <w:trHeight w:val="249"/>
        </w:trPr>
        <w:tc>
          <w:tcPr>
            <w:tcW w:w="75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Accrued liabilities and other current liabilities</w:t>
            </w: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1,859,389</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2,605,308</w:t>
            </w:r>
          </w:p>
        </w:tc>
        <w:tc>
          <w:tcPr>
            <w:tcW w:w="100" w:type="dxa"/>
            <w:vAlign w:val="bottom"/>
            <w:shd w:val="clear" w:color="auto" w:fill="CFF0FC"/>
          </w:tcPr>
          <w:p>
            <w:pPr>
              <w:spacing w:after="0"/>
              <w:rPr>
                <w:sz w:val="21"/>
                <w:szCs w:val="21"/>
                <w:color w:val="auto"/>
              </w:rPr>
            </w:pPr>
          </w:p>
        </w:tc>
      </w:tr>
      <w:tr>
        <w:trPr>
          <w:trHeight w:val="243"/>
        </w:trPr>
        <w:tc>
          <w:tcPr>
            <w:tcW w:w="7520" w:type="dxa"/>
            <w:vAlign w:val="bottom"/>
          </w:tcPr>
          <w:p>
            <w:pPr>
              <w:ind w:left="300"/>
              <w:spacing w:after="0"/>
              <w:rPr>
                <w:sz w:val="20"/>
                <w:szCs w:val="20"/>
                <w:color w:val="auto"/>
              </w:rPr>
            </w:pPr>
            <w:r>
              <w:rPr>
                <w:rFonts w:ascii="Arial" w:cs="Arial" w:eastAsia="Arial" w:hAnsi="Arial"/>
                <w:sz w:val="18"/>
                <w:szCs w:val="18"/>
                <w:color w:val="auto"/>
              </w:rPr>
              <w:t>Operating lease liability</w:t>
            </w: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205,394</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157,505</w:t>
            </w:r>
          </w:p>
        </w:tc>
        <w:tc>
          <w:tcPr>
            <w:tcW w:w="100" w:type="dxa"/>
            <w:vAlign w:val="bottom"/>
          </w:tcPr>
          <w:p>
            <w:pPr>
              <w:spacing w:after="0"/>
              <w:rPr>
                <w:sz w:val="21"/>
                <w:szCs w:val="21"/>
                <w:color w:val="auto"/>
              </w:rPr>
            </w:pPr>
          </w:p>
        </w:tc>
      </w:tr>
      <w:tr>
        <w:trPr>
          <w:trHeight w:val="236"/>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2,801,679</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3,187,459</w:t>
            </w:r>
          </w:p>
        </w:tc>
        <w:tc>
          <w:tcPr>
            <w:tcW w:w="100" w:type="dxa"/>
            <w:vAlign w:val="bottom"/>
            <w:shd w:val="clear" w:color="auto" w:fill="CFF0FC"/>
          </w:tcPr>
          <w:p>
            <w:pPr>
              <w:spacing w:after="0"/>
              <w:rPr>
                <w:sz w:val="20"/>
                <w:szCs w:val="20"/>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201,792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201,792</w:t>
            </w:r>
          </w:p>
        </w:tc>
        <w:tc>
          <w:tcPr>
            <w:tcW w:w="100" w:type="dxa"/>
            <w:vAlign w:val="bottom"/>
          </w:tcPr>
          <w:p>
            <w:pPr>
              <w:spacing w:after="0"/>
              <w:rPr>
                <w:sz w:val="20"/>
                <w:szCs w:val="20"/>
                <w:color w:val="auto"/>
              </w:rPr>
            </w:pPr>
          </w:p>
        </w:tc>
      </w:tr>
      <w:tr>
        <w:trPr>
          <w:trHeight w:val="249"/>
        </w:trPr>
        <w:tc>
          <w:tcPr>
            <w:tcW w:w="7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463,838</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523,619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3,467,309</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3,912,870</w:t>
            </w:r>
          </w:p>
        </w:tc>
        <w:tc>
          <w:tcPr>
            <w:tcW w:w="100" w:type="dxa"/>
            <w:vAlign w:val="bottom"/>
          </w:tcPr>
          <w:p>
            <w:pPr>
              <w:spacing w:after="0"/>
              <w:rPr>
                <w:sz w:val="20"/>
                <w:szCs w:val="20"/>
                <w:color w:val="auto"/>
              </w:rPr>
            </w:pPr>
          </w:p>
        </w:tc>
      </w:tr>
      <w:tr>
        <w:trPr>
          <w:trHeight w:val="237"/>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4)</w:t>
            </w:r>
          </w:p>
        </w:tc>
        <w:tc>
          <w:tcPr>
            <w:tcW w:w="26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75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Common stock, $0.001 par value; 100,000,000 shares authorized at</w:t>
            </w: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Arial" w:cs="Arial" w:eastAsia="Arial" w:hAnsi="Arial"/>
                <w:sz w:val="18"/>
                <w:szCs w:val="18"/>
                <w:color w:val="auto"/>
              </w:rPr>
              <w:t>September 30, 2023 and December 31, 2022; 49,046,246 and 49,046,246</w:t>
            </w: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Arial" w:cs="Arial" w:eastAsia="Arial" w:hAnsi="Arial"/>
                <w:sz w:val="18"/>
                <w:szCs w:val="18"/>
                <w:color w:val="auto"/>
              </w:rPr>
              <w:t>shares issued and outstanding at September 30, 2023 and December</w:t>
            </w: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7520" w:type="dxa"/>
            <w:vAlign w:val="bottom"/>
            <w:shd w:val="clear" w:color="auto" w:fill="CFF0FC"/>
          </w:tcPr>
          <w:p>
            <w:pPr>
              <w:ind w:left="420"/>
              <w:spacing w:after="0"/>
              <w:rPr>
                <w:sz w:val="20"/>
                <w:szCs w:val="20"/>
                <w:color w:val="auto"/>
              </w:rPr>
            </w:pPr>
            <w:r>
              <w:rPr>
                <w:rFonts w:ascii="Arial" w:cs="Arial" w:eastAsia="Arial" w:hAnsi="Arial"/>
                <w:sz w:val="18"/>
                <w:szCs w:val="18"/>
                <w:color w:val="auto"/>
              </w:rPr>
              <w:t>31, 2022, respectively</w:t>
            </w: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49,046</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49,046</w:t>
            </w:r>
          </w:p>
        </w:tc>
        <w:tc>
          <w:tcPr>
            <w:tcW w:w="100" w:type="dxa"/>
            <w:vAlign w:val="bottom"/>
            <w:shd w:val="clear" w:color="auto" w:fill="CFF0FC"/>
          </w:tcPr>
          <w:p>
            <w:pPr>
              <w:spacing w:after="0"/>
              <w:rPr>
                <w:sz w:val="21"/>
                <w:szCs w:val="21"/>
                <w:color w:val="auto"/>
              </w:rPr>
            </w:pPr>
          </w:p>
        </w:tc>
      </w:tr>
      <w:tr>
        <w:trPr>
          <w:trHeight w:val="237"/>
        </w:trPr>
        <w:tc>
          <w:tcPr>
            <w:tcW w:w="7520" w:type="dxa"/>
            <w:vAlign w:val="bottom"/>
          </w:tcPr>
          <w:p>
            <w:pPr>
              <w:ind w:left="30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478,386,566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477,438,451</w:t>
            </w:r>
          </w:p>
        </w:tc>
        <w:tc>
          <w:tcPr>
            <w:tcW w:w="100" w:type="dxa"/>
            <w:vAlign w:val="bottom"/>
          </w:tcPr>
          <w:p>
            <w:pPr>
              <w:spacing w:after="0"/>
              <w:rPr>
                <w:sz w:val="20"/>
                <w:szCs w:val="20"/>
                <w:color w:val="auto"/>
              </w:rPr>
            </w:pPr>
          </w:p>
        </w:tc>
      </w:tr>
      <w:tr>
        <w:trPr>
          <w:trHeight w:val="249"/>
        </w:trPr>
        <w:tc>
          <w:tcPr>
            <w:tcW w:w="75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(123,752 )</w:t>
            </w:r>
          </w:p>
        </w:tc>
        <w:tc>
          <w:tcPr>
            <w:tcW w:w="2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(115,285 )</w:t>
            </w:r>
          </w:p>
        </w:tc>
      </w:tr>
      <w:tr>
        <w:trPr>
          <w:trHeight w:val="243"/>
        </w:trPr>
        <w:tc>
          <w:tcPr>
            <w:tcW w:w="7520" w:type="dxa"/>
            <w:vAlign w:val="bottom"/>
          </w:tcPr>
          <w:p>
            <w:pPr>
              <w:ind w:left="30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(413,642,608 )</w:t>
            </w:r>
          </w:p>
        </w:tc>
        <w:tc>
          <w:tcPr>
            <w:tcW w:w="260" w:type="dxa"/>
            <w:vAlign w:val="bottom"/>
          </w:tcPr>
          <w:p>
            <w:pPr>
              <w:spacing w:after="0"/>
              <w:rPr>
                <w:sz w:val="21"/>
                <w:szCs w:val="21"/>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(407,130,177 )</w:t>
            </w:r>
          </w:p>
        </w:tc>
      </w:tr>
      <w:tr>
        <w:trPr>
          <w:trHeight w:val="237"/>
        </w:trPr>
        <w:tc>
          <w:tcPr>
            <w:tcW w:w="7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64,669,252</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70,242,035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52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68,136,561</w:t>
            </w:r>
          </w:p>
        </w:tc>
        <w:tc>
          <w:tcPr>
            <w:tcW w:w="2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74,154,905</w:t>
            </w:r>
          </w:p>
        </w:tc>
        <w:tc>
          <w:tcPr>
            <w:tcW w:w="100" w:type="dxa"/>
            <w:vAlign w:val="bottom"/>
          </w:tcPr>
          <w:p>
            <w:pPr>
              <w:spacing w:after="0"/>
              <w:rPr>
                <w:sz w:val="20"/>
                <w:szCs w:val="20"/>
                <w:color w:val="auto"/>
              </w:rPr>
            </w:pPr>
          </w:p>
        </w:tc>
      </w:tr>
      <w:tr>
        <w:trPr>
          <w:trHeight w:val="20"/>
        </w:trPr>
        <w:tc>
          <w:tcPr>
            <w:tcW w:w="7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-3128645</wp:posOffset>
            </wp:positionV>
            <wp:extent cx="1276985"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6985" cy="17970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-1859915</wp:posOffset>
            </wp:positionV>
            <wp:extent cx="685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-1859915</wp:posOffset>
            </wp:positionV>
            <wp:extent cx="685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-187960</wp:posOffset>
            </wp:positionV>
            <wp:extent cx="6858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MEDICINOVA,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CONDENSED CONSOLIDATED STATEMENTS OF OPERATIONS AND COMPREHENSIVE LOSS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180"/>
          </w:cols>
          <w:pgMar w:left="340" w:top="33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Revenues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3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Research, development and patents</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General and administrative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Operating loss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Other expense</w:t>
      </w:r>
    </w:p>
    <w:p>
      <w:pPr>
        <w:spacing w:after="0" w:line="77" w:lineRule="exact"/>
        <w:rPr>
          <w:sz w:val="20"/>
          <w:szCs w:val="20"/>
          <w:color w:val="auto"/>
        </w:rPr>
      </w:pPr>
    </w:p>
    <w:p>
      <w:pPr>
        <w:ind w:right="1900"/>
        <w:spacing w:after="0" w:line="316" w:lineRule="auto"/>
        <w:rPr>
          <w:sz w:val="20"/>
          <w:szCs w:val="20"/>
          <w:color w:val="auto"/>
        </w:rPr>
      </w:pPr>
      <w:r>
        <w:rPr>
          <w:rFonts w:ascii="Arial" w:cs="Arial" w:eastAsia="Arial" w:hAnsi="Arial"/>
          <w:sz w:val="16"/>
          <w:szCs w:val="16"/>
          <w:color w:val="auto"/>
        </w:rPr>
        <w:t>Net loss applicable to common stockholders Basic and diluted net loss per common share</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Shares used to compute basic and diluted net loss per common share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Net loss applicable to common stockholders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loss, net of tax:</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Foreign currency translation adjustments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Comprehensive loss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80" w:type="dxa"/>
            <w:vAlign w:val="bottom"/>
          </w:tcPr>
          <w:p>
            <w:pPr>
              <w:spacing w:after="0"/>
              <w:rPr>
                <w:sz w:val="15"/>
                <w:szCs w:val="15"/>
                <w:color w:val="auto"/>
              </w:rPr>
            </w:pPr>
          </w:p>
        </w:tc>
        <w:tc>
          <w:tcPr>
            <w:tcW w:w="2600" w:type="dxa"/>
            <w:vAlign w:val="bottom"/>
            <w:gridSpan w:val="5"/>
          </w:tcPr>
          <w:p>
            <w:pPr>
              <w:jc w:val="right"/>
              <w:ind w:right="801"/>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2340" w:type="dxa"/>
            <w:vAlign w:val="bottom"/>
            <w:gridSpan w:val="5"/>
          </w:tcPr>
          <w:p>
            <w:pPr>
              <w:jc w:val="right"/>
              <w:ind w:right="641"/>
              <w:spacing w:after="0"/>
              <w:rPr>
                <w:sz w:val="20"/>
                <w:szCs w:val="20"/>
                <w:color w:val="auto"/>
              </w:rPr>
            </w:pPr>
            <w:r>
              <w:rPr>
                <w:rFonts w:ascii="Arial" w:cs="Arial" w:eastAsia="Arial" w:hAnsi="Arial"/>
                <w:sz w:val="14"/>
                <w:szCs w:val="14"/>
                <w:b w:val="1"/>
                <w:bCs w:val="1"/>
                <w:color w:val="auto"/>
              </w:rPr>
              <w:t>Nine months ended</w:t>
            </w:r>
          </w:p>
        </w:tc>
      </w:tr>
      <w:tr>
        <w:trPr>
          <w:trHeight w:val="205"/>
        </w:trPr>
        <w:tc>
          <w:tcPr>
            <w:tcW w:w="18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gridSpan w:val="5"/>
          </w:tcPr>
          <w:p>
            <w:pPr>
              <w:jc w:val="right"/>
              <w:ind w:right="801"/>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1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7"/>
                <w:szCs w:val="17"/>
                <w:color w:val="auto"/>
              </w:rPr>
            </w:pPr>
          </w:p>
        </w:tc>
      </w:tr>
      <w:tr>
        <w:trPr>
          <w:trHeight w:val="230"/>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1,000,000</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1,000,000</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485"/>
        </w:trPr>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794,706</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2,454,203</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4,007,117</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7,131,168</w:t>
            </w:r>
          </w:p>
        </w:tc>
        <w:tc>
          <w:tcPr>
            <w:tcW w:w="60" w:type="dxa"/>
            <w:vAlign w:val="bottom"/>
          </w:tcPr>
          <w:p>
            <w:pPr>
              <w:spacing w:after="0"/>
              <w:rPr>
                <w:sz w:val="24"/>
                <w:szCs w:val="24"/>
                <w:color w:val="auto"/>
              </w:rPr>
            </w:pPr>
          </w:p>
        </w:tc>
      </w:tr>
      <w:tr>
        <w:trPr>
          <w:trHeight w:val="250"/>
        </w:trPr>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1,352,182</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1,443,264</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4,403,044</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4,266,246</w:t>
            </w:r>
          </w:p>
        </w:tc>
        <w:tc>
          <w:tcPr>
            <w:tcW w:w="60" w:type="dxa"/>
            <w:vAlign w:val="bottom"/>
          </w:tcPr>
          <w:p>
            <w:pPr>
              <w:spacing w:after="0"/>
              <w:rPr>
                <w:sz w:val="21"/>
                <w:szCs w:val="21"/>
                <w:color w:val="auto"/>
              </w:rPr>
            </w:pPr>
          </w:p>
        </w:tc>
      </w:tr>
      <w:tr>
        <w:trPr>
          <w:trHeight w:val="237"/>
        </w:trPr>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2,146,888</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3,897,467</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8,410,161</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11,397,414</w:t>
            </w:r>
          </w:p>
        </w:tc>
        <w:tc>
          <w:tcPr>
            <w:tcW w:w="60" w:type="dxa"/>
            <w:vAlign w:val="bottom"/>
          </w:tcPr>
          <w:p>
            <w:pPr>
              <w:spacing w:after="0"/>
              <w:rPr>
                <w:sz w:val="20"/>
                <w:szCs w:val="20"/>
                <w:color w:val="auto"/>
              </w:rPr>
            </w:pPr>
          </w:p>
        </w:tc>
      </w:tr>
      <w:tr>
        <w:trPr>
          <w:trHeight w:val="230"/>
        </w:trPr>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(1,146,888</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(3,897,467</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(7,410,161</w:t>
            </w:r>
          </w:p>
        </w:tc>
        <w:tc>
          <w:tcPr>
            <w:tcW w:w="2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3"/>
              </w:rPr>
              <w:t>(11,397,414</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42"/>
        </w:trPr>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437,934</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253,755</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1,398,400</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382,369</w:t>
            </w:r>
          </w:p>
        </w:tc>
        <w:tc>
          <w:tcPr>
            <w:tcW w:w="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(14,153 )</w:t>
            </w:r>
          </w:p>
        </w:tc>
        <w:tc>
          <w:tcPr>
            <w:tcW w:w="320" w:type="dxa"/>
            <w:vAlign w:val="bottom"/>
          </w:tcPr>
          <w:p>
            <w:pPr>
              <w:spacing w:after="0"/>
              <w:rPr>
                <w:sz w:val="21"/>
                <w:szCs w:val="21"/>
                <w:color w:val="auto"/>
              </w:rPr>
            </w:pPr>
          </w:p>
        </w:tc>
        <w:tc>
          <w:tcPr>
            <w:tcW w:w="1080" w:type="dxa"/>
            <w:vAlign w:val="bottom"/>
            <w:gridSpan w:val="2"/>
          </w:tcPr>
          <w:p>
            <w:pPr>
              <w:jc w:val="right"/>
              <w:ind w:right="101"/>
              <w:spacing w:after="0"/>
              <w:rPr>
                <w:sz w:val="20"/>
                <w:szCs w:val="20"/>
                <w:color w:val="auto"/>
              </w:rPr>
            </w:pPr>
            <w:r>
              <w:rPr>
                <w:rFonts w:ascii="Arial" w:cs="Arial" w:eastAsia="Arial" w:hAnsi="Arial"/>
                <w:sz w:val="18"/>
                <w:szCs w:val="18"/>
                <w:color w:val="auto"/>
              </w:rPr>
              <w:t>(8,472 )</w:t>
            </w:r>
          </w:p>
        </w:tc>
        <w:tc>
          <w:tcPr>
            <w:tcW w:w="220" w:type="dxa"/>
            <w:vAlign w:val="bottom"/>
          </w:tcPr>
          <w:p>
            <w:pPr>
              <w:spacing w:after="0"/>
              <w:rPr>
                <w:sz w:val="21"/>
                <w:szCs w:val="21"/>
                <w:color w:val="auto"/>
              </w:rPr>
            </w:pP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(500,670 )</w:t>
            </w:r>
          </w:p>
        </w:tc>
        <w:tc>
          <w:tcPr>
            <w:tcW w:w="14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(52,554 )</w:t>
            </w:r>
          </w:p>
        </w:tc>
      </w:tr>
      <w:tr>
        <w:trPr>
          <w:trHeight w:val="237"/>
        </w:trPr>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(723,107</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(3,652,184</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(6,512,431</w:t>
            </w:r>
          </w:p>
        </w:tc>
        <w:tc>
          <w:tcPr>
            <w:tcW w:w="2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(11,067,599</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1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17"/>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2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42"/>
        </w:trPr>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49,046,246</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49,046,246</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49,046,246</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49,045,037</w:t>
            </w: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-1739900</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-1431290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-1113790</wp:posOffset>
            </wp:positionV>
            <wp:extent cx="7132320" cy="4718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71805"/>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-479425</wp:posOffset>
            </wp:positionV>
            <wp:extent cx="7132320" cy="4883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ind w:left="440" w:hanging="433"/>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(723,107 )   $   (3,652,184 )  $   (6,512,431 )  $ (11,067,599 )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23495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60" w:type="dxa"/>
            <w:vAlign w:val="bottom"/>
          </w:tcPr>
          <w:p>
            <w:pPr>
              <w:spacing w:after="0"/>
              <w:rPr>
                <w:sz w:val="20"/>
                <w:szCs w:val="20"/>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(2,712 )</w:t>
            </w:r>
          </w:p>
        </w:tc>
        <w:tc>
          <w:tcPr>
            <w:tcW w:w="220" w:type="dxa"/>
            <w:vAlign w:val="bottom"/>
          </w:tcPr>
          <w:p>
            <w:pPr>
              <w:spacing w:after="0"/>
              <w:rPr>
                <w:sz w:val="20"/>
                <w:szCs w:val="20"/>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(5,972 )</w:t>
            </w:r>
          </w:p>
        </w:tc>
        <w:tc>
          <w:tcPr>
            <w:tcW w:w="240" w:type="dxa"/>
            <w:vAlign w:val="bottom"/>
          </w:tcPr>
          <w:p>
            <w:pPr>
              <w:spacing w:after="0"/>
              <w:rPr>
                <w:sz w:val="20"/>
                <w:szCs w:val="20"/>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(8,467 )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(25,387 )</w:t>
            </w:r>
          </w:p>
        </w:tc>
      </w:tr>
      <w:tr>
        <w:trPr>
          <w:trHeight w:val="237"/>
        </w:trPr>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(725,819</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(3,658,156</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(6,520,898</w:t>
            </w:r>
          </w:p>
        </w:tc>
        <w:tc>
          <w:tcPr>
            <w:tcW w:w="2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(11,092,986</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-179070</wp:posOffset>
            </wp:positionV>
            <wp:extent cx="7132320" cy="3511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720"/>
            <w:col w:w="5340"/>
          </w:cols>
          <w:pgMar w:left="340" w:top="337" w:right="379" w:bottom="1440" w:gutter="0" w:footer="0" w:header="0"/>
          <w:type w:val="continuous"/>
        </w:sect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See accompanying notes.</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337" w:right="37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9"/>
          </w:tcPr>
          <w:p>
            <w:pPr>
              <w:ind w:left="80"/>
              <w:spacing w:after="0"/>
              <w:rPr>
                <w:sz w:val="20"/>
                <w:szCs w:val="20"/>
                <w:color w:val="auto"/>
              </w:rPr>
            </w:pPr>
            <w:r>
              <w:rPr>
                <w:rFonts w:ascii="Arial" w:cs="Arial" w:eastAsia="Arial" w:hAnsi="Arial"/>
                <w:sz w:val="14"/>
                <w:szCs w:val="14"/>
                <w:b w:val="1"/>
                <w:bCs w:val="1"/>
                <w:color w:val="auto"/>
              </w:rPr>
              <w:t>Nine Months Ended September 30, 2023</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tcPr>
          <w:p>
            <w:pPr>
              <w:jc w:val="center"/>
              <w:ind w:right="320"/>
              <w:spacing w:after="0" w:line="133" w:lineRule="exact"/>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7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2"/>
                <w:szCs w:val="12"/>
                <w:color w:val="auto"/>
              </w:rPr>
            </w:pPr>
          </w:p>
        </w:tc>
        <w:tc>
          <w:tcPr>
            <w:tcW w:w="122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1760" w:type="dxa"/>
            <w:vAlign w:val="bottom"/>
            <w:tcBorders>
              <w:bottom w:val="single" w:sz="8" w:color="auto"/>
            </w:tcBorders>
            <w:gridSpan w:val="3"/>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paid-in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1200" w:type="dxa"/>
            <w:vAlign w:val="bottom"/>
          </w:tcPr>
          <w:p>
            <w:pPr>
              <w:jc w:val="right"/>
              <w:ind w:right="32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248"/>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88"/>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78"/>
              </w:rPr>
              <w:t>loss</w:t>
            </w:r>
          </w:p>
        </w:tc>
        <w:tc>
          <w:tcPr>
            <w:tcW w:w="120" w:type="dxa"/>
            <w:vAlign w:val="bottom"/>
          </w:tcPr>
          <w:p>
            <w:pPr>
              <w:spacing w:after="0"/>
              <w:rPr>
                <w:sz w:val="14"/>
                <w:szCs w:val="14"/>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deficit</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69"/>
        </w:trPr>
        <w:tc>
          <w:tcPr>
            <w:tcW w:w="30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Balance at December 31, 2022</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49,046,246</w:t>
            </w:r>
          </w:p>
        </w:tc>
        <w:tc>
          <w:tcPr>
            <w:tcW w:w="24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49,046</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477,438,451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(115,285</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(407,130,177</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70,242,035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403,263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403,263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(2,917,504 )</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(2,917,504 )</w:t>
            </w:r>
          </w:p>
        </w:tc>
        <w:tc>
          <w:tcPr>
            <w:tcW w:w="0" w:type="dxa"/>
            <w:vAlign w:val="bottom"/>
          </w:tcPr>
          <w:p>
            <w:pPr>
              <w:spacing w:after="0"/>
              <w:rPr>
                <w:sz w:val="1"/>
                <w:szCs w:val="1"/>
                <w:color w:val="auto"/>
              </w:rPr>
            </w:pPr>
          </w:p>
        </w:tc>
      </w:tr>
      <w:tr>
        <w:trPr>
          <w:trHeight w:val="175"/>
        </w:trPr>
        <w:tc>
          <w:tcPr>
            <w:tcW w:w="308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(1,542 )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(1,542 )</w:t>
            </w:r>
          </w:p>
        </w:tc>
        <w:tc>
          <w:tcPr>
            <w:tcW w:w="0" w:type="dxa"/>
            <w:vAlign w:val="bottom"/>
          </w:tcPr>
          <w:p>
            <w:pPr>
              <w:spacing w:after="0"/>
              <w:rPr>
                <w:sz w:val="1"/>
                <w:szCs w:val="1"/>
                <w:color w:val="auto"/>
              </w:rPr>
            </w:pPr>
          </w:p>
        </w:tc>
      </w:tr>
      <w:tr>
        <w:trPr>
          <w:trHeight w:val="169"/>
        </w:trPr>
        <w:tc>
          <w:tcPr>
            <w:tcW w:w="30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Balance at March 31, 2023</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49,046,246</w:t>
            </w:r>
          </w:p>
        </w:tc>
        <w:tc>
          <w:tcPr>
            <w:tcW w:w="24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49,046</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477,841,714</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(116,827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(410,047,681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67,726,252</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325,710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325,710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(2,871,820 )</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(2,871,820 )</w:t>
            </w:r>
          </w:p>
        </w:tc>
        <w:tc>
          <w:tcPr>
            <w:tcW w:w="0" w:type="dxa"/>
            <w:vAlign w:val="bottom"/>
          </w:tcPr>
          <w:p>
            <w:pPr>
              <w:spacing w:after="0"/>
              <w:rPr>
                <w:sz w:val="1"/>
                <w:szCs w:val="1"/>
                <w:color w:val="auto"/>
              </w:rPr>
            </w:pPr>
          </w:p>
        </w:tc>
      </w:tr>
      <w:tr>
        <w:trPr>
          <w:trHeight w:val="176"/>
        </w:trPr>
        <w:tc>
          <w:tcPr>
            <w:tcW w:w="308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(4,213 )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(4,213 )</w:t>
            </w:r>
          </w:p>
        </w:tc>
        <w:tc>
          <w:tcPr>
            <w:tcW w:w="0" w:type="dxa"/>
            <w:vAlign w:val="bottom"/>
          </w:tcPr>
          <w:p>
            <w:pPr>
              <w:spacing w:after="0"/>
              <w:rPr>
                <w:sz w:val="1"/>
                <w:szCs w:val="1"/>
                <w:color w:val="auto"/>
              </w:rPr>
            </w:pPr>
          </w:p>
        </w:tc>
      </w:tr>
      <w:tr>
        <w:trPr>
          <w:trHeight w:val="169"/>
        </w:trPr>
        <w:tc>
          <w:tcPr>
            <w:tcW w:w="30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Balance at June 30, 2023</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49,046,246</w:t>
            </w:r>
          </w:p>
        </w:tc>
        <w:tc>
          <w:tcPr>
            <w:tcW w:w="24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49,046</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478,167,424</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(121,040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(412,919,501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65,175,929</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219,142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219,142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1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(723,107 )</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(723,107 )</w:t>
            </w:r>
          </w:p>
        </w:tc>
        <w:tc>
          <w:tcPr>
            <w:tcW w:w="0" w:type="dxa"/>
            <w:vAlign w:val="bottom"/>
          </w:tcPr>
          <w:p>
            <w:pPr>
              <w:spacing w:after="0"/>
              <w:rPr>
                <w:sz w:val="1"/>
                <w:szCs w:val="1"/>
                <w:color w:val="auto"/>
              </w:rPr>
            </w:pPr>
          </w:p>
        </w:tc>
      </w:tr>
      <w:tr>
        <w:trPr>
          <w:trHeight w:val="176"/>
        </w:trPr>
        <w:tc>
          <w:tcPr>
            <w:tcW w:w="308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(2,712 )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(2,712 )</w:t>
            </w:r>
          </w:p>
        </w:tc>
        <w:tc>
          <w:tcPr>
            <w:tcW w:w="0" w:type="dxa"/>
            <w:vAlign w:val="bottom"/>
          </w:tcPr>
          <w:p>
            <w:pPr>
              <w:spacing w:after="0"/>
              <w:rPr>
                <w:sz w:val="1"/>
                <w:szCs w:val="1"/>
                <w:color w:val="auto"/>
              </w:rPr>
            </w:pPr>
          </w:p>
        </w:tc>
      </w:tr>
      <w:tr>
        <w:trPr>
          <w:trHeight w:val="209"/>
        </w:trPr>
        <w:tc>
          <w:tcPr>
            <w:tcW w:w="3080" w:type="dxa"/>
            <w:vAlign w:val="bottom"/>
            <w:tcBorders>
              <w:bottom w:val="single" w:sz="8" w:color="CFF0FC"/>
            </w:tcBorders>
            <w:shd w:val="clear" w:color="auto" w:fill="CFF0FC"/>
          </w:tcPr>
          <w:p>
            <w:pPr>
              <w:ind w:left="200"/>
              <w:spacing w:after="0" w:line="155" w:lineRule="exact"/>
              <w:rPr>
                <w:sz w:val="20"/>
                <w:szCs w:val="20"/>
                <w:color w:val="auto"/>
              </w:rPr>
            </w:pPr>
            <w:r>
              <w:rPr>
                <w:rFonts w:ascii="Arial" w:cs="Arial" w:eastAsia="Arial" w:hAnsi="Arial"/>
                <w:sz w:val="14"/>
                <w:szCs w:val="14"/>
                <w:color w:val="auto"/>
              </w:rPr>
              <w:t>Balance at September 30, 2023</w:t>
            </w:r>
          </w:p>
        </w:tc>
        <w:tc>
          <w:tcPr>
            <w:tcW w:w="1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49,046,246</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49,046</w:t>
            </w:r>
          </w:p>
        </w:tc>
        <w:tc>
          <w:tcPr>
            <w:tcW w:w="240" w:type="dxa"/>
            <w:vAlign w:val="bottom"/>
            <w:tcBorders>
              <w:bottom w:val="single" w:sz="8" w:color="CFF0FC"/>
            </w:tcBorders>
            <w:gridSpan w:val="2"/>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478,386,566</w:t>
            </w: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(123,752</w:t>
            </w:r>
          </w:p>
        </w:tc>
        <w:tc>
          <w:tcPr>
            <w:tcW w:w="10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(413,642,608</w:t>
            </w:r>
          </w:p>
        </w:tc>
        <w:tc>
          <w:tcPr>
            <w:tcW w:w="10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64,669,252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8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9"/>
          </w:tcPr>
          <w:p>
            <w:pPr>
              <w:ind w:left="80"/>
              <w:spacing w:after="0"/>
              <w:rPr>
                <w:sz w:val="20"/>
                <w:szCs w:val="20"/>
                <w:color w:val="auto"/>
              </w:rPr>
            </w:pPr>
            <w:r>
              <w:rPr>
                <w:rFonts w:ascii="Arial" w:cs="Arial" w:eastAsia="Arial" w:hAnsi="Arial"/>
                <w:sz w:val="14"/>
                <w:szCs w:val="14"/>
                <w:b w:val="1"/>
                <w:bCs w:val="1"/>
                <w:color w:val="auto"/>
              </w:rPr>
              <w:t>Nine Months Ended September 30, 2022</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tcPr>
          <w:p>
            <w:pPr>
              <w:jc w:val="center"/>
              <w:ind w:right="320"/>
              <w:spacing w:after="0" w:line="133" w:lineRule="exact"/>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7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2"/>
                <w:szCs w:val="12"/>
                <w:color w:val="auto"/>
              </w:rPr>
            </w:pPr>
          </w:p>
        </w:tc>
        <w:tc>
          <w:tcPr>
            <w:tcW w:w="122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1760" w:type="dxa"/>
            <w:vAlign w:val="bottom"/>
            <w:tcBorders>
              <w:bottom w:val="single" w:sz="8" w:color="auto"/>
            </w:tcBorders>
            <w:gridSpan w:val="3"/>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paid-in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1200" w:type="dxa"/>
            <w:vAlign w:val="bottom"/>
          </w:tcPr>
          <w:p>
            <w:pPr>
              <w:jc w:val="right"/>
              <w:ind w:right="32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248"/>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88"/>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78"/>
              </w:rPr>
              <w:t>loss</w:t>
            </w:r>
          </w:p>
        </w:tc>
        <w:tc>
          <w:tcPr>
            <w:tcW w:w="120" w:type="dxa"/>
            <w:vAlign w:val="bottom"/>
          </w:tcPr>
          <w:p>
            <w:pPr>
              <w:spacing w:after="0"/>
              <w:rPr>
                <w:sz w:val="14"/>
                <w:szCs w:val="14"/>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deficit</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69"/>
        </w:trPr>
        <w:tc>
          <w:tcPr>
            <w:tcW w:w="3080" w:type="dxa"/>
            <w:vAlign w:val="bottom"/>
          </w:tcPr>
          <w:p>
            <w:pPr>
              <w:ind w:left="200"/>
              <w:spacing w:after="0"/>
              <w:rPr>
                <w:sz w:val="20"/>
                <w:szCs w:val="20"/>
                <w:color w:val="auto"/>
              </w:rPr>
            </w:pPr>
            <w:r>
              <w:rPr>
                <w:rFonts w:ascii="Arial" w:cs="Arial" w:eastAsia="Arial" w:hAnsi="Arial"/>
                <w:sz w:val="14"/>
                <w:szCs w:val="14"/>
                <w:color w:val="auto"/>
              </w:rPr>
              <w:t>Balance at December 31, 2021</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49,043,246</w:t>
            </w:r>
          </w:p>
        </w:tc>
        <w:tc>
          <w:tcPr>
            <w:tcW w:w="240" w:type="dxa"/>
            <w:vAlign w:val="bottom"/>
          </w:tcPr>
          <w:p>
            <w:pPr>
              <w:spacing w:after="0"/>
              <w:rPr>
                <w:sz w:val="14"/>
                <w:szCs w:val="14"/>
                <w:color w:val="auto"/>
              </w:rPr>
            </w:pPr>
          </w:p>
        </w:tc>
        <w:tc>
          <w:tcPr>
            <w:tcW w:w="32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49,043</w:t>
            </w:r>
          </w:p>
        </w:tc>
        <w:tc>
          <w:tcPr>
            <w:tcW w:w="240" w:type="dxa"/>
            <w:vAlign w:val="bottom"/>
            <w:gridSpan w:val="2"/>
          </w:tcPr>
          <w:p>
            <w:pPr>
              <w:spacing w:after="0"/>
              <w:rPr>
                <w:sz w:val="14"/>
                <w:szCs w:val="1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476,788,012</w:t>
            </w:r>
          </w:p>
        </w:tc>
        <w:tc>
          <w:tcPr>
            <w:tcW w:w="220" w:type="dxa"/>
            <w:vAlign w:val="bottom"/>
            <w:gridSpan w:val="2"/>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(98,877</w:t>
            </w:r>
          </w:p>
        </w:tc>
        <w:tc>
          <w:tcPr>
            <w:tcW w:w="10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(393,061,094</w:t>
            </w:r>
          </w:p>
        </w:tc>
        <w:tc>
          <w:tcPr>
            <w:tcW w:w="10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83,677,084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81,053</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81,053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tcPr>
          <w:p>
            <w:pPr>
              <w:ind w:left="20"/>
              <w:spacing w:after="0"/>
              <w:rPr>
                <w:sz w:val="20"/>
                <w:szCs w:val="20"/>
                <w:color w:val="auto"/>
              </w:rPr>
            </w:pPr>
            <w:r>
              <w:rPr>
                <w:rFonts w:ascii="Arial" w:cs="Arial" w:eastAsia="Arial" w:hAnsi="Arial"/>
                <w:sz w:val="14"/>
                <w:szCs w:val="14"/>
                <w:color w:val="auto"/>
              </w:rPr>
              <w:t>Net loss</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(3,386,417 )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(3,386,417 )</w:t>
            </w:r>
          </w:p>
        </w:tc>
        <w:tc>
          <w:tcPr>
            <w:tcW w:w="0" w:type="dxa"/>
            <w:vAlign w:val="bottom"/>
          </w:tcPr>
          <w:p>
            <w:pPr>
              <w:spacing w:after="0"/>
              <w:rPr>
                <w:sz w:val="1"/>
                <w:szCs w:val="1"/>
                <w:color w:val="auto"/>
              </w:rPr>
            </w:pPr>
          </w:p>
        </w:tc>
      </w:tr>
      <w:tr>
        <w:trPr>
          <w:trHeight w:val="175"/>
        </w:trPr>
        <w:tc>
          <w:tcPr>
            <w:tcW w:w="3080" w:type="dxa"/>
            <w:vAlign w:val="bottom"/>
            <w:shd w:val="clear" w:color="auto" w:fill="CFF0FC"/>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(7,435 )</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(7,435 )</w:t>
            </w:r>
          </w:p>
        </w:tc>
        <w:tc>
          <w:tcPr>
            <w:tcW w:w="0" w:type="dxa"/>
            <w:vAlign w:val="bottom"/>
          </w:tcPr>
          <w:p>
            <w:pPr>
              <w:spacing w:after="0"/>
              <w:rPr>
                <w:sz w:val="1"/>
                <w:szCs w:val="1"/>
                <w:color w:val="auto"/>
              </w:rPr>
            </w:pPr>
          </w:p>
        </w:tc>
      </w:tr>
      <w:tr>
        <w:trPr>
          <w:trHeight w:val="20"/>
        </w:trPr>
        <w:tc>
          <w:tcPr>
            <w:tcW w:w="308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80" w:type="dxa"/>
            <w:vAlign w:val="bottom"/>
          </w:tcPr>
          <w:p>
            <w:pPr>
              <w:ind w:left="200"/>
              <w:spacing w:after="0"/>
              <w:rPr>
                <w:sz w:val="20"/>
                <w:szCs w:val="20"/>
                <w:color w:val="auto"/>
              </w:rPr>
            </w:pPr>
            <w:r>
              <w:rPr>
                <w:rFonts w:ascii="Arial" w:cs="Arial" w:eastAsia="Arial" w:hAnsi="Arial"/>
                <w:sz w:val="14"/>
                <w:szCs w:val="14"/>
                <w:color w:val="auto"/>
              </w:rPr>
              <w:t>Balance at March 31, 2022</w:t>
            </w:r>
          </w:p>
        </w:tc>
        <w:tc>
          <w:tcPr>
            <w:tcW w:w="1200" w:type="dxa"/>
            <w:vAlign w:val="bottom"/>
          </w:tcPr>
          <w:p>
            <w:pPr>
              <w:jc w:val="right"/>
              <w:spacing w:after="0"/>
              <w:rPr>
                <w:sz w:val="20"/>
                <w:szCs w:val="20"/>
                <w:color w:val="auto"/>
              </w:rPr>
            </w:pPr>
            <w:r>
              <w:rPr>
                <w:rFonts w:ascii="Arial" w:cs="Arial" w:eastAsia="Arial" w:hAnsi="Arial"/>
                <w:sz w:val="14"/>
                <w:szCs w:val="14"/>
                <w:color w:val="auto"/>
              </w:rPr>
              <w:t>49,043,246</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49,043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476,869,065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(106,312 )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(396,447,511 )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80,364,285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274,502</w:t>
            </w:r>
          </w:p>
        </w:tc>
        <w:tc>
          <w:tcPr>
            <w:tcW w:w="1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274,502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20"/>
              <w:spacing w:after="0"/>
              <w:rPr>
                <w:sz w:val="20"/>
                <w:szCs w:val="20"/>
                <w:color w:val="auto"/>
              </w:rPr>
            </w:pPr>
            <w:r>
              <w:rPr>
                <w:rFonts w:ascii="Arial" w:cs="Arial" w:eastAsia="Arial" w:hAnsi="Arial"/>
                <w:sz w:val="14"/>
                <w:szCs w:val="14"/>
                <w:color w:val="auto"/>
              </w:rPr>
              <w:t>Issuance of common stock for option exercises</w:t>
            </w:r>
          </w:p>
        </w:tc>
        <w:tc>
          <w:tcPr>
            <w:tcW w:w="1200" w:type="dxa"/>
            <w:vAlign w:val="bottom"/>
          </w:tcPr>
          <w:p>
            <w:pPr>
              <w:jc w:val="right"/>
              <w:spacing w:after="0"/>
              <w:rPr>
                <w:sz w:val="20"/>
                <w:szCs w:val="20"/>
                <w:color w:val="auto"/>
              </w:rPr>
            </w:pPr>
            <w:r>
              <w:rPr>
                <w:rFonts w:ascii="Arial" w:cs="Arial" w:eastAsia="Arial" w:hAnsi="Arial"/>
                <w:sz w:val="14"/>
                <w:szCs w:val="14"/>
                <w:color w:val="auto"/>
              </w:rPr>
              <w:t>3,000</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7,917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7,920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(4,028,998 )</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(4,028,998 )</w:t>
            </w:r>
          </w:p>
        </w:tc>
        <w:tc>
          <w:tcPr>
            <w:tcW w:w="0" w:type="dxa"/>
            <w:vAlign w:val="bottom"/>
          </w:tcPr>
          <w:p>
            <w:pPr>
              <w:spacing w:after="0"/>
              <w:rPr>
                <w:sz w:val="1"/>
                <w:szCs w:val="1"/>
                <w:color w:val="auto"/>
              </w:rPr>
            </w:pPr>
          </w:p>
        </w:tc>
      </w:tr>
      <w:tr>
        <w:trPr>
          <w:trHeight w:val="175"/>
        </w:trPr>
        <w:tc>
          <w:tcPr>
            <w:tcW w:w="308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(11,980 )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(11,980 )</w:t>
            </w:r>
          </w:p>
        </w:tc>
        <w:tc>
          <w:tcPr>
            <w:tcW w:w="0" w:type="dxa"/>
            <w:vAlign w:val="bottom"/>
          </w:tcPr>
          <w:p>
            <w:pPr>
              <w:spacing w:after="0"/>
              <w:rPr>
                <w:sz w:val="1"/>
                <w:szCs w:val="1"/>
                <w:color w:val="auto"/>
              </w:rPr>
            </w:pPr>
          </w:p>
        </w:tc>
      </w:tr>
      <w:tr>
        <w:trPr>
          <w:trHeight w:val="169"/>
        </w:trPr>
        <w:tc>
          <w:tcPr>
            <w:tcW w:w="30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Balance at June 30, 2022</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49,046,246</w:t>
            </w:r>
          </w:p>
        </w:tc>
        <w:tc>
          <w:tcPr>
            <w:tcW w:w="24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49,046</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477,151,484</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(118,292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(400,476,509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76,605,729</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158,298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158,298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(3,652,184 )</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(3,652,184 )</w:t>
            </w:r>
          </w:p>
        </w:tc>
        <w:tc>
          <w:tcPr>
            <w:tcW w:w="0" w:type="dxa"/>
            <w:vAlign w:val="bottom"/>
          </w:tcPr>
          <w:p>
            <w:pPr>
              <w:spacing w:after="0"/>
              <w:rPr>
                <w:sz w:val="1"/>
                <w:szCs w:val="1"/>
                <w:color w:val="auto"/>
              </w:rPr>
            </w:pPr>
          </w:p>
        </w:tc>
      </w:tr>
      <w:tr>
        <w:trPr>
          <w:trHeight w:val="175"/>
        </w:trPr>
        <w:tc>
          <w:tcPr>
            <w:tcW w:w="308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(5,972 )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(5,972 )</w:t>
            </w:r>
          </w:p>
        </w:tc>
        <w:tc>
          <w:tcPr>
            <w:tcW w:w="0" w:type="dxa"/>
            <w:vAlign w:val="bottom"/>
          </w:tcPr>
          <w:p>
            <w:pPr>
              <w:spacing w:after="0"/>
              <w:rPr>
                <w:sz w:val="1"/>
                <w:szCs w:val="1"/>
                <w:color w:val="auto"/>
              </w:rPr>
            </w:pPr>
          </w:p>
        </w:tc>
      </w:tr>
      <w:tr>
        <w:trPr>
          <w:trHeight w:val="209"/>
        </w:trPr>
        <w:tc>
          <w:tcPr>
            <w:tcW w:w="3080" w:type="dxa"/>
            <w:vAlign w:val="bottom"/>
            <w:tcBorders>
              <w:bottom w:val="single" w:sz="8" w:color="CFF0FC"/>
            </w:tcBorders>
            <w:shd w:val="clear" w:color="auto" w:fill="CFF0FC"/>
          </w:tcPr>
          <w:p>
            <w:pPr>
              <w:ind w:left="200"/>
              <w:spacing w:after="0" w:line="155" w:lineRule="exact"/>
              <w:rPr>
                <w:sz w:val="20"/>
                <w:szCs w:val="20"/>
                <w:color w:val="auto"/>
              </w:rPr>
            </w:pPr>
            <w:r>
              <w:rPr>
                <w:rFonts w:ascii="Arial" w:cs="Arial" w:eastAsia="Arial" w:hAnsi="Arial"/>
                <w:sz w:val="14"/>
                <w:szCs w:val="14"/>
                <w:color w:val="auto"/>
              </w:rPr>
              <w:t>Balance at September 30, 2022</w:t>
            </w:r>
          </w:p>
        </w:tc>
        <w:tc>
          <w:tcPr>
            <w:tcW w:w="1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49,046,246</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49,046</w:t>
            </w:r>
          </w:p>
        </w:tc>
        <w:tc>
          <w:tcPr>
            <w:tcW w:w="240" w:type="dxa"/>
            <w:vAlign w:val="bottom"/>
            <w:tcBorders>
              <w:bottom w:val="single" w:sz="8" w:color="CFF0FC"/>
            </w:tcBorders>
            <w:gridSpan w:val="2"/>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477,309,782</w:t>
            </w: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(124,264</w:t>
            </w:r>
          </w:p>
        </w:tc>
        <w:tc>
          <w:tcPr>
            <w:tcW w:w="10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(404,128,693</w:t>
            </w:r>
          </w:p>
        </w:tc>
        <w:tc>
          <w:tcPr>
            <w:tcW w:w="10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73,105,871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-3171190</wp:posOffset>
            </wp:positionV>
            <wp:extent cx="76835"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-3171190</wp:posOffset>
            </wp:positionV>
            <wp:extent cx="76835"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-3171190</wp:posOffset>
            </wp:positionV>
            <wp:extent cx="68580" cy="120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-3171190</wp:posOffset>
            </wp:positionV>
            <wp:extent cx="68580" cy="120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-3171190</wp:posOffset>
            </wp:positionV>
            <wp:extent cx="68580" cy="120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-3171190</wp:posOffset>
            </wp:positionV>
            <wp:extent cx="68580" cy="1200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-2708275</wp:posOffset>
            </wp:positionV>
            <wp:extent cx="76835"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-2708275</wp:posOffset>
            </wp:positionV>
            <wp:extent cx="76835" cy="120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-2708275</wp:posOffset>
            </wp:positionV>
            <wp:extent cx="68580" cy="1200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-2708275</wp:posOffset>
            </wp:positionV>
            <wp:extent cx="68580" cy="1200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-2708275</wp:posOffset>
            </wp:positionV>
            <wp:extent cx="68580" cy="1200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120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-2245360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-2228215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-2245360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-2228215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-2245360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-2228215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-2245360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-2228215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-2245360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-2228215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-1182370</wp:posOffset>
            </wp:positionV>
            <wp:extent cx="7683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-1182370</wp:posOffset>
            </wp:positionV>
            <wp:extent cx="7683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-1182370</wp:posOffset>
            </wp:positionV>
            <wp:extent cx="68580"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-1182370</wp:posOffset>
            </wp:positionV>
            <wp:extent cx="6858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-1182370</wp:posOffset>
            </wp:positionV>
            <wp:extent cx="68580"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-487680</wp:posOffset>
            </wp:positionV>
            <wp:extent cx="76835" cy="1200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-487680</wp:posOffset>
            </wp:positionV>
            <wp:extent cx="76835" cy="1200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-487680</wp:posOffset>
            </wp:positionV>
            <wp:extent cx="68580" cy="1200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-487680</wp:posOffset>
            </wp:positionV>
            <wp:extent cx="68580" cy="1200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-487680</wp:posOffset>
            </wp:positionV>
            <wp:extent cx="68580" cy="1200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1200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-24765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-7620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-24765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-7620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Nine months ended</w:t>
      </w:r>
    </w:p>
    <w:p>
      <w:pPr>
        <w:spacing w:after="0" w:line="25"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5924550</wp:posOffset>
            </wp:positionH>
            <wp:positionV relativeFrom="paragraph">
              <wp:posOffset>-3810</wp:posOffset>
            </wp:positionV>
            <wp:extent cx="1225550" cy="1879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25550" cy="1879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8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r>
      <w:tr>
        <w:trPr>
          <w:trHeight w:val="243"/>
        </w:trPr>
        <w:tc>
          <w:tcPr>
            <w:tcW w:w="7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activities:</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800" w:type="dxa"/>
            <w:vAlign w:val="bottom"/>
          </w:tcPr>
          <w:p>
            <w:pPr>
              <w:ind w:left="30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(6,512,431 )</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(11,067,599 )</w:t>
            </w:r>
          </w:p>
        </w:tc>
      </w:tr>
      <w:tr>
        <w:trPr>
          <w:trHeight w:val="249"/>
        </w:trPr>
        <w:tc>
          <w:tcPr>
            <w:tcW w:w="7800" w:type="dxa"/>
            <w:vAlign w:val="bottom"/>
            <w:shd w:val="clear" w:color="auto" w:fill="CFF0FC"/>
          </w:tcPr>
          <w:p>
            <w:pPr>
              <w:ind w:left="3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800" w:type="dxa"/>
            <w:vAlign w:val="bottom"/>
          </w:tcPr>
          <w:p>
            <w:pPr>
              <w:ind w:left="560"/>
              <w:spacing w:after="0"/>
              <w:rPr>
                <w:sz w:val="20"/>
                <w:szCs w:val="20"/>
                <w:color w:val="auto"/>
              </w:rPr>
            </w:pPr>
            <w:r>
              <w:rPr>
                <w:rFonts w:ascii="Arial" w:cs="Arial" w:eastAsia="Arial" w:hAnsi="Arial"/>
                <w:sz w:val="18"/>
                <w:szCs w:val="18"/>
                <w:color w:val="auto"/>
              </w:rPr>
              <w:t>Non-cash stock-based compensation</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948,115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513,853</w:t>
            </w:r>
          </w:p>
        </w:tc>
        <w:tc>
          <w:tcPr>
            <w:tcW w:w="100" w:type="dxa"/>
            <w:vAlign w:val="bottom"/>
          </w:tcPr>
          <w:p>
            <w:pPr>
              <w:spacing w:after="0"/>
              <w:rPr>
                <w:sz w:val="20"/>
                <w:szCs w:val="20"/>
                <w:color w:val="auto"/>
              </w:rPr>
            </w:pPr>
          </w:p>
        </w:tc>
      </w:tr>
      <w:tr>
        <w:trPr>
          <w:trHeight w:val="249"/>
        </w:trPr>
        <w:tc>
          <w:tcPr>
            <w:tcW w:w="78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14,803</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13,376</w:t>
            </w:r>
          </w:p>
        </w:tc>
        <w:tc>
          <w:tcPr>
            <w:tcW w:w="100" w:type="dxa"/>
            <w:vAlign w:val="bottom"/>
            <w:shd w:val="clear" w:color="auto" w:fill="CFF0FC"/>
          </w:tcPr>
          <w:p>
            <w:pPr>
              <w:spacing w:after="0"/>
              <w:rPr>
                <w:sz w:val="21"/>
                <w:szCs w:val="21"/>
                <w:color w:val="auto"/>
              </w:rPr>
            </w:pPr>
          </w:p>
        </w:tc>
      </w:tr>
      <w:tr>
        <w:trPr>
          <w:trHeight w:val="237"/>
        </w:trPr>
        <w:tc>
          <w:tcPr>
            <w:tcW w:w="7800" w:type="dxa"/>
            <w:vAlign w:val="bottom"/>
          </w:tcPr>
          <w:p>
            <w:pPr>
              <w:ind w:left="560"/>
              <w:spacing w:after="0"/>
              <w:rPr>
                <w:sz w:val="20"/>
                <w:szCs w:val="20"/>
                <w:color w:val="auto"/>
              </w:rPr>
            </w:pPr>
            <w:r>
              <w:rPr>
                <w:rFonts w:ascii="Arial" w:cs="Arial" w:eastAsia="Arial" w:hAnsi="Arial"/>
                <w:sz w:val="18"/>
                <w:szCs w:val="18"/>
                <w:color w:val="auto"/>
              </w:rPr>
              <w:t>Loss on disposal of investments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102,513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78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Non-cash interest on investments</w:t>
            </w:r>
          </w:p>
        </w:tc>
        <w:tc>
          <w:tcPr>
            <w:tcW w:w="360" w:type="dxa"/>
            <w:vAlign w:val="bottom"/>
            <w:shd w:val="clear" w:color="auto" w:fill="CFF0FC"/>
          </w:tcPr>
          <w:p>
            <w:pPr>
              <w:spacing w:after="0"/>
              <w:rPr>
                <w:sz w:val="21"/>
                <w:szCs w:val="21"/>
                <w:color w:val="auto"/>
              </w:rPr>
            </w:pPr>
          </w:p>
        </w:tc>
        <w:tc>
          <w:tcPr>
            <w:tcW w:w="14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(21,849 )</w:t>
            </w:r>
          </w:p>
        </w:tc>
      </w:tr>
      <w:tr>
        <w:trPr>
          <w:trHeight w:val="237"/>
        </w:trPr>
        <w:tc>
          <w:tcPr>
            <w:tcW w:w="7800" w:type="dxa"/>
            <w:vAlign w:val="bottom"/>
          </w:tcPr>
          <w:p>
            <w:pPr>
              <w:ind w:left="560"/>
              <w:spacing w:after="0"/>
              <w:rPr>
                <w:sz w:val="20"/>
                <w:szCs w:val="20"/>
                <w:color w:val="auto"/>
              </w:rPr>
            </w:pPr>
            <w:r>
              <w:rPr>
                <w:rFonts w:ascii="Arial" w:cs="Arial" w:eastAsia="Arial" w:hAnsi="Arial"/>
                <w:sz w:val="18"/>
                <w:szCs w:val="18"/>
                <w:color w:val="auto"/>
              </w:rPr>
              <w:t>Loss on disposal of property and equipment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78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Change in carrying amount of right-of-use asset</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146,205</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151,123</w:t>
            </w:r>
          </w:p>
        </w:tc>
        <w:tc>
          <w:tcPr>
            <w:tcW w:w="100" w:type="dxa"/>
            <w:vAlign w:val="bottom"/>
            <w:shd w:val="clear" w:color="auto" w:fill="CFF0FC"/>
          </w:tcPr>
          <w:p>
            <w:pPr>
              <w:spacing w:after="0"/>
              <w:rPr>
                <w:sz w:val="21"/>
                <w:szCs w:val="21"/>
                <w:color w:val="auto"/>
              </w:rPr>
            </w:pPr>
          </w:p>
        </w:tc>
      </w:tr>
      <w:tr>
        <w:trPr>
          <w:trHeight w:val="237"/>
        </w:trPr>
        <w:tc>
          <w:tcPr>
            <w:tcW w:w="7800" w:type="dxa"/>
            <w:vAlign w:val="bottom"/>
          </w:tcPr>
          <w:p>
            <w:pPr>
              <w:ind w:left="56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800" w:type="dxa"/>
            <w:vAlign w:val="bottom"/>
            <w:shd w:val="clear" w:color="auto" w:fill="CFF0FC"/>
          </w:tcPr>
          <w:p>
            <w:pPr>
              <w:ind w:left="84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(1,000,000 )</w:t>
            </w: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7800" w:type="dxa"/>
            <w:vAlign w:val="bottom"/>
          </w:tcPr>
          <w:p>
            <w:pPr>
              <w:ind w:left="84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(27,478 )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(49,947 )</w:t>
            </w:r>
          </w:p>
        </w:tc>
      </w:tr>
      <w:tr>
        <w:trPr>
          <w:trHeight w:val="249"/>
        </w:trPr>
        <w:tc>
          <w:tcPr>
            <w:tcW w:w="7800" w:type="dxa"/>
            <w:vAlign w:val="bottom"/>
            <w:shd w:val="clear" w:color="auto" w:fill="CFF0FC"/>
          </w:tcPr>
          <w:p>
            <w:pPr>
              <w:ind w:left="840"/>
              <w:spacing w:after="0"/>
              <w:rPr>
                <w:sz w:val="20"/>
                <w:szCs w:val="20"/>
                <w:color w:val="auto"/>
              </w:rPr>
            </w:pPr>
            <w:r>
              <w:rPr>
                <w:rFonts w:ascii="Arial" w:cs="Arial" w:eastAsia="Arial" w:hAnsi="Arial"/>
                <w:sz w:val="18"/>
                <w:szCs w:val="18"/>
                <w:color w:val="auto"/>
              </w:rPr>
              <w:t>Accounts payable, accrued liabilities and other liabilities</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(457,675 )</w:t>
            </w: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1,660,250</w:t>
            </w:r>
          </w:p>
        </w:tc>
        <w:tc>
          <w:tcPr>
            <w:tcW w:w="100" w:type="dxa"/>
            <w:vAlign w:val="bottom"/>
            <w:shd w:val="clear" w:color="auto" w:fill="CFF0FC"/>
          </w:tcPr>
          <w:p>
            <w:pPr>
              <w:spacing w:after="0"/>
              <w:rPr>
                <w:sz w:val="21"/>
                <w:szCs w:val="21"/>
                <w:color w:val="auto"/>
              </w:rPr>
            </w:pPr>
          </w:p>
        </w:tc>
      </w:tr>
      <w:tr>
        <w:trPr>
          <w:trHeight w:val="243"/>
        </w:trPr>
        <w:tc>
          <w:tcPr>
            <w:tcW w:w="7800" w:type="dxa"/>
            <w:vAlign w:val="bottom"/>
          </w:tcPr>
          <w:p>
            <w:pPr>
              <w:ind w:left="840"/>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(146,401 )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(103,726 )</w:t>
            </w:r>
          </w:p>
        </w:tc>
      </w:tr>
      <w:tr>
        <w:trPr>
          <w:trHeight w:val="237"/>
        </w:trPr>
        <w:tc>
          <w:tcPr>
            <w:tcW w:w="7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(6,931,978</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(8,904,519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800" w:type="dxa"/>
            <w:vAlign w:val="bottom"/>
            <w:shd w:val="clear" w:color="auto" w:fill="CFF0FC"/>
          </w:tcPr>
          <w:p>
            <w:pPr>
              <w:ind w:left="300"/>
              <w:spacing w:after="0"/>
              <w:rPr>
                <w:sz w:val="20"/>
                <w:szCs w:val="20"/>
                <w:color w:val="auto"/>
              </w:rPr>
            </w:pPr>
            <w:r>
              <w:rPr>
                <w:rFonts w:ascii="Arial" w:cs="Arial" w:eastAsia="Arial" w:hAnsi="Arial"/>
                <w:sz w:val="18"/>
                <w:szCs w:val="18"/>
                <w:color w:val="auto"/>
              </w:rPr>
              <w:t>Proceeds from disposal of investments</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39,929,015</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7800" w:type="dxa"/>
            <w:vAlign w:val="bottom"/>
          </w:tcPr>
          <w:p>
            <w:pPr>
              <w:ind w:left="300"/>
              <w:spacing w:after="0"/>
              <w:rPr>
                <w:sz w:val="20"/>
                <w:szCs w:val="20"/>
                <w:color w:val="auto"/>
              </w:rPr>
            </w:pPr>
            <w:r>
              <w:rPr>
                <w:rFonts w:ascii="Arial" w:cs="Arial" w:eastAsia="Arial" w:hAnsi="Arial"/>
                <w:sz w:val="18"/>
                <w:szCs w:val="18"/>
                <w:color w:val="auto"/>
              </w:rPr>
              <w:t>Purchases of investments</w:t>
            </w:r>
          </w:p>
        </w:tc>
        <w:tc>
          <w:tcPr>
            <w:tcW w:w="360" w:type="dxa"/>
            <w:vAlign w:val="bottom"/>
          </w:tcPr>
          <w:p>
            <w:pPr>
              <w:spacing w:after="0"/>
              <w:rPr>
                <w:sz w:val="20"/>
                <w:szCs w:val="20"/>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(10,000,000 )</w:t>
            </w:r>
          </w:p>
        </w:tc>
      </w:tr>
      <w:tr>
        <w:trPr>
          <w:trHeight w:val="249"/>
        </w:trPr>
        <w:tc>
          <w:tcPr>
            <w:tcW w:w="7800" w:type="dxa"/>
            <w:vAlign w:val="bottom"/>
            <w:shd w:val="clear" w:color="auto" w:fill="CFF0FC"/>
          </w:tcPr>
          <w:p>
            <w:pPr>
              <w:ind w:left="300"/>
              <w:spacing w:after="0"/>
              <w:rPr>
                <w:sz w:val="20"/>
                <w:szCs w:val="20"/>
                <w:color w:val="auto"/>
              </w:rPr>
            </w:pPr>
            <w:r>
              <w:rPr>
                <w:rFonts w:ascii="Arial" w:cs="Arial" w:eastAsia="Arial" w:hAnsi="Arial"/>
                <w:sz w:val="18"/>
                <w:szCs w:val="18"/>
                <w:color w:val="auto"/>
              </w:rPr>
              <w:t>Acquisitions of property and equipment</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(21,321 )</w:t>
            </w: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0"/>
        </w:trPr>
        <w:tc>
          <w:tcPr>
            <w:tcW w:w="78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8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39,907,694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(10,000,000 )</w:t>
            </w:r>
          </w:p>
        </w:tc>
      </w:tr>
      <w:tr>
        <w:trPr>
          <w:trHeight w:val="237"/>
        </w:trPr>
        <w:tc>
          <w:tcPr>
            <w:tcW w:w="7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Financing activities:</w:t>
            </w:r>
          </w:p>
        </w:tc>
        <w:tc>
          <w:tcPr>
            <w:tcW w:w="3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5"/>
        </w:trPr>
        <w:tc>
          <w:tcPr>
            <w:tcW w:w="7800" w:type="dxa"/>
            <w:vAlign w:val="bottom"/>
          </w:tcPr>
          <w:p>
            <w:pPr>
              <w:ind w:left="300"/>
              <w:spacing w:after="0"/>
              <w:rPr>
                <w:sz w:val="20"/>
                <w:szCs w:val="20"/>
                <w:color w:val="auto"/>
              </w:rPr>
            </w:pPr>
            <w:r>
              <w:rPr>
                <w:rFonts w:ascii="Arial" w:cs="Arial" w:eastAsia="Arial" w:hAnsi="Arial"/>
                <w:sz w:val="18"/>
                <w:szCs w:val="18"/>
                <w:color w:val="auto"/>
              </w:rPr>
              <w:t>Proceeds from issuance of common stock and exercise of common</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800" w:type="dxa"/>
            <w:vAlign w:val="bottom"/>
          </w:tcPr>
          <w:p>
            <w:pPr>
              <w:ind w:left="420"/>
              <w:spacing w:after="0"/>
              <w:rPr>
                <w:sz w:val="20"/>
                <w:szCs w:val="20"/>
                <w:color w:val="auto"/>
              </w:rPr>
            </w:pPr>
            <w:r>
              <w:rPr>
                <w:rFonts w:ascii="Arial" w:cs="Arial" w:eastAsia="Arial" w:hAnsi="Arial"/>
                <w:sz w:val="18"/>
                <w:szCs w:val="18"/>
                <w:color w:val="auto"/>
              </w:rPr>
              <w:t>stock options</w:t>
            </w:r>
          </w:p>
        </w:tc>
        <w:tc>
          <w:tcPr>
            <w:tcW w:w="360" w:type="dxa"/>
            <w:vAlign w:val="bottom"/>
          </w:tcPr>
          <w:p>
            <w:pPr>
              <w:spacing w:after="0"/>
              <w:rPr>
                <w:sz w:val="20"/>
                <w:szCs w:val="20"/>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7,920</w:t>
            </w:r>
          </w:p>
        </w:tc>
        <w:tc>
          <w:tcPr>
            <w:tcW w:w="100" w:type="dxa"/>
            <w:vAlign w:val="bottom"/>
          </w:tcPr>
          <w:p>
            <w:pPr>
              <w:spacing w:after="0"/>
              <w:rPr>
                <w:sz w:val="20"/>
                <w:szCs w:val="20"/>
                <w:color w:val="auto"/>
              </w:rPr>
            </w:pPr>
          </w:p>
        </w:tc>
      </w:tr>
      <w:tr>
        <w:trPr>
          <w:trHeight w:val="243"/>
        </w:trPr>
        <w:tc>
          <w:tcPr>
            <w:tcW w:w="78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bottom w:val="single" w:sz="8" w:color="auto"/>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7,920</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236"/>
        </w:trPr>
        <w:tc>
          <w:tcPr>
            <w:tcW w:w="780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26,152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(27,092 )</w:t>
            </w:r>
          </w:p>
        </w:tc>
      </w:tr>
      <w:tr>
        <w:trPr>
          <w:trHeight w:val="237"/>
        </w:trPr>
        <w:tc>
          <w:tcPr>
            <w:tcW w:w="7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33,001,868</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(18,923,691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18,505,493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71,430,954</w:t>
            </w:r>
          </w:p>
        </w:tc>
        <w:tc>
          <w:tcPr>
            <w:tcW w:w="100" w:type="dxa"/>
            <w:vAlign w:val="bottom"/>
          </w:tcPr>
          <w:p>
            <w:pPr>
              <w:spacing w:after="0"/>
              <w:rPr>
                <w:sz w:val="21"/>
                <w:szCs w:val="21"/>
                <w:color w:val="auto"/>
              </w:rPr>
            </w:pPr>
          </w:p>
        </w:tc>
      </w:tr>
      <w:tr>
        <w:trPr>
          <w:trHeight w:val="276"/>
        </w:trPr>
        <w:tc>
          <w:tcPr>
            <w:tcW w:w="7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51,507,361</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52,507,263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7800" w:type="dxa"/>
            <w:vAlign w:val="bottom"/>
          </w:tcPr>
          <w:p>
            <w:pPr>
              <w:ind w:left="20"/>
              <w:spacing w:after="0"/>
              <w:rPr>
                <w:sz w:val="20"/>
                <w:szCs w:val="20"/>
                <w:color w:val="auto"/>
              </w:rPr>
            </w:pPr>
            <w:r>
              <w:rPr>
                <w:rFonts w:ascii="Arial" w:cs="Arial" w:eastAsia="Arial" w:hAnsi="Arial"/>
                <w:sz w:val="18"/>
                <w:szCs w:val="18"/>
                <w:color w:val="auto"/>
              </w:rPr>
              <w:t>Supplemental disclosure of non-cash investing activities: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76"/>
        </w:trPr>
        <w:tc>
          <w:tcPr>
            <w:tcW w:w="780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Right-of-use asset obtained in exchange for operating lease liability</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139,001</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-2416810</wp:posOffset>
            </wp:positionV>
            <wp:extent cx="68580"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-1790700</wp:posOffset>
            </wp:positionV>
            <wp:extent cx="6858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-1790700</wp:posOffset>
            </wp:positionV>
            <wp:extent cx="6858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-1186815</wp:posOffset>
            </wp:positionV>
            <wp:extent cx="7145020" cy="3473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5020" cy="3473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-368300</wp:posOffset>
            </wp:positionV>
            <wp:extent cx="1200150"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00150" cy="18859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MEDICINOVA,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11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MediciNova, Inc. (the “Company” or “MediciNova”) was incorporated in the state of Delaware in September 2000. The Company’s common stock is listed in both the United States and Japan and trades on the Nasdaq Global Market and the Standard Market of the Tokyo Stock Exchange. The Company is a biopharmaceutical company focused on developing novel therapeutics for the treatment of serious diseases with unmet medical needs with a commercial focus on the United States market. The Company’s current strategy is to focus its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prevention of acute respiratory distress syndrome, and Long COVID, and MN-001 (tipelukast) for fibrotic and other diseases such as nonalcoholic fatty liver disease (NAFLD) and idiopathic pulmonary fibrosis (IPF). The Company’s pipeline also includes MN-221 (bedoradrine) for the treatment of acute exacerbation of asthma and MN-029 (denibulin) for solid tumor cancers.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60" w:firstLine="509"/>
        <w:spacing w:after="0" w:line="254"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(GAAP) for interim financial information and with the instructions of the Securities and Exchange Commission (SEC) on Form 10-Q and Rule 8-03 of Regulation S-X. Accordingly, they do not include all the information and disclosures required by GAAP for complete financial statements. In the opinion of management, the condensed consolidated financial statements include all adjustments necessary, which are of a normal and recurring nature, for the fair presentation of the Company’s financial position and of the results of operations and cash flows for the periods presented. The accompanying unaudited condensed consolidated financial statements include the accounts of the Company and its wholly owned subsidiaries.</w:t>
      </w:r>
    </w:p>
    <w:p>
      <w:pPr>
        <w:spacing w:after="0" w:line="195" w:lineRule="exact"/>
        <w:rPr>
          <w:sz w:val="20"/>
          <w:szCs w:val="20"/>
          <w:color w:val="auto"/>
        </w:rPr>
      </w:pPr>
    </w:p>
    <w:p>
      <w:pPr>
        <w:ind w:right="240" w:firstLine="509"/>
        <w:spacing w:after="0" w:line="257" w:lineRule="auto"/>
        <w:rPr>
          <w:sz w:val="20"/>
          <w:szCs w:val="20"/>
          <w:color w:val="auto"/>
        </w:rPr>
      </w:pPr>
      <w:r>
        <w:rPr>
          <w:rFonts w:ascii="Arial" w:cs="Arial" w:eastAsia="Arial" w:hAnsi="Arial"/>
          <w:sz w:val="18"/>
          <w:szCs w:val="18"/>
          <w:color w:val="auto"/>
        </w:rPr>
        <w:t>These financial statements should be read in conjunction with the audited consolidated financial statements and notes thereto for the year ended December 31, 2022 included in the Company’s Amendment No. 1 to Annual Report on Form 10-K filed with the SEC. The results of operations for the interim period shown in this report are not necessarily indicative of the results that may be expected for any other interim period or for the full year. The balance sheet at December 31, 2022 has been derived from the audited financial statements at that date but does not include all the information and footnotes required by GAAP for complete financial statements.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The consolidated financial statements include the accounts of MediciNova, Inc. and its wholly owned subsidiaries, MediciNova Japan, Inc., MediciNova (Europe) Limited, MediciNova Europe GmbH and Avigen Inc. The financial statements of the Company’s foreign subsidiaries are measured using their local currency as the functional currency. The resulting translation adjustments are recorded as a component of other comprehensive income or loss. Intercompany transaction gains or losses at each period end are included as translation adjustments and recorded within other comprehensive income or loss. All intercompany transactions and balances are eliminated in consolidation.</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100" w:firstLine="509"/>
        <w:spacing w:after="0" w:line="311"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operates in a single operating segment – the acquisition and development of small molecule therapeutics for the treatment of serious diseases with unmet medical needs.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1"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Cash and cash equivalents consist of cash and other highly liquid investments including money market accounts, with original maturities of three months or less from the date of purchase.</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31"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Accounts receivable is recorded net of allowance for credit losses. There was no allowance for credit losses required as of September 30, 2023 (see Note 2). Accounts receivable balance as of January 1, 2022 was $0.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31"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Investments purchased with an original maturity of greater than three months are classified as investments. Investments are stated at fair value and are classified as current or non-current based on the nature of the securities as well as their stated maturities.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117" w:lineRule="exact"/>
        <w:rPr>
          <w:sz w:val="20"/>
          <w:szCs w:val="20"/>
          <w:color w:val="auto"/>
        </w:rPr>
      </w:pPr>
    </w:p>
    <w:p>
      <w:pPr>
        <w:ind w:right="100" w:firstLine="554"/>
        <w:spacing w:after="0" w:line="259" w:lineRule="auto"/>
        <w:rPr>
          <w:sz w:val="20"/>
          <w:szCs w:val="20"/>
          <w:color w:val="auto"/>
        </w:rPr>
      </w:pPr>
      <w:r>
        <w:rPr>
          <w:rFonts w:ascii="Arial" w:cs="Arial" w:eastAsia="Arial" w:hAnsi="Arial"/>
          <w:sz w:val="18"/>
          <w:szCs w:val="18"/>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$0.7 million and $2.4 million for the three months ended September 30, 2023 and 2022, respectively, and $3.7 million and $6.8 million for the nine months ended September 30, 2023 and 2022, respectively.</w:t>
      </w:r>
    </w:p>
    <w:p>
      <w:pPr>
        <w:spacing w:after="0" w:line="227"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Costs related to filing and pursuing patent applications are expensed as incurred, as recoverability of such expenditures is uncertain. The Company includes all external costs related to the filing of patents in Research, Development and Patents expenses. Such patent-related expenses totaled $0.1 million for the three months ended September 30, 2023 and 2022, respectively, and $0.3 million for the nine months ended September 30, 2023 and 2022, respectively.</w:t>
      </w:r>
    </w:p>
    <w:p>
      <w:pPr>
        <w:spacing w:after="0" w:line="254" w:lineRule="exact"/>
        <w:rPr>
          <w:sz w:val="20"/>
          <w:szCs w:val="20"/>
          <w:color w:val="auto"/>
        </w:rPr>
      </w:pPr>
    </w:p>
    <w:p>
      <w:pPr>
        <w:jc w:val="both"/>
        <w:ind w:right="160" w:firstLine="509"/>
        <w:spacing w:after="0" w:line="311" w:lineRule="auto"/>
        <w:rPr>
          <w:sz w:val="20"/>
          <w:szCs w:val="20"/>
          <w:color w:val="auto"/>
        </w:rPr>
      </w:pPr>
      <w:r>
        <w:rPr>
          <w:rFonts w:ascii="Arial" w:cs="Arial" w:eastAsia="Arial" w:hAnsi="Arial"/>
          <w:sz w:val="16"/>
          <w:szCs w:val="16"/>
          <w:color w:val="auto"/>
        </w:rPr>
        <w:t xml:space="preserve">For transactions with a government where the Company receives government assistance in performing research and development activities and the accounting for a transaction is not specified within the scope of authoritative GAAP, the Company follows ASC 832, </w:t>
      </w:r>
      <w:r>
        <w:rPr>
          <w:rFonts w:ascii="Arial" w:cs="Arial" w:eastAsia="Arial" w:hAnsi="Arial"/>
          <w:sz w:val="16"/>
          <w:szCs w:val="16"/>
          <w:i w:val="1"/>
          <w:iCs w:val="1"/>
          <w:color w:val="auto"/>
        </w:rPr>
        <w:t>Government Assistance (Topic 832)</w:t>
      </w:r>
      <w:r>
        <w:rPr>
          <w:rFonts w:ascii="Arial" w:cs="Arial" w:eastAsia="Arial" w:hAnsi="Arial"/>
          <w:sz w:val="16"/>
          <w:szCs w:val="16"/>
          <w:color w:val="auto"/>
        </w:rPr>
        <w:t xml:space="preserve">, applying a grant or contribution model by analogy to Subtopic 958-605, </w:t>
      </w:r>
      <w:r>
        <w:rPr>
          <w:rFonts w:ascii="Arial" w:cs="Arial" w:eastAsia="Arial" w:hAnsi="Arial"/>
          <w:sz w:val="16"/>
          <w:szCs w:val="16"/>
          <w:i w:val="1"/>
          <w:iCs w:val="1"/>
          <w:color w:val="auto"/>
        </w:rPr>
        <w:t>Not-for-Profit Entities-Revenue Recognition</w:t>
      </w:r>
      <w:r>
        <w:rPr>
          <w:rFonts w:ascii="Arial" w:cs="Arial" w:eastAsia="Arial" w:hAnsi="Arial"/>
          <w:sz w:val="16"/>
          <w:szCs w:val="16"/>
          <w:color w:val="auto"/>
        </w:rPr>
        <w:t xml:space="preserve"> (“ASC 958-605”).</w:t>
      </w:r>
    </w:p>
    <w:p>
      <w:pPr>
        <w:spacing w:after="0" w:line="230"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In 2021, the Company entered into an agreement with the Biomedical Advanced Research and Development Authority (BARDA), part of the Office of the Assistant Secretary for Preparedness and Response at the U.S. Department of Health and Human Services, to develop MN-166 (ibudilast) as a potential medical countermeasure against chlorine gas-induced lung damage such as acute respiratory distress syndrome (ARDS) and acute lung injury (ALI). Under the agreement, BARDA agreed to provide federal funding for specified pre-clinical studies under Contract No. 75A50121C00022. The studies were completed in August 2023, and in September 2023, BARDA paid the Company $0.7 million to partially reimburse the costs of the studies. Contractual arrangements that are not considered an exchange of services are considered contributions under ASC 958-605, and the Company elected to recognize the funding of $0.7 million as an offset to research and development costs for the three and nine months ended September 30, 2023.</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Clinical Trial Accruals and Prepaid Expenses</w:t>
      </w:r>
    </w:p>
    <w:p>
      <w:pPr>
        <w:spacing w:after="0" w:line="117"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212529"/>
        </w:rPr>
        <w:t>Costs for preclinical studies, clinical studies and manufacturing activities are recognized as research and development expenses based on an evaluation of the progress by Company vendors towards completion of specific tasks, using data such as patient enrollment, clinical site activations or information provided to the Company by such vendors regarding their actual costs incurred. Payments for these activities are based on the terms of individual contracts and payment timing may differ significantly from the period in which the services are performed. The Company determines accrual estimates through reports from and discussions with applicable personnel and outside service providers as to the progress or state of completion of studies, or the services completed. The Company’s estimates of accrued expenses as of each balance sheet date are based on the facts and circumstances known at the time. Costs that are paid in advance of performance are deferred as a prepaid expense and amortized over the service period as the services are provided.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Leases</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212529"/>
        </w:rPr>
        <w:t>The Company determines if an arrangement is a lease at inception and if so, determines whether the lease qualifies as an operating or finance lease. The Company does not recognize right-of-use assets and lease liabilities for leases with a term of 12 months or less and does not separate non-lease components from lease components. Operating lease right-of-use assets and liabilities are recognized at commencement date based on the present value of lease payments over the lease term. Operating lease expense is recognized on a straight-line basis over the lease term and is included in general and administrative expenses. As most of the Company’s operating leases do not provide an implicit rate, the Company uses its incremental borrowing rate based on the information available at commencement date in determining the present value of lease payments. The incremental borrowing rate is the rate that the Company would expect to pay to borrow on a collateralized and fully amortizing basis over a similar term an amount equal to the lease payments in a similar economic environment.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The preparation of the consolidated financial statements in conformity with GAAP requires management to make estimates and assumptions that affect the amounts reported in the condensed consolidated financial statements and the accompanying notes. Actual results could differ from those estimates.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 xml:space="preserve">In June 2016, the FASB issued Accounting Standards Update (“ASU”) No. 2016-13, </w:t>
      </w:r>
      <w:r>
        <w:rPr>
          <w:rFonts w:ascii="Arial" w:cs="Arial" w:eastAsia="Arial" w:hAnsi="Arial"/>
          <w:sz w:val="17"/>
          <w:szCs w:val="17"/>
          <w:i w:val="1"/>
          <w:iCs w:val="1"/>
          <w:color w:val="auto"/>
        </w:rPr>
        <w:t>Financial Instruments— 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 of Credit Losses on Financial Instruments </w:t>
      </w:r>
      <w:r>
        <w:rPr>
          <w:rFonts w:ascii="Arial" w:cs="Arial" w:eastAsia="Arial" w:hAnsi="Arial"/>
          <w:sz w:val="17"/>
          <w:szCs w:val="17"/>
          <w:color w:val="auto"/>
        </w:rPr>
        <w:t>(“ASU 2016-13”). The ASU introduced a new credit loss methodology, the Current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Credit Losses (“CECL”) methodology, which requires earlier recognition of credit losses, while also providing additional transparency about credit risk. The CECL methodology utilizes a lifetime “expected credit loss” measurement objective for the recognition of credit losses for loans, held-to maturity debt securities, trade receivables and other receivables measured at amortized cost at the time the financial asset is originated or acquired. Subsequent to the issuance of ASU 2016-13, the FASB issued several additional ASUs to clarify implementation guidance, provide narrow-scope improvements and provide additional disclosure guidance. In November 2019, the FASB issued an amendment making this ASU effective for fiscal years beginning after December 15, 2022 for smaller reporting companies. The new standard was effective for the Company on January 1, 2023. There was no impact on the consolidated financial statements upon adoption of this standard on January 1, 2023.</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Policy</w:t>
      </w:r>
    </w:p>
    <w:p>
      <w:pPr>
        <w:spacing w:after="0" w:line="117" w:lineRule="exact"/>
        <w:rPr>
          <w:sz w:val="20"/>
          <w:szCs w:val="20"/>
          <w:color w:val="auto"/>
        </w:rPr>
      </w:pPr>
    </w:p>
    <w:p>
      <w:pPr>
        <w:ind w:right="140" w:firstLine="509"/>
        <w:spacing w:after="0" w:line="300" w:lineRule="auto"/>
        <w:rPr>
          <w:sz w:val="20"/>
          <w:szCs w:val="20"/>
          <w:color w:val="auto"/>
        </w:rPr>
      </w:pPr>
      <w:r>
        <w:rPr>
          <w:rFonts w:ascii="Arial" w:cs="Arial" w:eastAsia="Arial" w:hAnsi="Arial"/>
          <w:sz w:val="16"/>
          <w:szCs w:val="16"/>
          <w:color w:val="auto"/>
        </w:rPr>
        <w:t>Revenues historically have consisted mainly of research and development services performed under a contract with a customer. The Company evaluates the separate performance obligation(s) under each contract, allocates the transaction price to each performance obligation considering the estimated stand-alone selling prices of the services and recognizes revenue upon the satisfaction of such obligations at a point in time or over time dependent on the satisfaction of one of the following criteria: (1) the customer simultaneously receives and consumes the economic benefits provided by the vendor’s performance (2) the vendor creates or enhances an asset controlled by the customer (3) the vendor’s performance does not create an asset for which the vendor has an alternative use, and (4) the vendor has an enforceable right to payment for performance completed to date.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Genzyme Corporation</w:t>
      </w:r>
    </w:p>
    <w:p>
      <w:pPr>
        <w:spacing w:after="0" w:line="117"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In December 2005, Avigen, Inc. and Genzyme Corporation (“Genzyme”) entered into an Assignment Agreement (the “Genzyme Agreement”) in which Genzyme acquired certain gene therapy intellectual property, programs and other related assets from Avigen, Inc. in exchange for an upfront payment and potential additional development milestone payments, sublicensing fees, and royalty payments based on the successful development of products by Genzyme utilizing technologies previously developed by Avigen. The Company subsequently acquired Avigen in December 2009 along with Avigen’s rights and obligations under the Genzyme Agreement. If Genzyme fails to diligently pursue the commercialization or marketing of products using the assigned technology, as specified in the Genzyme Agreement, some of the rights assigned could revert back to the Company at a future date.</w:t>
      </w:r>
    </w:p>
    <w:p>
      <w:pPr>
        <w:spacing w:after="0" w:line="56"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The development milestones outlined in the Genzyme Agreement did not meet the definition of a substantive milestone obligation under authoritative guidance on revenue recognition for milestone payments, as Genzyme was responsible for the development of the products and there is no further substantive service effort required by the Company. In September 2023, the Company received notice that a gene therapy product based on AAV (adeno-associated virus) vector technology, which was covered under the Genzyme Agreement, achieved one clinical development milestone, triggering a milestone payment of $1.0 million. Accordingly, the Company recognized revenue and accounts receivable of $1.0 million as of and for the three and nine months ended September 30, 2023. The Company subsequently received payment of the $1.0 million in October 2023.</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106" w:lineRule="exact"/>
        <w:rPr>
          <w:sz w:val="20"/>
          <w:szCs w:val="20"/>
          <w:color w:val="auto"/>
        </w:rPr>
      </w:pPr>
    </w:p>
    <w:p>
      <w:pPr>
        <w:ind w:left="580"/>
        <w:spacing w:after="0"/>
        <w:tabs>
          <w:tab w:leader="none" w:pos="13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Observable inputs such as quoted prices in active markets;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1" w:name="page12"/>
    <w:bookmarkEnd w:id="11"/>
    <w:p>
      <w:pPr>
        <w:ind w:left="1340" w:right="780" w:hanging="742"/>
        <w:spacing w:after="0" w:line="277" w:lineRule="auto"/>
        <w:tabs>
          <w:tab w:leader="none" w:pos="1320" w:val="left"/>
        </w:tabs>
        <w:rPr>
          <w:sz w:val="20"/>
          <w:szCs w:val="20"/>
          <w:color w:val="auto"/>
        </w:rPr>
      </w:pPr>
      <w:r>
        <w:rPr>
          <w:rFonts w:ascii="Arial" w:cs="Arial" w:eastAsia="Arial" w:hAnsi="Arial"/>
          <w:sz w:val="18"/>
          <w:szCs w:val="18"/>
          <w:color w:val="auto"/>
        </w:rPr>
        <w:t>Level 2:</w:t>
        <w:tab/>
        <w:t>Inputs are quoted prices for similar items in active markets or quoted prices for identical or similar items in markets that are not active near the measurement date; and</w:t>
      </w:r>
    </w:p>
    <w:p>
      <w:pPr>
        <w:spacing w:after="0" w:line="130" w:lineRule="exact"/>
        <w:rPr>
          <w:sz w:val="20"/>
          <w:szCs w:val="20"/>
          <w:color w:val="auto"/>
        </w:rPr>
      </w:pPr>
    </w:p>
    <w:p>
      <w:pPr>
        <w:ind w:left="580"/>
        <w:spacing w:after="0"/>
        <w:tabs>
          <w:tab w:leader="none" w:pos="13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due to little or no market data, which require the reporting entity to develop its own assumptions.</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carrying amount and approximate fair value of financial instruments as of September 30, 2023 and December 31, 2022, were as follows: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September 30, 2023</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56"/>
              <w:spacing w:after="0"/>
              <w:rPr>
                <w:sz w:val="20"/>
                <w:szCs w:val="20"/>
                <w:color w:val="auto"/>
              </w:rPr>
            </w:pPr>
            <w:r>
              <w:rPr>
                <w:rFonts w:ascii="Arial" w:cs="Arial" w:eastAsia="Arial" w:hAnsi="Arial"/>
                <w:sz w:val="14"/>
                <w:szCs w:val="14"/>
                <w:b w:val="1"/>
                <w:bCs w:val="1"/>
                <w:color w:val="auto"/>
              </w:rPr>
              <w:t>December 31, 2022</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69"/>
        </w:trPr>
        <w:tc>
          <w:tcPr>
            <w:tcW w:w="4040" w:type="dxa"/>
            <w:vAlign w:val="bottom"/>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Carrying Amount</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Carrying Amount</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Valuation Inputs</w:t>
            </w:r>
          </w:p>
        </w:tc>
      </w:tr>
      <w:tr>
        <w:trPr>
          <w:trHeight w:val="237"/>
        </w:trPr>
        <w:tc>
          <w:tcPr>
            <w:tcW w:w="4040" w:type="dxa"/>
            <w:vAlign w:val="bottom"/>
            <w:shd w:val="clear" w:color="auto" w:fill="CFF0FC"/>
          </w:tcPr>
          <w:p>
            <w:pPr>
              <w:ind w:left="6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r>
      <w:tr>
        <w:trPr>
          <w:trHeight w:val="237"/>
        </w:trPr>
        <w:tc>
          <w:tcPr>
            <w:tcW w:w="404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jc w:val="right"/>
              <w:ind w:right="179"/>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772,195</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772,195</w:t>
            </w:r>
          </w:p>
        </w:tc>
        <w:tc>
          <w:tcPr>
            <w:tcW w:w="5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704,882</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704,882</w:t>
            </w:r>
          </w:p>
        </w:tc>
        <w:tc>
          <w:tcPr>
            <w:tcW w:w="2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Level 1</w:t>
            </w:r>
          </w:p>
        </w:tc>
      </w:tr>
      <w:tr>
        <w:trPr>
          <w:trHeight w:val="249"/>
        </w:trPr>
        <w:tc>
          <w:tcPr>
            <w:tcW w:w="4040" w:type="dxa"/>
            <w:vAlign w:val="bottom"/>
            <w:shd w:val="clear" w:color="auto" w:fill="CFF0FC"/>
          </w:tcPr>
          <w:p>
            <w:pPr>
              <w:ind w:left="60"/>
              <w:spacing w:after="0"/>
              <w:rPr>
                <w:sz w:val="20"/>
                <w:szCs w:val="20"/>
                <w:color w:val="auto"/>
              </w:rPr>
            </w:pPr>
            <w:r>
              <w:rPr>
                <w:rFonts w:ascii="Arial" w:cs="Arial" w:eastAsia="Arial" w:hAnsi="Arial"/>
                <w:sz w:val="18"/>
                <w:szCs w:val="18"/>
                <w:color w:val="auto"/>
              </w:rPr>
              <w:t>Investments</w:t>
            </w:r>
          </w:p>
        </w:tc>
        <w:tc>
          <w:tcPr>
            <w:tcW w:w="3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r>
      <w:tr>
        <w:trPr>
          <w:trHeight w:val="230"/>
        </w:trPr>
        <w:tc>
          <w:tcPr>
            <w:tcW w:w="4040" w:type="dxa"/>
            <w:vAlign w:val="bottom"/>
          </w:tcPr>
          <w:p>
            <w:pPr>
              <w:ind w:left="200"/>
              <w:spacing w:after="0"/>
              <w:rPr>
                <w:sz w:val="20"/>
                <w:szCs w:val="20"/>
                <w:color w:val="auto"/>
              </w:rPr>
            </w:pPr>
            <w:r>
              <w:rPr>
                <w:rFonts w:ascii="Arial" w:cs="Arial" w:eastAsia="Arial" w:hAnsi="Arial"/>
                <w:sz w:val="18"/>
                <w:szCs w:val="18"/>
                <w:color w:val="auto"/>
              </w:rPr>
              <w:t>Bank certificates of deposit</w:t>
            </w: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39,982,213</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39,982,213</w:t>
            </w:r>
          </w:p>
        </w:tc>
        <w:tc>
          <w:tcPr>
            <w:tcW w:w="2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Level 2</w:t>
            </w:r>
          </w:p>
        </w:tc>
      </w:tr>
    </w:tbl>
    <w:p>
      <w:pPr>
        <w:spacing w:after="0" w:line="214" w:lineRule="exact"/>
        <w:rPr>
          <w:sz w:val="20"/>
          <w:szCs w:val="20"/>
          <w:color w:val="auto"/>
        </w:rPr>
      </w:pPr>
    </w:p>
    <w:p>
      <w:pPr>
        <w:ind w:right="460" w:firstLine="509"/>
        <w:spacing w:after="0" w:line="263" w:lineRule="auto"/>
        <w:rPr>
          <w:sz w:val="20"/>
          <w:szCs w:val="20"/>
          <w:color w:val="auto"/>
        </w:rPr>
      </w:pPr>
      <w:r>
        <w:rPr>
          <w:rFonts w:ascii="Arial" w:cs="Arial" w:eastAsia="Arial" w:hAnsi="Arial"/>
          <w:sz w:val="18"/>
          <w:szCs w:val="18"/>
          <w:color w:val="auto"/>
        </w:rPr>
        <w:t>Short-term investments consisting of bank certificates of deposit with an original purchased maturity greater than three months are classified as held-to-maturity and are stated at amortized cost, which approximates fair value due to the short-term maturities and market rates of interest of these instruments.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117" w:lineRule="exact"/>
        <w:rPr>
          <w:sz w:val="20"/>
          <w:szCs w:val="20"/>
          <w:color w:val="auto"/>
        </w:rPr>
      </w:pPr>
    </w:p>
    <w:p>
      <w:pPr>
        <w:ind w:right="160" w:firstLine="509"/>
        <w:spacing w:after="0" w:line="275" w:lineRule="auto"/>
        <w:rPr>
          <w:sz w:val="20"/>
          <w:szCs w:val="20"/>
          <w:color w:val="auto"/>
        </w:rPr>
      </w:pPr>
      <w:r>
        <w:rPr>
          <w:rFonts w:ascii="Arial" w:cs="Arial" w:eastAsia="Arial" w:hAnsi="Arial"/>
          <w:sz w:val="17"/>
          <w:szCs w:val="17"/>
          <w:color w:val="auto"/>
        </w:rPr>
        <w:t>The Company has operating leases primarily for real estate in the United States and Japan. The United States lease is for the Company’s headquarters in San Diego and has a term of five years ending January 31, 2027, with annual escalations. The Company’s lease in Tokyo, Japan has a term of two years ending May 2025 with an auto-renewal, two-year extension. The real estate operating leases are included in "Right-of-use asset” on the Company's balance sheet and represents the Company’s right to use the underlying assets for the lease term. The Company’s obligation to make lease payments are included in "Operating lease liability" and "Other non-current liabilities" on the Company's balance sheet.</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related to the Company’s right-of-use assets and related lease liabilities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gridSpan w:val="3"/>
          </w:tcPr>
          <w:p>
            <w:pPr>
              <w:ind w:left="640"/>
              <w:spacing w:after="0"/>
              <w:rPr>
                <w:sz w:val="20"/>
                <w:szCs w:val="20"/>
                <w:color w:val="auto"/>
              </w:rPr>
            </w:pPr>
            <w:r>
              <w:rPr>
                <w:rFonts w:ascii="Arial" w:cs="Arial" w:eastAsia="Arial" w:hAnsi="Arial"/>
                <w:sz w:val="14"/>
                <w:szCs w:val="14"/>
                <w:b w:val="1"/>
                <w:bCs w:val="1"/>
                <w:color w:val="auto"/>
                <w:w w:val="94"/>
              </w:rPr>
              <w:t>Three months ended</w:t>
            </w: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20" w:type="dxa"/>
            <w:vAlign w:val="bottom"/>
            <w:gridSpan w:val="5"/>
          </w:tcPr>
          <w:p>
            <w:pPr>
              <w:jc w:val="center"/>
              <w:ind w:left="434"/>
              <w:spacing w:after="0"/>
              <w:rPr>
                <w:sz w:val="20"/>
                <w:szCs w:val="20"/>
                <w:color w:val="auto"/>
              </w:rPr>
            </w:pPr>
            <w:r>
              <w:rPr>
                <w:rFonts w:ascii="Arial" w:cs="Arial" w:eastAsia="Arial" w:hAnsi="Arial"/>
                <w:sz w:val="14"/>
                <w:szCs w:val="14"/>
                <w:b w:val="1"/>
                <w:bCs w:val="1"/>
                <w:color w:val="auto"/>
                <w:w w:val="92"/>
              </w:rPr>
              <w:t>Nine months ended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60" w:type="dxa"/>
            <w:vAlign w:val="bottom"/>
            <w:gridSpan w:val="3"/>
          </w:tcPr>
          <w:p>
            <w:pPr>
              <w:ind w:left="840"/>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gridSpan w:val="4"/>
          </w:tcPr>
          <w:p>
            <w:pPr>
              <w:jc w:val="center"/>
              <w:ind w:right="79"/>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6"/>
        </w:trPr>
        <w:tc>
          <w:tcPr>
            <w:tcW w:w="432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320" w:type="dxa"/>
            <w:vAlign w:val="bottom"/>
          </w:tcPr>
          <w:p>
            <w:pPr>
              <w:ind w:left="20"/>
              <w:spacing w:after="0"/>
              <w:rPr>
                <w:sz w:val="20"/>
                <w:szCs w:val="20"/>
                <w:color w:val="auto"/>
              </w:rPr>
            </w:pPr>
            <w:r>
              <w:rPr>
                <w:rFonts w:ascii="Arial" w:cs="Arial" w:eastAsia="Arial" w:hAnsi="Arial"/>
                <w:sz w:val="18"/>
                <w:szCs w:val="18"/>
                <w:color w:val="auto"/>
              </w:rPr>
              <w:t>Cash paid for operating lease liabilities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660"/>
              <w:spacing w:after="0"/>
              <w:rPr>
                <w:sz w:val="20"/>
                <w:szCs w:val="20"/>
                <w:color w:val="auto"/>
              </w:rPr>
            </w:pPr>
            <w:r>
              <w:rPr>
                <w:rFonts w:ascii="Arial" w:cs="Arial" w:eastAsia="Arial" w:hAnsi="Arial"/>
                <w:sz w:val="18"/>
                <w:szCs w:val="18"/>
                <w:color w:val="auto"/>
                <w:w w:val="87"/>
              </w:rPr>
              <w:t>64,024</w:t>
            </w:r>
          </w:p>
        </w:tc>
        <w:tc>
          <w:tcPr>
            <w:tcW w:w="24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62,045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189,622</w:t>
            </w:r>
          </w:p>
        </w:tc>
        <w:tc>
          <w:tcPr>
            <w:tcW w:w="24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128,280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costs</w:t>
            </w:r>
          </w:p>
        </w:tc>
        <w:tc>
          <w:tcPr>
            <w:tcW w:w="380" w:type="dxa"/>
            <w:vAlign w:val="bottom"/>
            <w:shd w:val="clear" w:color="auto" w:fill="CFF0FC"/>
          </w:tcPr>
          <w:p>
            <w:pPr>
              <w:spacing w:after="0"/>
              <w:rPr>
                <w:sz w:val="21"/>
                <w:szCs w:val="21"/>
                <w:color w:val="auto"/>
              </w:rPr>
            </w:pPr>
          </w:p>
        </w:tc>
        <w:tc>
          <w:tcPr>
            <w:tcW w:w="11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87"/>
              </w:rPr>
              <w:t>64,011</w:t>
            </w: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64,004</w:t>
            </w:r>
          </w:p>
        </w:tc>
        <w:tc>
          <w:tcPr>
            <w:tcW w:w="100" w:type="dxa"/>
            <w:vAlign w:val="bottom"/>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190,240</w:t>
            </w: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176,896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2"/>
        </w:trPr>
        <w:tc>
          <w:tcPr>
            <w:tcW w:w="4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gridSpan w:val="4"/>
          </w:tcPr>
          <w:p>
            <w:pPr>
              <w:jc w:val="center"/>
              <w:ind w:right="354"/>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5"/>
        </w:trPr>
        <w:tc>
          <w:tcPr>
            <w:tcW w:w="4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operating lease liabilities</w:t>
            </w:r>
          </w:p>
        </w:tc>
        <w:tc>
          <w:tcPr>
            <w:tcW w:w="3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205,394</w:t>
            </w:r>
          </w:p>
        </w:tc>
        <w:tc>
          <w:tcPr>
            <w:tcW w:w="28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157,505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463,838</w:t>
            </w:r>
          </w:p>
        </w:tc>
        <w:tc>
          <w:tcPr>
            <w:tcW w:w="2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523,619</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lease liabilities</w:t>
            </w:r>
          </w:p>
        </w:tc>
        <w:tc>
          <w:tcPr>
            <w:tcW w:w="38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669,232</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681,124</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320" w:type="dxa"/>
            <w:vAlign w:val="bottom"/>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3.06</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32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gridSpan w:val="2"/>
          </w:tcPr>
          <w:p>
            <w:pPr>
              <w:jc w:val="right"/>
              <w:ind w:right="19"/>
              <w:spacing w:after="0"/>
              <w:rPr>
                <w:sz w:val="20"/>
                <w:szCs w:val="20"/>
                <w:color w:val="auto"/>
              </w:rPr>
            </w:pPr>
            <w:r>
              <w:rPr>
                <w:rFonts w:ascii="Arial" w:cs="Arial" w:eastAsia="Arial" w:hAnsi="Arial"/>
                <w:sz w:val="18"/>
                <w:szCs w:val="18"/>
                <w:color w:val="auto"/>
              </w:rPr>
              <w:t>9.1 %</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30"/>
        </w:trPr>
        <w:tc>
          <w:tcPr>
            <w:tcW w:w="6100" w:type="dxa"/>
            <w:vAlign w:val="bottom"/>
            <w:gridSpan w:val="4"/>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10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w w:val="94"/>
              </w:rPr>
              <w:t>Maturities of operating lease liabilities as of September 30, 2023 were as follows:</w:t>
            </w:r>
          </w:p>
        </w:tc>
        <w:tc>
          <w:tcPr>
            <w:tcW w:w="5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tcPr>
          <w:p>
            <w:pPr>
              <w:ind w:left="20"/>
              <w:spacing w:after="0"/>
              <w:rPr>
                <w:sz w:val="20"/>
                <w:szCs w:val="20"/>
                <w:color w:val="auto"/>
              </w:rPr>
            </w:pPr>
            <w:r>
              <w:rPr>
                <w:rFonts w:ascii="Arial" w:cs="Arial" w:eastAsia="Arial" w:hAnsi="Arial"/>
                <w:sz w:val="18"/>
                <w:szCs w:val="18"/>
                <w:color w:val="auto"/>
              </w:rPr>
              <w:t>2023 (remaining three months)</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63,599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3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261,420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tcPr>
          <w:p>
            <w:pPr>
              <w:ind w:left="20"/>
              <w:spacing w:after="0"/>
              <w:rPr>
                <w:sz w:val="20"/>
                <w:szCs w:val="20"/>
                <w:color w:val="auto"/>
              </w:rPr>
            </w:pPr>
            <w:r>
              <w:rPr>
                <w:rFonts w:ascii="Arial" w:cs="Arial" w:eastAsia="Arial" w:hAnsi="Arial"/>
                <w:sz w:val="18"/>
                <w:szCs w:val="18"/>
                <w:color w:val="auto"/>
              </w:rPr>
              <w:t>2025</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227,690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3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206,483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2027</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17,269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38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320" w:type="dxa"/>
            <w:vAlign w:val="bottom"/>
            <w:tcBorders>
              <w:top w:val="single" w:sz="8" w:color="CFF0FC"/>
            </w:tcBorders>
          </w:tcPr>
          <w:p>
            <w:pPr>
              <w:ind w:left="300"/>
              <w:spacing w:after="0"/>
              <w:rPr>
                <w:sz w:val="20"/>
                <w:szCs w:val="20"/>
                <w:color w:val="auto"/>
              </w:rPr>
            </w:pPr>
            <w:r>
              <w:rPr>
                <w:rFonts w:ascii="Arial" w:cs="Arial" w:eastAsia="Arial" w:hAnsi="Arial"/>
                <w:sz w:val="18"/>
                <w:szCs w:val="18"/>
                <w:color w:val="auto"/>
              </w:rPr>
              <w:t>Total minimum payments</w:t>
            </w:r>
          </w:p>
        </w:tc>
        <w:tc>
          <w:tcPr>
            <w:tcW w:w="380" w:type="dxa"/>
            <w:vAlign w:val="bottom"/>
            <w:tcBorders>
              <w:top w:val="single" w:sz="8" w:color="CFF0FC"/>
            </w:tcBorders>
          </w:tcPr>
          <w:p>
            <w:pPr>
              <w:spacing w:after="0"/>
              <w:rPr>
                <w:sz w:val="20"/>
                <w:szCs w:val="20"/>
                <w:color w:val="auto"/>
              </w:rPr>
            </w:pPr>
          </w:p>
        </w:tc>
        <w:tc>
          <w:tcPr>
            <w:tcW w:w="116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560" w:type="dxa"/>
            <w:vAlign w:val="bottom"/>
            <w:tcBorders>
              <w:top w:val="single" w:sz="8" w:color="CFF0FC"/>
            </w:tcBorders>
          </w:tcPr>
          <w:p>
            <w:pPr>
              <w:spacing w:after="0"/>
              <w:rPr>
                <w:sz w:val="20"/>
                <w:szCs w:val="20"/>
                <w:color w:val="auto"/>
              </w:rPr>
            </w:pPr>
          </w:p>
        </w:tc>
        <w:tc>
          <w:tcPr>
            <w:tcW w:w="520" w:type="dxa"/>
            <w:vAlign w:val="bottom"/>
            <w:tcBorders>
              <w:top w:val="single" w:sz="8" w:color="CFF0FC"/>
            </w:tcBorders>
          </w:tcPr>
          <w:p>
            <w:pPr>
              <w:spacing w:after="0"/>
              <w:rPr>
                <w:sz w:val="20"/>
                <w:szCs w:val="20"/>
                <w:color w:val="auto"/>
              </w:rPr>
            </w:pPr>
          </w:p>
        </w:tc>
        <w:tc>
          <w:tcPr>
            <w:tcW w:w="44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520" w:type="dxa"/>
            <w:vAlign w:val="bottom"/>
            <w:tcBorders>
              <w:top w:val="single" w:sz="8" w:color="CFF0FC"/>
            </w:tcBorders>
          </w:tcPr>
          <w:p>
            <w:pPr>
              <w:spacing w:after="0"/>
              <w:rPr>
                <w:sz w:val="20"/>
                <w:szCs w:val="20"/>
                <w:color w:val="auto"/>
              </w:rPr>
            </w:pPr>
          </w:p>
        </w:tc>
        <w:tc>
          <w:tcPr>
            <w:tcW w:w="68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776,461</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imputed interest</w:t>
            </w:r>
          </w:p>
        </w:tc>
        <w:tc>
          <w:tcPr>
            <w:tcW w:w="3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(107,229 )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3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lease liabilities</w:t>
            </w:r>
          </w:p>
        </w:tc>
        <w:tc>
          <w:tcPr>
            <w:tcW w:w="380" w:type="dxa"/>
            <w:vAlign w:val="bottom"/>
            <w:tcBorders>
              <w:top w:val="single" w:sz="8" w:color="CFF0FC"/>
            </w:tcBorders>
          </w:tcPr>
          <w:p>
            <w:pPr>
              <w:spacing w:after="0"/>
              <w:rPr>
                <w:sz w:val="20"/>
                <w:szCs w:val="20"/>
                <w:color w:val="auto"/>
              </w:rPr>
            </w:pPr>
          </w:p>
        </w:tc>
        <w:tc>
          <w:tcPr>
            <w:tcW w:w="116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560" w:type="dxa"/>
            <w:vAlign w:val="bottom"/>
            <w:tcBorders>
              <w:top w:val="single" w:sz="8" w:color="CFF0FC"/>
            </w:tcBorders>
          </w:tcPr>
          <w:p>
            <w:pPr>
              <w:spacing w:after="0"/>
              <w:rPr>
                <w:sz w:val="20"/>
                <w:szCs w:val="20"/>
                <w:color w:val="auto"/>
              </w:rPr>
            </w:pPr>
          </w:p>
        </w:tc>
        <w:tc>
          <w:tcPr>
            <w:tcW w:w="520" w:type="dxa"/>
            <w:vAlign w:val="bottom"/>
            <w:tcBorders>
              <w:top w:val="single" w:sz="8" w:color="CFF0FC"/>
            </w:tcBorders>
          </w:tcPr>
          <w:p>
            <w:pPr>
              <w:spacing w:after="0"/>
              <w:rPr>
                <w:sz w:val="20"/>
                <w:szCs w:val="20"/>
                <w:color w:val="auto"/>
              </w:rPr>
            </w:pPr>
          </w:p>
        </w:tc>
        <w:tc>
          <w:tcPr>
            <w:tcW w:w="44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520" w:type="dxa"/>
            <w:vAlign w:val="bottom"/>
            <w:tcBorders>
              <w:top w:val="single" w:sz="8" w:color="CFF0FC"/>
            </w:tcBorders>
          </w:tcPr>
          <w:p>
            <w:pPr>
              <w:spacing w:after="0"/>
              <w:rPr>
                <w:sz w:val="20"/>
                <w:szCs w:val="20"/>
                <w:color w:val="auto"/>
              </w:rPr>
            </w:pPr>
          </w:p>
        </w:tc>
        <w:tc>
          <w:tcPr>
            <w:tcW w:w="68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669,232</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vMerge w:val="restart"/>
          </w:tcPr>
          <w:p>
            <w:pPr>
              <w:ind w:left="84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3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-3886835</wp:posOffset>
            </wp:positionV>
            <wp:extent cx="4401820" cy="4845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401820" cy="4845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-2545080</wp:posOffset>
            </wp:positionV>
            <wp:extent cx="7132320" cy="3340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3340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162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355"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Product Liability</w:t>
      </w:r>
    </w:p>
    <w:p>
      <w:pPr>
        <w:spacing w:after="0" w:line="117" w:lineRule="exact"/>
        <w:rPr>
          <w:sz w:val="20"/>
          <w:szCs w:val="20"/>
          <w:color w:val="auto"/>
        </w:rPr>
      </w:pPr>
    </w:p>
    <w:p>
      <w:pPr>
        <w:ind w:right="40" w:firstLine="494"/>
        <w:spacing w:after="0" w:line="275" w:lineRule="auto"/>
        <w:rPr>
          <w:sz w:val="20"/>
          <w:szCs w:val="20"/>
          <w:color w:val="auto"/>
        </w:rPr>
      </w:pPr>
      <w:r>
        <w:rPr>
          <w:rFonts w:ascii="Arial" w:cs="Arial" w:eastAsia="Arial" w:hAnsi="Arial"/>
          <w:sz w:val="17"/>
          <w:szCs w:val="17"/>
          <w:color w:val="auto"/>
        </w:rPr>
        <w:t>The Company’s business exposes it to liability risks from its potential drug products. A successful product liability claim or series of claims brought against the Company could result in the payment of significant amounts of money and divert management’s attention from running the business. The Company may not be able to maintain insurance on acceptable terms, or the insurance may not provide adequate protection in the case of a product liability claim. To the extent that product liability insurance, if available, does not cover potential claims, the Company would be required to self-insure the risks associated with such claims. The Company believes it carries reasonably adequate insurance for product liability.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Research Agreements</w:t>
      </w:r>
    </w:p>
    <w:p>
      <w:pPr>
        <w:spacing w:after="0" w:line="117" w:lineRule="exact"/>
        <w:rPr>
          <w:sz w:val="20"/>
          <w:szCs w:val="20"/>
          <w:color w:val="auto"/>
        </w:rPr>
      </w:pPr>
    </w:p>
    <w:p>
      <w:pPr>
        <w:ind w:right="100" w:firstLine="490"/>
        <w:spacing w:after="0" w:line="257" w:lineRule="auto"/>
        <w:rPr>
          <w:sz w:val="20"/>
          <w:szCs w:val="20"/>
          <w:color w:val="auto"/>
        </w:rPr>
      </w:pPr>
      <w:r>
        <w:rPr>
          <w:rFonts w:ascii="Arial" w:cs="Arial" w:eastAsia="Arial" w:hAnsi="Arial"/>
          <w:sz w:val="18"/>
          <w:szCs w:val="18"/>
          <w:color w:val="auto"/>
        </w:rPr>
        <w:t>The Company has entered into in-licensing agreements with various pharmaceutical companies. Under the terms of these agreements, the Company has received licenses to research, know-how and technology claimed in specified patents or patent applications. Under these license agreements, the Company is generally required to make upfront payments and additional payments upon the achievement of milestones and/or royalties on future sales of products until the later of the expiration of the applicable patent or the applicable last date of market exclusivity after the first commercial sale, on a country-by-country basis.</w:t>
      </w:r>
    </w:p>
    <w:p>
      <w:pPr>
        <w:spacing w:after="0" w:line="200" w:lineRule="exact"/>
        <w:rPr>
          <w:sz w:val="20"/>
          <w:szCs w:val="20"/>
          <w:color w:val="auto"/>
        </w:rPr>
      </w:pPr>
    </w:p>
    <w:p>
      <w:pPr>
        <w:spacing w:after="0" w:line="204" w:lineRule="exact"/>
        <w:rPr>
          <w:sz w:val="20"/>
          <w:szCs w:val="20"/>
          <w:color w:val="auto"/>
        </w:rPr>
      </w:pPr>
    </w:p>
    <w:p>
      <w:pPr>
        <w:ind w:firstLine="494"/>
        <w:spacing w:after="0" w:line="255" w:lineRule="auto"/>
        <w:rPr>
          <w:sz w:val="20"/>
          <w:szCs w:val="20"/>
          <w:color w:val="auto"/>
        </w:rPr>
      </w:pPr>
      <w:r>
        <w:rPr>
          <w:rFonts w:ascii="Arial" w:cs="Arial" w:eastAsia="Arial" w:hAnsi="Arial"/>
          <w:sz w:val="18"/>
          <w:szCs w:val="18"/>
          <w:color w:val="auto"/>
        </w:rPr>
        <w:t>No milestone payments have been made under these agreements during the three and nine months ended September 30, 2023 and 2022. For products currently in development, future potential milestone payments based on product development of MN-166 (ibudilast) and MN-001 (tipelukast) are $10 million as of September 30, 2023. For all other products, future potential milestone payments related to development milestones and commercialization milestones totaled $16.5 million as of September 30, 2023. There are no minimum royalties required under any of the license agreements. The Company is unable to estimate with certainty the timing on when these milestone payments will occur as these payments are dependent upon the progress of the Company’s product development programs.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260" w:firstLine="490"/>
        <w:spacing w:after="0" w:line="263" w:lineRule="auto"/>
        <w:rPr>
          <w:sz w:val="20"/>
          <w:szCs w:val="20"/>
          <w:color w:val="auto"/>
        </w:rPr>
      </w:pPr>
      <w:r>
        <w:rPr>
          <w:rFonts w:ascii="Arial" w:cs="Arial" w:eastAsia="Arial" w:hAnsi="Arial"/>
          <w:sz w:val="18"/>
          <w:szCs w:val="18"/>
          <w:color w:val="auto"/>
        </w:rPr>
        <w:t>From time to time, the Company may be subject to legal proceedings and claims in the ordinary course of business. The Company is not aware of any such proceedings or claims that it believes will have, individually or in aggregate, a material adverse effect on its business, financial condition or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7"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In June 2013, the Company adopted the 2013 Equity Incentive Plan, or 2013 Plan, under which the Company granted equity-based awards, including stock options, stock appreciation rights, restricted stock, and restricted stock units to individuals who were then employees, officers, non-employee directors or consultants of the Company or its subsidiaries. A total of 8,700,000 shares of common stock were reserved for issuance under the 2013 Plan. In addition, “returning shares” that may become available from time to time were added back to the plan. “Returning shares” included shares that were subject to outstanding awards granted under the Company's prior 2004 Equity Incentive Plan that expired or terminated prior to exercise or settlement, were forfeited because of the failure to vest, were repurchased, or were withheld to satisfy tax withholding or purchase price obligations in connection with such awards. Although the Company no longer grants equity awards under the 2013 Plan, all outstanding stock awards granted under the 2013 Plan will continue to be subject to the terms and conditions as set forth in the agreements evidencing such stock awards and the terms of the 2013 Plan.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ind w:firstLine="509"/>
        <w:spacing w:after="0" w:line="267" w:lineRule="auto"/>
        <w:rPr>
          <w:sz w:val="20"/>
          <w:szCs w:val="20"/>
          <w:color w:val="auto"/>
        </w:rPr>
      </w:pPr>
      <w:r>
        <w:rPr>
          <w:rFonts w:ascii="Arial" w:cs="Arial" w:eastAsia="Arial" w:hAnsi="Arial"/>
          <w:sz w:val="17"/>
          <w:szCs w:val="17"/>
          <w:color w:val="auto"/>
        </w:rPr>
        <w:t>In June 2023, the Company adopted the 2023 Equity Incentive Plan, or 2023 Plan, under which the Company may grant stock options, stock appreciation rights, restricted stock, restricted stock units and other awards to individuals who are then employees, officers, non-employee directors or consultants of the Company or its subsidiaries. The 2023 Plan is the successor to the 2013 Plan. A total of 8,700,000 shares of common stock are reserved for issuance under the 2023 Plan. The number of shares of common stock that may be issued under the 2023 Plan is equal to the sum of (a) shares subject to awards granted under the 2013 Plan that were outstanding upon expiration of the 2013 Plan and are subsequently forfeited, expire or lapse unexercised or unsettled and shares issued pursuant to awards granted under the 2013 Plan that were outstanding upon expiration of the 2013 Plan and are subsequently forfeited to or reacquired by the Company and (b) shares reserved under the 2013 Plan that were not issued or subject to outstanding awards under the 2013 Plan upon expiration of the 2013 Plan. While a maximum of 9,934,567 shares may become available for issuance under the 2023 Plan from the 2013 Plan, since this figure assumes that all awards outstanding under the 2013 Plan upon expiration of the 2013 Plan will be forfeited, the Company expects the actual number of shares added to the 2023 Plan to be less. In general, to the extent that awards under the 2023 Plan are forfeited, cancelled or expire for any reason before being exercised or settled in full, the shares subject to such awards will again become available for issuance under the 2023 Plan. If stock appreciation rights are exercised or restricted stock units are settled, then only the number of shares (if any) actually issued to the participant will reduce the number of shares available under the 2023 Plan. If restricted shares or shares issued upon exercise of options are reacquired by the Company pursuant to a forfeiture provision, repurchase right or for any other reason, then such shares shall again become available for issuance under the 2023 Plan. Shares withheld to pay the exercise price of options or satisfy tax withholding obligations related to an award shall again become available for issuance under the 2023 Plan. Further, to the extent an award is settled in cash rather than shares, the cash settlement shall not reduce the number of shares available for issuance under the 2023 Plan.</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2023, 1,629,818 shares remain available for future grants under the 2023 Plan.</w:t>
      </w:r>
    </w:p>
    <w:p>
      <w:pPr>
        <w:spacing w:after="0" w:line="225" w:lineRule="exact"/>
        <w:rPr>
          <w:sz w:val="20"/>
          <w:szCs w:val="20"/>
          <w:color w:val="auto"/>
        </w:rPr>
      </w:pPr>
    </w:p>
    <w:p>
      <w:pPr>
        <w:ind w:right="60" w:firstLine="509"/>
        <w:spacing w:after="0" w:line="289" w:lineRule="auto"/>
        <w:rPr>
          <w:sz w:val="20"/>
          <w:szCs w:val="20"/>
          <w:color w:val="auto"/>
        </w:rPr>
      </w:pPr>
      <w:r>
        <w:rPr>
          <w:rFonts w:ascii="Arial" w:cs="Arial" w:eastAsia="Arial" w:hAnsi="Arial"/>
          <w:sz w:val="16"/>
          <w:szCs w:val="16"/>
          <w:color w:val="auto"/>
        </w:rPr>
        <w:t>Certain of the employee stock options granted contain performance conditions, the vesting of which is based on a determination made by the compensation committee followed by an approval of the board of directors as to the achievement of certain corporate objectives at the end of the performance period. The grant date of such awards is the date on which the board of directors makes its determination. For periods preceding the grant date, the expense related to these awards is measured based on their fair value at each reporting date. The estimated fair value of the performance awards granted and the resulting expense is based upon a certain level of achievement of the corporate objectives and other assumptions in determining fair value. The amount of expense ultimately recognized upon the grant date at completion of the performance period could change from the estimate as a result of various factors, including the level of achievement of the corporate objectives, changes in the assumptions used in the Black-Scholes model in determining fair value or fluctuations in the Company’s stock price during the performance period. As of September 30, 2023, there were a total of 730,350 shares underlying performance options that were subject to vesting based on achievement of corporate objectives for 2023.</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jc w:val="both"/>
        <w:ind w:right="220" w:firstLine="509"/>
        <w:spacing w:after="0" w:line="263" w:lineRule="auto"/>
        <w:rPr>
          <w:sz w:val="20"/>
          <w:szCs w:val="20"/>
          <w:color w:val="auto"/>
        </w:rPr>
      </w:pPr>
      <w:r>
        <w:rPr>
          <w:rFonts w:ascii="Arial" w:cs="Arial" w:eastAsia="Arial" w:hAnsi="Arial"/>
          <w:sz w:val="18"/>
          <w:szCs w:val="18"/>
          <w:color w:val="auto"/>
        </w:rPr>
        <w:t>Options granted under the 2023 Plan and the 2013 Plan have terms of ten years from the date of grant unless earlier terminated and generally vest over a one or four year period. The exercise price of all options granted through September 30, 2023 and 2022, was equal to the fair market value of the Company’s common stock on the date of grant.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and related information as of September 30, 2023 is as follows: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4440" w:type="dxa"/>
            <w:vAlign w:val="bottom"/>
          </w:tcPr>
          <w:p>
            <w:pPr>
              <w:spacing w:after="0"/>
              <w:rPr>
                <w:sz w:val="15"/>
                <w:szCs w:val="15"/>
                <w:color w:val="auto"/>
              </w:rPr>
            </w:pPr>
          </w:p>
        </w:tc>
        <w:tc>
          <w:tcPr>
            <w:tcW w:w="226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5"/>
                <w:szCs w:val="15"/>
                <w:color w:val="auto"/>
              </w:rPr>
            </w:pPr>
          </w:p>
        </w:tc>
        <w:tc>
          <w:tcPr>
            <w:tcW w:w="1720" w:type="dxa"/>
            <w:vAlign w:val="bottom"/>
          </w:tcPr>
          <w:p>
            <w:pPr>
              <w:jc w:val="right"/>
              <w:ind w:right="355"/>
              <w:spacing w:after="0"/>
              <w:rPr>
                <w:sz w:val="20"/>
                <w:szCs w:val="20"/>
                <w:color w:val="auto"/>
              </w:rPr>
            </w:pPr>
            <w:r>
              <w:rPr>
                <w:rFonts w:ascii="Arial" w:cs="Arial" w:eastAsia="Arial" w:hAnsi="Arial"/>
                <w:sz w:val="14"/>
                <w:szCs w:val="14"/>
                <w:b w:val="1"/>
                <w:bCs w:val="1"/>
                <w:color w:val="auto"/>
              </w:rPr>
              <w:t>Weighted Average</w:t>
            </w:r>
          </w:p>
        </w:tc>
        <w:tc>
          <w:tcPr>
            <w:tcW w:w="300" w:type="dxa"/>
            <w:vAlign w:val="bottom"/>
          </w:tcPr>
          <w:p>
            <w:pPr>
              <w:spacing w:after="0"/>
              <w:rPr>
                <w:sz w:val="15"/>
                <w:szCs w:val="15"/>
                <w:color w:val="auto"/>
              </w:rPr>
            </w:pPr>
          </w:p>
        </w:tc>
      </w:tr>
      <w:tr>
        <w:trPr>
          <w:trHeight w:val="185"/>
        </w:trPr>
        <w:tc>
          <w:tcPr>
            <w:tcW w:w="4440" w:type="dxa"/>
            <w:vAlign w:val="bottom"/>
          </w:tcPr>
          <w:p>
            <w:pPr>
              <w:spacing w:after="0"/>
              <w:rPr>
                <w:sz w:val="16"/>
                <w:szCs w:val="16"/>
                <w:color w:val="auto"/>
              </w:rPr>
            </w:pPr>
          </w:p>
        </w:tc>
        <w:tc>
          <w:tcPr>
            <w:tcW w:w="22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Option Shares</w:t>
            </w:r>
          </w:p>
        </w:tc>
        <w:tc>
          <w:tcPr>
            <w:tcW w:w="260" w:type="dxa"/>
            <w:vAlign w:val="bottom"/>
          </w:tcPr>
          <w:p>
            <w:pPr>
              <w:spacing w:after="0"/>
              <w:rPr>
                <w:sz w:val="16"/>
                <w:szCs w:val="16"/>
                <w:color w:val="auto"/>
              </w:rPr>
            </w:pPr>
          </w:p>
        </w:tc>
        <w:tc>
          <w:tcPr>
            <w:tcW w:w="1720" w:type="dxa"/>
            <w:vAlign w:val="bottom"/>
          </w:tcPr>
          <w:p>
            <w:pPr>
              <w:jc w:val="right"/>
              <w:ind w:right="475"/>
              <w:spacing w:after="0"/>
              <w:rPr>
                <w:sz w:val="20"/>
                <w:szCs w:val="20"/>
                <w:color w:val="auto"/>
              </w:rPr>
            </w:pPr>
            <w:r>
              <w:rPr>
                <w:rFonts w:ascii="Arial" w:cs="Arial" w:eastAsia="Arial" w:hAnsi="Arial"/>
                <w:sz w:val="14"/>
                <w:szCs w:val="14"/>
                <w:b w:val="1"/>
                <w:bCs w:val="1"/>
                <w:color w:val="auto"/>
              </w:rPr>
              <w:t>Exercise Price</w:t>
            </w:r>
          </w:p>
        </w:tc>
        <w:tc>
          <w:tcPr>
            <w:tcW w:w="300" w:type="dxa"/>
            <w:vAlign w:val="bottom"/>
          </w:tcPr>
          <w:p>
            <w:pPr>
              <w:spacing w:after="0"/>
              <w:rPr>
                <w:sz w:val="16"/>
                <w:szCs w:val="16"/>
                <w:color w:val="auto"/>
              </w:rPr>
            </w:pPr>
          </w:p>
        </w:tc>
      </w:tr>
      <w:tr>
        <w:trPr>
          <w:trHeight w:val="236"/>
        </w:trPr>
        <w:tc>
          <w:tcPr>
            <w:tcW w:w="4440" w:type="dxa"/>
            <w:vAlign w:val="bottom"/>
            <w:shd w:val="clear" w:color="auto" w:fill="CFF0FC"/>
          </w:tcPr>
          <w:p>
            <w:pPr>
              <w:ind w:left="60"/>
              <w:spacing w:after="0"/>
              <w:rPr>
                <w:sz w:val="20"/>
                <w:szCs w:val="20"/>
                <w:color w:val="auto"/>
              </w:rPr>
            </w:pPr>
            <w:r>
              <w:rPr>
                <w:rFonts w:ascii="Arial" w:cs="Arial" w:eastAsia="Arial" w:hAnsi="Arial"/>
                <w:sz w:val="18"/>
                <w:szCs w:val="18"/>
                <w:color w:val="auto"/>
              </w:rPr>
              <w:t>Outstanding at December 31, 2022</w:t>
            </w: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7,985,250</w:t>
            </w: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300" w:type="dxa"/>
            <w:vAlign w:val="bottom"/>
            <w:shd w:val="clear" w:color="auto" w:fill="CFF0FC"/>
          </w:tcPr>
          <w:p>
            <w:pPr>
              <w:spacing w:after="0"/>
              <w:rPr>
                <w:sz w:val="20"/>
                <w:szCs w:val="20"/>
                <w:color w:val="auto"/>
              </w:rPr>
            </w:pPr>
          </w:p>
        </w:tc>
      </w:tr>
      <w:tr>
        <w:trPr>
          <w:trHeight w:val="237"/>
        </w:trPr>
        <w:tc>
          <w:tcPr>
            <w:tcW w:w="4440" w:type="dxa"/>
            <w:vAlign w:val="bottom"/>
          </w:tcPr>
          <w:p>
            <w:pPr>
              <w:ind w:left="60"/>
              <w:spacing w:after="0"/>
              <w:rPr>
                <w:sz w:val="20"/>
                <w:szCs w:val="20"/>
                <w:color w:val="auto"/>
              </w:rPr>
            </w:pPr>
            <w:r>
              <w:rPr>
                <w:rFonts w:ascii="Arial" w:cs="Arial" w:eastAsia="Arial" w:hAnsi="Arial"/>
                <w:sz w:val="18"/>
                <w:szCs w:val="18"/>
                <w:color w:val="auto"/>
              </w:rPr>
              <w:t>Granted</w:t>
            </w:r>
          </w:p>
        </w:tc>
        <w:tc>
          <w:tcPr>
            <w:tcW w:w="2000" w:type="dxa"/>
            <w:vAlign w:val="bottom"/>
          </w:tcPr>
          <w:p>
            <w:pPr>
              <w:jc w:val="right"/>
              <w:spacing w:after="0"/>
              <w:rPr>
                <w:sz w:val="20"/>
                <w:szCs w:val="20"/>
                <w:color w:val="auto"/>
              </w:rPr>
            </w:pPr>
            <w:r>
              <w:rPr>
                <w:rFonts w:ascii="Arial" w:cs="Arial" w:eastAsia="Arial" w:hAnsi="Arial"/>
                <w:sz w:val="18"/>
                <w:szCs w:val="18"/>
                <w:color w:val="auto"/>
              </w:rPr>
              <w:t>788,683</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2.39</w:t>
            </w:r>
          </w:p>
        </w:tc>
        <w:tc>
          <w:tcPr>
            <w:tcW w:w="300" w:type="dxa"/>
            <w:vAlign w:val="bottom"/>
          </w:tcPr>
          <w:p>
            <w:pPr>
              <w:spacing w:after="0"/>
              <w:rPr>
                <w:sz w:val="20"/>
                <w:szCs w:val="20"/>
                <w:color w:val="auto"/>
              </w:rPr>
            </w:pPr>
          </w:p>
        </w:tc>
      </w:tr>
      <w:tr>
        <w:trPr>
          <w:trHeight w:val="249"/>
        </w:trPr>
        <w:tc>
          <w:tcPr>
            <w:tcW w:w="4440" w:type="dxa"/>
            <w:vAlign w:val="bottom"/>
            <w:shd w:val="clear" w:color="auto" w:fill="CFF0FC"/>
          </w:tcPr>
          <w:p>
            <w:pPr>
              <w:ind w:left="60"/>
              <w:spacing w:after="0"/>
              <w:rPr>
                <w:sz w:val="20"/>
                <w:szCs w:val="20"/>
                <w:color w:val="auto"/>
              </w:rPr>
            </w:pPr>
            <w:r>
              <w:rPr>
                <w:rFonts w:ascii="Arial" w:cs="Arial" w:eastAsia="Arial" w:hAnsi="Arial"/>
                <w:sz w:val="18"/>
                <w:szCs w:val="18"/>
                <w:color w:val="auto"/>
              </w:rPr>
              <w:t>Exercised</w:t>
            </w:r>
          </w:p>
        </w:tc>
        <w:tc>
          <w:tcPr>
            <w:tcW w:w="2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r>
      <w:tr>
        <w:trPr>
          <w:trHeight w:val="237"/>
        </w:trPr>
        <w:tc>
          <w:tcPr>
            <w:tcW w:w="4440" w:type="dxa"/>
            <w:vAlign w:val="bottom"/>
          </w:tcPr>
          <w:p>
            <w:pPr>
              <w:ind w:left="60"/>
              <w:spacing w:after="0"/>
              <w:rPr>
                <w:sz w:val="20"/>
                <w:szCs w:val="20"/>
                <w:color w:val="auto"/>
              </w:rPr>
            </w:pPr>
            <w:r>
              <w:rPr>
                <w:rFonts w:ascii="Arial" w:cs="Arial" w:eastAsia="Arial" w:hAnsi="Arial"/>
                <w:sz w:val="18"/>
                <w:szCs w:val="18"/>
                <w:color w:val="auto"/>
              </w:rPr>
              <w:t>Cancelled</w:t>
            </w:r>
          </w:p>
        </w:tc>
        <w:tc>
          <w:tcPr>
            <w:tcW w:w="2260" w:type="dxa"/>
            <w:vAlign w:val="bottom"/>
            <w:gridSpan w:val="2"/>
          </w:tcPr>
          <w:p>
            <w:pPr>
              <w:jc w:val="right"/>
              <w:ind w:right="200"/>
              <w:spacing w:after="0"/>
              <w:rPr>
                <w:sz w:val="20"/>
                <w:szCs w:val="20"/>
                <w:color w:val="auto"/>
              </w:rPr>
            </w:pPr>
            <w:r>
              <w:rPr>
                <w:rFonts w:ascii="Arial" w:cs="Arial" w:eastAsia="Arial" w:hAnsi="Arial"/>
                <w:sz w:val="18"/>
                <w:szCs w:val="18"/>
                <w:color w:val="auto"/>
              </w:rPr>
              <w:t>(469,184 )</w:t>
            </w:r>
          </w:p>
        </w:tc>
        <w:tc>
          <w:tcPr>
            <w:tcW w:w="2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3.99</w:t>
            </w:r>
          </w:p>
        </w:tc>
        <w:tc>
          <w:tcPr>
            <w:tcW w:w="300" w:type="dxa"/>
            <w:vAlign w:val="bottom"/>
          </w:tcPr>
          <w:p>
            <w:pPr>
              <w:spacing w:after="0"/>
              <w:rPr>
                <w:sz w:val="20"/>
                <w:szCs w:val="20"/>
                <w:color w:val="auto"/>
              </w:rPr>
            </w:pPr>
          </w:p>
        </w:tc>
      </w:tr>
      <w:tr>
        <w:trPr>
          <w:trHeight w:val="276"/>
        </w:trPr>
        <w:tc>
          <w:tcPr>
            <w:tcW w:w="44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Outstanding at September 30, 2023</w:t>
            </w:r>
          </w:p>
        </w:tc>
        <w:tc>
          <w:tcPr>
            <w:tcW w:w="2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8,304,749</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300" w:type="dxa"/>
            <w:vAlign w:val="bottom"/>
            <w:tcBorders>
              <w:bottom w:val="single" w:sz="8" w:color="CFF0FC"/>
            </w:tcBorders>
            <w:shd w:val="clear" w:color="auto" w:fill="CFF0FC"/>
          </w:tcPr>
          <w:p>
            <w:pPr>
              <w:spacing w:after="0"/>
              <w:rPr>
                <w:sz w:val="24"/>
                <w:szCs w:val="24"/>
                <w:color w:val="auto"/>
              </w:rPr>
            </w:pPr>
          </w:p>
        </w:tc>
      </w:tr>
      <w:tr>
        <w:trPr>
          <w:trHeight w:val="224"/>
        </w:trPr>
        <w:tc>
          <w:tcPr>
            <w:tcW w:w="4440" w:type="dxa"/>
            <w:vAlign w:val="bottom"/>
          </w:tcPr>
          <w:p>
            <w:pPr>
              <w:ind w:left="60"/>
              <w:spacing w:after="0"/>
              <w:rPr>
                <w:sz w:val="20"/>
                <w:szCs w:val="20"/>
                <w:color w:val="auto"/>
              </w:rPr>
            </w:pPr>
            <w:r>
              <w:rPr>
                <w:rFonts w:ascii="Arial" w:cs="Arial" w:eastAsia="Arial" w:hAnsi="Arial"/>
                <w:sz w:val="18"/>
                <w:szCs w:val="18"/>
                <w:color w:val="auto"/>
              </w:rPr>
              <w:t>Exercisable at September 30, 2023</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7,512,231</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30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-205105</wp:posOffset>
            </wp:positionV>
            <wp:extent cx="1474470" cy="2057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74470" cy="20574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expense for stock option awards are reflected in total operating expenses for each respective period.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4" w:name="page15"/>
    <w:bookmarkEnd w:id="14"/>
    <w:p>
      <w:pPr>
        <w:ind w:right="960" w:firstLine="509"/>
        <w:spacing w:after="0" w:line="277" w:lineRule="auto"/>
        <w:rPr>
          <w:sz w:val="20"/>
          <w:szCs w:val="20"/>
          <w:color w:val="auto"/>
        </w:rPr>
      </w:pPr>
      <w:r>
        <w:rPr>
          <w:rFonts w:ascii="Arial" w:cs="Arial" w:eastAsia="Arial" w:hAnsi="Arial"/>
          <w:sz w:val="18"/>
          <w:szCs w:val="18"/>
          <w:color w:val="auto"/>
        </w:rPr>
        <w:t>The following table summarizes stock-based compensation expense for the three and nine months ended September 30, 2023 and 2022, respectively: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2"/>
        </w:trPr>
        <w:tc>
          <w:tcPr>
            <w:tcW w:w="38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38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r>
      <w:tr>
        <w:trPr>
          <w:trHeight w:val="243"/>
        </w:trPr>
        <w:tc>
          <w:tcPr>
            <w:tcW w:w="3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development and patents</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75,502</w:t>
            </w:r>
          </w:p>
        </w:tc>
        <w:tc>
          <w:tcPr>
            <w:tcW w:w="24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53,948</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336,657</w:t>
            </w: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192,819</w:t>
            </w:r>
          </w:p>
        </w:tc>
        <w:tc>
          <w:tcPr>
            <w:tcW w:w="100" w:type="dxa"/>
            <w:vAlign w:val="bottom"/>
            <w:shd w:val="clear" w:color="auto" w:fill="CFF0FC"/>
          </w:tcPr>
          <w:p>
            <w:pPr>
              <w:spacing w:after="0"/>
              <w:rPr>
                <w:sz w:val="21"/>
                <w:szCs w:val="21"/>
                <w:color w:val="auto"/>
              </w:rPr>
            </w:pPr>
          </w:p>
        </w:tc>
      </w:tr>
      <w:tr>
        <w:trPr>
          <w:trHeight w:val="237"/>
        </w:trPr>
        <w:tc>
          <w:tcPr>
            <w:tcW w:w="38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143,640</w:t>
            </w:r>
          </w:p>
        </w:tc>
        <w:tc>
          <w:tcPr>
            <w:tcW w:w="24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104,350</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611,458</w:t>
            </w:r>
          </w:p>
        </w:tc>
        <w:tc>
          <w:tcPr>
            <w:tcW w:w="2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321,034</w:t>
            </w:r>
          </w:p>
        </w:tc>
        <w:tc>
          <w:tcPr>
            <w:tcW w:w="100" w:type="dxa"/>
            <w:vAlign w:val="bottom"/>
          </w:tcPr>
          <w:p>
            <w:pPr>
              <w:spacing w:after="0"/>
              <w:rPr>
                <w:sz w:val="20"/>
                <w:szCs w:val="20"/>
                <w:color w:val="auto"/>
              </w:rPr>
            </w:pPr>
          </w:p>
        </w:tc>
      </w:tr>
      <w:tr>
        <w:trPr>
          <w:trHeight w:val="277"/>
        </w:trPr>
        <w:tc>
          <w:tcPr>
            <w:tcW w:w="3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219,142</w:t>
            </w:r>
          </w:p>
        </w:tc>
        <w:tc>
          <w:tcPr>
            <w:tcW w:w="24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158,298</w:t>
            </w:r>
          </w:p>
        </w:tc>
        <w:tc>
          <w:tcPr>
            <w:tcW w:w="2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948,115</w:t>
            </w:r>
          </w:p>
        </w:tc>
        <w:tc>
          <w:tcPr>
            <w:tcW w:w="22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513,853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-24765</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-7620</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ind w:right="140" w:firstLine="509"/>
        <w:spacing w:after="0" w:line="279" w:lineRule="auto"/>
        <w:rPr>
          <w:sz w:val="20"/>
          <w:szCs w:val="20"/>
          <w:color w:val="auto"/>
        </w:rPr>
      </w:pPr>
      <w:r>
        <w:rPr>
          <w:rFonts w:ascii="Arial" w:cs="Arial" w:eastAsia="Arial" w:hAnsi="Arial"/>
          <w:sz w:val="17"/>
          <w:szCs w:val="17"/>
          <w:color w:val="auto"/>
        </w:rPr>
        <w:t>The Company uses the Black-Scholes valuation model for determining the estimated fair value for stock-based awards granted to employees and considers management’s current expectations of the achievement of the performance objectives for the year. The following table provides the assumptions used in the Black-Scholes valuation model used to estimate the fair value of options granted during the nine months ended September 30, 2023 and 2022, and to estimate the fair value of performance-based stock options as of September 30, 2023 and 2022.</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20" w:type="dxa"/>
            <w:vAlign w:val="bottom"/>
            <w:gridSpan w:val="3"/>
          </w:tcPr>
          <w:p>
            <w:pPr>
              <w:jc w:val="right"/>
              <w:ind w:right="648"/>
              <w:spacing w:after="0"/>
              <w:rPr>
                <w:sz w:val="20"/>
                <w:szCs w:val="20"/>
                <w:color w:val="auto"/>
              </w:rPr>
            </w:pPr>
            <w:r>
              <w:rPr>
                <w:rFonts w:ascii="Arial" w:cs="Arial" w:eastAsia="Arial" w:hAnsi="Arial"/>
                <w:sz w:val="14"/>
                <w:szCs w:val="14"/>
                <w:b w:val="1"/>
                <w:bCs w:val="1"/>
                <w:color w:val="auto"/>
                <w:w w:val="98"/>
              </w:rPr>
              <w:t>Nine months ended</w:t>
            </w:r>
          </w:p>
        </w:tc>
        <w:tc>
          <w:tcPr>
            <w:tcW w:w="1520" w:type="dxa"/>
            <w:vAlign w:val="bottom"/>
          </w:tcPr>
          <w:p>
            <w:pPr>
              <w:spacing w:after="0"/>
              <w:rPr>
                <w:sz w:val="15"/>
                <w:szCs w:val="15"/>
                <w:color w:val="auto"/>
              </w:rPr>
            </w:pPr>
          </w:p>
        </w:tc>
      </w:tr>
      <w:tr>
        <w:trPr>
          <w:trHeight w:val="185"/>
        </w:trPr>
        <w:tc>
          <w:tcPr>
            <w:tcW w:w="5580" w:type="dxa"/>
            <w:vAlign w:val="bottom"/>
          </w:tcPr>
          <w:p>
            <w:pPr>
              <w:spacing w:after="0"/>
              <w:rPr>
                <w:sz w:val="16"/>
                <w:szCs w:val="16"/>
                <w:color w:val="auto"/>
              </w:rPr>
            </w:pPr>
          </w:p>
        </w:tc>
        <w:tc>
          <w:tcPr>
            <w:tcW w:w="212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September 30, 2023</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September 30, 2022</w:t>
            </w:r>
          </w:p>
        </w:tc>
      </w:tr>
      <w:tr>
        <w:trPr>
          <w:trHeight w:val="236"/>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Stock Option assumptions:</w:t>
            </w:r>
          </w:p>
        </w:tc>
        <w:tc>
          <w:tcPr>
            <w:tcW w:w="1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r>
      <w:tr>
        <w:trPr>
          <w:trHeight w:val="237"/>
        </w:trPr>
        <w:tc>
          <w:tcPr>
            <w:tcW w:w="55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260" w:type="dxa"/>
            <w:vAlign w:val="bottom"/>
          </w:tcPr>
          <w:p>
            <w:pPr>
              <w:jc w:val="right"/>
              <w:spacing w:after="0"/>
              <w:rPr>
                <w:sz w:val="20"/>
                <w:szCs w:val="20"/>
                <w:color w:val="auto"/>
              </w:rPr>
            </w:pPr>
            <w:r>
              <w:rPr>
                <w:rFonts w:ascii="Arial" w:cs="Arial" w:eastAsia="Arial" w:hAnsi="Arial"/>
                <w:sz w:val="18"/>
                <w:szCs w:val="18"/>
                <w:color w:val="auto"/>
              </w:rPr>
              <w:t>3.59</w:t>
            </w:r>
          </w:p>
        </w:tc>
        <w:tc>
          <w:tcPr>
            <w:tcW w:w="860" w:type="dxa"/>
            <w:vAlign w:val="bottom"/>
          </w:tcPr>
          <w:p>
            <w:pPr>
              <w:ind w:left="20"/>
              <w:spacing w:after="0"/>
              <w:rPr>
                <w:sz w:val="20"/>
                <w:szCs w:val="20"/>
                <w:color w:val="auto"/>
              </w:rPr>
            </w:pPr>
            <w:r>
              <w:rPr>
                <w:rFonts w:ascii="Arial" w:cs="Arial" w:eastAsia="Arial" w:hAnsi="Arial"/>
                <w:sz w:val="18"/>
                <w:szCs w:val="18"/>
                <w:color w:val="auto"/>
              </w:rPr>
              <w:t>- 4.60%</w:t>
            </w: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2.42</w:t>
            </w:r>
          </w:p>
        </w:tc>
        <w:tc>
          <w:tcPr>
            <w:tcW w:w="1520" w:type="dxa"/>
            <w:vAlign w:val="bottom"/>
          </w:tcPr>
          <w:p>
            <w:pPr>
              <w:ind w:left="20"/>
              <w:spacing w:after="0"/>
              <w:rPr>
                <w:sz w:val="20"/>
                <w:szCs w:val="20"/>
                <w:color w:val="auto"/>
              </w:rPr>
            </w:pPr>
            <w:r>
              <w:rPr>
                <w:rFonts w:ascii="Arial" w:cs="Arial" w:eastAsia="Arial" w:hAnsi="Arial"/>
                <w:sz w:val="18"/>
                <w:szCs w:val="18"/>
                <w:color w:val="auto"/>
              </w:rPr>
              <w:t>- 4.06%</w:t>
            </w:r>
          </w:p>
        </w:tc>
      </w:tr>
      <w:tr>
        <w:trPr>
          <w:trHeight w:val="249"/>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 of common stock</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75.17</w:t>
            </w:r>
          </w:p>
        </w:tc>
        <w:tc>
          <w:tcPr>
            <w:tcW w:w="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- 77.96%</w:t>
            </w:r>
          </w:p>
        </w:tc>
        <w:tc>
          <w:tcPr>
            <w:tcW w:w="2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75.13</w:t>
            </w:r>
          </w:p>
        </w:tc>
        <w:tc>
          <w:tcPr>
            <w:tcW w:w="1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- 79.35%</w:t>
            </w:r>
          </w:p>
        </w:tc>
      </w:tr>
      <w:tr>
        <w:trPr>
          <w:trHeight w:val="237"/>
        </w:trPr>
        <w:tc>
          <w:tcPr>
            <w:tcW w:w="55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120" w:type="dxa"/>
            <w:vAlign w:val="bottom"/>
            <w:gridSpan w:val="2"/>
          </w:tcPr>
          <w:p>
            <w:pPr>
              <w:jc w:val="right"/>
              <w:ind w:right="410"/>
              <w:spacing w:after="0"/>
              <w:rPr>
                <w:sz w:val="20"/>
                <w:szCs w:val="20"/>
                <w:color w:val="auto"/>
              </w:rPr>
            </w:pPr>
            <w:r>
              <w:rPr>
                <w:rFonts w:ascii="Arial" w:cs="Arial" w:eastAsia="Arial" w:hAnsi="Arial"/>
                <w:sz w:val="18"/>
                <w:szCs w:val="18"/>
                <w:color w:val="auto"/>
              </w:rPr>
              <w:t>0.00%</w:t>
            </w:r>
          </w:p>
        </w:tc>
        <w:tc>
          <w:tcPr>
            <w:tcW w:w="3540" w:type="dxa"/>
            <w:vAlign w:val="bottom"/>
            <w:gridSpan w:val="4"/>
          </w:tcPr>
          <w:p>
            <w:pPr>
              <w:jc w:val="right"/>
              <w:ind w:right="1070"/>
              <w:spacing w:after="0"/>
              <w:rPr>
                <w:sz w:val="20"/>
                <w:szCs w:val="20"/>
                <w:color w:val="auto"/>
              </w:rPr>
            </w:pPr>
            <w:r>
              <w:rPr>
                <w:rFonts w:ascii="Arial" w:cs="Arial" w:eastAsia="Arial" w:hAnsi="Arial"/>
                <w:sz w:val="18"/>
                <w:szCs w:val="18"/>
                <w:color w:val="auto"/>
              </w:rPr>
              <w:t>0.00%</w:t>
            </w:r>
          </w:p>
        </w:tc>
      </w:tr>
      <w:tr>
        <w:trPr>
          <w:trHeight w:val="249"/>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212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4.88 - 5.38</w:t>
            </w:r>
          </w:p>
        </w:tc>
        <w:tc>
          <w:tcPr>
            <w:tcW w:w="3540" w:type="dxa"/>
            <w:vAlign w:val="bottom"/>
            <w:gridSpan w:val="4"/>
            <w:shd w:val="clear" w:color="auto" w:fill="CFF0FC"/>
          </w:tcPr>
          <w:p>
            <w:pPr>
              <w:jc w:val="right"/>
              <w:ind w:right="910"/>
              <w:spacing w:after="0"/>
              <w:rPr>
                <w:sz w:val="20"/>
                <w:szCs w:val="20"/>
                <w:color w:val="auto"/>
              </w:rPr>
            </w:pPr>
            <w:r>
              <w:rPr>
                <w:rFonts w:ascii="Arial" w:cs="Arial" w:eastAsia="Arial" w:hAnsi="Arial"/>
                <w:sz w:val="18"/>
                <w:szCs w:val="18"/>
                <w:color w:val="auto"/>
              </w:rPr>
              <w:t>4.87 - 5.77</w:t>
            </w:r>
          </w:p>
        </w:tc>
      </w:tr>
    </w:tbl>
    <w:p>
      <w:pPr>
        <w:spacing w:after="0" w:line="269" w:lineRule="exact"/>
        <w:rPr>
          <w:sz w:val="20"/>
          <w:szCs w:val="20"/>
          <w:color w:val="auto"/>
        </w:rPr>
      </w:pPr>
    </w:p>
    <w:p>
      <w:pPr>
        <w:jc w:val="both"/>
        <w:ind w:right="180" w:firstLine="509"/>
        <w:spacing w:after="0" w:line="263" w:lineRule="auto"/>
        <w:rPr>
          <w:sz w:val="20"/>
          <w:szCs w:val="20"/>
          <w:color w:val="auto"/>
        </w:rPr>
      </w:pPr>
      <w:r>
        <w:rPr>
          <w:rFonts w:ascii="Arial" w:cs="Arial" w:eastAsia="Arial" w:hAnsi="Arial"/>
          <w:sz w:val="18"/>
          <w:szCs w:val="18"/>
          <w:color w:val="auto"/>
        </w:rPr>
        <w:t>As of September 30, 2023, there was $0.4 million of unamortized compensation cost related to unvested stock option awards which is expected to be recognized over a remaining weighted-average vesting period of 0.3 years, on a straight-line basis. Such compensation cost will ultimately be adjusted based upon actual performance compared to the corporate objectives as described above.</w:t>
      </w:r>
    </w:p>
    <w:p>
      <w:pPr>
        <w:spacing w:after="0" w:line="265"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The weighted-average fair value of each stock option granted during the nine months ended September 30, 2023 and 2022, estimated as of the grant date using the Black-Scholes option valuation model, was $1.60 and $1.47,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Agreements and Private Placement Transactions</w:t>
      </w:r>
    </w:p>
    <w:p>
      <w:pPr>
        <w:spacing w:after="0" w:line="11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On August 23, 2019, the Company entered into an at the market issuance sales agreement, which was amended on August 26, 2022 (as amended, the “ATM Agreement”) with B. Riley FBR, Inc. (B. Riley FBR) pursuant to which the Company may sell common stock through B. Riley FBR from time to time up to an aggregate offering price of $75.0 million. Sales of the Company’s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the Company’s prior approval. The Company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 shares of common stock were sold under the ATM Agreement in the three and nine months ended September 30, 2023 and 2022, respectively.</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Net Loss Per Share</w:t>
      </w:r>
    </w:p>
    <w:p>
      <w:pPr>
        <w:spacing w:after="0" w:line="121" w:lineRule="exact"/>
        <w:rPr>
          <w:sz w:val="20"/>
          <w:szCs w:val="20"/>
          <w:color w:val="auto"/>
        </w:rPr>
      </w:pPr>
    </w:p>
    <w:p>
      <w:pPr>
        <w:ind w:right="200" w:firstLine="509"/>
        <w:spacing w:after="0" w:line="257"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loss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Common share equivalents are excluded from the diluted net loss per share calculation if their effect is anti-dilutive.</w:t>
      </w:r>
    </w:p>
    <w:p>
      <w:pPr>
        <w:spacing w:after="0" w:line="188" w:lineRule="exact"/>
        <w:rPr>
          <w:sz w:val="20"/>
          <w:szCs w:val="20"/>
          <w:color w:val="auto"/>
        </w:rPr>
      </w:pPr>
    </w:p>
    <w:p>
      <w:pPr>
        <w:ind w:right="200" w:firstLine="509"/>
        <w:spacing w:after="0" w:line="381" w:lineRule="auto"/>
        <w:rPr>
          <w:sz w:val="20"/>
          <w:szCs w:val="20"/>
          <w:color w:val="auto"/>
        </w:rPr>
      </w:pPr>
      <w:r>
        <w:rPr>
          <w:rFonts w:ascii="Arial" w:cs="Arial" w:eastAsia="Arial" w:hAnsi="Arial"/>
          <w:sz w:val="15"/>
          <w:szCs w:val="15"/>
          <w:color w:val="auto"/>
        </w:rPr>
        <w:t>Potentially dilutive outstanding stock options excluded from diluted net loss per common share due to their anti-dilutive effect totaled 8,304,749 shares for both the three and nine months ended September 30, 2023 and 7,985,250 shares for both the three and nine months ended September 30, 2022.</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2022 included in our Annual Report on Form 10-K, as amended, as filed with the Securities and Exchange Commission (SEC) on March 28, 2023 (Annual Report on Form 10-K, as amended). Past operating results are not necessarily indicative of results that may occur in future periods.</w:t>
      </w:r>
    </w:p>
    <w:p>
      <w:pPr>
        <w:spacing w:after="0" w:line="188"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as amended.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72"/>
        <w:spacing w:after="0" w:line="291" w:lineRule="auto"/>
        <w:rPr>
          <w:sz w:val="20"/>
          <w:szCs w:val="20"/>
          <w:color w:val="auto"/>
        </w:rPr>
      </w:pPr>
      <w:r>
        <w:rPr>
          <w:rFonts w:ascii="Arial" w:cs="Arial" w:eastAsia="Arial" w:hAnsi="Arial"/>
          <w:sz w:val="16"/>
          <w:szCs w:val="16"/>
          <w:color w:val="auto"/>
        </w:rPr>
        <w:t>We are a biopharmaceutical company focused on developing novel therapeutics for the treatment of serious diseases with unmet medical needs and a commercial focus on the United States market. Our current strategy is to focus our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prevention of acute respiratory distress syndrome, and Long COVID, and MN-001 (tipelukast) for fibrotic and other diseases such as nonalcoholic fatty liver disease (NAFLD) and idiopathic pulmonary fibrosis (IPF). Our pipeline also includes MN-221 (bedoradrine) for the treatment of acute exacerbation of asthma and MN-029 (denibulin) for solid tumor cancers. We were incorporated in Delaware in September 2000.</w:t>
      </w:r>
    </w:p>
    <w:p>
      <w:pPr>
        <w:spacing w:after="0" w:line="166"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We have incurred significant net losses since our inception. As of September 30, 2023, from inception, our accumulated deficit was $413.6 million. We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92" w:lineRule="exact"/>
        <w:rPr>
          <w:sz w:val="20"/>
          <w:szCs w:val="20"/>
          <w:color w:val="auto"/>
        </w:rPr>
      </w:pPr>
    </w:p>
    <w:p>
      <w:pPr>
        <w:ind w:right="400" w:firstLine="458"/>
        <w:spacing w:after="0" w:line="308" w:lineRule="auto"/>
        <w:rPr>
          <w:sz w:val="20"/>
          <w:szCs w:val="20"/>
          <w:color w:val="auto"/>
        </w:rPr>
      </w:pPr>
      <w:r>
        <w:rPr>
          <w:rFonts w:ascii="Arial" w:cs="Arial" w:eastAsia="Arial" w:hAnsi="Arial"/>
          <w:sz w:val="17"/>
          <w:szCs w:val="17"/>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38" w:lineRule="exact"/>
        <w:rPr>
          <w:sz w:val="20"/>
          <w:szCs w:val="20"/>
          <w:color w:val="auto"/>
        </w:rPr>
      </w:pPr>
    </w:p>
    <w:p>
      <w:pPr>
        <w:ind w:left="1020" w:hanging="503"/>
        <w:spacing w:after="0"/>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Pursue the development of MN-166 (ibudilast) for multiple potential indications with the support of non-dilutive financings.</w:t>
      </w:r>
    </w:p>
    <w:p>
      <w:pPr>
        <w:spacing w:after="0" w:line="130" w:lineRule="exact"/>
        <w:rPr>
          <w:rFonts w:ascii="Arial" w:cs="Arial" w:eastAsia="Arial" w:hAnsi="Arial"/>
          <w:sz w:val="18"/>
          <w:szCs w:val="18"/>
          <w:color w:val="auto"/>
        </w:rPr>
      </w:pPr>
    </w:p>
    <w:p>
      <w:pPr>
        <w:jc w:val="both"/>
        <w:ind w:left="1020" w:right="120"/>
        <w:spacing w:after="0" w:line="263" w:lineRule="auto"/>
        <w:rPr>
          <w:rFonts w:ascii="Arial" w:cs="Arial" w:eastAsia="Arial" w:hAnsi="Arial"/>
          <w:sz w:val="18"/>
          <w:szCs w:val="18"/>
          <w:color w:val="auto"/>
        </w:rPr>
      </w:pPr>
      <w:r>
        <w:rPr>
          <w:rFonts w:ascii="Arial" w:cs="Arial" w:eastAsia="Arial" w:hAnsi="Arial"/>
          <w:sz w:val="18"/>
          <w:szCs w:val="18"/>
          <w:color w:val="auto"/>
        </w:rPr>
        <w:t>We intend to advance our diverse MN-166 (ibudilast) program through a combination of investigator-sponsored clinical trials, trials funded through government grants or other grants, and trials funded by us. We intend to pursue additional strategic alliances to help support further clinical development of MN-166 (ibudilast).</w:t>
      </w:r>
    </w:p>
    <w:p>
      <w:pPr>
        <w:spacing w:after="0" w:line="75" w:lineRule="exact"/>
        <w:rPr>
          <w:rFonts w:ascii="Arial" w:cs="Arial" w:eastAsia="Arial" w:hAnsi="Arial"/>
          <w:sz w:val="18"/>
          <w:szCs w:val="18"/>
          <w:color w:val="auto"/>
        </w:rPr>
      </w:pPr>
    </w:p>
    <w:p>
      <w:pPr>
        <w:ind w:left="1040" w:hanging="564"/>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Pursue the development of MN-001 (tipelukast) for fibrotic and other diseases.</w:t>
      </w:r>
    </w:p>
    <w:p>
      <w:pPr>
        <w:spacing w:after="0" w:line="117" w:lineRule="exact"/>
        <w:rPr>
          <w:rFonts w:ascii="Arial" w:cs="Arial" w:eastAsia="Arial" w:hAnsi="Arial"/>
          <w:sz w:val="18"/>
          <w:szCs w:val="18"/>
          <w:color w:val="auto"/>
        </w:rPr>
      </w:pPr>
    </w:p>
    <w:p>
      <w:pPr>
        <w:ind w:left="1020" w:right="40"/>
        <w:spacing w:after="0" w:line="277" w:lineRule="auto"/>
        <w:rPr>
          <w:rFonts w:ascii="Arial" w:cs="Arial" w:eastAsia="Arial" w:hAnsi="Arial"/>
          <w:sz w:val="18"/>
          <w:szCs w:val="18"/>
          <w:color w:val="auto"/>
        </w:rPr>
      </w:pPr>
      <w:r>
        <w:rPr>
          <w:rFonts w:ascii="Arial" w:cs="Arial" w:eastAsia="Arial" w:hAnsi="Arial"/>
          <w:sz w:val="18"/>
          <w:szCs w:val="18"/>
          <w:color w:val="auto"/>
        </w:rPr>
        <w:t>We intend to advance development of MN-001 (tipelukast) through a variety of means, which may include investigator-sponsored trials with or without grant funding as well as trials funded by us.</w:t>
      </w:r>
    </w:p>
    <w:p>
      <w:pPr>
        <w:spacing w:after="0" w:line="62" w:lineRule="exact"/>
        <w:rPr>
          <w:rFonts w:ascii="Arial" w:cs="Arial" w:eastAsia="Arial" w:hAnsi="Arial"/>
          <w:sz w:val="18"/>
          <w:szCs w:val="18"/>
          <w:color w:val="auto"/>
        </w:rPr>
      </w:pPr>
    </w:p>
    <w:p>
      <w:pPr>
        <w:ind w:left="1020" w:right="380" w:hanging="503"/>
        <w:spacing w:after="0" w:line="277"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Consider strategic partnerships with one or more leading pharmaceutical companies to complete product development and successfully commercialize our products.</w:t>
      </w:r>
    </w:p>
    <w:p>
      <w:pPr>
        <w:spacing w:after="0" w:line="62" w:lineRule="exact"/>
        <w:rPr>
          <w:rFonts w:ascii="Arial" w:cs="Arial" w:eastAsia="Arial" w:hAnsi="Arial"/>
          <w:sz w:val="18"/>
          <w:szCs w:val="18"/>
          <w:color w:val="auto"/>
        </w:rPr>
      </w:pPr>
    </w:p>
    <w:p>
      <w:pPr>
        <w:jc w:val="both"/>
        <w:ind w:left="1020" w:right="180"/>
        <w:spacing w:after="0" w:line="311" w:lineRule="auto"/>
        <w:rPr>
          <w:rFonts w:ascii="Arial" w:cs="Arial" w:eastAsia="Arial" w:hAnsi="Arial"/>
          <w:sz w:val="18"/>
          <w:szCs w:val="18"/>
          <w:color w:val="auto"/>
        </w:rPr>
      </w:pPr>
      <w:r>
        <w:rPr>
          <w:rFonts w:ascii="Arial" w:cs="Arial" w:eastAsia="Arial" w:hAnsi="Arial"/>
          <w:sz w:val="16"/>
          <w:szCs w:val="16"/>
          <w:color w:val="auto"/>
        </w:rPr>
        <w:t>We develop and maintain relationships with pharmaceutical companies that are therapeutic category leaders. We intend to discuss strategic alliances with leading pharmaceutical companies who seek product candidates, such as MN-166 (ibudilast), MN-001 (tipelukast), MN-221 (bedoradrine), and MN-029 (denibulin), which could support our clinical development and product commercialization.</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Impact of COVID-19 and the Macroeconomic Environment on Our Business</w:t>
      </w:r>
    </w:p>
    <w:p>
      <w:pPr>
        <w:spacing w:after="0" w:line="144" w:lineRule="exact"/>
        <w:rPr>
          <w:sz w:val="20"/>
          <w:szCs w:val="20"/>
          <w:color w:val="auto"/>
        </w:rPr>
      </w:pPr>
    </w:p>
    <w:p>
      <w:pPr>
        <w:ind w:right="160" w:firstLine="509"/>
        <w:spacing w:after="0" w:line="254" w:lineRule="auto"/>
        <w:rPr>
          <w:sz w:val="20"/>
          <w:szCs w:val="20"/>
          <w:color w:val="auto"/>
        </w:rPr>
      </w:pPr>
      <w:r>
        <w:rPr>
          <w:rFonts w:ascii="Arial" w:cs="Arial" w:eastAsia="Arial" w:hAnsi="Arial"/>
          <w:sz w:val="18"/>
          <w:szCs w:val="18"/>
          <w:color w:val="auto"/>
        </w:rPr>
        <w:t>The recent COVID-19 pandemic resulted in significant national and global economic disruption and has, and may continue to adversely affect our business. To date, we have experienced certain adverse effects on our business as well as been provided certain opportunities as a result of the pandemic. The pandemic caused a decrease in the number of patient visits at some clinical trial sites which we believe resulted in slower enrollment in our clinical trials than would have occurred without the pandemic. However, we have seen an increase in the number of patient visits compared to earlier in the pandemic and we continue to enroll patients in clinical trials. Throughout the pandemic, we continued with routine clinical trial activities including executing new clinical trial agreements, negotiating budgets, institutional review board (IRB) approvals, site training, and other activities related to the initiation of new clinical trials and the opening of new clinical trial sites, although some of these activities took longer to complete than what we experienced prior to the pandemic.</w:t>
      </w:r>
    </w:p>
    <w:p>
      <w:pPr>
        <w:spacing w:after="0" w:line="84"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The pandemic created certain opportunities for our clinical development and we have pursued those opportunities. Following the outbreak of the pandemic, we designed a clinical trial to evaluate MN-166 (ibudilast) for prevention of acute respiratory distress syndrome (ARDS) caused by COVID-19. In June 2022, we announced positive top-line results from this Phase 2 clinical trial in which MN-166 (ibudilast) demonstrated large improvements compared to placebo for all four clinical endpoints analyzed. Separately, in August 2022, we announced plans to participate in RECLAIM (Recovering from COVID-19 Lingering Symptoms Adaptive Integrative Medicine Trial), a grant-funded clinical trial to evaluate MN-166 (ibudilast) and other therapies for the treatment of Long COVID, the lingering symptoms of COVID-19. In February 2023, we announced that Health Canada completed its review of the clinical trial application and granted authorization to commence the RECLAIM trial.</w:t>
      </w:r>
    </w:p>
    <w:p>
      <w:pPr>
        <w:spacing w:after="0" w:line="177"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We continue to actively monitor the possible effects on our financial condition, liquidity, operations, suppliers, industry, and workforce resulting from the recent pandemic. To the extent that there is a resurgence in the COVID-19 pandemic, or other health epidemics or outbreaks, our operations could be disrupted and our business adversely impacted.</w:t>
      </w:r>
    </w:p>
    <w:p>
      <w:pPr>
        <w:spacing w:after="0" w:line="184"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Further, the recent COVID-19 pandemic and government responses to the pandemic resulted in, and may continue to result in, downward pressure, extreme volatility, and disruptions in the capital and credit markets, reducing our ability to raise additional capital through equity, equity-linked or debt financings, which could negatively impact our short-term and long-term liquidity, access to capital markets, and our ability to operate in accordance with our operating plan, or at all.</w:t>
      </w:r>
    </w:p>
    <w:p>
      <w:pPr>
        <w:spacing w:after="0" w:line="187"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In addition, we may be exposed to credit risk on deposits at financial institutions to the extent our account balances exceed the amount insured by the Federal Deposit Insurance Corporation. We are monitoring ongoing events involving limited liquidity, defaults, non-performance or other adverse developments that affect financial institutions.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58"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In December 2005, Avigen, Inc. and Genzyme Corporation entered into an Assignment Agreement (the “Genzyme Agreement”) in which Genzyme acquired certain gene therapy intellectual property, programs and other related assets from Avigen in exchange for an upfront payment and potential additional development milestone payments, sublicensing fees and royalty payments based on the successful development of products by Genzyme utilizing technologies previously developed by Avigen. We subsequently acquired Avigen in December 2009 along with Avigen’s rights and obligations under the Genzyme Agreement. If Genzyme fails to diligently pursue the commercialization or marketing of products using the assigned technology, as specified in the Genzyme Agreement, some of the rights assigned could revert back to us at a future date.</w:t>
      </w:r>
    </w:p>
    <w:p>
      <w:pPr>
        <w:spacing w:after="0" w:line="70"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The development milestones outlined in the Genzyme Agreement did not meet the definition of a substantive milestone obligation under authoritative guidance on revenue recognition for milestone payments, as Genzyme was responsible for the development of the products and there is no further substantive service effort required by us. In September 2023, we received notice that a gene therapy product based on AAV (adeno-associated virus) vector technology, which was covered under the Genzyme Agreement, achieved one clinical development milestone, triggering one milestone payment. Accordingly, we recognized revenue of $1.0 million during the three and nine months ended September 30, 2023.</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Research, Development and Patents Expenses</w:t>
      </w:r>
    </w:p>
    <w:p>
      <w:pPr>
        <w:spacing w:after="0" w:line="117"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Our research, development and patents expenses consist primarily of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patents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patents costs are expensed as incurred and we expect to increase such costs through the remainder of 2023 as our development programs progress.</w:t>
      </w:r>
    </w:p>
    <w:p>
      <w:pPr>
        <w:spacing w:after="0" w:line="73" w:lineRule="exact"/>
        <w:rPr>
          <w:sz w:val="20"/>
          <w:szCs w:val="20"/>
          <w:color w:val="auto"/>
        </w:rPr>
      </w:pPr>
    </w:p>
    <w:p>
      <w:pPr>
        <w:jc w:val="both"/>
        <w:ind w:right="380" w:firstLine="509"/>
        <w:spacing w:after="0" w:line="263" w:lineRule="auto"/>
        <w:rPr>
          <w:sz w:val="20"/>
          <w:szCs w:val="20"/>
          <w:color w:val="auto"/>
        </w:rPr>
      </w:pPr>
      <w:r>
        <w:rPr>
          <w:rFonts w:ascii="Arial" w:cs="Arial" w:eastAsia="Arial" w:hAnsi="Arial"/>
          <w:sz w:val="18"/>
          <w:szCs w:val="18"/>
          <w:color w:val="auto"/>
        </w:rPr>
        <w:t>The following table summarizes our research, development and patents expenses for the periods indicated for each of our product development programs. To the extent that costs, including personnel costs, are not tracked to a specific product development program, such costs are included in the “Other R&amp;D expense” category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Nine months ended</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55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5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External development expense:</w:t>
            </w:r>
          </w:p>
        </w:tc>
        <w:tc>
          <w:tcPr>
            <w:tcW w:w="4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520" w:type="dxa"/>
            <w:vAlign w:val="bottom"/>
          </w:tcPr>
          <w:p>
            <w:pPr>
              <w:ind w:left="300"/>
              <w:spacing w:after="0"/>
              <w:rPr>
                <w:sz w:val="20"/>
                <w:szCs w:val="20"/>
                <w:color w:val="auto"/>
              </w:rPr>
            </w:pPr>
            <w:r>
              <w:rPr>
                <w:rFonts w:ascii="Arial" w:cs="Arial" w:eastAsia="Arial" w:hAnsi="Arial"/>
                <w:sz w:val="18"/>
                <w:szCs w:val="18"/>
                <w:color w:val="auto"/>
              </w:rPr>
              <w:t>MN-221</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0"/>
                <w:szCs w:val="20"/>
                <w:color w:val="auto"/>
              </w:rPr>
            </w:pPr>
          </w:p>
        </w:tc>
      </w:tr>
      <w:tr>
        <w:trPr>
          <w:trHeight w:val="249"/>
        </w:trPr>
        <w:tc>
          <w:tcPr>
            <w:tcW w:w="55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MN-166</w:t>
            </w: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w:t>
            </w: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w:t>
            </w:r>
          </w:p>
        </w:tc>
        <w:tc>
          <w:tcPr>
            <w:tcW w:w="100" w:type="dxa"/>
            <w:vAlign w:val="bottom"/>
            <w:shd w:val="clear" w:color="auto" w:fill="CFF0FC"/>
          </w:tcPr>
          <w:p>
            <w:pPr>
              <w:spacing w:after="0"/>
              <w:rPr>
                <w:sz w:val="21"/>
                <w:szCs w:val="21"/>
                <w:color w:val="auto"/>
              </w:rPr>
            </w:pPr>
          </w:p>
        </w:tc>
      </w:tr>
      <w:tr>
        <w:trPr>
          <w:trHeight w:val="237"/>
        </w:trPr>
        <w:tc>
          <w:tcPr>
            <w:tcW w:w="5520" w:type="dxa"/>
            <w:vAlign w:val="bottom"/>
          </w:tcPr>
          <w:p>
            <w:pPr>
              <w:ind w:left="300"/>
              <w:spacing w:after="0"/>
              <w:rPr>
                <w:sz w:val="20"/>
                <w:szCs w:val="20"/>
                <w:color w:val="auto"/>
              </w:rPr>
            </w:pPr>
            <w:r>
              <w:rPr>
                <w:rFonts w:ascii="Arial" w:cs="Arial" w:eastAsia="Arial" w:hAnsi="Arial"/>
                <w:sz w:val="18"/>
                <w:szCs w:val="18"/>
                <w:color w:val="auto"/>
              </w:rPr>
              <w:t>MN-001</w:t>
            </w: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w:t>
            </w: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427</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p>
        </w:tc>
      </w:tr>
      <w:tr>
        <w:trPr>
          <w:trHeight w:val="249"/>
        </w:trPr>
        <w:tc>
          <w:tcPr>
            <w:tcW w:w="55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MN-029</w:t>
            </w: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1"/>
                <w:szCs w:val="21"/>
                <w:color w:val="auto"/>
              </w:rPr>
            </w:pPr>
          </w:p>
        </w:tc>
      </w:tr>
      <w:tr>
        <w:trPr>
          <w:trHeight w:val="243"/>
        </w:trPr>
        <w:tc>
          <w:tcPr>
            <w:tcW w:w="5520" w:type="dxa"/>
            <w:vAlign w:val="bottom"/>
          </w:tcPr>
          <w:p>
            <w:pPr>
              <w:ind w:left="30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r>
      <w:tr>
        <w:trPr>
          <w:trHeight w:val="237"/>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external development expense</w:t>
            </w:r>
          </w:p>
        </w:tc>
        <w:tc>
          <w:tcPr>
            <w:tcW w:w="4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3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1,953</w:t>
            </w:r>
          </w:p>
        </w:tc>
        <w:tc>
          <w:tcPr>
            <w:tcW w:w="3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2,204</w:t>
            </w:r>
          </w:p>
        </w:tc>
        <w:tc>
          <w:tcPr>
            <w:tcW w:w="2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5,564</w:t>
            </w:r>
          </w:p>
        </w:tc>
        <w:tc>
          <w:tcPr>
            <w:tcW w:w="100" w:type="dxa"/>
            <w:vAlign w:val="bottom"/>
            <w:shd w:val="clear" w:color="auto" w:fill="CFF0FC"/>
          </w:tcPr>
          <w:p>
            <w:pPr>
              <w:spacing w:after="0"/>
              <w:rPr>
                <w:sz w:val="20"/>
                <w:szCs w:val="20"/>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R&amp;D personnel expense</w:t>
            </w: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412</w:t>
            </w: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1,338</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20"/>
                <w:szCs w:val="20"/>
                <w:color w:val="auto"/>
              </w:rPr>
            </w:pPr>
          </w:p>
        </w:tc>
      </w:tr>
      <w:tr>
        <w:trPr>
          <w:trHeight w:val="249"/>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R&amp;D facility and depreciation expense</w:t>
            </w: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21"/>
                <w:szCs w:val="2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Patent expenses</w:t>
            </w: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263</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0"/>
                <w:szCs w:val="20"/>
                <w:color w:val="auto"/>
              </w:rPr>
            </w:pPr>
          </w:p>
        </w:tc>
      </w:tr>
      <w:tr>
        <w:trPr>
          <w:trHeight w:val="249"/>
        </w:trPr>
        <w:tc>
          <w:tcPr>
            <w:tcW w:w="5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R&amp;D expense</w:t>
            </w:r>
          </w:p>
        </w:tc>
        <w:tc>
          <w:tcPr>
            <w:tcW w:w="4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3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3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8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520" w:type="dxa"/>
            <w:vAlign w:val="bottom"/>
          </w:tcPr>
          <w:p>
            <w:pPr>
              <w:ind w:left="20"/>
              <w:spacing w:after="0"/>
              <w:rPr>
                <w:sz w:val="20"/>
                <w:szCs w:val="20"/>
                <w:color w:val="auto"/>
              </w:rPr>
            </w:pPr>
            <w:r>
              <w:rPr>
                <w:rFonts w:ascii="Arial" w:cs="Arial" w:eastAsia="Arial" w:hAnsi="Arial"/>
                <w:sz w:val="18"/>
                <w:szCs w:val="18"/>
                <w:color w:val="auto"/>
              </w:rPr>
              <w:t>Total research, development and patent expense</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795</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2,454</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4,007</w:t>
            </w: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7,131</w:t>
            </w:r>
          </w:p>
        </w:tc>
        <w:tc>
          <w:tcPr>
            <w:tcW w:w="100" w:type="dxa"/>
            <w:vAlign w:val="bottom"/>
          </w:tcPr>
          <w:p>
            <w:pPr>
              <w:spacing w:after="0"/>
              <w:rPr>
                <w:sz w:val="20"/>
                <w:szCs w:val="20"/>
                <w:color w:val="auto"/>
              </w:rPr>
            </w:pPr>
          </w:p>
        </w:tc>
      </w:tr>
      <w:tr>
        <w:trPr>
          <w:trHeight w:val="20"/>
        </w:trPr>
        <w:tc>
          <w:tcPr>
            <w:tcW w:w="5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-187960</wp:posOffset>
            </wp:positionV>
            <wp:extent cx="76835"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-187960</wp:posOffset>
            </wp:positionV>
            <wp:extent cx="76835"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-187960</wp:posOffset>
            </wp:positionV>
            <wp:extent cx="68580" cy="1885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Our general and administrative costs primarily consist of salaries, stock-based compensation,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184"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Our general and administrative expenses may increase in future periods if we are required to expand our infrastructure based on the success of our product development programs and in raising capital to support our product development programs or otherwise in connection with increased business development activities related to partnering, out-licensing or product disposition.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00" w:firstLine="509"/>
        <w:spacing w:after="0" w:line="271" w:lineRule="auto"/>
        <w:rPr>
          <w:sz w:val="20"/>
          <w:szCs w:val="20"/>
          <w:color w:val="auto"/>
        </w:rPr>
      </w:pPr>
      <w:r>
        <w:rPr>
          <w:rFonts w:ascii="Arial" w:cs="Arial" w:eastAsia="Arial" w:hAnsi="Arial"/>
          <w:sz w:val="17"/>
          <w:szCs w:val="17"/>
          <w:color w:val="auto"/>
        </w:rPr>
        <w:t>This discussion and analysis of our financial condition and results of operations is based on our condensed consolidated financial statements, which we have prepared in accordance with United States generally accepted accounting principles. The preparation of these condensed consolidated financial statements requires us to make estimates, judgments and assumptions that affect the reported amounts of assets and liabilities and the disclosure of contingent assets and liabilities at the date of the financial statements, as well as the reported amounts of expenses during the reporting periods. We base our estimates on historical experience and on various other factors and assumptions that we believe are reasonable under the circumstances at the time the estimates are made, the results of which form the basis for making judgments about the book values of assets and liabilities that are not readily apparent from other sources. Actual results may differ from these estimates under different assumptions or conditions. We periodically evaluate our estimates and judgments in light of changes in circumstances, facts and experience.</w:t>
      </w:r>
    </w:p>
    <w:p>
      <w:pPr>
        <w:spacing w:after="0" w:line="178" w:lineRule="exact"/>
        <w:rPr>
          <w:sz w:val="20"/>
          <w:szCs w:val="20"/>
          <w:color w:val="auto"/>
        </w:rPr>
      </w:pPr>
    </w:p>
    <w:p>
      <w:pPr>
        <w:ind w:right="140" w:firstLine="509"/>
        <w:spacing w:after="0" w:line="273" w:lineRule="auto"/>
        <w:rPr>
          <w:sz w:val="20"/>
          <w:szCs w:val="20"/>
          <w:color w:val="auto"/>
        </w:rPr>
      </w:pPr>
      <w:r>
        <w:rPr>
          <w:rFonts w:ascii="Arial" w:cs="Arial" w:eastAsia="Arial" w:hAnsi="Arial"/>
          <w:sz w:val="17"/>
          <w:szCs w:val="17"/>
          <w:color w:val="auto"/>
        </w:rPr>
        <w:t>Our critical accounting policies are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For a description of our critical accounting policies, please see the section entitled “Management’s Discussion and Analysis of Financial Condition and Results of Operations — Critical Accounting Policies and Use of Estimates” contained in our Annual Report on Form 10-K, as amended, for the year ended December 31, 2022. There have not been any material changes to the critical accounting policies discussed therein during the nine months ended September 30, 2023.</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2023 and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520" w:firstLine="749"/>
        <w:spacing w:after="0" w:line="277" w:lineRule="auto"/>
        <w:rPr>
          <w:sz w:val="20"/>
          <w:szCs w:val="20"/>
          <w:color w:val="auto"/>
        </w:rPr>
      </w:pPr>
      <w:r>
        <w:rPr>
          <w:rFonts w:ascii="Arial" w:cs="Arial" w:eastAsia="Arial" w:hAnsi="Arial"/>
          <w:sz w:val="18"/>
          <w:szCs w:val="18"/>
          <w:color w:val="auto"/>
        </w:rPr>
        <w:t>Revenues were $1.0 million and $0.0 million for the three months ended September 30, 2023 and 2022, respectively. The increase of $1.0 million was due to the receipt of a milestone payment under the Genzyme Agreement in September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Patents Expenses</w:t>
      </w:r>
    </w:p>
    <w:p>
      <w:pPr>
        <w:spacing w:after="0" w:line="225" w:lineRule="exact"/>
        <w:rPr>
          <w:sz w:val="20"/>
          <w:szCs w:val="20"/>
          <w:color w:val="auto"/>
        </w:rPr>
      </w:pPr>
    </w:p>
    <w:p>
      <w:pPr>
        <w:ind w:right="280" w:firstLine="749"/>
        <w:spacing w:after="0" w:line="259" w:lineRule="auto"/>
        <w:rPr>
          <w:sz w:val="20"/>
          <w:szCs w:val="20"/>
          <w:color w:val="auto"/>
        </w:rPr>
      </w:pPr>
      <w:r>
        <w:rPr>
          <w:rFonts w:ascii="Arial" w:cs="Arial" w:eastAsia="Arial" w:hAnsi="Arial"/>
          <w:sz w:val="18"/>
          <w:szCs w:val="18"/>
          <w:color w:val="auto"/>
        </w:rPr>
        <w:t>Research, development and patents expenses were $0.8 million and $2.5 million for the three months ended September 30, 2023 and 2022, respectively. The decrease of $1.7 million expense was primarily due to a decrease in MN-166 related manufacturing expenses and the receipt of a $0.7 million payment from the Biomedical Advanced Research and Development Authority (BARDA) to partially reimburse us for pre-clinical study costs, which was recorded as an offset to MN-166 research and development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color w:val="auto"/>
        </w:rPr>
        <w:t>General and administrative expenses were $1.4 million and $1.4 million for the three months ended September 30, 2023 and 2022, respectively. The expense was relatively the same quarter over quarter. Changes were primarily due to a decrease in legal fees offset by an increase in performance-based stock option expense.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180" w:firstLine="749"/>
        <w:spacing w:after="0" w:line="263" w:lineRule="auto"/>
        <w:rPr>
          <w:sz w:val="20"/>
          <w:szCs w:val="20"/>
          <w:color w:val="auto"/>
        </w:rPr>
      </w:pPr>
      <w:r>
        <w:rPr>
          <w:rFonts w:ascii="Arial" w:cs="Arial" w:eastAsia="Arial" w:hAnsi="Arial"/>
          <w:sz w:val="18"/>
          <w:szCs w:val="18"/>
          <w:color w:val="auto"/>
        </w:rPr>
        <w:t>Interest income was $0.4 million and $0.3 million for the three months ended September 30, 2023 and 2022, respectively. The increase of $0.1 million was primarily driven by higher interest rates on cash and bank certificates of deposit. Interest income consists of interest earned on our cash and cash equivalents and investments.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2023 and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Revenues were $1.0 million and $0.0 million for the nine months ended September 30, 2023 and 2022, respectively. The increase of $1.0 million was due to the receipt of a milestone payment under the Genzyme Agreement in September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Patents Expenses</w:t>
      </w:r>
    </w:p>
    <w:p>
      <w:pPr>
        <w:spacing w:after="0" w:line="225"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auto"/>
        </w:rPr>
        <w:t>Research, development and patents expenses were $4.0 million and $7.1 million for the nine months ended September 30, 2023 and 2022, respectively. The decrease of $3.1 million expense was primarily due to a decrease in MN-221 and MN-166 related manufacturing expenses and receipt of a $0.7 million payment from BARDA to partially reimburse us for pre-clinical study costs, which was recorded as an offset to MN-166 research and development expense, partially offset by increased MN-001 related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General and administrative expenses were $4.4 million and $4.3 million for the nine months ended September 30, 2023 and 2022,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$0.1 million was primarily due to an increase in performance-based stock option expense, partially offset by lower legal fees.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jc w:val="both"/>
        <w:ind w:right="220" w:firstLine="749"/>
        <w:spacing w:after="0" w:line="263" w:lineRule="auto"/>
        <w:rPr>
          <w:sz w:val="20"/>
          <w:szCs w:val="20"/>
          <w:color w:val="auto"/>
        </w:rPr>
      </w:pPr>
      <w:r>
        <w:rPr>
          <w:rFonts w:ascii="Arial" w:cs="Arial" w:eastAsia="Arial" w:hAnsi="Arial"/>
          <w:sz w:val="18"/>
          <w:szCs w:val="18"/>
          <w:color w:val="auto"/>
        </w:rPr>
        <w:t>Interest income was $1.4 million and $0.4 million for the nine months ended September 30, 2023 and 2022, respectively. The increase of $1.0 million was primarily driven by higher interest rates on cash and bank certificates of deposit. Interest income consists of interest earned on our cash and cash equivalents and investments.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17" w:lineRule="exact"/>
        <w:rPr>
          <w:sz w:val="20"/>
          <w:szCs w:val="20"/>
          <w:color w:val="auto"/>
        </w:rPr>
      </w:pPr>
    </w:p>
    <w:p>
      <w:pPr>
        <w:ind w:right="300" w:firstLine="749"/>
        <w:spacing w:after="0" w:line="277" w:lineRule="auto"/>
        <w:rPr>
          <w:sz w:val="20"/>
          <w:szCs w:val="20"/>
          <w:color w:val="auto"/>
        </w:rPr>
      </w:pPr>
      <w:r>
        <w:rPr>
          <w:rFonts w:ascii="Arial" w:cs="Arial" w:eastAsia="Arial" w:hAnsi="Arial"/>
          <w:sz w:val="18"/>
          <w:szCs w:val="18"/>
          <w:color w:val="auto"/>
        </w:rPr>
        <w:t>Other expense was $0.5 million and $0.1 million for the nine months ended September 30, 2023 and 2022, respectively. The increase of $0.4 million was primarily driven by penalties on early disposal of bank certificates of deposit.</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140" w:firstLine="509"/>
        <w:spacing w:after="0" w:line="286" w:lineRule="auto"/>
        <w:rPr>
          <w:sz w:val="20"/>
          <w:szCs w:val="20"/>
          <w:color w:val="auto"/>
        </w:rPr>
      </w:pPr>
      <w:r>
        <w:rPr>
          <w:rFonts w:ascii="Arial" w:cs="Arial" w:eastAsia="Arial" w:hAnsi="Arial"/>
          <w:sz w:val="17"/>
          <w:szCs w:val="17"/>
          <w:color w:val="auto"/>
        </w:rPr>
        <w:t>Net cash used in operating activities during the nine months ended September 30, 2023 was $6.9 million compared to $8.9 million during the same period in 2022. The $2.0 million change is primarily related to the decreased net loss and increased non-cash stock-based compensation expense, partially offset by the increase in accounts receivable of $1.0 million and changes in operating assets and liabilities for those periods.</w:t>
      </w:r>
    </w:p>
    <w:p>
      <w:pPr>
        <w:spacing w:after="0" w:line="71"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Net cash provided by investing activities during the nine months ended September 30, 2023 was $39.9 million compared to $10.0 million used during the same period in 2022. The $49.9 million change is related to the purchase of certificates of deposits during the nine months ended September 30, 2022 and the subsequent disposal of certificates of deposit of $39.9 million during the same period in 2023.</w:t>
      </w:r>
    </w:p>
    <w:p>
      <w:pPr>
        <w:spacing w:after="0" w:line="184" w:lineRule="exact"/>
        <w:rPr>
          <w:sz w:val="20"/>
          <w:szCs w:val="20"/>
          <w:color w:val="auto"/>
        </w:rPr>
      </w:pPr>
    </w:p>
    <w:p>
      <w:pPr>
        <w:jc w:val="both"/>
        <w:ind w:right="100" w:firstLine="509"/>
        <w:spacing w:after="0" w:line="263" w:lineRule="auto"/>
        <w:rPr>
          <w:sz w:val="20"/>
          <w:szCs w:val="20"/>
          <w:color w:val="auto"/>
        </w:rPr>
      </w:pPr>
      <w:r>
        <w:rPr>
          <w:rFonts w:ascii="Arial" w:cs="Arial" w:eastAsia="Arial" w:hAnsi="Arial"/>
          <w:sz w:val="18"/>
          <w:szCs w:val="18"/>
          <w:color w:val="auto"/>
        </w:rPr>
        <w:t>As of September 30, 2023, we had available cash and cash equivalents of $51.5 million and working capital of $50.2 million. As of the date of this report, we believe we have working capital sufficient to fund operations at least through the end of 2024. However, we cannot provide assurance that these capital resources will be sufficient to conduct all our research and development programs as planned.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Financing</w:t>
      </w:r>
    </w:p>
    <w:p>
      <w:pPr>
        <w:spacing w:after="0" w:line="225"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On August 23, 2019, we entered into an at the market issuance sales agreement, which was amended on August 26, 2022 (as amended, the “ATM Agreement”) with B. Riley FBR, Inc. (B. Riley FBR) pursuant to which we may sell common stock through B. Riley FBR from time to time up to an aggregate offering price of $75.0 million. Sales of our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our prior approval. We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shares of common stock were sold under the ATM Agreement in the three and nine months ended September 30, 2023 and 2022.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We maintain disclosure controls and procedures that are designed to provide reasonable assurance that the information required to be disclosed in our filings under the Securities Exchange Act of 1934, as amended, or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spacing w:after="0" w:line="171"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360" w:firstLine="509"/>
        <w:spacing w:after="0" w:line="279" w:lineRule="auto"/>
        <w:rPr>
          <w:sz w:val="20"/>
          <w:szCs w:val="20"/>
          <w:color w:val="auto"/>
        </w:rPr>
      </w:pPr>
      <w:r>
        <w:rPr>
          <w:rFonts w:ascii="Arial" w:cs="Arial" w:eastAsia="Arial" w:hAnsi="Arial"/>
          <w:sz w:val="17"/>
          <w:szCs w:val="17"/>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period covered by this report. Based on the foregoing, our Chief Executive Officer and our Chief Financial Officer concluded that our disclosure controls and procedures were effective at the reasonable assurance level.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300" w:firstLine="509"/>
        <w:spacing w:after="0" w:line="263" w:lineRule="auto"/>
        <w:rPr>
          <w:sz w:val="20"/>
          <w:szCs w:val="20"/>
          <w:color w:val="auto"/>
        </w:rPr>
      </w:pPr>
      <w:r>
        <w:rPr>
          <w:rFonts w:ascii="Arial" w:cs="Arial" w:eastAsia="Arial" w:hAnsi="Arial"/>
          <w:sz w:val="18"/>
          <w:szCs w:val="18"/>
          <w:color w:val="auto"/>
        </w:rPr>
        <w:t>We are not involved in any material legal proceedings as of September 30, 2023. We may become involved in various disputes and legal proceedings which arise in the ordinary course of business or otherwise. While it is not possible to accurately predict or determine the outcome of these matters, an adverse result in any litigation matter may occur which could harm our business.</w:t>
      </w:r>
    </w:p>
    <w:p>
      <w:pPr>
        <w:spacing w:after="0" w:line="28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Part I, “Item 1A. Risk Factors” in our Annual Report on Form 10-K, as amended, for the year ended December 31, 2022, which are incorporated herein by reference and which could materially affect our business, financial condition or future results. The risks described in our Annual Report on Form 10-K, as amended, are not the only risks facing our Company. Additional risks and uncertainties not currently known to us or that we currently deem to be immaterial also may materially adversely affect our business, financial condition and/or operating results. We do not believe that there have been any material changes from the risk factors previously disclosed in our Annual Report on Form 10-K, as amended, for the year ended December 31, 2022.</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6.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5740" w:type="dxa"/>
            <w:vAlign w:val="bottom"/>
            <w:gridSpan w:val="9"/>
            <w:vMerge w:val="restart"/>
          </w:tcPr>
          <w:p>
            <w:pPr>
              <w:ind w:left="3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360" w:type="dxa"/>
            <w:vAlign w:val="bottom"/>
            <w:tcBorders>
              <w:bottom w:val="single" w:sz="8" w:color="auto"/>
            </w:tcBorders>
          </w:tcPr>
          <w:p>
            <w:pPr>
              <w:spacing w:after="0"/>
              <w:rPr>
                <w:sz w:val="16"/>
                <w:szCs w:val="16"/>
                <w:color w:val="auto"/>
              </w:rPr>
            </w:pPr>
          </w:p>
        </w:tc>
        <w:tc>
          <w:tcPr>
            <w:tcW w:w="5740" w:type="dxa"/>
            <w:vAlign w:val="bottom"/>
            <w:tcBorders>
              <w:bottom w:val="single" w:sz="8" w:color="auto"/>
            </w:tcBorders>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tcBorders>
              <w:bottom w:val="single" w:sz="8" w:color="0000FF"/>
            </w:tcBorders>
            <w:gridSpan w:val="8"/>
          </w:tcPr>
          <w:p>
            <w:pPr>
              <w:spacing w:after="0"/>
              <w:rPr>
                <w:rFonts w:ascii="Arial" w:cs="Arial" w:eastAsia="Arial" w:hAnsi="Arial"/>
                <w:sz w:val="18"/>
                <w:szCs w:val="18"/>
                <w:color w:val="0000FF"/>
                <w:w w:val="91"/>
              </w:rPr>
            </w:pPr>
            <w:hyperlink r:id="rId128">
              <w:r>
                <w:rPr>
                  <w:rFonts w:ascii="Arial" w:cs="Arial" w:eastAsia="Arial" w:hAnsi="Arial"/>
                  <w:sz w:val="18"/>
                  <w:szCs w:val="18"/>
                  <w:color w:val="0000FF"/>
                  <w:w w:val="91"/>
                </w:rPr>
                <w:t>Restated Certificate of Incorporation of the Registrant (incorporated by reference to Exhibit 3.1 of the Registrant’s Quarterly Report on</w:t>
              </w:r>
            </w:hyperlink>
          </w:p>
        </w:tc>
        <w:tc>
          <w:tcPr>
            <w:tcW w:w="3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0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100" w:type="dxa"/>
            <w:vAlign w:val="bottom"/>
            <w:gridSpan w:val="10"/>
            <w:vMerge w:val="restart"/>
          </w:tcPr>
          <w:p>
            <w:pPr>
              <w:spacing w:after="0" w:line="196" w:lineRule="exact"/>
              <w:rPr>
                <w:rFonts w:ascii="Arial" w:cs="Arial" w:eastAsia="Arial" w:hAnsi="Arial"/>
                <w:sz w:val="18"/>
                <w:szCs w:val="18"/>
                <w:color w:val="0000FF"/>
              </w:rPr>
            </w:pPr>
            <w:hyperlink r:id="rId128">
              <w:r>
                <w:rPr>
                  <w:rFonts w:ascii="Arial" w:cs="Arial" w:eastAsia="Arial" w:hAnsi="Arial"/>
                  <w:sz w:val="18"/>
                  <w:szCs w:val="18"/>
                  <w:color w:val="0000FF"/>
                </w:rPr>
                <w:t>Form 10-Q filed with the SEC on August 9, 2012 (File No. 001-33185)).</w:t>
              </w:r>
            </w:hyperlink>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10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tcBorders>
              <w:bottom w:val="single" w:sz="8" w:color="0000FF"/>
            </w:tcBorders>
            <w:gridSpan w:val="9"/>
          </w:tcPr>
          <w:p>
            <w:pPr>
              <w:spacing w:after="0"/>
              <w:rPr>
                <w:rFonts w:ascii="Arial" w:cs="Arial" w:eastAsia="Arial" w:hAnsi="Arial"/>
                <w:sz w:val="18"/>
                <w:szCs w:val="18"/>
                <w:color w:val="0000FF"/>
                <w:w w:val="91"/>
              </w:rPr>
            </w:pPr>
            <w:hyperlink r:id="rId129">
              <w:r>
                <w:rPr>
                  <w:rFonts w:ascii="Arial" w:cs="Arial" w:eastAsia="Arial" w:hAnsi="Arial"/>
                  <w:sz w:val="18"/>
                  <w:szCs w:val="18"/>
                  <w:color w:val="0000FF"/>
                  <w:w w:val="91"/>
                </w:rPr>
                <w:t>Amended and Restated Bylaws of the Registrant (incorporated by reference to Exhibit 3.1 of the Registrant’s Current Report on Form 8-K</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0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100" w:type="dxa"/>
            <w:vAlign w:val="bottom"/>
            <w:gridSpan w:val="10"/>
            <w:vMerge w:val="restart"/>
          </w:tcPr>
          <w:p>
            <w:pPr>
              <w:spacing w:after="0" w:line="196" w:lineRule="exact"/>
              <w:rPr>
                <w:rFonts w:ascii="Arial" w:cs="Arial" w:eastAsia="Arial" w:hAnsi="Arial"/>
                <w:sz w:val="18"/>
                <w:szCs w:val="18"/>
                <w:color w:val="0000FF"/>
              </w:rPr>
            </w:pPr>
            <w:hyperlink r:id="rId129">
              <w:r>
                <w:rPr>
                  <w:rFonts w:ascii="Arial" w:cs="Arial" w:eastAsia="Arial" w:hAnsi="Arial"/>
                  <w:sz w:val="18"/>
                  <w:szCs w:val="18"/>
                  <w:color w:val="0000FF"/>
                </w:rPr>
                <w:t>filed with the SEC on April 25, 2019 (File No. 001-33185)).</w:t>
              </w:r>
            </w:hyperlink>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10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31.1</w:t>
            </w:r>
            <w:r>
              <w:rPr>
                <w:rFonts w:ascii="Arial" w:cs="Arial" w:eastAsia="Arial" w:hAnsi="Arial"/>
                <w:sz w:val="24"/>
                <w:szCs w:val="24"/>
                <w:color w:val="auto"/>
                <w:vertAlign w:val="superscript"/>
              </w:rPr>
              <w:t>(1)</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60" w:type="dxa"/>
            <w:vAlign w:val="bottom"/>
            <w:tcBorders>
              <w:right w:val="single" w:sz="8" w:color="0000EE"/>
            </w:tcBorders>
            <w:shd w:val="clear" w:color="auto" w:fill="0000FF"/>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FF"/>
                <w:w w:val="93"/>
              </w:rPr>
              <w:t>Certification of Principal Executive Officer pursuant to Section 302 of the Sarbanes-Oxley Act of 2002.</w:t>
            </w:r>
          </w:p>
        </w:tc>
        <w:tc>
          <w:tcPr>
            <w:tcW w:w="25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20"/>
              <w:spacing w:after="0"/>
              <w:rPr>
                <w:sz w:val="20"/>
                <w:szCs w:val="20"/>
                <w:color w:val="auto"/>
              </w:rPr>
            </w:pPr>
            <w:r>
              <w:rPr>
                <w:rFonts w:ascii="Arial" w:cs="Arial" w:eastAsia="Arial" w:hAnsi="Arial"/>
                <w:sz w:val="18"/>
                <w:szCs w:val="18"/>
                <w:color w:val="auto"/>
              </w:rPr>
              <w:t>31.2</w:t>
            </w:r>
            <w:r>
              <w:rPr>
                <w:rFonts w:ascii="Arial" w:cs="Arial" w:eastAsia="Arial" w:hAnsi="Arial"/>
                <w:sz w:val="24"/>
                <w:szCs w:val="24"/>
                <w:color w:val="auto"/>
                <w:vertAlign w:val="superscript"/>
              </w:rPr>
              <w:t>(1)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Arial" w:cs="Arial" w:eastAsia="Arial" w:hAnsi="Arial"/>
                <w:sz w:val="18"/>
                <w:szCs w:val="18"/>
                <w:color w:val="0000FF"/>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32.1</w:t>
            </w:r>
            <w:r>
              <w:rPr>
                <w:rFonts w:ascii="Arial" w:cs="Arial" w:eastAsia="Arial" w:hAnsi="Arial"/>
                <w:sz w:val="24"/>
                <w:szCs w:val="24"/>
                <w:color w:val="auto"/>
                <w:vertAlign w:val="superscript"/>
              </w:rPr>
              <w:t>(1)*</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40" w:type="dxa"/>
            <w:vAlign w:val="bottom"/>
            <w:tcBorders>
              <w:right w:val="single" w:sz="8" w:color="0000EE"/>
            </w:tcBorders>
            <w:gridSpan w:val="3"/>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Arial" w:cs="Arial" w:eastAsia="Arial" w:hAnsi="Arial"/>
                <w:sz w:val="18"/>
                <w:szCs w:val="18"/>
                <w:color w:val="0000FF"/>
                <w:w w:val="99"/>
              </w:rPr>
              <w:t>Certification of Principal Executive Officer pursuant to 18 U.S.C. Section 1350 (Section 906 of the Sarbanes-Oxley Act of 2002).</w:t>
            </w:r>
          </w:p>
        </w:tc>
        <w:tc>
          <w:tcPr>
            <w:tcW w:w="0" w:type="dxa"/>
            <w:vAlign w:val="bottom"/>
          </w:tcPr>
          <w:p>
            <w:pPr>
              <w:spacing w:after="0"/>
              <w:rPr>
                <w:sz w:val="1"/>
                <w:szCs w:val="1"/>
                <w:color w:val="auto"/>
              </w:rPr>
            </w:pPr>
          </w:p>
        </w:tc>
      </w:tr>
      <w:tr>
        <w:trPr>
          <w:trHeight w:val="372"/>
        </w:trPr>
        <w:tc>
          <w:tcPr>
            <w:tcW w:w="1020" w:type="dxa"/>
            <w:vAlign w:val="bottom"/>
          </w:tcPr>
          <w:p>
            <w:pPr>
              <w:ind w:left="20"/>
              <w:spacing w:after="0" w:line="371" w:lineRule="exact"/>
              <w:rPr>
                <w:sz w:val="20"/>
                <w:szCs w:val="20"/>
                <w:color w:val="auto"/>
              </w:rPr>
            </w:pPr>
            <w:r>
              <w:rPr>
                <w:rFonts w:ascii="Arial" w:cs="Arial" w:eastAsia="Arial" w:hAnsi="Arial"/>
                <w:sz w:val="35"/>
                <w:szCs w:val="35"/>
                <w:color w:val="auto"/>
                <w:vertAlign w:val="subscript"/>
              </w:rPr>
              <w:t>32.2</w:t>
            </w:r>
            <w:r>
              <w:rPr>
                <w:rFonts w:ascii="Arial" w:cs="Arial" w:eastAsia="Arial" w:hAnsi="Arial"/>
                <w:sz w:val="12"/>
                <w:szCs w:val="12"/>
                <w:color w:val="auto"/>
              </w:rPr>
              <w:t>(1)*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0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1"/>
              </w:rPr>
              <w:t>Certification of Principal Financial Officer pursuant to 18 U.S.C. Section 1350 (Section 906 of the Sarbanes-Oxley Act of 2002).</w:t>
            </w:r>
          </w:p>
        </w:tc>
        <w:tc>
          <w:tcPr>
            <w:tcW w:w="20" w:type="dxa"/>
            <w:vAlign w:val="bottom"/>
            <w:tcBorders>
              <w:top w:val="single" w:sz="8" w:color="0000FF"/>
              <w:bottom w:val="single" w:sz="8" w:color="0000EE"/>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020" w:type="dxa"/>
            <w:vAlign w:val="bottom"/>
          </w:tcPr>
          <w:p>
            <w:pPr>
              <w:ind w:left="20"/>
              <w:spacing w:after="0"/>
              <w:rPr>
                <w:sz w:val="20"/>
                <w:szCs w:val="20"/>
                <w:color w:val="auto"/>
              </w:rPr>
            </w:pPr>
            <w:r>
              <w:rPr>
                <w:rFonts w:ascii="Arial" w:cs="Arial" w:eastAsia="Arial" w:hAnsi="Arial"/>
                <w:sz w:val="18"/>
                <w:szCs w:val="18"/>
                <w:color w:val="auto"/>
              </w:rPr>
              <w:t>101.INS</w:t>
            </w:r>
            <w:r>
              <w:rPr>
                <w:rFonts w:ascii="Arial" w:cs="Arial" w:eastAsia="Arial" w:hAnsi="Arial"/>
                <w:sz w:val="24"/>
                <w:szCs w:val="24"/>
                <w:color w:val="auto"/>
                <w:vertAlign w:val="superscript"/>
              </w:rPr>
              <w:t>(1)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00" w:type="dxa"/>
            <w:vAlign w:val="bottom"/>
            <w:gridSpan w:val="10"/>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454"/>
        </w:trPr>
        <w:tc>
          <w:tcPr>
            <w:tcW w:w="1020" w:type="dxa"/>
            <w:vAlign w:val="bottom"/>
          </w:tcPr>
          <w:p>
            <w:pPr>
              <w:ind w:left="20"/>
              <w:spacing w:after="0"/>
              <w:rPr>
                <w:sz w:val="20"/>
                <w:szCs w:val="20"/>
                <w:color w:val="auto"/>
              </w:rPr>
            </w:pPr>
            <w:r>
              <w:rPr>
                <w:rFonts w:ascii="Arial" w:cs="Arial" w:eastAsia="Arial" w:hAnsi="Arial"/>
                <w:sz w:val="18"/>
                <w:szCs w:val="18"/>
                <w:color w:val="auto"/>
              </w:rPr>
              <w:t>101.SCH</w:t>
            </w:r>
            <w:r>
              <w:rPr>
                <w:rFonts w:ascii="Arial" w:cs="Arial" w:eastAsia="Arial" w:hAnsi="Arial"/>
                <w:sz w:val="24"/>
                <w:szCs w:val="24"/>
                <w:color w:val="auto"/>
                <w:vertAlign w:val="superscript"/>
              </w:rPr>
              <w:t>(1)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91"/>
        </w:trPr>
        <w:tc>
          <w:tcPr>
            <w:tcW w:w="1020" w:type="dxa"/>
            <w:vAlign w:val="bottom"/>
          </w:tcPr>
          <w:p>
            <w:pPr>
              <w:ind w:left="20"/>
              <w:spacing w:after="0"/>
              <w:rPr>
                <w:sz w:val="20"/>
                <w:szCs w:val="20"/>
                <w:color w:val="auto"/>
              </w:rPr>
            </w:pPr>
            <w:r>
              <w:rPr>
                <w:rFonts w:ascii="Arial" w:cs="Arial" w:eastAsia="Arial" w:hAnsi="Arial"/>
                <w:sz w:val="18"/>
                <w:szCs w:val="18"/>
                <w:color w:val="auto"/>
              </w:rPr>
              <w:t>101.CAL</w:t>
            </w:r>
            <w:r>
              <w:rPr>
                <w:rFonts w:ascii="Arial" w:cs="Arial" w:eastAsia="Arial" w:hAnsi="Arial"/>
                <w:sz w:val="24"/>
                <w:szCs w:val="24"/>
                <w:color w:val="auto"/>
                <w:vertAlign w:val="superscript"/>
              </w:rPr>
              <w:t>(1)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92"/>
        </w:trPr>
        <w:tc>
          <w:tcPr>
            <w:tcW w:w="1020" w:type="dxa"/>
            <w:vAlign w:val="bottom"/>
          </w:tcPr>
          <w:p>
            <w:pPr>
              <w:ind w:left="20"/>
              <w:spacing w:after="0"/>
              <w:rPr>
                <w:sz w:val="20"/>
                <w:szCs w:val="20"/>
                <w:color w:val="auto"/>
              </w:rPr>
            </w:pPr>
            <w:r>
              <w:rPr>
                <w:rFonts w:ascii="Arial" w:cs="Arial" w:eastAsia="Arial" w:hAnsi="Arial"/>
                <w:sz w:val="18"/>
                <w:szCs w:val="18"/>
                <w:color w:val="auto"/>
              </w:rPr>
              <w:t>101.DEF</w:t>
            </w:r>
            <w:r>
              <w:rPr>
                <w:rFonts w:ascii="Arial" w:cs="Arial" w:eastAsia="Arial" w:hAnsi="Arial"/>
                <w:sz w:val="24"/>
                <w:szCs w:val="24"/>
                <w:color w:val="auto"/>
                <w:vertAlign w:val="superscript"/>
              </w:rPr>
              <w:t>(1)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92"/>
        </w:trPr>
        <w:tc>
          <w:tcPr>
            <w:tcW w:w="1020" w:type="dxa"/>
            <w:vAlign w:val="bottom"/>
          </w:tcPr>
          <w:p>
            <w:pPr>
              <w:ind w:left="20"/>
              <w:spacing w:after="0"/>
              <w:rPr>
                <w:sz w:val="20"/>
                <w:szCs w:val="20"/>
                <w:color w:val="auto"/>
              </w:rPr>
            </w:pPr>
            <w:r>
              <w:rPr>
                <w:rFonts w:ascii="Arial" w:cs="Arial" w:eastAsia="Arial" w:hAnsi="Arial"/>
                <w:sz w:val="18"/>
                <w:szCs w:val="18"/>
                <w:color w:val="auto"/>
              </w:rPr>
              <w:t>101.LAB</w:t>
            </w:r>
            <w:r>
              <w:rPr>
                <w:rFonts w:ascii="Arial" w:cs="Arial" w:eastAsia="Arial" w:hAnsi="Arial"/>
                <w:sz w:val="24"/>
                <w:szCs w:val="24"/>
                <w:color w:val="auto"/>
                <w:vertAlign w:val="superscript"/>
              </w:rPr>
              <w:t>(1)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91"/>
        </w:trPr>
        <w:tc>
          <w:tcPr>
            <w:tcW w:w="1020" w:type="dxa"/>
            <w:vAlign w:val="bottom"/>
          </w:tcPr>
          <w:p>
            <w:pPr>
              <w:ind w:left="20"/>
              <w:spacing w:after="0"/>
              <w:rPr>
                <w:sz w:val="20"/>
                <w:szCs w:val="20"/>
                <w:color w:val="auto"/>
              </w:rPr>
            </w:pPr>
            <w:r>
              <w:rPr>
                <w:rFonts w:ascii="Arial" w:cs="Arial" w:eastAsia="Arial" w:hAnsi="Arial"/>
                <w:sz w:val="18"/>
                <w:szCs w:val="18"/>
                <w:color w:val="auto"/>
              </w:rPr>
              <w:t>101.PRE</w:t>
            </w:r>
            <w:r>
              <w:rPr>
                <w:rFonts w:ascii="Arial" w:cs="Arial" w:eastAsia="Arial" w:hAnsi="Arial"/>
                <w:sz w:val="24"/>
                <w:szCs w:val="24"/>
                <w:color w:val="auto"/>
                <w:vertAlign w:val="superscript"/>
              </w:rPr>
              <w:t>(1)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471"/>
        </w:trPr>
        <w:tc>
          <w:tcPr>
            <w:tcW w:w="1020" w:type="dxa"/>
            <w:vAlign w:val="bottom"/>
          </w:tcPr>
          <w:p>
            <w:pPr>
              <w:ind w:left="20"/>
              <w:spacing w:after="0"/>
              <w:rPr>
                <w:sz w:val="20"/>
                <w:szCs w:val="20"/>
                <w:color w:val="auto"/>
              </w:rPr>
            </w:pPr>
            <w:r>
              <w:rPr>
                <w:rFonts w:ascii="Arial" w:cs="Arial" w:eastAsia="Arial" w:hAnsi="Arial"/>
                <w:sz w:val="35"/>
                <w:szCs w:val="35"/>
                <w:color w:val="auto"/>
                <w:vertAlign w:val="subscript"/>
              </w:rPr>
              <w:t>104</w:t>
            </w:r>
            <w:r>
              <w:rPr>
                <w:rFonts w:ascii="Arial" w:cs="Arial" w:eastAsia="Arial" w:hAnsi="Arial"/>
                <w:sz w:val="12"/>
                <w:szCs w:val="12"/>
                <w:color w:val="auto"/>
              </w:rPr>
              <w:t>(1)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w:t>
      </w:r>
    </w:p>
    <w:p>
      <w:pPr>
        <w:spacing w:after="0" w:line="18" w:lineRule="exact"/>
        <w:rPr>
          <w:rFonts w:ascii="Arial" w:cs="Arial" w:eastAsia="Arial" w:hAnsi="Arial"/>
          <w:sz w:val="16"/>
          <w:szCs w:val="16"/>
          <w:color w:val="auto"/>
        </w:rPr>
      </w:pPr>
    </w:p>
    <w:p>
      <w:pPr>
        <w:ind w:right="20"/>
        <w:spacing w:after="0" w:line="332" w:lineRule="auto"/>
        <w:rPr>
          <w:rFonts w:ascii="Arial" w:cs="Arial" w:eastAsia="Arial" w:hAnsi="Arial"/>
          <w:sz w:val="16"/>
          <w:szCs w:val="16"/>
          <w:color w:val="auto"/>
        </w:rPr>
      </w:pPr>
      <w:r>
        <w:rPr>
          <w:rFonts w:ascii="Arial" w:cs="Arial" w:eastAsia="Arial" w:hAnsi="Arial"/>
          <w:sz w:val="14"/>
          <w:szCs w:val="14"/>
          <w:color w:val="auto"/>
        </w:rPr>
        <w:t>The certifications attached as Exhibit 32.1 and 32.2 that accompany this Quarterly Report on Form 10-Q are not deemed filed with the Securities and Exchange Commission and are not to be incorporated by reference into any filing of MediciNova,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6480"/>
        <w:spacing w:after="0"/>
        <w:rPr>
          <w:sz w:val="20"/>
          <w:szCs w:val="20"/>
          <w:color w:val="auto"/>
        </w:rPr>
      </w:pPr>
      <w:r>
        <w:rPr>
          <w:rFonts w:ascii="Arial" w:cs="Arial" w:eastAsia="Arial" w:hAnsi="Arial"/>
          <w:sz w:val="18"/>
          <w:szCs w:val="18"/>
          <w:b w:val="1"/>
          <w:bCs w:val="1"/>
          <w:color w:val="auto"/>
        </w:rPr>
        <w:t>MEDICINOVA, INC.</w:t>
      </w:r>
    </w:p>
    <w:p>
      <w:pPr>
        <w:spacing w:after="0" w:line="310" w:lineRule="exact"/>
        <w:rPr>
          <w:sz w:val="20"/>
          <w:szCs w:val="20"/>
          <w:color w:val="auto"/>
        </w:rPr>
      </w:pPr>
    </w:p>
    <w:p>
      <w:pPr>
        <w:ind w:left="20"/>
        <w:spacing w:after="0"/>
        <w:tabs>
          <w:tab w:leader="none" w:pos="6460" w:val="left"/>
          <w:tab w:leader="none" w:pos="8340" w:val="left"/>
          <w:tab w:leader="none" w:pos="8700" w:val="left"/>
        </w:tabs>
        <w:rPr>
          <w:sz w:val="20"/>
          <w:szCs w:val="20"/>
          <w:color w:val="auto"/>
        </w:rPr>
      </w:pPr>
      <w:r>
        <w:rPr>
          <w:rFonts w:ascii="Arial" w:cs="Arial" w:eastAsia="Arial" w:hAnsi="Arial"/>
          <w:sz w:val="18"/>
          <w:szCs w:val="18"/>
          <w:color w:val="auto"/>
        </w:rPr>
        <w:t>Date: November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23495</wp:posOffset>
            </wp:positionV>
            <wp:extent cx="28200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1"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Yuichi Iwaki, M.D., Ph.D.</w:t>
      </w:r>
    </w:p>
    <w:p>
      <w:pPr>
        <w:spacing w:after="0" w:line="25"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5"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(on behalf of the registrant and</w:t>
      </w:r>
    </w:p>
    <w:p>
      <w:pPr>
        <w:spacing w:after="0" w:line="15"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as the registrant’s Principal Executive Officer)</w:t>
      </w:r>
    </w:p>
    <w:p>
      <w:pPr>
        <w:spacing w:after="0" w:line="282" w:lineRule="exact"/>
        <w:rPr>
          <w:sz w:val="20"/>
          <w:szCs w:val="20"/>
          <w:color w:val="auto"/>
        </w:rPr>
      </w:pPr>
    </w:p>
    <w:p>
      <w:pPr>
        <w:ind w:left="6480"/>
        <w:spacing w:after="0"/>
        <w:tabs>
          <w:tab w:leader="none" w:pos="8300" w:val="left"/>
          <w:tab w:leader="none" w:pos="8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w:t>
      </w:r>
      <w:r>
        <w:rPr>
          <w:rFonts w:ascii="Arial" w:cs="Arial" w:eastAsia="Arial" w:hAnsi="Arial"/>
          <w:sz w:val="12"/>
          <w:szCs w:val="12"/>
          <w:color w:val="auto"/>
        </w:rPr>
        <w:t>ASON</w:t>
      </w:r>
      <w:r>
        <w:rPr>
          <w:rFonts w:ascii="Arial" w:cs="Arial" w:eastAsia="Arial" w:hAnsi="Arial"/>
          <w:sz w:val="17"/>
          <w:szCs w:val="17"/>
          <w:color w:val="auto"/>
        </w:rPr>
        <w:t xml:space="preserve"> K</w:t>
      </w:r>
      <w:r>
        <w:rPr>
          <w:rFonts w:ascii="Arial" w:cs="Arial" w:eastAsia="Arial" w:hAnsi="Arial"/>
          <w:sz w:val="12"/>
          <w:szCs w:val="12"/>
          <w:color w:val="auto"/>
        </w:rPr>
        <w:t>RUGER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23495</wp:posOffset>
            </wp:positionV>
            <wp:extent cx="28200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1"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Jason Kruger</w:t>
      </w:r>
    </w:p>
    <w:p>
      <w:pPr>
        <w:spacing w:after="0" w:line="25"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Chief Financial Officer</w:t>
      </w:r>
    </w:p>
    <w:p>
      <w:pPr>
        <w:spacing w:after="0" w:line="15"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(on behalf of the registrant and</w:t>
      </w:r>
    </w:p>
    <w:p>
      <w:pPr>
        <w:spacing w:after="0" w:line="15"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as the registrant’s Principal Financial Officer)</w:t>
      </w:r>
    </w:p>
    <w:p>
      <w:pPr>
        <w:spacing w:after="0" w:line="200" w:lineRule="exact"/>
        <w:rPr>
          <w:sz w:val="20"/>
          <w:szCs w:val="20"/>
          <w:color w:val="auto"/>
        </w:rPr>
      </w:pPr>
    </w:p>
    <w:p>
      <w:pPr>
        <w:spacing w:after="0" w:line="23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37" w:right="77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117" w:lineRule="exact"/>
        <w:rPr>
          <w:sz w:val="20"/>
          <w:szCs w:val="20"/>
          <w:color w:val="auto"/>
        </w:rPr>
      </w:pPr>
    </w:p>
    <w:p>
      <w:pPr>
        <w:ind w:left="700" w:hanging="183"/>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2023 of MediciNova, Inc.;</w:t>
      </w:r>
    </w:p>
    <w:p>
      <w:pPr>
        <w:spacing w:after="0" w:line="117" w:lineRule="exact"/>
        <w:rPr>
          <w:rFonts w:ascii="Arial" w:cs="Arial" w:eastAsia="Arial" w:hAnsi="Arial"/>
          <w:sz w:val="18"/>
          <w:szCs w:val="18"/>
          <w:color w:val="auto"/>
        </w:rPr>
      </w:pPr>
    </w:p>
    <w:p>
      <w:pPr>
        <w:ind w:right="80" w:firstLine="517"/>
        <w:spacing w:after="0" w:line="342" w:lineRule="auto"/>
        <w:tabs>
          <w:tab w:leader="none" w:pos="689"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517"/>
        <w:spacing w:after="0" w:line="277" w:lineRule="auto"/>
        <w:tabs>
          <w:tab w:leader="none" w:pos="689"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80" w:firstLine="517"/>
        <w:spacing w:after="0" w:line="263" w:lineRule="auto"/>
        <w:tabs>
          <w:tab w:leader="none" w:pos="68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420" w:firstLine="506"/>
        <w:spacing w:after="0" w:line="263" w:lineRule="auto"/>
        <w:tabs>
          <w:tab w:leader="none" w:pos="127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520" w:right="180" w:firstLine="506"/>
        <w:spacing w:after="0" w:line="263" w:lineRule="auto"/>
        <w:tabs>
          <w:tab w:leader="none" w:pos="128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300" w:firstLine="506"/>
        <w:spacing w:after="0" w:line="342" w:lineRule="auto"/>
        <w:tabs>
          <w:tab w:leader="none" w:pos="1274"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280" w:firstLine="506"/>
        <w:spacing w:after="0" w:line="263" w:lineRule="auto"/>
        <w:tabs>
          <w:tab w:leader="none" w:pos="1284"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40" w:firstLine="517"/>
        <w:spacing w:after="0" w:line="308" w:lineRule="auto"/>
        <w:tabs>
          <w:tab w:leader="none" w:pos="689"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540" w:firstLine="506"/>
        <w:spacing w:after="0" w:line="342" w:lineRule="auto"/>
        <w:tabs>
          <w:tab w:leader="none" w:pos="1274"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520" w:right="220" w:firstLine="506"/>
        <w:spacing w:after="0" w:line="277" w:lineRule="auto"/>
        <w:tabs>
          <w:tab w:leader="none" w:pos="1284"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Date: November 9, 2023</w:t>
      </w:r>
    </w:p>
    <w:p>
      <w:pPr>
        <w:spacing w:after="0" w:line="306" w:lineRule="exact"/>
        <w:rPr>
          <w:sz w:val="20"/>
          <w:szCs w:val="20"/>
          <w:color w:val="auto"/>
        </w:rPr>
      </w:pPr>
    </w:p>
    <w:p>
      <w:pPr>
        <w:ind w:left="6780"/>
        <w:spacing w:after="0"/>
        <w:tabs>
          <w:tab w:leader="none" w:pos="7220" w:val="left"/>
          <w:tab w:leader="none" w:pos="7560" w:val="left"/>
        </w:tabs>
        <w:rPr>
          <w:sz w:val="20"/>
          <w:szCs w:val="20"/>
          <w:color w:val="auto"/>
        </w:rPr>
      </w:pPr>
      <w:r>
        <w:rPr>
          <w:rFonts w:ascii="Arial" w:cs="Arial" w:eastAsia="Arial" w:hAnsi="Arial"/>
          <w:sz w:val="18"/>
          <w:szCs w:val="18"/>
          <w:color w:val="auto"/>
        </w:rPr>
        <w:t>By:</w:t>
        <w:tab/>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23495</wp:posOffset>
            </wp:positionV>
            <wp:extent cx="255460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21"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Yuichi Iwaki, M.D., Ph.D.</w:t>
      </w:r>
    </w:p>
    <w:p>
      <w:pPr>
        <w:spacing w:after="0" w:line="25"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Jason Kruger, certify that:</w:t>
      </w:r>
    </w:p>
    <w:p>
      <w:pPr>
        <w:spacing w:after="0" w:line="117" w:lineRule="exact"/>
        <w:rPr>
          <w:sz w:val="20"/>
          <w:szCs w:val="20"/>
          <w:color w:val="auto"/>
        </w:rPr>
      </w:pPr>
    </w:p>
    <w:p>
      <w:pPr>
        <w:ind w:left="700" w:hanging="183"/>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2023 of MediciNova, Inc.;</w:t>
      </w:r>
    </w:p>
    <w:p>
      <w:pPr>
        <w:spacing w:after="0" w:line="117" w:lineRule="exact"/>
        <w:rPr>
          <w:rFonts w:ascii="Arial" w:cs="Arial" w:eastAsia="Arial" w:hAnsi="Arial"/>
          <w:sz w:val="18"/>
          <w:szCs w:val="18"/>
          <w:color w:val="auto"/>
        </w:rPr>
      </w:pPr>
    </w:p>
    <w:p>
      <w:pPr>
        <w:ind w:right="80" w:firstLine="517"/>
        <w:spacing w:after="0" w:line="342" w:lineRule="auto"/>
        <w:tabs>
          <w:tab w:leader="none" w:pos="689"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517"/>
        <w:spacing w:after="0" w:line="277" w:lineRule="auto"/>
        <w:tabs>
          <w:tab w:leader="none" w:pos="689"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80" w:firstLine="517"/>
        <w:spacing w:after="0" w:line="263" w:lineRule="auto"/>
        <w:tabs>
          <w:tab w:leader="none" w:pos="68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420" w:firstLine="506"/>
        <w:spacing w:after="0" w:line="263" w:lineRule="auto"/>
        <w:tabs>
          <w:tab w:leader="none" w:pos="127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520" w:right="180" w:firstLine="506"/>
        <w:spacing w:after="0" w:line="263" w:lineRule="auto"/>
        <w:tabs>
          <w:tab w:leader="none" w:pos="128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300" w:firstLine="506"/>
        <w:spacing w:after="0" w:line="342" w:lineRule="auto"/>
        <w:tabs>
          <w:tab w:leader="none" w:pos="1274"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280" w:firstLine="506"/>
        <w:spacing w:after="0" w:line="263" w:lineRule="auto"/>
        <w:tabs>
          <w:tab w:leader="none" w:pos="1284"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40" w:firstLine="517"/>
        <w:spacing w:after="0" w:line="308" w:lineRule="auto"/>
        <w:tabs>
          <w:tab w:leader="none" w:pos="689"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540" w:firstLine="506"/>
        <w:spacing w:after="0" w:line="342" w:lineRule="auto"/>
        <w:tabs>
          <w:tab w:leader="none" w:pos="1274"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520" w:right="220" w:firstLine="506"/>
        <w:spacing w:after="0" w:line="277" w:lineRule="auto"/>
        <w:tabs>
          <w:tab w:leader="none" w:pos="1284"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Date: November 9, 2023</w:t>
      </w:r>
    </w:p>
    <w:p>
      <w:pPr>
        <w:spacing w:after="0" w:line="306" w:lineRule="exact"/>
        <w:rPr>
          <w:sz w:val="20"/>
          <w:szCs w:val="20"/>
          <w:color w:val="auto"/>
        </w:rPr>
      </w:pPr>
    </w:p>
    <w:p>
      <w:pPr>
        <w:ind w:left="6780"/>
        <w:spacing w:after="0"/>
        <w:tabs>
          <w:tab w:leader="none" w:pos="7220" w:val="left"/>
          <w:tab w:leader="none" w:pos="75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7"/>
          <w:szCs w:val="17"/>
          <w:color w:val="auto"/>
        </w:rPr>
        <w:t>J</w:t>
      </w:r>
      <w:r>
        <w:rPr>
          <w:rFonts w:ascii="Arial" w:cs="Arial" w:eastAsia="Arial" w:hAnsi="Arial"/>
          <w:sz w:val="12"/>
          <w:szCs w:val="12"/>
          <w:color w:val="auto"/>
        </w:rPr>
        <w:t>ASON</w:t>
      </w:r>
      <w:r>
        <w:rPr>
          <w:rFonts w:ascii="Arial" w:cs="Arial" w:eastAsia="Arial" w:hAnsi="Arial"/>
          <w:sz w:val="17"/>
          <w:szCs w:val="17"/>
          <w:color w:val="auto"/>
        </w:rPr>
        <w:t xml:space="preserve"> K</w:t>
      </w:r>
      <w:r>
        <w:rPr>
          <w:rFonts w:ascii="Arial" w:cs="Arial" w:eastAsia="Arial" w:hAnsi="Arial"/>
          <w:sz w:val="12"/>
          <w:szCs w:val="12"/>
          <w:color w:val="auto"/>
        </w:rPr>
        <w:t>RUGER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23495</wp:posOffset>
            </wp:positionV>
            <wp:extent cx="255460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21"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Jason Kruger</w:t>
      </w:r>
    </w:p>
    <w:p>
      <w:pPr>
        <w:spacing w:after="0" w:line="25"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Chief Financial Officer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3"/>
          <w:szCs w:val="13"/>
          <w:b w:val="1"/>
          <w:b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In connection with the accompanying Quarterly Report on Form 10-Q of MediciNova, Inc. (the “Company”) for the quarter ended September 30, 2023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79" w:lineRule="exact"/>
        <w:rPr>
          <w:sz w:val="20"/>
          <w:szCs w:val="20"/>
          <w:color w:val="auto"/>
        </w:rPr>
      </w:pPr>
    </w:p>
    <w:p>
      <w:pPr>
        <w:ind w:left="1200" w:hanging="174"/>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380" w:firstLine="506"/>
        <w:spacing w:after="0" w:line="277" w:lineRule="auto"/>
        <w:tabs>
          <w:tab w:leader="none" w:pos="120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Date: November 9, 2023</w:t>
      </w:r>
    </w:p>
    <w:p>
      <w:pPr>
        <w:spacing w:after="0" w:line="306" w:lineRule="exact"/>
        <w:rPr>
          <w:sz w:val="20"/>
          <w:szCs w:val="20"/>
          <w:color w:val="auto"/>
        </w:rPr>
      </w:pPr>
    </w:p>
    <w:p>
      <w:pPr>
        <w:ind w:left="6780"/>
        <w:spacing w:after="0"/>
        <w:tabs>
          <w:tab w:leader="none" w:pos="8580" w:val="left"/>
          <w:tab w:leader="none" w:pos="8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2"/>
          <w:szCs w:val="12"/>
          <w:color w:val="auto"/>
        </w:rPr>
        <w:t>uichi</w:t>
      </w:r>
      <w:r>
        <w:rPr>
          <w:rFonts w:ascii="Arial" w:cs="Arial" w:eastAsia="Arial" w:hAnsi="Arial"/>
          <w:sz w:val="18"/>
          <w:szCs w:val="18"/>
          <w:color w:val="auto"/>
        </w:rPr>
        <w:t xml:space="preserve"> I</w:t>
      </w:r>
      <w:r>
        <w:rPr>
          <w:rFonts w:ascii="Arial" w:cs="Arial" w:eastAsia="Arial" w:hAnsi="Arial"/>
          <w:sz w:val="12"/>
          <w:szCs w:val="12"/>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23495</wp:posOffset>
            </wp:positionV>
            <wp:extent cx="25546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1" w:lineRule="exact"/>
        <w:rPr>
          <w:sz w:val="20"/>
          <w:szCs w:val="20"/>
          <w:color w:val="auto"/>
        </w:rPr>
      </w:pPr>
    </w:p>
    <w:p>
      <w:pPr>
        <w:jc w:val="center"/>
        <w:ind w:left="7200"/>
        <w:spacing w:after="0"/>
        <w:rPr>
          <w:sz w:val="20"/>
          <w:szCs w:val="20"/>
          <w:color w:val="auto"/>
        </w:rPr>
      </w:pPr>
      <w:r>
        <w:rPr>
          <w:rFonts w:ascii="Arial" w:cs="Arial" w:eastAsia="Arial" w:hAnsi="Arial"/>
          <w:sz w:val="14"/>
          <w:szCs w:val="14"/>
          <w:b w:val="1"/>
          <w:bCs w:val="1"/>
          <w:color w:val="auto"/>
        </w:rPr>
        <w:t>Yuichi Iwaki, M.D., Ph.D.</w:t>
      </w:r>
    </w:p>
    <w:p>
      <w:pPr>
        <w:spacing w:after="0" w:line="25" w:lineRule="exact"/>
        <w:rPr>
          <w:sz w:val="20"/>
          <w:szCs w:val="20"/>
          <w:color w:val="auto"/>
        </w:rPr>
      </w:pPr>
    </w:p>
    <w:p>
      <w:pPr>
        <w:jc w:val="center"/>
        <w:ind w:left="720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5" w:lineRule="exact"/>
        <w:rPr>
          <w:sz w:val="20"/>
          <w:szCs w:val="20"/>
          <w:color w:val="auto"/>
        </w:rPr>
      </w:pPr>
    </w:p>
    <w:p>
      <w:pPr>
        <w:jc w:val="center"/>
        <w:ind w:left="7200"/>
        <w:spacing w:after="0"/>
        <w:rPr>
          <w:sz w:val="20"/>
          <w:szCs w:val="20"/>
          <w:color w:val="auto"/>
        </w:rPr>
      </w:pPr>
      <w:r>
        <w:rPr>
          <w:rFonts w:ascii="Arial" w:cs="Arial" w:eastAsia="Arial" w:hAnsi="Arial"/>
          <w:sz w:val="14"/>
          <w:szCs w:val="14"/>
          <w:b w:val="1"/>
          <w:bCs w:val="1"/>
          <w:color w:val="auto"/>
        </w:rPr>
        <w:t>(Principal Executive Officer)</w:t>
      </w:r>
    </w:p>
    <w:p>
      <w:pPr>
        <w:spacing w:after="0" w:line="215"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quarter ended September 30, 2023, as filed with the Securities and Exchange Commission on the date hereof (the “Report”), I, Jason Kruger, as Chief Financial Officer of the Company, hereby certify, pursuant to 18 U.S.C. Section 1350, as adopted pursuant to Section 906 of the Sarbanes-Oxley Act of 2002, that to my knowledge:</w:t>
      </w:r>
    </w:p>
    <w:p>
      <w:pPr>
        <w:spacing w:after="0" w:line="41" w:lineRule="exact"/>
        <w:rPr>
          <w:sz w:val="20"/>
          <w:szCs w:val="20"/>
          <w:color w:val="auto"/>
        </w:rPr>
      </w:pPr>
    </w:p>
    <w:p>
      <w:pPr>
        <w:ind w:left="1200" w:hanging="174"/>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380" w:firstLine="506"/>
        <w:spacing w:after="0" w:line="277" w:lineRule="auto"/>
        <w:tabs>
          <w:tab w:leader="none" w:pos="120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Date: November 9, 2023</w:t>
      </w:r>
    </w:p>
    <w:p>
      <w:pPr>
        <w:spacing w:after="0" w:line="306" w:lineRule="exact"/>
        <w:rPr>
          <w:sz w:val="20"/>
          <w:szCs w:val="20"/>
          <w:color w:val="auto"/>
        </w:rPr>
      </w:pPr>
    </w:p>
    <w:p>
      <w:pPr>
        <w:ind w:left="6780"/>
        <w:spacing w:after="0"/>
        <w:tabs>
          <w:tab w:leader="none" w:pos="8500" w:val="left"/>
          <w:tab w:leader="none" w:pos="8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w:t>
      </w:r>
      <w:r>
        <w:rPr>
          <w:rFonts w:ascii="Arial" w:cs="Arial" w:eastAsia="Arial" w:hAnsi="Arial"/>
          <w:sz w:val="12"/>
          <w:szCs w:val="12"/>
          <w:color w:val="auto"/>
        </w:rPr>
        <w:t>ASON</w:t>
      </w:r>
      <w:r>
        <w:rPr>
          <w:rFonts w:ascii="Arial" w:cs="Arial" w:eastAsia="Arial" w:hAnsi="Arial"/>
          <w:sz w:val="17"/>
          <w:szCs w:val="17"/>
          <w:color w:val="auto"/>
        </w:rPr>
        <w:t xml:space="preserve"> K</w:t>
      </w:r>
      <w:r>
        <w:rPr>
          <w:rFonts w:ascii="Arial" w:cs="Arial" w:eastAsia="Arial" w:hAnsi="Arial"/>
          <w:sz w:val="12"/>
          <w:szCs w:val="12"/>
          <w:color w:val="auto"/>
        </w:rPr>
        <w:t>RUGER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23495</wp:posOffset>
            </wp:positionV>
            <wp:extent cx="25546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1" w:lineRule="exact"/>
        <w:rPr>
          <w:sz w:val="20"/>
          <w:szCs w:val="20"/>
          <w:color w:val="auto"/>
        </w:rPr>
      </w:pPr>
    </w:p>
    <w:p>
      <w:pPr>
        <w:jc w:val="center"/>
        <w:ind w:left="7200"/>
        <w:spacing w:after="0"/>
        <w:rPr>
          <w:sz w:val="20"/>
          <w:szCs w:val="20"/>
          <w:color w:val="auto"/>
        </w:rPr>
      </w:pPr>
      <w:r>
        <w:rPr>
          <w:rFonts w:ascii="Arial" w:cs="Arial" w:eastAsia="Arial" w:hAnsi="Arial"/>
          <w:sz w:val="14"/>
          <w:szCs w:val="14"/>
          <w:b w:val="1"/>
          <w:bCs w:val="1"/>
          <w:color w:val="auto"/>
        </w:rPr>
        <w:t>Jason Kruger</w:t>
      </w:r>
    </w:p>
    <w:p>
      <w:pPr>
        <w:spacing w:after="0" w:line="25" w:lineRule="exact"/>
        <w:rPr>
          <w:sz w:val="20"/>
          <w:szCs w:val="20"/>
          <w:color w:val="auto"/>
        </w:rPr>
      </w:pPr>
    </w:p>
    <w:p>
      <w:pPr>
        <w:jc w:val="center"/>
        <w:ind w:left="7200"/>
        <w:spacing w:after="0"/>
        <w:rPr>
          <w:sz w:val="20"/>
          <w:szCs w:val="20"/>
          <w:color w:val="auto"/>
        </w:rPr>
      </w:pPr>
      <w:r>
        <w:rPr>
          <w:rFonts w:ascii="Arial" w:cs="Arial" w:eastAsia="Arial" w:hAnsi="Arial"/>
          <w:sz w:val="14"/>
          <w:szCs w:val="14"/>
          <w:b w:val="1"/>
          <w:bCs w:val="1"/>
          <w:color w:val="auto"/>
        </w:rPr>
        <w:t>Chief Financial Officer</w:t>
      </w:r>
    </w:p>
    <w:p>
      <w:pPr>
        <w:spacing w:after="0" w:line="15" w:lineRule="exact"/>
        <w:rPr>
          <w:sz w:val="20"/>
          <w:szCs w:val="20"/>
          <w:color w:val="auto"/>
        </w:rPr>
      </w:pPr>
    </w:p>
    <w:p>
      <w:pPr>
        <w:jc w:val="center"/>
        <w:ind w:left="7200"/>
        <w:spacing w:after="0"/>
        <w:rPr>
          <w:sz w:val="20"/>
          <w:szCs w:val="20"/>
          <w:color w:val="auto"/>
        </w:rPr>
      </w:pPr>
      <w:r>
        <w:rPr>
          <w:rFonts w:ascii="Arial" w:cs="Arial" w:eastAsia="Arial" w:hAnsi="Arial"/>
          <w:sz w:val="13"/>
          <w:szCs w:val="13"/>
          <w:b w:val="1"/>
          <w:bCs w:val="1"/>
          <w:color w:val="auto"/>
        </w:rPr>
        <w:t>(Principal Financial Officer and Principal Accounting Officer)</w:t>
      </w:r>
    </w:p>
    <w:p>
      <w:pPr>
        <w:spacing w:after="0" w:line="226"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lvl w:ilvl="1">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28" Type="http://schemas.openxmlformats.org/officeDocument/2006/relationships/hyperlink" Target="https://www.sec.gov/Archives/edgar/data/1226616/000119312512347932/d344794dex31.htm" TargetMode="External"/><Relationship Id="rId129" Type="http://schemas.openxmlformats.org/officeDocument/2006/relationships/hyperlink" Target="https://www.sec.gov/Archives/edgar/data/1226616/000119312519119751/d727763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2023-11-09T15:33:21Z</dcterms:created>
  <dcterms:modified xsi:type="dcterms:W3CDTF">2023-11-09T15:33:21Z</dcterms:modified>
</cp:coreProperties>
</file>