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nov-20240930.htm"/>
      <w:bookmarkStart w:id="1" w:name="ksmnov202409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QUARTERLY PERIOD ENDED SEPTEMBER 30, 2024</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001-33185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33-0927979</w:t>
            </w:r>
          </w:p>
        </w:tc>
      </w:tr>
      <w:tr>
        <w:trPr/>
        <w:tc>
          <w:tcPr>
            <w:tcW w:w="30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left"/>
              <w:rPr/>
            </w:pPr>
            <w:r>
              <w:rPr/>
              <w:t> </w:t>
            </w:r>
          </w:p>
        </w:tc>
      </w:tr>
      <w:tr>
        <w:trPr/>
        <w:tc>
          <w:tcPr>
            <w:tcW w:w="301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4275 Executive Square,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0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(858) 373-1500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380" w:type="dxa"/>
        <w:jc w:val="left"/>
        <w:tblInd w:w="0" w:type="dxa"/>
        <w:tblLayout w:type="fixed"/>
        <w:tblCellMar>
          <w:top w:w="28" w:type="dxa"/>
          <w:left w:w="28" w:type="dxa"/>
          <w:bottom w:w="28" w:type="dxa"/>
          <w:right w:w="28" w:type="dxa"/>
        </w:tblCellMar>
      </w:tblPr>
      <w:tblGrid>
        <w:gridCol w:w="2551"/>
        <w:gridCol w:w="146"/>
        <w:gridCol w:w="1711"/>
        <w:gridCol w:w="146"/>
        <w:gridCol w:w="38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MNOV</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25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bl>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jc w:val="left"/>
        <w:rPr/>
      </w:pPr>
      <w:r>
        <w:rPr/>
        <w:t> </w:t>
      </w:r>
    </w:p>
    <w:tbl>
      <w:tblPr>
        <w:tblW w:w="4414" w:type="dxa"/>
        <w:jc w:val="left"/>
        <w:tblInd w:w="0" w:type="dxa"/>
        <w:tblLayout w:type="fixed"/>
        <w:tblCellMar>
          <w:top w:w="28" w:type="dxa"/>
          <w:left w:w="28" w:type="dxa"/>
          <w:bottom w:w="28" w:type="dxa"/>
          <w:right w:w="28" w:type="dxa"/>
        </w:tblCellMar>
      </w:tblPr>
      <w:tblGrid>
        <w:gridCol w:w="1666"/>
        <w:gridCol w:w="376"/>
        <w:gridCol w:w="201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November 13, 2024, the registrant had 49,046,246</w:t>
      </w:r>
      <w:r>
        <w:rPr>
          <w:rFonts w:ascii="Times New Roman" w:hAnsi="Times New Roman"/>
          <w:color w:val="000000"/>
          <w:sz w:val="20"/>
        </w:rPr>
        <w:t xml:space="preserve"> </w:t>
      </w:r>
      <w:r>
        <w:rPr>
          <w:rFonts w:ascii="Times New Roman" w:hAnsi="Times New Roman"/>
          <w:color w:val="000000"/>
          <w:sz w:val="16"/>
        </w:rPr>
        <w:t>shares of Common Stock ($0.001 par value)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are among those that may cause actual results to differ materially from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raise additional capital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revenues from product sales to continue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completing clinical trials or obtaining Food and Drug Administration or foreign regulatory approval for our product candidates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Unsuccessful clinical trials stemming from clinical trial designs, failure to enroll a sufficient number of patients, undesirable side effects and other safety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demonstrate sufficient efficacy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success of our MN-166 (ibudilast) and MN-001 (tipelukast)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commencement or completion of clinical trials or suspension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our licensed rights to develop and commercialize a product candidate as a result of the termination of the underlying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products rendering our product candidates obsolete and noncompetitive;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successfully attract partners and enter into collaborations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conduct clinical trials and to manufacture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market and distribute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if approved, may not gain market acceptance or obtain adequate coverage for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concerning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and anticipated fluctuations in our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public concern about the safety of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or foreign exchange restrictions, increased tariffs, foreign currency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quality material for our products may become difficult to obtain or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Strict government regulations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governing the production or marketing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or inability to attract, key personnel;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political, foreign exchange and other risks associated with international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widespread outbreak of an illness or any other communicable disease, such as COVID-19, which has led to lead key employees becoming ill for a period of time;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“MediciNova,” “we,” “us” and “our” refer to MediciNova,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9"/>
        <w:gridCol w:w="331"/>
        <w:gridCol w:w="8398"/>
        <w:gridCol w:w="477"/>
      </w:tblGrid>
      <w:tr>
        <w:trPr/>
        <w:tc>
          <w:tcPr>
            <w:tcW w:w="9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39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728" w:type="dxa"/>
            <w:gridSpan w:val="3"/>
            <w:tcBorders/>
            <w:shd w:fill="FFFFFF" w:val="cle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30" w:type="dxa"/>
            <w:gridSpan w:val="2"/>
            <w:tcBorders/>
            <w:shd w:fill="FFFFFF" w:val="clear"/>
            <w:vAlign w:val="center"/>
          </w:tcPr>
          <w:p>
            <w:pPr>
              <w:pStyle w:val="TableContents"/>
              <w:bidi w:val="0"/>
              <w:spacing w:before="0" w:after="283"/>
              <w:jc w:val="left"/>
              <w:rPr>
                <w:sz w:val="4"/>
                <w:szCs w:val="4"/>
              </w:rPr>
            </w:pPr>
            <w:r>
              <w:rPr>
                <w:sz w:val="4"/>
                <w:szCs w:val="4"/>
              </w:rPr>
            </w:r>
          </w:p>
        </w:tc>
        <w:tc>
          <w:tcPr>
            <w:tcW w:w="8398"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ind w:left="0" w:right="0" w:firstLine="115"/>
              <w:jc w:val="right"/>
              <w:rPr/>
            </w:pPr>
            <w:r>
              <w:rPr/>
              <w:t> </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5</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17</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22</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4_controls_procedures">
              <w:r>
                <w:rPr>
                  <w:rStyle w:val="InternetLink"/>
                  <w:rFonts w:ascii="Times New Roman" w:hAnsi="Times New Roman"/>
                  <w:color w:val="0000FF"/>
                  <w:sz w:val="20"/>
                  <w:u w:val="single"/>
                </w:rPr>
                <w:t>CONTROLS AND PROCEDURES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22</w:t>
            </w:r>
          </w:p>
        </w:tc>
      </w:tr>
      <w:tr>
        <w:trPr/>
        <w:tc>
          <w:tcPr>
            <w:tcW w:w="999" w:type="dxa"/>
            <w:tcBorders/>
            <w:shd w:fill="FFFFFF" w:val="clear"/>
            <w:vAlign w:val="center"/>
          </w:tcPr>
          <w:p>
            <w:pPr>
              <w:pStyle w:val="TableContents"/>
              <w:bidi w:val="0"/>
              <w:spacing w:before="0" w:after="283"/>
              <w:ind w:left="0" w:right="0" w:firstLine="115"/>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8398" w:type="dxa"/>
            <w:tcBorders/>
            <w:shd w:fill="FFFFFF" w:val="clear"/>
            <w:vAlign w:val="center"/>
          </w:tcPr>
          <w:p>
            <w:pPr>
              <w:pStyle w:val="TableContents"/>
              <w:bidi w:val="0"/>
              <w:spacing w:before="0" w:after="283"/>
              <w:jc w:val="left"/>
              <w:rPr>
                <w:sz w:val="4"/>
                <w:szCs w:val="4"/>
              </w:rPr>
            </w:pPr>
            <w:r>
              <w:rPr>
                <w:sz w:val="4"/>
                <w:szCs w:val="4"/>
              </w:rPr>
            </w:r>
          </w:p>
        </w:tc>
        <w:tc>
          <w:tcPr>
            <w:tcW w:w="477" w:type="dxa"/>
            <w:tcBorders/>
            <w:shd w:fill="FFFFFF" w:val="clear"/>
            <w:vAlign w:val="center"/>
          </w:tcPr>
          <w:p>
            <w:pPr>
              <w:pStyle w:val="TableContents"/>
              <w:bidi w:val="0"/>
              <w:spacing w:before="0" w:after="283"/>
              <w:jc w:val="right"/>
              <w:rPr/>
            </w:pPr>
            <w:r>
              <w:rPr/>
              <w:t> </w:t>
            </w:r>
          </w:p>
        </w:tc>
      </w:tr>
      <w:tr>
        <w:trPr/>
        <w:tc>
          <w:tcPr>
            <w:tcW w:w="9728" w:type="dxa"/>
            <w:gridSpan w:val="3"/>
            <w:tcBorders/>
            <w:shd w:fill="FFFFFF" w:val="cle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8398" w:type="dxa"/>
            <w:tcBorders/>
            <w:shd w:fill="FFFFFF" w:val="clear"/>
            <w:vAlign w:val="center"/>
          </w:tcPr>
          <w:p>
            <w:pPr>
              <w:pStyle w:val="TableContents"/>
              <w:bidi w:val="0"/>
              <w:spacing w:before="0" w:after="283"/>
              <w:jc w:val="left"/>
              <w:rPr>
                <w:sz w:val="4"/>
                <w:szCs w:val="4"/>
              </w:rPr>
            </w:pPr>
            <w:r>
              <w:rPr>
                <w:sz w:val="4"/>
                <w:szCs w:val="4"/>
              </w:rPr>
            </w:r>
          </w:p>
        </w:tc>
        <w:tc>
          <w:tcPr>
            <w:tcW w:w="477" w:type="dxa"/>
            <w:tcBorders/>
            <w:shd w:fill="FFFFFF" w:val="clear"/>
            <w:vAlign w:val="center"/>
          </w:tcPr>
          <w:p>
            <w:pPr>
              <w:pStyle w:val="TableContents"/>
              <w:bidi w:val="0"/>
              <w:spacing w:before="0" w:after="283"/>
              <w:ind w:left="0" w:right="0" w:firstLine="115"/>
              <w:jc w:val="right"/>
              <w:rPr/>
            </w:pPr>
            <w:r>
              <w:rPr/>
              <w:t> </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1_legal_proceedings">
              <w:r>
                <w:rPr>
                  <w:rStyle w:val="InternetLink"/>
                  <w:rFonts w:ascii="Times New Roman" w:hAnsi="Times New Roman"/>
                  <w:color w:val="0000FF"/>
                  <w:sz w:val="20"/>
                  <w:u w:val="single"/>
                </w:rPr>
                <w:t>LEGAL PROCEEDINGS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1A.</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1a_risk_factors">
              <w:r>
                <w:rPr>
                  <w:rStyle w:val="InternetLink"/>
                  <w:rFonts w:ascii="Times New Roman" w:hAnsi="Times New Roman"/>
                  <w:color w:val="0000FF"/>
                  <w:sz w:val="20"/>
                  <w:u w:val="single"/>
                </w:rPr>
                <w:t>RISK FACTORS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2_unregistered_sales_equity_secutit">
              <w:r>
                <w:rPr>
                  <w:rStyle w:val="InternetLink"/>
                  <w:rFonts w:ascii="Times New Roman" w:hAnsi="Times New Roman"/>
                  <w:color w:val="0000FF"/>
                  <w:sz w:val="20"/>
                  <w:u w:val="single"/>
                </w:rPr>
                <w:t>UNREGISTERED SALES OF EQUITY SECURITIES AND USE OF PROCEEDS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4_mine_safety_disclosures">
              <w:r>
                <w:rPr>
                  <w:rStyle w:val="InternetLink"/>
                  <w:rFonts w:ascii="Times New Roman" w:hAnsi="Times New Roman"/>
                  <w:color w:val="0000FF"/>
                  <w:sz w:val="20"/>
                  <w:u w:val="single"/>
                </w:rPr>
                <w:t>MINE SAFETY DISCLOSURES</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5.</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5_other_information">
              <w:r>
                <w:rPr>
                  <w:rStyle w:val="InternetLink"/>
                  <w:rFonts w:ascii="Times New Roman" w:hAnsi="Times New Roman"/>
                  <w:color w:val="0000FF"/>
                  <w:sz w:val="20"/>
                  <w:u w:val="single"/>
                </w:rPr>
                <w:t>OTHER INFORMATION</w:t>
              </w:r>
            </w:hyperlink>
          </w:p>
        </w:tc>
        <w:tc>
          <w:tcPr>
            <w:tcW w:w="477" w:type="dxa"/>
            <w:tcBorders/>
            <w:shd w:fill="FFFFFF" w:val="cle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99" w:type="dxa"/>
            <w:tcBorders/>
            <w:shd w:fill="FFFFFF" w:val="clear"/>
            <w:vAlign w:val="center"/>
          </w:tcPr>
          <w:p>
            <w:pPr>
              <w:pStyle w:val="TableContents"/>
              <w:bidi w:val="0"/>
              <w:spacing w:before="0" w:after="283"/>
              <w:ind w:left="115" w:right="0" w:firstLine="115"/>
              <w:jc w:val="left"/>
              <w:rPr>
                <w:rFonts w:ascii="Times New Roman" w:hAnsi="Times New Roman"/>
                <w:color w:val="000000"/>
                <w:sz w:val="20"/>
              </w:rPr>
            </w:pPr>
            <w:r>
              <w:rPr>
                <w:rFonts w:ascii="Times New Roman" w:hAnsi="Times New Roman"/>
                <w:color w:val="000000"/>
                <w:sz w:val="20"/>
              </w:rPr>
              <w:t>ITEM 6.</w:t>
            </w:r>
          </w:p>
        </w:tc>
        <w:tc>
          <w:tcPr>
            <w:tcW w:w="331" w:type="dxa"/>
            <w:tcBorders/>
            <w:shd w:fill="FFFFFF" w:val="clear"/>
            <w:vAlign w:val="center"/>
          </w:tcPr>
          <w:p>
            <w:pPr>
              <w:pStyle w:val="TableContents"/>
              <w:bidi w:val="0"/>
              <w:spacing w:before="0" w:after="283"/>
              <w:ind w:left="0" w:right="0" w:firstLine="245"/>
              <w:jc w:val="left"/>
              <w:rPr>
                <w:sz w:val="4"/>
                <w:szCs w:val="4"/>
              </w:rPr>
            </w:pPr>
            <w:r>
              <w:rPr>
                <w:sz w:val="4"/>
                <w:szCs w:val="4"/>
              </w:rPr>
            </w:r>
          </w:p>
        </w:tc>
        <w:tc>
          <w:tcPr>
            <w:tcW w:w="8398" w:type="dxa"/>
            <w:tcBorders/>
            <w:shd w:fill="FFFFFF" w:val="clear"/>
            <w:vAlign w:val="center"/>
          </w:tcPr>
          <w:p>
            <w:pPr>
              <w:pStyle w:val="TableContents"/>
              <w:pBdr/>
              <w:bidi w:val="0"/>
              <w:spacing w:before="0" w:after="283"/>
              <w:ind w:left="0" w:right="0" w:hanging="245"/>
              <w:jc w:val="left"/>
              <w:rPr/>
            </w:pPr>
            <w:hyperlink w:anchor="item_6_exhibits">
              <w:r>
                <w:rPr>
                  <w:rStyle w:val="InternetLink"/>
                  <w:rFonts w:ascii="Times New Roman" w:hAnsi="Times New Roman"/>
                  <w:color w:val="0000FF"/>
                  <w:sz w:val="20"/>
                  <w:u w:val="single"/>
                </w:rPr>
                <w:t>EXHIBITS</w:t>
              </w:r>
            </w:hyperlink>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28" w:type="dxa"/>
            <w:gridSpan w:val="3"/>
            <w:tcBorders/>
            <w:shd w:fill="FFFFFF" w:val="clear"/>
            <w:vAlign w:val="center"/>
          </w:tcPr>
          <w:p>
            <w:pPr>
              <w:pStyle w:val="TableContents"/>
              <w:bidi w:val="0"/>
              <w:spacing w:before="0" w:after="283"/>
              <w:jc w:val="left"/>
              <w:rPr>
                <w:sz w:val="4"/>
                <w:szCs w:val="4"/>
              </w:rPr>
            </w:pPr>
            <w:r>
              <w:rPr>
                <w:sz w:val="4"/>
                <w:szCs w:val="4"/>
              </w:rPr>
            </w:r>
          </w:p>
        </w:tc>
        <w:tc>
          <w:tcPr>
            <w:tcW w:w="477" w:type="dxa"/>
            <w:tcBorders/>
            <w:shd w:fill="FFFFFF" w:val="clear"/>
            <w:vAlign w:val="center"/>
          </w:tcPr>
          <w:p>
            <w:pPr>
              <w:pStyle w:val="TableContents"/>
              <w:bidi w:val="0"/>
              <w:spacing w:before="0" w:after="283"/>
              <w:jc w:val="right"/>
              <w:rPr/>
            </w:pPr>
            <w:r>
              <w:rPr/>
              <w:t> </w:t>
            </w:r>
          </w:p>
        </w:tc>
      </w:tr>
      <w:tr>
        <w:trPr/>
        <w:tc>
          <w:tcPr>
            <w:tcW w:w="9728" w:type="dxa"/>
            <w:gridSpan w:val="3"/>
            <w:tcBorders/>
            <w:shd w:fill="FFFFFF" w:val="cle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2"/>
        <w:gridCol w:w="146"/>
        <w:gridCol w:w="211"/>
        <w:gridCol w:w="1201"/>
        <w:gridCol w:w="166"/>
        <w:gridCol w:w="146"/>
        <w:gridCol w:w="211"/>
        <w:gridCol w:w="1201"/>
        <w:gridCol w:w="511"/>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4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shd w:fill="FFFFFF" w:val="clear"/>
            <w:vAlign w:val="center"/>
          </w:tcPr>
          <w:p>
            <w:pPr>
              <w:pStyle w:val="TableContents"/>
              <w:bidi w:val="0"/>
              <w:spacing w:before="0" w:after="283"/>
              <w:jc w:val="center"/>
              <w:rPr/>
            </w:pPr>
            <w:r>
              <w:rPr/>
              <w:t> </w:t>
            </w:r>
          </w:p>
        </w:tc>
      </w:tr>
      <w:tr>
        <w:trPr/>
        <w:tc>
          <w:tcPr>
            <w:tcW w:w="64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300"/>
              <w:jc w:val="right"/>
              <w:rPr/>
            </w:pPr>
            <w:r>
              <w:rPr/>
              <w:t> </w:t>
            </w:r>
          </w:p>
        </w:tc>
      </w:tr>
      <w:tr>
        <w:trPr/>
        <w:tc>
          <w:tcPr>
            <w:tcW w:w="641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50,999,442</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641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43,265,478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51,174,380</w:t>
            </w:r>
          </w:p>
        </w:tc>
        <w:tc>
          <w:tcPr>
            <w:tcW w:w="511" w:type="dxa"/>
            <w:tcBorders/>
            <w:shd w:fill="CFF0FC" w:val="cle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511" w:type="dxa"/>
            <w:tcBorders/>
            <w:shd w:fill="FFFFFF" w:val="cle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511" w:type="dxa"/>
            <w:tcBorders/>
            <w:shd w:fill="CFF0FC" w:val="cle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45,800</w:t>
            </w:r>
          </w:p>
        </w:tc>
        <w:tc>
          <w:tcPr>
            <w:tcW w:w="511" w:type="dxa"/>
            <w:tcBorders/>
            <w:shd w:fill="FFFFFF" w:val="cle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575,406</w:t>
            </w:r>
          </w:p>
        </w:tc>
        <w:tc>
          <w:tcPr>
            <w:tcW w:w="511" w:type="dxa"/>
            <w:tcBorders/>
            <w:shd w:fill="CFF0FC" w:val="cle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58,119,421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66,269,977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300"/>
              <w:jc w:val="right"/>
              <w:rPr/>
            </w:pPr>
            <w:r>
              <w:rPr/>
              <w:t> </w:t>
            </w:r>
          </w:p>
        </w:tc>
      </w:tr>
      <w:tr>
        <w:trPr/>
        <w:tc>
          <w:tcPr>
            <w:tcW w:w="641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1,003,937</w:t>
            </w:r>
          </w:p>
        </w:tc>
        <w:tc>
          <w:tcPr>
            <w:tcW w:w="511" w:type="dxa"/>
            <w:tcBorders/>
            <w:shd w:fill="FFFFFF" w:val="clear"/>
            <w:vAlign w:val="center"/>
          </w:tcPr>
          <w:p>
            <w:pPr>
              <w:pStyle w:val="TableContents"/>
              <w:bidi w:val="0"/>
              <w:spacing w:before="0" w:after="283"/>
              <w:ind w:left="0" w:right="0" w:firstLine="300"/>
              <w:jc w:val="left"/>
              <w:rPr/>
            </w:pPr>
            <w:r>
              <w:rPr/>
              <w:t> </w:t>
            </w:r>
          </w:p>
        </w:tc>
      </w:tr>
      <w:tr>
        <w:trPr/>
        <w:tc>
          <w:tcPr>
            <w:tcW w:w="641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2,059,238</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641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3,279,101</w:t>
            </w:r>
          </w:p>
        </w:tc>
        <w:tc>
          <w:tcPr>
            <w:tcW w:w="511" w:type="dxa"/>
            <w:tcBorders/>
            <w:shd w:fill="CFF0FC" w:val="cle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511" w:type="dxa"/>
            <w:tcBorders/>
            <w:shd w:fill="FFFFFF" w:val="cle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410,660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3,891,553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300"/>
              <w:jc w:val="right"/>
              <w:rPr/>
            </w:pPr>
            <w:r>
              <w:rPr/>
              <w:t> </w:t>
            </w:r>
          </w:p>
        </w:tc>
      </w:tr>
      <w:tr>
        <w:trPr/>
        <w:tc>
          <w:tcPr>
            <w:tcW w:w="641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Common stock, $0.001 par value; 100,000,000 shares authorized at September 30, 2024 and December 31, 2023; 49,046,246 and 49,046,246 shares issued and outstanding 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641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479,076,908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478,149,161</w:t>
            </w:r>
          </w:p>
        </w:tc>
        <w:tc>
          <w:tcPr>
            <w:tcW w:w="511" w:type="dxa"/>
            <w:tcBorders/>
            <w:shd w:fill="FFFFFF" w:val="clear"/>
            <w:vAlign w:val="center"/>
          </w:tcPr>
          <w:p>
            <w:pPr>
              <w:pStyle w:val="TableContents"/>
              <w:bidi w:val="0"/>
              <w:spacing w:before="0" w:after="283"/>
              <w:ind w:left="0" w:right="0" w:firstLine="300"/>
              <w:jc w:val="left"/>
              <w:rPr/>
            </w:pPr>
            <w:r>
              <w:rPr/>
              <w:t> </w:t>
            </w:r>
          </w:p>
        </w:tc>
      </w:tr>
      <w:tr>
        <w:trPr/>
        <w:tc>
          <w:tcPr>
            <w:tcW w:w="641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(118,090</w:t>
            </w:r>
          </w:p>
        </w:tc>
        <w:tc>
          <w:tcPr>
            <w:tcW w:w="5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(423,936,590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(415,701,693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55,065,561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62,378,424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58,119,421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66,269,977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4"/>
        <w:gridCol w:w="146"/>
        <w:gridCol w:w="211"/>
        <w:gridCol w:w="1036"/>
        <w:gridCol w:w="166"/>
        <w:gridCol w:w="146"/>
        <w:gridCol w:w="211"/>
        <w:gridCol w:w="1036"/>
        <w:gridCol w:w="166"/>
        <w:gridCol w:w="146"/>
        <w:gridCol w:w="211"/>
        <w:gridCol w:w="1036"/>
        <w:gridCol w:w="166"/>
        <w:gridCol w:w="146"/>
        <w:gridCol w:w="211"/>
        <w:gridCol w:w="1036"/>
        <w:gridCol w:w="491"/>
      </w:tblGrid>
      <w:tr>
        <w:trPr/>
        <w:tc>
          <w:tcPr>
            <w:tcW w:w="3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vAlign w:val="center"/>
          </w:tcPr>
          <w:p>
            <w:pPr>
              <w:pStyle w:val="TableContents"/>
              <w:bidi w:val="0"/>
              <w:spacing w:before="0" w:after="283"/>
              <w:jc w:val="center"/>
              <w:rPr/>
            </w:pPr>
            <w:r>
              <w:rPr/>
              <w:t> </w:t>
            </w:r>
          </w:p>
        </w:tc>
      </w:tr>
      <w:tr>
        <w:trPr/>
        <w:tc>
          <w:tcPr>
            <w:tcW w:w="3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491" w:type="dxa"/>
            <w:tcBorders/>
            <w:shd w:fill="CFF0FC" w:val="clear"/>
            <w:vAlign w:val="center"/>
          </w:tcPr>
          <w:p>
            <w:pPr>
              <w:pStyle w:val="TableContents"/>
              <w:bidi w:val="0"/>
              <w:spacing w:before="0" w:after="283"/>
              <w:jc w:val="left"/>
              <w:rPr/>
            </w:pPr>
            <w:r>
              <w:rPr/>
              <w:t> </w:t>
            </w:r>
          </w:p>
        </w:tc>
      </w:tr>
      <w:tr>
        <w:trPr/>
        <w:tc>
          <w:tcPr>
            <w:tcW w:w="3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300"/>
              <w:jc w:val="right"/>
              <w:rPr/>
            </w:pPr>
            <w:r>
              <w:rPr/>
              <w:t> </w:t>
            </w:r>
          </w:p>
        </w:tc>
      </w:tr>
      <w:tr>
        <w:trPr/>
        <w:tc>
          <w:tcPr>
            <w:tcW w:w="364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4,007,117</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364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4,403,044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8,410,161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(3,309,128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(9,491,617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(7,410,161</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1,398,400</w:t>
            </w:r>
          </w:p>
        </w:tc>
        <w:tc>
          <w:tcPr>
            <w:tcW w:w="491" w:type="dxa"/>
            <w:tcBorders/>
            <w:shd w:fill="CFF0FC" w:val="clear"/>
            <w:vAlign w:val="center"/>
          </w:tcPr>
          <w:p>
            <w:pPr>
              <w:pStyle w:val="TableContents"/>
              <w:bidi w:val="0"/>
              <w:spacing w:before="0" w:after="283"/>
              <w:jc w:val="left"/>
              <w:rPr/>
            </w:pPr>
            <w:r>
              <w:rPr/>
              <w:t> </w:t>
            </w:r>
          </w:p>
        </w:tc>
      </w:tr>
      <w:tr>
        <w:trPr/>
        <w:tc>
          <w:tcPr>
            <w:tcW w:w="3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(500,670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(6,512,431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and diluted net loss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491" w:type="dxa"/>
            <w:tcBorders/>
            <w:shd w:fill="CFF0FC" w:val="clear"/>
            <w:vAlign w:val="center"/>
          </w:tcPr>
          <w:p>
            <w:pPr>
              <w:pStyle w:val="TableContents"/>
              <w:bidi w:val="0"/>
              <w:spacing w:before="0" w:after="283"/>
              <w:jc w:val="left"/>
              <w:rPr/>
            </w:pPr>
            <w:r>
              <w:rPr/>
              <w:t> </w:t>
            </w:r>
          </w:p>
        </w:tc>
      </w:tr>
      <w:tr>
        <w:trPr/>
        <w:tc>
          <w:tcPr>
            <w:tcW w:w="3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(6,512,431</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364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(6,520,898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r>
        <w:trPr/>
        <w:tc>
          <w:tcPr>
            <w:tcW w:w="36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5" w:name="condensed_consolidated_statements_stockh"/>
      <w:bookmarkEnd w:id="5"/>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vAlign w:val="center"/>
          </w:tcPr>
          <w:p>
            <w:pPr>
              <w:pStyle w:val="TableContents"/>
              <w:bidi w:val="0"/>
              <w:spacing w:before="0" w:after="283"/>
              <w:jc w:val="center"/>
              <w:rPr/>
            </w:pPr>
            <w:r>
              <w:rPr/>
              <w:t> </w:t>
            </w:r>
          </w:p>
        </w:tc>
      </w:tr>
      <w:tr>
        <w:trPr/>
        <w:tc>
          <w:tcPr>
            <w:tcW w:w="1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478,149,161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(415,701,693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62,378,424</w:t>
            </w:r>
          </w:p>
        </w:tc>
        <w:tc>
          <w:tcPr>
            <w:tcW w:w="411" w:type="dxa"/>
            <w:tcBorders/>
            <w:shd w:fill="CFF0FC" w:val="clear"/>
            <w:vAlign w:val="center"/>
          </w:tcPr>
          <w:p>
            <w:pPr>
              <w:pStyle w:val="TableContents"/>
              <w:bidi w:val="0"/>
              <w:spacing w:before="0" w:after="283"/>
              <w:jc w:val="left"/>
              <w:rPr/>
            </w:pPr>
            <w:r>
              <w:rPr/>
              <w:t> </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215,430</w:t>
            </w:r>
          </w:p>
        </w:tc>
        <w:tc>
          <w:tcPr>
            <w:tcW w:w="411" w:type="dxa"/>
            <w:tcBorders/>
            <w:shd w:fill="FFFFFF" w:val="clear"/>
            <w:vAlign w:val="center"/>
          </w:tcPr>
          <w:p>
            <w:pPr>
              <w:pStyle w:val="TableContents"/>
              <w:bidi w:val="0"/>
              <w:spacing w:before="0" w:after="283"/>
              <w:jc w:val="left"/>
              <w:rPr/>
            </w:pPr>
            <w:r>
              <w:rPr/>
              <w:t> </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(2,754,518</w:t>
            </w:r>
          </w:p>
        </w:tc>
        <w:tc>
          <w:tcPr>
            <w:tcW w:w="4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478,364,591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(418,456,211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59,830,444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207,455</w:t>
            </w:r>
          </w:p>
        </w:tc>
        <w:tc>
          <w:tcPr>
            <w:tcW w:w="411" w:type="dxa"/>
            <w:tcBorders/>
            <w:shd w:fill="FFFFFF" w:val="clear"/>
            <w:vAlign w:val="center"/>
          </w:tcPr>
          <w:p>
            <w:pPr>
              <w:pStyle w:val="TableContents"/>
              <w:bidi w:val="0"/>
              <w:spacing w:before="0" w:after="283"/>
              <w:jc w:val="left"/>
              <w:rPr/>
            </w:pPr>
            <w:r>
              <w:rPr/>
              <w:t> </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(2,628,200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(2,628,200</w:t>
            </w:r>
          </w:p>
        </w:tc>
        <w:tc>
          <w:tcPr>
            <w:tcW w:w="4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478,572,046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(421,084,411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57,405,154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504,862</w:t>
            </w:r>
          </w:p>
        </w:tc>
        <w:tc>
          <w:tcPr>
            <w:tcW w:w="411" w:type="dxa"/>
            <w:tcBorders/>
            <w:shd w:fill="FFFFFF" w:val="clear"/>
            <w:vAlign w:val="center"/>
          </w:tcPr>
          <w:p>
            <w:pPr>
              <w:pStyle w:val="TableContents"/>
              <w:bidi w:val="0"/>
              <w:spacing w:before="0" w:after="283"/>
              <w:jc w:val="left"/>
              <w:rPr/>
            </w:pPr>
            <w:r>
              <w:rPr/>
              <w:t> </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(2,852,179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(2,852,179</w:t>
            </w:r>
          </w:p>
        </w:tc>
        <w:tc>
          <w:tcPr>
            <w:tcW w:w="4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479,076,908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(423,936,590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55,065,561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vAlign w:val="center"/>
          </w:tcPr>
          <w:p>
            <w:pPr>
              <w:pStyle w:val="TableContents"/>
              <w:bidi w:val="0"/>
              <w:spacing w:before="0" w:after="283"/>
              <w:jc w:val="center"/>
              <w:rPr/>
            </w:pPr>
            <w:r>
              <w:rPr/>
              <w:t> </w:t>
            </w:r>
          </w:p>
        </w:tc>
      </w:tr>
      <w:tr>
        <w:trPr/>
        <w:tc>
          <w:tcPr>
            <w:tcW w:w="15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477,438,451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(407,130,177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70,242,035</w:t>
            </w:r>
          </w:p>
        </w:tc>
        <w:tc>
          <w:tcPr>
            <w:tcW w:w="411" w:type="dxa"/>
            <w:tcBorders/>
            <w:shd w:fill="FFFFFF" w:val="clear"/>
            <w:vAlign w:val="center"/>
          </w:tcPr>
          <w:p>
            <w:pPr>
              <w:pStyle w:val="TableContents"/>
              <w:bidi w:val="0"/>
              <w:spacing w:before="0" w:after="283"/>
              <w:jc w:val="left"/>
              <w:rPr/>
            </w:pPr>
            <w:r>
              <w:rPr/>
              <w:t> </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403,263</w:t>
            </w:r>
          </w:p>
        </w:tc>
        <w:tc>
          <w:tcPr>
            <w:tcW w:w="411" w:type="dxa"/>
            <w:tcBorders/>
            <w:shd w:fill="CFF0FC" w:val="clear"/>
            <w:vAlign w:val="center"/>
          </w:tcPr>
          <w:p>
            <w:pPr>
              <w:pStyle w:val="TableContents"/>
              <w:bidi w:val="0"/>
              <w:spacing w:before="0" w:after="283"/>
              <w:jc w:val="left"/>
              <w:rPr/>
            </w:pPr>
            <w:r>
              <w:rPr/>
              <w:t> </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(2,917,504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(2,917,504</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March 31,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477,841,714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(410,047,681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67,726,252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325,710</w:t>
            </w:r>
          </w:p>
        </w:tc>
        <w:tc>
          <w:tcPr>
            <w:tcW w:w="411" w:type="dxa"/>
            <w:tcBorders/>
            <w:shd w:fill="CFF0FC" w:val="clear"/>
            <w:vAlign w:val="center"/>
          </w:tcPr>
          <w:p>
            <w:pPr>
              <w:pStyle w:val="TableContents"/>
              <w:bidi w:val="0"/>
              <w:spacing w:before="0" w:after="283"/>
              <w:jc w:val="left"/>
              <w:rPr/>
            </w:pPr>
            <w:r>
              <w:rPr/>
              <w:t> </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(2,871,820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(2,871,820</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478,167,424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(412,919,501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65,175,929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219,142</w:t>
            </w:r>
          </w:p>
        </w:tc>
        <w:tc>
          <w:tcPr>
            <w:tcW w:w="411" w:type="dxa"/>
            <w:tcBorders/>
            <w:shd w:fill="CFF0FC" w:val="clear"/>
            <w:vAlign w:val="center"/>
          </w:tcPr>
          <w:p>
            <w:pPr>
              <w:pStyle w:val="TableContents"/>
              <w:bidi w:val="0"/>
              <w:spacing w:before="0" w:after="283"/>
              <w:jc w:val="left"/>
              <w:rPr/>
            </w:pPr>
            <w:r>
              <w:rPr/>
              <w:t> </w:t>
            </w:r>
          </w:p>
        </w:tc>
      </w:tr>
      <w:tr>
        <w:trPr/>
        <w:tc>
          <w:tcPr>
            <w:tcW w:w="15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(723,107</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478,386,566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(413,642,608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64,669,252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142"/>
        <w:gridCol w:w="146"/>
        <w:gridCol w:w="211"/>
        <w:gridCol w:w="1036"/>
        <w:gridCol w:w="166"/>
        <w:gridCol w:w="146"/>
        <w:gridCol w:w="211"/>
        <w:gridCol w:w="1036"/>
        <w:gridCol w:w="1111"/>
      </w:tblGrid>
      <w:tr>
        <w:trPr/>
        <w:tc>
          <w:tcPr>
            <w:tcW w:w="6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1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111" w:type="dxa"/>
            <w:tcBorders/>
            <w:shd w:fill="FFFFFF" w:val="clear"/>
            <w:vAlign w:val="center"/>
          </w:tcPr>
          <w:p>
            <w:pPr>
              <w:pStyle w:val="TableContents"/>
              <w:bidi w:val="0"/>
              <w:spacing w:before="0" w:after="283"/>
              <w:jc w:val="center"/>
              <w:rPr/>
            </w:pPr>
            <w:r>
              <w:rPr/>
              <w:t> </w:t>
            </w:r>
          </w:p>
        </w:tc>
      </w:tr>
      <w:tr>
        <w:trPr/>
        <w:tc>
          <w:tcPr>
            <w:tcW w:w="61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111" w:type="dxa"/>
            <w:tcBorders/>
            <w:shd w:fill="CFF0FC" w:val="clear"/>
            <w:vAlign w:val="center"/>
          </w:tcPr>
          <w:p>
            <w:pPr>
              <w:pStyle w:val="TableContents"/>
              <w:bidi w:val="0"/>
              <w:spacing w:before="0" w:after="283"/>
              <w:ind w:left="0" w:right="0" w:firstLine="300"/>
              <w:jc w:val="right"/>
              <w:rPr/>
            </w:pPr>
            <w:r>
              <w:rPr/>
              <w:t> </w:t>
            </w:r>
          </w:p>
        </w:tc>
      </w:tr>
      <w:tr>
        <w:trPr/>
        <w:tc>
          <w:tcPr>
            <w:tcW w:w="614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(6,512,431</w:t>
            </w:r>
          </w:p>
        </w:tc>
        <w:tc>
          <w:tcPr>
            <w:tcW w:w="111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111" w:type="dxa"/>
            <w:tcBorders/>
            <w:shd w:fill="CFF0FC" w:val="clear"/>
            <w:vAlign w:val="center"/>
          </w:tcPr>
          <w:p>
            <w:pPr>
              <w:pStyle w:val="TableContents"/>
              <w:bidi w:val="0"/>
              <w:spacing w:before="0" w:after="283"/>
              <w:ind w:left="0" w:right="0" w:firstLine="600"/>
              <w:jc w:val="right"/>
              <w:rPr/>
            </w:pPr>
            <w:r>
              <w:rPr/>
              <w:t> </w:t>
            </w:r>
          </w:p>
        </w:tc>
      </w:tr>
      <w:tr>
        <w:trPr/>
        <w:tc>
          <w:tcPr>
            <w:tcW w:w="61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948,115</w:t>
            </w:r>
          </w:p>
        </w:tc>
        <w:tc>
          <w:tcPr>
            <w:tcW w:w="1111" w:type="dxa"/>
            <w:tcBorders/>
            <w:shd w:fill="FFFFFF" w:val="clear"/>
            <w:vAlign w:val="center"/>
          </w:tcPr>
          <w:p>
            <w:pPr>
              <w:pStyle w:val="TableContents"/>
              <w:bidi w:val="0"/>
              <w:spacing w:before="0" w:after="283"/>
              <w:ind w:left="0" w:right="0" w:firstLine="600"/>
              <w:jc w:val="left"/>
              <w:rPr/>
            </w:pPr>
            <w:r>
              <w:rPr/>
              <w:t> </w:t>
            </w:r>
          </w:p>
        </w:tc>
      </w:tr>
      <w:tr>
        <w:trPr/>
        <w:tc>
          <w:tcPr>
            <w:tcW w:w="61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w:t>
            </w:r>
          </w:p>
        </w:tc>
        <w:tc>
          <w:tcPr>
            <w:tcW w:w="1111" w:type="dxa"/>
            <w:tcBorders/>
            <w:shd w:fill="CFF0FC" w:val="clear"/>
            <w:vAlign w:val="center"/>
          </w:tcPr>
          <w:p>
            <w:pPr>
              <w:pStyle w:val="TableContents"/>
              <w:bidi w:val="0"/>
              <w:spacing w:before="0" w:after="283"/>
              <w:ind w:left="0" w:right="0" w:firstLine="600"/>
              <w:jc w:val="left"/>
              <w:rPr/>
            </w:pPr>
            <w:r>
              <w:rPr/>
              <w:t> </w:t>
            </w:r>
          </w:p>
        </w:tc>
      </w:tr>
      <w:tr>
        <w:trPr/>
        <w:tc>
          <w:tcPr>
            <w:tcW w:w="61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Loss on disposal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102,513</w:t>
            </w:r>
          </w:p>
        </w:tc>
        <w:tc>
          <w:tcPr>
            <w:tcW w:w="1111" w:type="dxa"/>
            <w:tcBorders/>
            <w:shd w:fill="FFFFFF" w:val="clear"/>
            <w:vAlign w:val="center"/>
          </w:tcPr>
          <w:p>
            <w:pPr>
              <w:pStyle w:val="TableContents"/>
              <w:bidi w:val="0"/>
              <w:spacing w:before="0" w:after="283"/>
              <w:ind w:left="0" w:right="0" w:firstLine="600"/>
              <w:jc w:val="left"/>
              <w:rPr/>
            </w:pPr>
            <w:r>
              <w:rPr/>
              <w:t> </w:t>
            </w:r>
          </w:p>
        </w:tc>
      </w:tr>
      <w:tr>
        <w:trPr/>
        <w:tc>
          <w:tcPr>
            <w:tcW w:w="61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(Gain) 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111" w:type="dxa"/>
            <w:tcBorders/>
            <w:shd w:fill="CFF0FC" w:val="clear"/>
            <w:vAlign w:val="center"/>
          </w:tcPr>
          <w:p>
            <w:pPr>
              <w:pStyle w:val="TableContents"/>
              <w:bidi w:val="0"/>
              <w:spacing w:before="0" w:after="283"/>
              <w:ind w:left="0" w:right="0" w:firstLine="600"/>
              <w:jc w:val="left"/>
              <w:rPr/>
            </w:pPr>
            <w:r>
              <w:rPr/>
              <w:t> </w:t>
            </w:r>
          </w:p>
        </w:tc>
      </w:tr>
      <w:tr>
        <w:trPr/>
        <w:tc>
          <w:tcPr>
            <w:tcW w:w="61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Change in carrying amount of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146,205</w:t>
            </w:r>
          </w:p>
        </w:tc>
        <w:tc>
          <w:tcPr>
            <w:tcW w:w="1111" w:type="dxa"/>
            <w:tcBorders/>
            <w:shd w:fill="FFFFFF" w:val="clear"/>
            <w:vAlign w:val="center"/>
          </w:tcPr>
          <w:p>
            <w:pPr>
              <w:pStyle w:val="TableContents"/>
              <w:bidi w:val="0"/>
              <w:spacing w:before="0" w:after="283"/>
              <w:ind w:left="0" w:right="0" w:firstLine="600"/>
              <w:jc w:val="left"/>
              <w:rPr/>
            </w:pPr>
            <w:r>
              <w:rPr/>
              <w:t> </w:t>
            </w:r>
          </w:p>
        </w:tc>
      </w:tr>
      <w:tr>
        <w:trPr/>
        <w:tc>
          <w:tcPr>
            <w:tcW w:w="61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111" w:type="dxa"/>
            <w:tcBorders/>
            <w:shd w:fill="CFF0FC" w:val="clear"/>
            <w:vAlign w:val="center"/>
          </w:tcPr>
          <w:p>
            <w:pPr>
              <w:pStyle w:val="TableContents"/>
              <w:bidi w:val="0"/>
              <w:spacing w:before="0" w:after="283"/>
              <w:ind w:left="0" w:right="0" w:firstLine="900"/>
              <w:jc w:val="right"/>
              <w:rPr/>
            </w:pPr>
            <w:r>
              <w:rPr/>
              <w:t> </w:t>
            </w:r>
          </w:p>
        </w:tc>
      </w:tr>
      <w:tr>
        <w:trPr/>
        <w:tc>
          <w:tcPr>
            <w:tcW w:w="6142" w:type="dxa"/>
            <w:tcBorders/>
            <w:shd w:fill="FFFFFF" w:val="clear"/>
            <w:vAlign w:val="center"/>
          </w:tcPr>
          <w:p>
            <w:pPr>
              <w:pStyle w:val="TableContents"/>
              <w:bidi w:val="0"/>
              <w:spacing w:before="0" w:after="283"/>
              <w:ind w:left="900" w:right="0" w:firstLine="9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111" w:type="dxa"/>
            <w:tcBorders/>
            <w:shd w:fill="FFFFFF" w:val="cle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vAlign w:val="center"/>
          </w:tcPr>
          <w:p>
            <w:pPr>
              <w:pStyle w:val="TableContents"/>
              <w:bidi w:val="0"/>
              <w:spacing w:before="0" w:after="283"/>
              <w:ind w:left="900" w:right="0" w:firstLine="9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(27,478</w:t>
            </w:r>
          </w:p>
        </w:tc>
        <w:tc>
          <w:tcPr>
            <w:tcW w:w="1111" w:type="dxa"/>
            <w:tcBorders/>
            <w:shd w:fill="CFF0FC" w:val="cle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vAlign w:val="center"/>
          </w:tcPr>
          <w:p>
            <w:pPr>
              <w:pStyle w:val="TableContents"/>
              <w:bidi w:val="0"/>
              <w:spacing w:before="0" w:after="283"/>
              <w:ind w:left="900" w:right="0" w:firstLine="900"/>
              <w:jc w:val="left"/>
              <w:rPr>
                <w:rFonts w:ascii="Times New Roman" w:hAnsi="Times New Roman"/>
                <w:color w:val="000000"/>
                <w:sz w:val="20"/>
              </w:rPr>
            </w:pPr>
            <w:r>
              <w:rPr>
                <w:rFonts w:ascii="Times New Roman" w:hAnsi="Times New Roman"/>
                <w:color w:val="000000"/>
                <w:sz w:val="20"/>
              </w:rPr>
              <w:t>Accounts payable, accrued liabilities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(457,675</w:t>
            </w:r>
          </w:p>
        </w:tc>
        <w:tc>
          <w:tcPr>
            <w:tcW w:w="1111" w:type="dxa"/>
            <w:tcBorders/>
            <w:shd w:fill="FFFFFF" w:val="cle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vAlign w:val="center"/>
          </w:tcPr>
          <w:p>
            <w:pPr>
              <w:pStyle w:val="TableContents"/>
              <w:bidi w:val="0"/>
              <w:spacing w:before="0" w:after="283"/>
              <w:ind w:left="900" w:right="0" w:firstLine="9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(146,401</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(6,931,978</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111" w:type="dxa"/>
            <w:tcBorders/>
            <w:shd w:fill="CFF0FC" w:val="clear"/>
            <w:vAlign w:val="center"/>
          </w:tcPr>
          <w:p>
            <w:pPr>
              <w:pStyle w:val="TableContents"/>
              <w:bidi w:val="0"/>
              <w:spacing w:before="0" w:after="283"/>
              <w:ind w:left="0" w:right="0" w:firstLine="300"/>
              <w:jc w:val="right"/>
              <w:rPr/>
            </w:pPr>
            <w:r>
              <w:rPr/>
              <w:t> </w:t>
            </w:r>
          </w:p>
        </w:tc>
      </w:tr>
      <w:tr>
        <w:trPr/>
        <w:tc>
          <w:tcPr>
            <w:tcW w:w="614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Proceeds from disposal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39,929,015</w:t>
            </w:r>
          </w:p>
        </w:tc>
        <w:tc>
          <w:tcPr>
            <w:tcW w:w="1111" w:type="dxa"/>
            <w:tcBorders/>
            <w:shd w:fill="FFFFFF" w:val="clear"/>
            <w:vAlign w:val="center"/>
          </w:tcPr>
          <w:p>
            <w:pPr>
              <w:pStyle w:val="TableContents"/>
              <w:bidi w:val="0"/>
              <w:spacing w:before="0" w:after="283"/>
              <w:ind w:left="0" w:right="0" w:firstLine="300"/>
              <w:jc w:val="left"/>
              <w:rPr/>
            </w:pPr>
            <w:r>
              <w:rPr/>
              <w:t> </w:t>
            </w:r>
          </w:p>
        </w:tc>
      </w:tr>
      <w:tr>
        <w:trPr/>
        <w:tc>
          <w:tcPr>
            <w:tcW w:w="614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111" w:type="dxa"/>
            <w:tcBorders/>
            <w:shd w:fill="CFF0FC" w:val="clear"/>
            <w:vAlign w:val="center"/>
          </w:tcPr>
          <w:p>
            <w:pPr>
              <w:pStyle w:val="TableContents"/>
              <w:bidi w:val="0"/>
              <w:spacing w:before="0" w:after="283"/>
              <w:ind w:left="0" w:right="0" w:firstLine="300"/>
              <w:jc w:val="left"/>
              <w:rPr/>
            </w:pPr>
            <w:r>
              <w:rPr/>
              <w:t> </w:t>
            </w:r>
          </w:p>
        </w:tc>
      </w:tr>
      <w:tr>
        <w:trPr/>
        <w:tc>
          <w:tcPr>
            <w:tcW w:w="614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Acquisitions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(21,321</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39,907,694</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(8,718,824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33,001,868</w:t>
            </w:r>
          </w:p>
        </w:tc>
        <w:tc>
          <w:tcPr>
            <w:tcW w:w="1111" w:type="dxa"/>
            <w:tcBorders/>
            <w:shd w:fill="CFF0FC" w:val="clear"/>
            <w:vAlign w:val="center"/>
          </w:tcPr>
          <w:p>
            <w:pPr>
              <w:pStyle w:val="TableContents"/>
              <w:bidi w:val="0"/>
              <w:spacing w:before="0" w:after="283"/>
              <w:jc w:val="left"/>
              <w:rPr/>
            </w:pPr>
            <w:r>
              <w:rPr/>
              <w:t> </w:t>
            </w:r>
          </w:p>
        </w:tc>
      </w:tr>
      <w:tr>
        <w:trPr/>
        <w:tc>
          <w:tcPr>
            <w:tcW w:w="61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18,505,493</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51,507,361</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activities: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Right-of-use asset obtained in exchange for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139,001</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carrying amount of right-of-use asset due to termination of lease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Interim Financial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MediciNova, Inc. (the Company or MediciNova) was incorporated in the state of Delaware in September 2000.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should be read in conjunction with the audited consolidated financial statements and notes thereto for the year ended December 31, 2023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2023 has been derived from the audited financial statements at that date but does not include all the information and footnotes required by GAAP for complete financial statements.</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Cash and cash equivalents consist of cash and other highly liquid investments including money market and mutual fund accounts, with original maturities of three months or less from the date of purchase.</w:t>
      </w:r>
    </w:p>
    <w:p>
      <w:pPr>
        <w:pStyle w:val="TextBody"/>
        <w:bidi w:val="0"/>
        <w:spacing w:before="132"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Investments purchased with an original maturity of greater than three months are classified as investments. Investments are classified as current or non-current based on the nature of the securities as well as their stated maturities.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Development and Patents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$1.8 million and $0.7 million for the three months ended September 30, 2024 and 2023, respectively, and $5.0 million and $3.7 million for the nine months ended September 30, 2024 and 2023, respectively.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and $0.1 million for the three months ended September 30, 2024 and 2023, respectively, and $0.3 million and $0.3 million for the nine months ended September 30, 2024 and 2023, respectively.</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For transactions with a government where the Company receives government assistance in performing research and development activities and the accounting for a transaction is not specified within the scope of authoritative GAAP, the Company follows Accounting Standards Codification (ASC) 832, </w:t>
      </w:r>
      <w:r>
        <w:rPr>
          <w:rFonts w:ascii="Times New Roman" w:hAnsi="Times New Roman"/>
          <w:i/>
          <w:color w:val="000000"/>
          <w:sz w:val="20"/>
        </w:rPr>
        <w:t>Government Assistance (Topic 832)</w:t>
      </w:r>
      <w:r>
        <w:rPr>
          <w:rFonts w:ascii="Times New Roman" w:hAnsi="Times New Roman"/>
          <w:color w:val="000000"/>
          <w:sz w:val="20"/>
        </w:rPr>
        <w:t xml:space="preserve">, applying a grant or contribution model by analogy to Subtopic 958-605, </w:t>
      </w:r>
      <w:r>
        <w:rPr>
          <w:rFonts w:ascii="Times New Roman" w:hAnsi="Times New Roman"/>
          <w:i/>
          <w:color w:val="000000"/>
          <w:sz w:val="20"/>
        </w:rPr>
        <w:t>Not-for-Profit Entities-Revenue Recognition</w:t>
      </w:r>
      <w:r>
        <w:rPr>
          <w:rFonts w:ascii="Times New Roman" w:hAnsi="Times New Roman"/>
          <w:color w:val="000000"/>
          <w:sz w:val="20"/>
        </w:rPr>
        <w:t>.</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Clinical Trial Accruals and Prepaid Expenses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Leases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August 2020, the Financial Accounting Standards Board (FASB) issued Accounting Standards Update (ASU) No. 2020-06, </w:t>
      </w:r>
      <w:r>
        <w:rPr>
          <w:rFonts w:ascii="Times New Roman" w:hAnsi="Times New Roman"/>
          <w:i/>
          <w:color w:val="000000"/>
          <w:sz w:val="20"/>
        </w:rPr>
        <w:t xml:space="preserve">Debt – Debt with Conversion and Other Options (Subtopic 470-20) and Derivatives and Hedging – Contracts in Entity’s Own Equity (Subtopic 815-40) </w:t>
      </w:r>
      <w:r>
        <w:rPr>
          <w:rFonts w:ascii="Times New Roman" w:hAnsi="Times New Roman"/>
          <w:color w:val="000000"/>
          <w:sz w:val="20"/>
        </w:rPr>
        <w:t>(ASU 2020-06). ASU 2020-06 simplifies the accounting for convertible debt instruments 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was effective for the Company on January 1, 2024. There was no impact on the consolidated financial statements upon adoption of this standard on January 1, 2024.</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(ASU 2023-07). ASU 2023-07 improves the disclosures about a public entity’s reportable segments and addresses requests from investors for additional, more detailed information about a reportable segment’s expenses. Specifically, it requires that a public entity: 1) disclose, on an annual and interim basis, significant segment expenses that are regularly provided to the chief operating decision maker (CODM) and included within each reported measure of segment profit or loss, 2)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3) provide all annual disclosures about a reportable segment’s profit or loss and assets currently required by Topic 280 in interim periods, and 4) disclose the title and position of the CODM and an explanation of how the CODM uses the reported measure(s) of segment profit or loss in assessing segment performance and deciding how to allocate resources. The ASU also requires a public entity that has a single reportable segment to provide all the disclosures required by the amendments in this ASU and all existing segment disclosures in Topic 280. Further, the ASU clarifies that if the CODM uses more than one measure of a segment’s profit or loss in assessing segment performance and deciding how to allocate resources, a public entity may report one or more of those additional measures. However, at least one of the reported segment profit or loss measures should be the measure that is most consistent with the measurement principles used in measuring the corresponding amounts in the public entity’s consolidated financial statements. The amendments are effective for all public entities that are required to report segment information for fiscal years beginning after December 15, 2023 and interim periods beginning after December 15, 2024. Early adoption is permitted. The amendments should be applied retrospectively to all prior periods presented. The Company is currently evaluating the potential impact that this standard will have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(ASU 2023-09)</w:t>
      </w:r>
      <w:r>
        <w:rPr>
          <w:rFonts w:ascii="Times New Roman" w:hAnsi="Times New Roman"/>
          <w:i/>
          <w:color w:val="000000"/>
          <w:sz w:val="20"/>
        </w:rPr>
        <w:t>.</w:t>
      </w:r>
      <w:r>
        <w:rPr>
          <w:rFonts w:ascii="Times New Roman" w:hAnsi="Times New Roman"/>
          <w:color w:val="000000"/>
          <w:sz w:val="20"/>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Revenue Recognition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enhances an asset controlled by the customer; 3) the vendor’s performance does not create an asset for which the vendor has an alternative use; and 4) the vendor has an enforceable right to payment for performance completed to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9449"/>
      </w:tblGrid>
      <w:tr>
        <w:trPr/>
        <w:tc>
          <w:tcPr>
            <w:tcW w:w="75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1: </w:t>
            </w:r>
          </w:p>
        </w:tc>
        <w:tc>
          <w:tcPr>
            <w:tcW w:w="94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such as quoted prices in active markets;</w:t>
            </w:r>
          </w:p>
        </w:tc>
      </w:tr>
      <w:tr>
        <w:trPr/>
        <w:tc>
          <w:tcPr>
            <w:tcW w:w="756" w:type="dxa"/>
            <w:tcBorders/>
            <w:vAlign w:val="center"/>
          </w:tcPr>
          <w:p>
            <w:pPr>
              <w:pStyle w:val="TableContents"/>
              <w:bidi w:val="0"/>
              <w:spacing w:before="0" w:after="283"/>
              <w:jc w:val="left"/>
              <w:rPr/>
            </w:pPr>
            <w:r>
              <w:rPr/>
              <w:t> </w:t>
            </w:r>
          </w:p>
        </w:tc>
        <w:tc>
          <w:tcPr>
            <w:tcW w:w="9449"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2: </w:t>
            </w:r>
          </w:p>
        </w:tc>
        <w:tc>
          <w:tcPr>
            <w:tcW w:w="94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for similar items in active markets or quoted prices for identical or similar items in markets that are not active near the measurement date; and</w:t>
            </w:r>
          </w:p>
        </w:tc>
      </w:tr>
      <w:tr>
        <w:trPr/>
        <w:tc>
          <w:tcPr>
            <w:tcW w:w="756" w:type="dxa"/>
            <w:tcBorders/>
            <w:vAlign w:val="center"/>
          </w:tcPr>
          <w:p>
            <w:pPr>
              <w:pStyle w:val="TableContents"/>
              <w:bidi w:val="0"/>
              <w:spacing w:before="0" w:after="283"/>
              <w:jc w:val="left"/>
              <w:rPr/>
            </w:pPr>
            <w:r>
              <w:rPr/>
              <w:t> </w:t>
            </w:r>
          </w:p>
        </w:tc>
        <w:tc>
          <w:tcPr>
            <w:tcW w:w="9449" w:type="dxa"/>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3: </w:t>
            </w:r>
          </w:p>
        </w:tc>
        <w:tc>
          <w:tcPr>
            <w:tcW w:w="94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due to little or no market data, which require the reporting entity to develop its own assumptions.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and approximate fair value of financial instruments as of September 30, 2024 and December 31, 2023, were as follows: </w:t>
      </w:r>
    </w:p>
    <w:p>
      <w:pPr>
        <w:pStyle w:val="TextBody"/>
        <w:bidi w:val="0"/>
        <w:jc w:val="left"/>
        <w:rPr/>
      </w:pPr>
      <w:r>
        <w:rPr/>
        <w:t> </w:t>
      </w:r>
    </w:p>
    <w:tbl>
      <w:tblPr>
        <w:tblW w:w="10125" w:type="dxa"/>
        <w:jc w:val="left"/>
        <w:tblInd w:w="0" w:type="dxa"/>
        <w:tblLayout w:type="fixed"/>
        <w:tblCellMar>
          <w:top w:w="28" w:type="dxa"/>
          <w:left w:w="28" w:type="dxa"/>
          <w:bottom w:w="28" w:type="dxa"/>
          <w:right w:w="28" w:type="dxa"/>
        </w:tblCellMar>
      </w:tblPr>
      <w:tblGrid>
        <w:gridCol w:w="2386"/>
        <w:gridCol w:w="146"/>
        <w:gridCol w:w="238"/>
        <w:gridCol w:w="1172"/>
        <w:gridCol w:w="146"/>
        <w:gridCol w:w="146"/>
        <w:gridCol w:w="211"/>
        <w:gridCol w:w="1036"/>
        <w:gridCol w:w="146"/>
        <w:gridCol w:w="146"/>
        <w:gridCol w:w="300"/>
        <w:gridCol w:w="1110"/>
        <w:gridCol w:w="146"/>
        <w:gridCol w:w="146"/>
        <w:gridCol w:w="211"/>
        <w:gridCol w:w="781"/>
        <w:gridCol w:w="146"/>
        <w:gridCol w:w="146"/>
        <w:gridCol w:w="136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Inputs</w:t>
            </w:r>
          </w:p>
        </w:tc>
      </w:tr>
      <w:tr>
        <w:trPr/>
        <w:tc>
          <w:tcPr>
            <w:tcW w:w="238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pPr>
            <w:r>
              <w:rPr/>
              <w:t> </w:t>
            </w:r>
          </w:p>
        </w:tc>
      </w:tr>
      <w:tr>
        <w:trPr/>
        <w:tc>
          <w:tcPr>
            <w:tcW w:w="238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has an initial lease term of 12 months ending May 2025 with an option to extend for an additional two months, after which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exercise, discounted using the estimated incremental borrowing rate of 6.95%, which is the interest rate that the Company would have to pay to borrow on a collateralized basis over a similar term for an amount equal to the lease payments at initial commencement. The real estate operating leases are included in “Right-of-use asset” on the Company's balance sheets and represents the Company’s right to use the underlying assets for the lease term. The Company’s obligation to make lease payments are included in "Operating lease liability" and "Other non-current liabilities" on the Company's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Information related to the Company’s right-of-use assets and related lease liabilities are as follows: </w:t>
      </w:r>
    </w:p>
    <w:tbl>
      <w:tblPr>
        <w:tblW w:w="8272"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46"/>
        <w:gridCol w:w="146"/>
        <w:gridCol w:w="211"/>
        <w:gridCol w:w="781"/>
        <w:gridCol w:w="146"/>
        <w:gridCol w:w="146"/>
        <w:gridCol w:w="211"/>
        <w:gridCol w:w="78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189,622</w:t>
            </w:r>
          </w:p>
        </w:tc>
        <w:tc>
          <w:tcPr>
            <w:tcW w:w="191"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4126"/>
        <w:gridCol w:w="146"/>
        <w:gridCol w:w="242"/>
        <w:gridCol w:w="898"/>
        <w:gridCol w:w="271"/>
        <w:gridCol w:w="146"/>
        <w:gridCol w:w="233"/>
        <w:gridCol w:w="86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201,976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215,926</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626,586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6691"/>
        <w:gridCol w:w="146"/>
        <w:gridCol w:w="146"/>
        <w:gridCol w:w="146"/>
        <w:gridCol w:w="211"/>
        <w:gridCol w:w="781"/>
        <w:gridCol w:w="4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operating lease liabilities as of September 30, 2024 were as follows: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three months)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59,923</w:t>
            </w:r>
          </w:p>
        </w:tc>
        <w:tc>
          <w:tcPr>
            <w:tcW w:w="491"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226,646</w:t>
            </w:r>
          </w:p>
        </w:tc>
        <w:tc>
          <w:tcPr>
            <w:tcW w:w="491"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206,483</w:t>
            </w:r>
          </w:p>
        </w:tc>
        <w:tc>
          <w:tcPr>
            <w:tcW w:w="491"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491" w:type="dxa"/>
            <w:tcBorders/>
            <w:shd w:fill="FFFFFF" w:val="clear"/>
            <w:vAlign w:val="center"/>
          </w:tcPr>
          <w:p>
            <w:pPr>
              <w:pStyle w:val="TableContents"/>
              <w:bidi w:val="0"/>
              <w:spacing w:before="0" w:after="283"/>
              <w:jc w:val="left"/>
              <w:rPr/>
            </w:pPr>
            <w:r>
              <w:rPr/>
              <w:t> </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510,321</w:t>
            </w:r>
          </w:p>
        </w:tc>
        <w:tc>
          <w:tcPr>
            <w:tcW w:w="491" w:type="dxa"/>
            <w:tcBorders/>
            <w:shd w:fill="CFF0FC" w:val="clear"/>
            <w:vAlign w:val="center"/>
          </w:tcPr>
          <w:p>
            <w:pPr>
              <w:pStyle w:val="TableContents"/>
              <w:bidi w:val="0"/>
              <w:spacing w:before="0" w:after="283"/>
              <w:jc w:val="left"/>
              <w:rPr/>
            </w:pPr>
            <w:r>
              <w:rPr/>
              <w:t> </w:t>
            </w:r>
          </w:p>
        </w:tc>
      </w:tr>
      <w:tr>
        <w:trPr/>
        <w:tc>
          <w:tcPr>
            <w:tcW w:w="6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457,126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Research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milestone payments have been made under these agreements during the nine months ended September 30, 2024 and 2023. For products currently in development, future potential milestone payments based on product development of MN-166 (ibudilast) and MN-001 (tipelukast) are $10 million as of September 30, 2024. For all other products, future potential milestone payments related to development milestones and commercialization milestones totaled $16.5 million as of September 30, 2024.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1,574,723 shares remain available for future grants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September 30, 2024, there were a total of 809,000 shares underlying performance options that were subject to vesting based on achievement of corporate objectives for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Options granted under the 2023 Plan and the 2013 Plan have terms of ten years from the date of grant unless earlier terminated and generally vest over a one or four year period. The exercise price of all options granted through September 30, 2024 and 2023, was equal to the fair market value of the Company’s common stock on the date of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stock option activity and related information as of September 30, 2024 is as follows:</w:t>
      </w:r>
    </w:p>
    <w:tbl>
      <w:tblPr>
        <w:tblW w:w="6436" w:type="dxa"/>
        <w:jc w:val="left"/>
        <w:tblInd w:w="0" w:type="dxa"/>
        <w:tblLayout w:type="fixed"/>
        <w:tblCellMar>
          <w:top w:w="28" w:type="dxa"/>
          <w:left w:w="28" w:type="dxa"/>
          <w:bottom w:w="28" w:type="dxa"/>
          <w:right w:w="28" w:type="dxa"/>
        </w:tblCellMar>
      </w:tblPr>
      <w:tblGrid>
        <w:gridCol w:w="3046"/>
        <w:gridCol w:w="146"/>
        <w:gridCol w:w="154"/>
        <w:gridCol w:w="986"/>
        <w:gridCol w:w="166"/>
        <w:gridCol w:w="146"/>
        <w:gridCol w:w="453"/>
        <w:gridCol w:w="1002"/>
        <w:gridCol w:w="146"/>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Option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8,359,844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September 30, 2024</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for stock option awards are reflected in total operating expenses for each respective period. The following table summarizes stock-based compensation expense for the three and nine months ended September 30, 2024 and 2023, respectively: </w:t>
      </w:r>
    </w:p>
    <w:p>
      <w:pPr>
        <w:pStyle w:val="TextBody"/>
        <w:bidi w:val="0"/>
        <w:jc w:val="left"/>
        <w:rPr/>
      </w:pPr>
      <w:r>
        <w:rPr/>
        <w:t> </w:t>
      </w:r>
    </w:p>
    <w:tbl>
      <w:tblPr>
        <w:tblW w:w="863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211"/>
        <w:gridCol w:w="781"/>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336,657</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nine months ended September 30, 2024 and 2023, and to estimate the fair value of performance-based stock options as of September 30, 2024 and 2023. </w:t>
      </w:r>
    </w:p>
    <w:p>
      <w:pPr>
        <w:pStyle w:val="TextBody"/>
        <w:bidi w:val="0"/>
        <w:jc w:val="left"/>
        <w:rPr/>
      </w:pPr>
      <w:r>
        <w:rPr/>
        <w:t> </w:t>
      </w:r>
    </w:p>
    <w:tbl>
      <w:tblPr>
        <w:tblW w:w="6326" w:type="dxa"/>
        <w:jc w:val="left"/>
        <w:tblInd w:w="0" w:type="dxa"/>
        <w:tblLayout w:type="fixed"/>
        <w:tblCellMar>
          <w:top w:w="28" w:type="dxa"/>
          <w:left w:w="28" w:type="dxa"/>
          <w:bottom w:w="28" w:type="dxa"/>
          <w:right w:w="28" w:type="dxa"/>
        </w:tblCellMar>
      </w:tblPr>
      <w:tblGrid>
        <w:gridCol w:w="3136"/>
        <w:gridCol w:w="146"/>
        <w:gridCol w:w="1422"/>
        <w:gridCol w:w="153"/>
        <w:gridCol w:w="1469"/>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r>
      <w:tr>
        <w:trPr/>
        <w:tc>
          <w:tcPr>
            <w:tcW w:w="3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1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22"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1469" w:type="dxa"/>
            <w:tcBorders/>
            <w:shd w:fill="CFF0FC"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4.21 - 4.41%</w:t>
            </w:r>
          </w:p>
        </w:tc>
        <w:tc>
          <w:tcPr>
            <w:tcW w:w="153" w:type="dxa"/>
            <w:tcBorders/>
            <w:shd w:fill="FFFFFF" w:val="clear"/>
            <w:vAlign w:val="center"/>
          </w:tcPr>
          <w:p>
            <w:pPr>
              <w:pStyle w:val="TableContents"/>
              <w:bidi w:val="0"/>
              <w:spacing w:before="0" w:after="283"/>
              <w:jc w:val="center"/>
              <w:rPr/>
            </w:pPr>
            <w:r>
              <w:rPr/>
              <w:t> </w:t>
            </w:r>
          </w:p>
        </w:tc>
        <w:tc>
          <w:tcPr>
            <w:tcW w:w="146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3.59 - 4.60%</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common stock</w:t>
            </w:r>
          </w:p>
        </w:tc>
        <w:tc>
          <w:tcPr>
            <w:tcW w:w="146" w:type="dxa"/>
            <w:tcBorders/>
            <w:shd w:fill="CFF0FC" w:val="clear"/>
            <w:vAlign w:val="center"/>
          </w:tcPr>
          <w:p>
            <w:pPr>
              <w:pStyle w:val="TableContents"/>
              <w:bidi w:val="0"/>
              <w:spacing w:before="0" w:after="283"/>
              <w:jc w:val="left"/>
              <w:rPr/>
            </w:pPr>
            <w:r>
              <w:rPr/>
              <w:t> </w:t>
            </w:r>
          </w:p>
        </w:tc>
        <w:tc>
          <w:tcPr>
            <w:tcW w:w="142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72.83 - 74.05%</w:t>
            </w:r>
          </w:p>
        </w:tc>
        <w:tc>
          <w:tcPr>
            <w:tcW w:w="153" w:type="dxa"/>
            <w:tcBorders/>
            <w:shd w:fill="CFF0FC" w:val="clear"/>
            <w:vAlign w:val="center"/>
          </w:tcPr>
          <w:p>
            <w:pPr>
              <w:pStyle w:val="TableContents"/>
              <w:bidi w:val="0"/>
              <w:spacing w:before="0" w:after="283"/>
              <w:jc w:val="center"/>
              <w:rPr/>
            </w:pPr>
            <w:r>
              <w:rPr/>
              <w:t> </w:t>
            </w:r>
          </w:p>
        </w:tc>
        <w:tc>
          <w:tcPr>
            <w:tcW w:w="146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75.17 - 77.96%</w:t>
            </w:r>
          </w:p>
        </w:tc>
      </w:tr>
      <w:tr>
        <w:trPr/>
        <w:tc>
          <w:tcPr>
            <w:tcW w:w="3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53" w:type="dxa"/>
            <w:tcBorders/>
            <w:shd w:fill="FFFFFF" w:val="clear"/>
            <w:vAlign w:val="center"/>
          </w:tcPr>
          <w:p>
            <w:pPr>
              <w:pStyle w:val="TableContents"/>
              <w:bidi w:val="0"/>
              <w:spacing w:before="0" w:after="283"/>
              <w:jc w:val="center"/>
              <w:rPr/>
            </w:pPr>
            <w:r>
              <w:rPr/>
              <w:t> </w:t>
            </w:r>
          </w:p>
        </w:tc>
        <w:tc>
          <w:tcPr>
            <w:tcW w:w="146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3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2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5.30 - 5.77</w:t>
            </w:r>
          </w:p>
        </w:tc>
        <w:tc>
          <w:tcPr>
            <w:tcW w:w="153" w:type="dxa"/>
            <w:tcBorders/>
            <w:shd w:fill="CFF0FC" w:val="clear"/>
            <w:vAlign w:val="center"/>
          </w:tcPr>
          <w:p>
            <w:pPr>
              <w:pStyle w:val="TableContents"/>
              <w:bidi w:val="0"/>
              <w:spacing w:before="0" w:after="283"/>
              <w:jc w:val="center"/>
              <w:rPr/>
            </w:pPr>
            <w:r>
              <w:rPr/>
              <w:t> </w:t>
            </w:r>
          </w:p>
        </w:tc>
        <w:tc>
          <w:tcPr>
            <w:tcW w:w="146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4.88 - 5.38</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2024, there was $0.4 million of unamortized compensation cost related to unvested stock option awards which is expected to be recognized over a remaining weighted-average vesting period of 0.36 years, on a straight-line basis. Such compensation cost will ultimately be adjusted based upon actual performance compared to the corporate objectives as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fair value of each stock option granted during the nine months ended September 30, 2024 and 2023, estimated as of the grant date using the Black-Scholes option valuation model, was $0.99 and $1.60 per option, respectively.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Issuance Sales Agreements and Private Placement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shares of common stock were sold under the ATM Agreement in the nine months ended September 30,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7.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dilutive outstanding stock options excluded from diluted net loss per common share due to their anti-dilutive effect totaled 8,359,844 shares for the three and nine months ended September 30, 2024 and 8,304,749 shares for the three and nine months ended September 30, 2023.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11, 2024, the Company was notified by Sanofi that the Sanofi/Novartis litigation (as defined below) was settled. As a result of the settlement, if Genzyme Corporation (“Genzyme”) recovers any monetary damages, by way of settlement or otherwise, as a result of the litigation, then the Company is entitled to receive a portion of such monetary damages from Genzyme, pursuant to the terms of that certain assignment agreement between the Company (as successor in interest to Avigen, Inc.), and Genzyme dated December 19, 2005 (the “Genzyme Assignment Agreement”). The amount of monetary damages the Company expects to receive cannot be reasonably estimated.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30, 2022, the Company was notified that Genzyme, a subsidiary of Sanofi, filed its First Amended Complaint, which included a claim for infringement of U.S. Patent No. 9,051,542, on February 23, 2022 in a lawsuit previously filed against Novartis Gene Therapies, Inc., Novartis Pharmaceutical Corporation, and Novartis AG in the U.S. District Court for the District of Delaware (collectively, the “Sanofi/Novartis litigation”). This patent, among others was included in the Genzyme Assignment Agreement. In the litigation, the plaintiffs alleged that Novartis infringed certain U.S. patents through the unauthorized manufacture, use, and sale of recombinant adenoassociated virus vectors for their gene therapy drug Zolgensma.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2023 included in our Annual Report on Form 10-K, as filed with the Securities and Exchange Commission (SEC) on February 15, 2024 (Annual Report on Form 10-K). Past operating results are not necessarily indicative of results that may occur in future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since our inception. As of September 30, 2024, from inception, our accumulated deficit was $423.9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Pursue the development of MN-166 (ibudilast)</w:t>
      </w:r>
      <w:r>
        <w:rPr>
          <w:color w:val="000000"/>
        </w:rPr>
        <w:t xml:space="preserve"> </w:t>
      </w:r>
      <w:r>
        <w:rPr>
          <w:rFonts w:ascii="Times New Roman" w:hAnsi="Times New Roman"/>
          <w:i/>
          <w:color w:val="000000"/>
          <w:sz w:val="20"/>
        </w:rPr>
        <w:t>for multiple potential indications with the support of non-dilutive financings.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Pursue the development of MN-001 (tipelukast) for fibrotic and other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advance development of MN-001 (tipelukast) through a variety of means, which may include investigator-sponsored trials with or without grant funding as well as trials funded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Consider strategic partnerships with one or more leading pharmaceutical companies to complete product development and successfully commercialize our products.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b/>
          <w:i/>
          <w:color w:val="000000"/>
          <w:sz w:val="20"/>
        </w:rPr>
      </w:pPr>
      <w:r>
        <w:rPr>
          <w:rFonts w:ascii="Times New Roman" w:hAnsi="Times New Roman"/>
          <w:b/>
          <w:i/>
          <w:color w:val="000000"/>
          <w:sz w:val="20"/>
        </w:rPr>
        <w:t>Impact of COVID-19 and the Macroeconomic Environment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COVID-19 pandemic resulted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continued with routine clinical trial activities including executing new clinical trial agreements, negotiating budgets, institutional review board approvals, site training, and other activities related to the initiation of new clinical trials and the opening of new clinical trial sites, although some of these activities took longer to complete than what we experienced prior to the pandemic.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pandemic created certain opportunities for our clinical development and we have pursued those opportunities. Following the outbreak of the pandemic, we designed a clinical trial to evaluate MN-166 (ibudilast) for prevention of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Recovering from COVID-19 Lingering Symptoms Adaptive Integrative Medicine Trial (the RECLAIM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actively monitor the possible effects on our financial condition, liquidity, operations, suppliers, industry, and workforce resulting from the recent pandemic and the macroeconomic environment. To the extent that there is a resurgence in the COVID-19 pandemic, or other health epidemics or outbreaks, our operations could be disrupted and our business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certain global COVID-19 pandemic and government responses to the pandemic resulted in, and may continue to result in, downward pressure, extreme volatility, and disruptions in the capital and credit markets, reducing our ability to raise additional capital through equity, equity-linked or debt financings, which could negatively impact our short-term and long-term liquidity, access to capital markets, and our ability to operate in accordance with our operating plan,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exposed to credit risk on deposits at financial institutions to the extent our account balances exceed the amount insured by the Federal Deposit Insurance Corporation. We are monitoring ongoing events involving limited liquidity, defaults, non-performance or other adverse developments that affect financial institutions.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Development and Patents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2024 as our development programs progress.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tbl>
      <w:tblPr>
        <w:tblW w:w="8512"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421"/>
        <w:gridCol w:w="146"/>
        <w:gridCol w:w="146"/>
        <w:gridCol w:w="211"/>
        <w:gridCol w:w="571"/>
        <w:gridCol w:w="146"/>
        <w:gridCol w:w="146"/>
        <w:gridCol w:w="211"/>
        <w:gridCol w:w="571"/>
        <w:gridCol w:w="4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40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MN-221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40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MN-166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40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MN-001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40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MN-029</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4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personnel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4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facility and 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R&amp;D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development and patent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2023. There have not been any material changes to the critical accounting policies discussed therein during the nine months ended September 30,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IPR&amp;D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2023.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120" w:after="283"/>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were $0.0 million and $1.0 million for the three months ended September 30, 2024 and 2023, respectively. The decrease of $1.0 million was due to the receipt of a milestone payment under the Genzyme Agreement in September 2023.</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development and patents expenses were $1.9 million and $0.8 million for the three months ended September 30, 2024 and 2023, respectively. The increase of $1.1 million was primarily driven by an increase in ALS related expenses and new drug safety tests for MN-166 and MRC-001, respectively. Additionally, during the three months ended September 30, 2023, we received a $0.7 million payment from BARDA to partially reimburse us for pre-clinical study costs, which was recorded as an offset to MN-166 research and development expense.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$1.5 million and $1.4 million for the three months ended September 30, 2024 and 2023, respectively. The increase of $0.1 million was primarily driven by increases in performance-based stock option expense and increases in professional fees, partially offset by a reduction in headcount.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$0.4 million and $0.4 million for the three months ended September 30, 2024 and 2023, respectively. Interest income consists of interest earned on our cash and cash equivalents and investments.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120" w:after="283"/>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were $0.0 million and $1.0 million for the nine months ended September 30, 2024 and 2023, respectively. The decrease of $1.0 million was due to the receipt of a milestone payment under the Genzyme Agreement in September 2023.</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development and patents expenses were $5.3 million and $4.0 million for the nine months ended September 30, 2024 and 2023, respectively. The increase of $1.3 million was primarily due to an increase in MN-166 manufacturing costs. Additionally, during the nine months ended September 30, 2023, we received a $0.7 million payment from BARDA to partially reimburse us for pre-clinical study costs, which was recorded as an offset to MN-166 research and development expense.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$4.2 million and $4.4 million for the nine months ended September 30, 2024 and 2023, respectively. The decrease of $0.2 million was primarily driven by a decrease in performance-based stock option expense partially offset by an increase in professional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$1.3 million and $1.4 million for the nine months ended September 30, 2024 and 2023, respectively. The decrease of $0.1 million was primarily driven by lower interest rates on available cash in 2024 compared to cash and bank certificates of deposit in 2023. Interest income consists of interest earned on our cash and cash equivalents and investments.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during the nine months ended September 30, 2024 was $8.7 million compared to $6.9 million during the same period in 2023. The $1.8 million change is primarily related to the increase in prepaid expenses and other assets for those periods, combined with a larger net loss primarily due to no revenues during the nine months ended September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investing activities during the nine months ended September 30, 2024 was $0.0 million compared to $39.9 million provided by during the same period in 2023 related to the disposal of certificates of deposit of $39.9 million during the nine months ended September 30,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we had available cash and cash equivalents of $42.3 million and working capital of $40.7 million. As of the date of this report, we believe we have working capital sufficient to fund operations at least through the end of 2025. However, we cannot provide assurance that these capital resources will be sufficient to conduct all our research and development programs as planned. </w:t>
      </w:r>
    </w:p>
    <w:p>
      <w:pPr>
        <w:pStyle w:val="TextBody"/>
        <w:bidi w:val="0"/>
        <w:spacing w:before="240" w:after="283"/>
        <w:jc w:val="left"/>
        <w:rPr>
          <w:rFonts w:ascii="Times New Roman" w:hAnsi="Times New Roman"/>
          <w:sz w:val="20"/>
        </w:rPr>
      </w:pPr>
      <w:r>
        <w:rPr>
          <w:rFonts w:ascii="Times New Roman" w:hAnsi="Times New Roman"/>
          <w:i/>
          <w:color w:val="000000"/>
          <w:sz w:val="20"/>
        </w:rPr>
        <w:t>Equity Financing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shares of common stock were sold under the ATM Agreement in the three and nine months ended September 30, 2024 and 2023.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9" w:name="item_4_controls_procedures"/>
      <w:bookmarkEnd w:id="9"/>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_or_information"/>
      <w:bookmarkEnd w:id="10"/>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involved in any material legal proceedings as of September 30, 2024.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pStyle w:val="TextBody"/>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Part I, “Item 1A. Risk Factors” in our Annual Report on Form 10-K, for the year ended December 31, 2023,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2023.</w:t>
      </w:r>
    </w:p>
    <w:p>
      <w:pPr>
        <w:pStyle w:val="TextBody"/>
        <w:bidi w:val="0"/>
        <w:spacing w:before="360" w:after="283"/>
        <w:jc w:val="left"/>
        <w:rPr>
          <w:rFonts w:ascii="Times New Roman" w:hAnsi="Times New Roman"/>
          <w:b/>
          <w:color w:val="000000"/>
          <w:sz w:val="20"/>
        </w:rPr>
      </w:pPr>
      <w:bookmarkStart w:id="13" w:name="item_2_unregistered_sales_equity_secut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September 30, 2024, none of our officers or directors, as defined in Rule 16a-1(f), informed us of the adoption or termination of a Rule 10b5-1 trading arrangement or a non-Rule 10b5-1 trading arrangement, each as defined in Regulation S-K Item 408.</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146"/>
        <w:gridCol w:w="9195"/>
      </w:tblGrid>
      <w:tr>
        <w:trPr/>
        <w:tc>
          <w:tcPr>
            <w:tcW w:w="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95" w:type="dxa"/>
            <w:tcBorders/>
            <w:shd w:fill="FFFFFF" w:val="clear"/>
            <w:vAlign w:val="center"/>
          </w:tcPr>
          <w:p>
            <w:pPr>
              <w:pStyle w:val="TableContents"/>
              <w:bidi w:val="0"/>
              <w:spacing w:before="0" w:after="283"/>
              <w:jc w:val="left"/>
              <w:rPr>
                <w:sz w:val="4"/>
                <w:szCs w:val="4"/>
              </w:rPr>
            </w:pPr>
            <w:r>
              <w:rPr>
                <w:sz w:val="4"/>
                <w:szCs w:val="4"/>
              </w:rPr>
            </w:r>
          </w:p>
        </w:tc>
      </w:tr>
      <w:tr>
        <w:trPr/>
        <w:tc>
          <w:tcPr>
            <w:tcW w:w="8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(incorporated by reference to Exhibit 3.1 of the Registrant’s Quarterly Report on Form 10-Q filed with the SEC on August 9, 2012 (File No. 001-33185)).</w:t>
              </w:r>
            </w:hyperlink>
          </w:p>
        </w:tc>
      </w:tr>
      <w:tr>
        <w:trPr/>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by reference to Exhibit 3.1 of the Registrant’s Current Report on Form 8-K filed with the SEC on April 25, 2019 (File No. 001-33185)).</w:t>
              </w:r>
            </w:hyperlink>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mnov-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mnov-ex31_1.htm">
              <w:r>
                <w:rPr>
                  <w:rStyle w:val="InternetLink"/>
                  <w:rFonts w:ascii="Times New Roman" w:hAnsi="Times New Roman"/>
                  <w:color w:val="0000FF"/>
                  <w:sz w:val="20"/>
                </w:rPr>
                <w:t xml:space="preserve"> </w:t>
              </w:r>
            </w:hyperlink>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mnov-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mnov-ex32_1.htm">
              <w:r>
                <w:rPr>
                  <w:rStyle w:val="InternetLink"/>
                  <w:rFonts w:ascii="Times New Roman" w:hAnsi="Times New Roman"/>
                  <w:color w:val="0000FF"/>
                  <w:sz w:val="20"/>
                  <w:u w:val="single"/>
                </w:rPr>
                <w:t>Certification of Principal Executive Officer pursuant to 18 U.S.C. Section 1350 (Section 906 of the Sarbanes-Oxley Act of 2002).</w:t>
              </w:r>
            </w:hyperlink>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mnov-ex32_2.htm">
              <w:r>
                <w:rPr>
                  <w:rStyle w:val="InternetLink"/>
                  <w:rFonts w:ascii="Times New Roman" w:hAnsi="Times New Roman"/>
                  <w:color w:val="0000FF"/>
                  <w:sz w:val="20"/>
                  <w:u w:val="single"/>
                </w:rPr>
                <w:t>Certification of Principal Financial Officer pursuant to 18 U.S.C. Section 1350 (Section 906 of the Sarbanes-Oxley Act of 2002).</w:t>
              </w:r>
            </w:hyperlink>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101.INS</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101.SCH</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w:t>
            </w:r>
          </w:p>
        </w:tc>
      </w:tr>
      <w:tr>
        <w:trPr/>
        <w:tc>
          <w:tcPr>
            <w:tcW w:w="864"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(1)</w:t>
            </w:r>
          </w:p>
        </w:tc>
        <w:tc>
          <w:tcPr>
            <w:tcW w:w="146"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Filed Herewith</w:t>
      </w:r>
    </w:p>
    <w:p>
      <w:pPr>
        <w:pStyle w:val="TextBody"/>
        <w:bidi w:val="0"/>
        <w:jc w:val="left"/>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2206"/>
        <w:gridCol w:w="146"/>
        <w:gridCol w:w="406"/>
        <w:gridCol w:w="354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MEDICINOVA, INC.</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Executive Officer)</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 xml:space="preserve">ASON </w:t>
            </w:r>
            <w:r>
              <w:rPr>
                <w:rFonts w:ascii="Times New Roman" w:hAnsi="Times New Roman"/>
                <w:color w:val="000000"/>
                <w:sz w:val="20"/>
              </w:rPr>
              <w:t>K</w:t>
            </w:r>
            <w:r>
              <w:rPr>
                <w:rFonts w:ascii="Times New Roman" w:hAnsi="Times New Roman"/>
                <w:color w:val="000000"/>
                <w:sz w:val="15"/>
              </w:rPr>
              <w:t>RUGER</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220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mnov-ex31_1.htm"/>
      <w:bookmarkStart w:id="20" w:name="ksmnov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Executive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Yuichi Iwaki,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September 30, 2024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nov-ex31_2.htm"/>
      <w:bookmarkStart w:id="22" w:name="ksmnov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Financial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Kruger,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September 30, 2024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13, 2024 </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81"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center"/>
              <w:rPr/>
            </w:pPr>
            <w:r>
              <w:rPr/>
              <w:t> </w:t>
            </w:r>
          </w:p>
        </w:tc>
        <w:tc>
          <w:tcPr>
            <w:tcW w:w="46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81" w:type="dxa"/>
            <w:tcBorders/>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Jason Kruger</w:t>
            </w:r>
            <w:r>
              <w:rPr>
                <w:rFonts w:ascii="Times New Roman" w:hAnsi="Times New Roman"/>
                <w:color w:val="000000"/>
                <w:sz w:val="16"/>
              </w:rPr>
              <w:t xml:space="preserve"> </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81"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81"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nov-ex32_1.htm"/>
      <w:bookmarkStart w:id="24" w:name="ksmnov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September 30, 2024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13, 2024 </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9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center"/>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Yuichi Iwaki</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left"/>
        <w:rPr/>
      </w:pPr>
      <w:bookmarkStart w:id="25" w:name="mnov-ex32_2.htm"/>
      <w:bookmarkStart w:id="26" w:name="ksmnovex32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September 30, 2024,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2024</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81"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6616/000119312512347932/d344794dex31.htm" TargetMode="External"/><Relationship Id="rId3" Type="http://schemas.openxmlformats.org/officeDocument/2006/relationships/hyperlink" Target="https://www.sec.gov/Archives/edgar/data/1226616/000119312519119751/d727763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12683</Words>
  <Characters>71669</Characters>
  <CharactersWithSpaces>84819</CharactersWithSpaces>
  <Paragraphs>2845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