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49" w:lineRule="exact"/>
        <w:rPr>
          <w:sz w:val="24"/>
          <w:szCs w:val="24"/>
          <w:color w:val="auto"/>
        </w:rPr>
      </w:pPr>
    </w:p>
    <w:p>
      <w:pPr>
        <w:ind w:left="520" w:right="36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355" w:right="25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120"/>
          </w:cols>
          <w:pgMar w:left="240" w:top="35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MEDICINOVA,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200" w:type="dxa"/>
            <w:vAlign w:val="bottom"/>
          </w:tcPr>
          <w:p>
            <w:pPr>
              <w:jc w:val="center"/>
              <w:ind w:right="35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5"/>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89"/>
              </w:rPr>
              <w:t>4275 Executive Square, Suite 650</w:t>
            </w:r>
          </w:p>
        </w:tc>
        <w:tc>
          <w:tcPr>
            <w:tcW w:w="1440" w:type="dxa"/>
            <w:vAlign w:val="bottom"/>
          </w:tcPr>
          <w:p>
            <w:pPr>
              <w:spacing w:after="0"/>
              <w:rPr>
                <w:sz w:val="24"/>
                <w:szCs w:val="24"/>
                <w:color w:val="auto"/>
              </w:rPr>
            </w:pPr>
          </w:p>
        </w:tc>
      </w:t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5"/>
              </w:rPr>
              <w:t>La Jolla,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200" w:type="dxa"/>
            <w:vAlign w:val="bottom"/>
          </w:tcPr>
          <w:p>
            <w:pPr>
              <w:jc w:val="right"/>
              <w:ind w:right="1379"/>
              <w:spacing w:after="0"/>
              <w:rPr>
                <w:sz w:val="20"/>
                <w:szCs w:val="20"/>
                <w:color w:val="auto"/>
              </w:rPr>
            </w:pPr>
            <w:r>
              <w:rPr>
                <w:rFonts w:ascii="Arial" w:cs="Arial" w:eastAsia="Arial" w:hAnsi="Arial"/>
                <w:sz w:val="18"/>
                <w:szCs w:val="18"/>
                <w:b w:val="1"/>
                <w:bCs w:val="1"/>
                <w:color w:val="auto"/>
              </w:rPr>
              <w:t>(858) 373-1500</w:t>
            </w:r>
          </w:p>
        </w:tc>
        <w:tc>
          <w:tcPr>
            <w:tcW w:w="1440" w:type="dxa"/>
            <w:vAlign w:val="bottom"/>
          </w:tcPr>
          <w:p>
            <w:pPr>
              <w:spacing w:after="0"/>
              <w:rPr>
                <w:sz w:val="24"/>
                <w:szCs w:val="24"/>
                <w:color w:val="auto"/>
              </w:rPr>
            </w:pPr>
          </w:p>
        </w:tc>
      </w:tr>
      <w:tr>
        <w:trPr>
          <w:trHeight w:val="186"/>
        </w:trPr>
        <w:tc>
          <w:tcPr>
            <w:tcW w:w="6200" w:type="dxa"/>
            <w:vAlign w:val="bottom"/>
          </w:tcPr>
          <w:p>
            <w:pPr>
              <w:jc w:val="center"/>
              <w:ind w:left="20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5"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firstLine="51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400"/>
          </w:cols>
          <w:pgMar w:left="240" w:top="355" w:right="259" w:bottom="1440" w:gutter="0" w:footer="0" w:header="0"/>
          <w:type w:val="continuous"/>
        </w:sectPr>
      </w:pP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71"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4">
            <w:col w:w="8700" w:space="180"/>
            <w:col w:w="440" w:space="180"/>
            <w:col w:w="220" w:space="80"/>
            <w:col w:w="1600"/>
          </w:cols>
          <w:pgMar w:left="240" w:top="355" w:right="25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October 23, 2015, the registrant had 29,956,495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582930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6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78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94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MANAGEMENT’S DISCUSSION AND ANALYSIS OF FINANCIAL CONDITION AND RESULTS OF OPERATIONS</w:t>
              </w:r>
            </w:hyperlink>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9460" w:type="dxa"/>
            <w:vAlign w:val="bottom"/>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332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0680" w:type="dxa"/>
            <w:vAlign w:val="bottom"/>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LEGAL PROCEEDINGS</w:t>
              </w:r>
            </w:hyperlink>
          </w:p>
        </w:tc>
        <w:tc>
          <w:tcPr>
            <w:tcW w:w="758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820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946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22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9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920" w:type="dxa"/>
            <w:vAlign w:val="bottom"/>
          </w:tcPr>
          <w:p>
            <w:pPr>
              <w:jc w:val="center"/>
              <w:ind w:left="2170"/>
              <w:spacing w:after="0"/>
              <w:rPr>
                <w:sz w:val="20"/>
                <w:szCs w:val="20"/>
                <w:color w:val="auto"/>
              </w:rPr>
            </w:pPr>
            <w:r>
              <w:rPr>
                <w:rFonts w:ascii="Arial" w:cs="Arial" w:eastAsia="Arial" w:hAnsi="Arial"/>
                <w:sz w:val="18"/>
                <w:szCs w:val="18"/>
                <w:b w:val="1"/>
                <w:bCs w:val="1"/>
                <w:color w:val="auto"/>
              </w:rPr>
              <w:t>MEDICINOVA, INC.</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9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7"/>
              </w:rPr>
              <w:t>(Unaudited)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23,612,272</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11,669,435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732,512</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24,344,784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12,132,921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9,600,241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9,600,241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660,420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684,789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157,737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39,587,069</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27,273,494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354,700</w:t>
            </w: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compensation and related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590,926</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1,296,530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Long-term deferred rent and lease liability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Long-term deferred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4,961,265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40" w:type="dxa"/>
            <w:vAlign w:val="bottom"/>
            <w:gridSpan w:val="2"/>
          </w:tcPr>
          <w:p>
            <w:pPr>
              <w:ind w:left="380"/>
              <w:spacing w:after="0"/>
              <w:rPr>
                <w:sz w:val="20"/>
                <w:szCs w:val="20"/>
                <w:color w:val="auto"/>
              </w:rPr>
            </w:pPr>
            <w:r>
              <w:rPr>
                <w:rFonts w:ascii="Arial" w:cs="Arial" w:eastAsia="Arial" w:hAnsi="Arial"/>
                <w:sz w:val="18"/>
                <w:szCs w:val="18"/>
                <w:color w:val="auto"/>
              </w:rPr>
              <w:t>Preferred stock, $0.01 par value; 3,000,000 shares authorized at September 30, 2015</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ind w:left="520"/>
              <w:spacing w:after="0"/>
              <w:rPr>
                <w:sz w:val="20"/>
                <w:szCs w:val="20"/>
                <w:color w:val="auto"/>
              </w:rPr>
            </w:pPr>
            <w:r>
              <w:rPr>
                <w:rFonts w:ascii="Arial" w:cs="Arial" w:eastAsia="Arial" w:hAnsi="Arial"/>
                <w:sz w:val="18"/>
                <w:szCs w:val="18"/>
                <w:color w:val="auto"/>
              </w:rPr>
              <w:t>and December 31, 2014; 220,000 shares issued and outstanding at September 30,</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520"/>
              <w:spacing w:after="0"/>
              <w:rPr>
                <w:sz w:val="20"/>
                <w:szCs w:val="20"/>
                <w:color w:val="auto"/>
              </w:rPr>
            </w:pPr>
            <w:r>
              <w:rPr>
                <w:rFonts w:ascii="Arial" w:cs="Arial" w:eastAsia="Arial" w:hAnsi="Arial"/>
                <w:sz w:val="18"/>
                <w:szCs w:val="18"/>
                <w:color w:val="auto"/>
              </w:rPr>
              <w:t>2015 and December 31, 2014</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 $0.001 par value; 100,000,000 shares authorized at September 30,</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2015 and December 31, 2014; 29,956,495 and 24,436,317 shares issued and</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outstanding at September 30, 2015 and December 31, 2014, respectively</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29,957</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351,386,898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332,666,935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(101,471)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(100,977)</w:t>
            </w:r>
          </w:p>
        </w:tc>
        <w:tc>
          <w:tcPr>
            <w:tcW w:w="0" w:type="dxa"/>
            <w:vAlign w:val="bottom"/>
          </w:tcPr>
          <w:p>
            <w:pPr>
              <w:spacing w:after="0"/>
              <w:rPr>
                <w:sz w:val="1"/>
                <w:szCs w:val="1"/>
                <w:color w:val="auto"/>
              </w:rPr>
            </w:pPr>
          </w:p>
        </w:tc>
      </w:tr>
      <w:tr>
        <w:trPr>
          <w:trHeight w:val="230"/>
        </w:trPr>
        <w:tc>
          <w:tcPr>
            <w:tcW w:w="804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(316,691,780)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(310,582,006)</w:t>
            </w: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34,625,804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22,010,589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39,587,069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27,273,494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6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586,680</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893,265</w:t>
            </w:r>
          </w:p>
        </w:tc>
        <w:tc>
          <w:tcPr>
            <w:tcW w:w="2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2,103,416</w:t>
            </w: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2,476,797</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1,007,453</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1,451,994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3,982,801</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4,363,237</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1,594,133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2,345,259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6,086,217</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6,840,034</w:t>
            </w:r>
          </w:p>
        </w:tc>
        <w:tc>
          <w:tcPr>
            <w:tcW w:w="12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(1,594,133)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(2,345,259)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(6,086,217)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(6,840,034)</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expense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(22,857)</w:t>
            </w: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(2,587)</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(41,298)</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10,483</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23,731</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30,599</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(1,606,507)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(2,338,769)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(6,103,784)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(6,809,912)</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(1,383)</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(1,472)</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(5,990)</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(4,562)</w:t>
            </w:r>
          </w:p>
        </w:tc>
      </w:tr>
      <w:tr>
        <w:trPr>
          <w:trHeight w:val="263"/>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13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(1,607,890</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(2,340,241</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(6,109,774</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(6,814,474</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FF0FC"/>
          </w:tcPr>
          <w:p>
            <w:pPr>
              <w:spacing w:after="0"/>
              <w:rPr>
                <w:sz w:val="18"/>
                <w:szCs w:val="18"/>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26,931,555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24,149,680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25,441,423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23,997,920</w:t>
            </w:r>
          </w:p>
        </w:tc>
        <w:tc>
          <w:tcPr>
            <w:tcW w:w="120" w:type="dxa"/>
            <w:vAlign w:val="bottom"/>
          </w:tcPr>
          <w:p>
            <w:pPr>
              <w:spacing w:after="0"/>
              <w:rPr>
                <w:sz w:val="20"/>
                <w:szCs w:val="20"/>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5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(1,607,890)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3"/>
              </w:rPr>
              <w:t>(2,340,241)</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(6,109,774)</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(6,814,474)</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(6,969)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(493)</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(3,503)</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Comprehensive loss</w:t>
            </w:r>
          </w:p>
        </w:tc>
        <w:tc>
          <w:tcPr>
            <w:tcW w:w="1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(1,606,057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(2,347,210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(6,110,267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(6,817,977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Nine months ended</w:t>
      </w:r>
    </w:p>
    <w:p>
      <w:pPr>
        <w:jc w:val="center"/>
        <w:ind w:left="79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(6,109,774)</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(6,814,474)</w:t>
            </w:r>
          </w:p>
        </w:tc>
      </w:tr>
      <w:tr>
        <w:trPr>
          <w:trHeight w:val="215"/>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provided by operating</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0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activities: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804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1,143,814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984,095</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30,465</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740"/>
              <w:spacing w:after="0"/>
              <w:rPr>
                <w:sz w:val="20"/>
                <w:szCs w:val="20"/>
                <w:color w:val="auto"/>
              </w:rPr>
            </w:pPr>
            <w:r>
              <w:rPr>
                <w:rFonts w:ascii="Arial" w:cs="Arial" w:eastAsia="Arial" w:hAnsi="Arial"/>
                <w:sz w:val="18"/>
                <w:szCs w:val="18"/>
                <w:color w:val="auto"/>
              </w:rPr>
              <w:t>Change in value of equity method investment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(9,346)</w:t>
            </w:r>
          </w:p>
        </w:tc>
      </w:tr>
      <w:tr>
        <w:trPr>
          <w:trHeight w:val="230"/>
        </w:trPr>
        <w:tc>
          <w:tcPr>
            <w:tcW w:w="8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(415,910)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965,759</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expenses and deferred rent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(105,962)</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325,185</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1120"/>
              <w:spacing w:after="0"/>
              <w:rPr>
                <w:sz w:val="20"/>
                <w:szCs w:val="20"/>
                <w:color w:val="auto"/>
              </w:rPr>
            </w:pPr>
            <w:r>
              <w:rPr>
                <w:rFonts w:ascii="Arial" w:cs="Arial" w:eastAsia="Arial" w:hAnsi="Arial"/>
                <w:sz w:val="18"/>
                <w:szCs w:val="18"/>
                <w:color w:val="auto"/>
              </w:rPr>
              <w:t>Accrued compensation and related expenses</w:t>
            </w: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(195,568)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359,062</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Receivable</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6,008,553</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(5,635,758)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1,849,299</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(3,523)</w:t>
            </w:r>
          </w:p>
        </w:tc>
      </w:tr>
      <w:tr>
        <w:trPr>
          <w:trHeight w:val="223"/>
        </w:trPr>
        <w:tc>
          <w:tcPr>
            <w:tcW w:w="8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16,619,129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2,989,097</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380"/>
              <w:spacing w:after="0"/>
              <w:rPr>
                <w:sz w:val="20"/>
                <w:szCs w:val="20"/>
                <w:color w:val="auto"/>
              </w:rPr>
            </w:pPr>
            <w:r>
              <w:rPr>
                <w:rFonts w:ascii="Arial" w:cs="Arial" w:eastAsia="Arial" w:hAnsi="Arial"/>
                <w:sz w:val="18"/>
                <w:szCs w:val="18"/>
                <w:color w:val="auto"/>
              </w:rPr>
              <w:t>Proceeds from common stock option and warrant exercises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872,632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343,230</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for ESPP, net of issuance costs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60,456</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17,581,669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3,392,783</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11,942,837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5,236,407</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11,669,435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6,700,493</w:t>
            </w:r>
          </w:p>
        </w:tc>
        <w:tc>
          <w:tcPr>
            <w:tcW w:w="120" w:type="dxa"/>
            <w:vAlign w:val="bottom"/>
            <w:shd w:val="clear" w:color="auto" w:fill="CFF0FC"/>
          </w:tcPr>
          <w:p>
            <w:pPr>
              <w:spacing w:after="0"/>
              <w:rPr>
                <w:sz w:val="19"/>
                <w:szCs w:val="19"/>
                <w:color w:val="auto"/>
              </w:rPr>
            </w:pPr>
          </w:p>
        </w:tc>
      </w:tr>
      <w:tr>
        <w:trPr>
          <w:trHeight w:val="263"/>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23,612,272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11,936,900</w:t>
            </w:r>
          </w:p>
        </w:tc>
        <w:tc>
          <w:tcPr>
            <w:tcW w:w="120" w:type="dxa"/>
            <w:vAlign w:val="bottom"/>
            <w:tcBorders>
              <w:bottom w:val="single" w:sz="8" w:color="CFF0FC"/>
            </w:tcBorders>
          </w:tcPr>
          <w:p>
            <w:pPr>
              <w:spacing w:after="0"/>
              <w:rPr>
                <w:sz w:val="22"/>
                <w:szCs w:val="22"/>
                <w:color w:val="auto"/>
              </w:rPr>
            </w:pPr>
          </w:p>
        </w:tc>
      </w:tr>
      <w:tr>
        <w:trPr>
          <w:trHeight w:val="21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7,443</w:t>
            </w:r>
          </w:p>
        </w:tc>
        <w:tc>
          <w:tcPr>
            <w:tcW w:w="140" w:type="dxa"/>
            <w:vAlign w:val="bottom"/>
          </w:tcPr>
          <w:p>
            <w:pPr>
              <w:spacing w:after="0"/>
              <w:rPr>
                <w:sz w:val="20"/>
                <w:szCs w:val="20"/>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$0.5 million and $0.8 million for the three-months ended September 30, 2015 and 2014, respectively. Research and development costs totaled $1.9 million and $2.2 million for the nine months ended September 30, 2015 and 2014, respectively.</w:t>
      </w:r>
    </w:p>
    <w:p>
      <w:pPr>
        <w:spacing w:after="0" w:line="17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the three-months ended September 30, 2015 and 2014. Patent-related expenses totaled $0.2 million and $0.3 million for the nine months ended September 30, 2015 and 2014,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May 2014, the Financial Accounting Standards Board (“FASB”) and the International Accounting Standards Board “(IASB”) jointly issued Accounting Standards Update (“ASU”) No. 2014-09, Revenue from Contracts from Customers, which supersedes the revenue recognition requirements in ASC 605, Revenue Recognition. ASU 2014-09 is a comprehensive new revenue recognition standard that will supersede nearly all existing revenue recognition guidance under US GAAP and IFRS. The standard’s core principle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 w:name="page7"/>
    <w:bookmarkEnd w:id="6"/>
    <w:p>
      <w:pPr>
        <w:ind w:right="160"/>
        <w:spacing w:after="0" w:line="273" w:lineRule="auto"/>
        <w:rPr>
          <w:sz w:val="20"/>
          <w:szCs w:val="20"/>
          <w:color w:val="auto"/>
        </w:rPr>
      </w:pPr>
      <w:r>
        <w:rPr>
          <w:rFonts w:ascii="Arial" w:cs="Arial" w:eastAsia="Arial" w:hAnsi="Arial"/>
          <w:sz w:val="17"/>
          <w:szCs w:val="17"/>
          <w:color w:val="auto"/>
        </w:rPr>
        <w:t>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authoritative guidance. These may include identifying performance obligations in the contract, estimating the amount of variable consideration to include in the transaction price and allocating the transaction price to each separate performance obligation. The standard is effective for public entities for annual and interim periods beginning after December 15, 2016. Early adoption is not permitted under US GAAP. The adoption of this guidance is not expected to have a material impact on the Company.</w:t>
      </w:r>
    </w:p>
    <w:p>
      <w:pPr>
        <w:spacing w:after="0" w:line="17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August 2014, the FASB issued ASU 2014-15, Presentation of Financial Statements – Going Concern, which is new guidance requiring management to evaluate whether there are conditions and events that raise substantial doubt about the entity’s ability to continue as a going concern within one year after the financial statements are issued (or available to be issued when applicable). Management will be required to make this evaluation for both annual and interim reporting periods and will have to make certain disclosures if it concludes that substantial doubt exists or when its plans alleviate substantial doubt about the entity’s ability to continue as a going concern. The standard is effective for annual periods ending after December 15, 2016. Early adoption is permitted. The adoption of this guidance is not expected to have a material impact on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Payment</w:t>
      </w:r>
    </w:p>
    <w:p>
      <w:pPr>
        <w:spacing w:after="0" w:line="117"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During the nine months ended September 30, 2015, the Company received a $100,000 payment from a vendor to offset the costs of manufactured drug product that was inadvertently destroyed by the vendor. The vendor payment has been recorded as an offset to general and administrative expense.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revenue was recorded in the three and nine months ended September 30, 2015 and 2014.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80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inputs are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ind w:right="200" w:firstLine="518"/>
        <w:spacing w:after="0" w:line="277" w:lineRule="auto"/>
        <w:rPr>
          <w:sz w:val="20"/>
          <w:szCs w:val="20"/>
          <w:color w:val="auto"/>
        </w:rPr>
      </w:pPr>
      <w:r>
        <w:rPr>
          <w:rFonts w:ascii="Arial" w:cs="Arial" w:eastAsia="Arial" w:hAnsi="Arial"/>
          <w:sz w:val="18"/>
          <w:szCs w:val="18"/>
          <w:color w:val="auto"/>
        </w:rPr>
        <w:t>Included in cash and cash equivalents are $23.4 million and $11.5 million of money market funds as of September 30, 2015 and December 31, 2014, respectively, that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w:t>
      </w:r>
    </w:p>
    <w:p>
      <w:pPr>
        <w:spacing w:after="0" w:line="169"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September 30, 2015, the investment is reflected as a long-term asset on the Company’s consolidated balance sheet which represents the investment in Zhejiang Sunmy, net of the Company’s portion of any generated loss or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September 30, 2015, 1,673,825 options remain available for future grant under the 2013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granted under the 2013 Plan and Prior Plans have terms of ten years from the date of grant and generally vest over a three or four year period.</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exercise price of all options granted was equal to the market value of the Company’s common stock on the date of grant.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September 30, 2015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99"/>
              <w:spacing w:after="0"/>
              <w:rPr>
                <w:sz w:val="20"/>
                <w:szCs w:val="20"/>
                <w:color w:val="auto"/>
              </w:rPr>
            </w:pPr>
            <w:r>
              <w:rPr>
                <w:rFonts w:ascii="Arial" w:cs="Arial" w:eastAsia="Arial" w:hAnsi="Arial"/>
                <w:sz w:val="14"/>
                <w:szCs w:val="14"/>
                <w:b w:val="1"/>
                <w:bCs w:val="1"/>
                <w:color w:val="auto"/>
                <w:w w:val="93"/>
              </w:rPr>
              <w:t>Intrinsic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3,447,969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689,000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2015</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4,133,969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450,681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580"/>
              <w:spacing w:after="0"/>
              <w:rPr>
                <w:sz w:val="20"/>
                <w:szCs w:val="20"/>
                <w:color w:val="auto"/>
              </w:rPr>
            </w:pPr>
            <w:r>
              <w:rPr>
                <w:rFonts w:ascii="Arial" w:cs="Arial" w:eastAsia="Arial" w:hAnsi="Arial"/>
                <w:sz w:val="18"/>
                <w:szCs w:val="18"/>
                <w:color w:val="auto"/>
              </w:rPr>
              <w:t>Exercisable at September 30, 2015</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3,206,670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438,061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60" w:type="dxa"/>
            <w:vAlign w:val="bottom"/>
          </w:tcPr>
          <w:p>
            <w:pPr>
              <w:jc w:val="right"/>
              <w:ind w:right="77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 w:name="page9"/>
    <w:bookmarkEnd w:id="8"/>
    <w:p>
      <w:pPr>
        <w:ind w:right="260" w:firstLine="518"/>
        <w:spacing w:after="0" w:line="264" w:lineRule="auto"/>
        <w:rPr>
          <w:sz w:val="20"/>
          <w:szCs w:val="20"/>
          <w:color w:val="auto"/>
        </w:rPr>
      </w:pPr>
      <w:r>
        <w:rPr>
          <w:rFonts w:ascii="Arial" w:cs="Arial" w:eastAsia="Arial" w:hAnsi="Arial"/>
          <w:sz w:val="18"/>
          <w:szCs w:val="18"/>
          <w:color w:val="auto"/>
        </w:rPr>
        <w:t>No options were exercised during the nine months ended September 30, 2015. During the three and nine months ended September 30, 2014, there were 15,000 options exercised, from which gross proceeds of $38,850 were received. The intrinsic value of options exercised during the three and nine months ended September 30, 2014 was $3,750.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w:t>
      </w:r>
    </w:p>
    <w:p>
      <w:pPr>
        <w:spacing w:after="0" w:line="1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For the nine months ended September 30, 2015, an aggregate of 35,178 shares were issued under the ESPP. As of September 30, 2015, there are 195,775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During the three and nine months ended September 30, 2015, options to purchase 40,000 and 689,000 shares of common stock were granted, respectively. Stock-based compensation expense for stock option awards and ESPP shares are reflected in total operating expenses for each respective year. For the three months ended September 30, 2015 and 2014, stock-based compensation related to stock options and ESPP was $84,143 and $497,675, respectively. For the nine months ended September 30, 2015 and 2014, stock-based compensation expense related to stock options and the ESPP was $1,143,814 and $984,095, respectively.</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and the stock-based compensation for stock-based awards granted to employees. The following table provides the assumptions used in the Black-Scholes valuation model for the three and nine months ended September 30, 2015 and 2014. The ESPP assumptions for the three months ended September 30, 2015 and 2014 are actual amounts, and the assumptions for the nine months ended September 30, 2015 and 2014 are weighted average amounts.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1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Nine Months Ended</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2015</w:t>
            </w:r>
          </w:p>
        </w:tc>
        <w:tc>
          <w:tcPr>
            <w:tcW w:w="6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September 30, 2014</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September 30, 2015</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September 30, 2014</w:t>
            </w: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7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1.68%</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1.48%</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0.36%</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2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79.9%</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79.7%</w:t>
            </w: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79.3%</w:t>
            </w:r>
          </w:p>
        </w:tc>
        <w:tc>
          <w:tcPr>
            <w:tcW w:w="15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65.0%</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Dividend yield</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15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0.06%</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7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82.3%</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67.6%</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7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15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As of September 30, 2015, there was $1.3 million of unamortized compensation cost related to unvested stock option awards which is expected to be recognized over a remaining weighted-average vesting period of 0.7 years, on a straight-line basis.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260" w:firstLine="571"/>
        <w:spacing w:after="0" w:line="264" w:lineRule="auto"/>
        <w:rPr>
          <w:sz w:val="20"/>
          <w:szCs w:val="20"/>
          <w:color w:val="auto"/>
        </w:rPr>
      </w:pPr>
      <w:r>
        <w:rPr>
          <w:rFonts w:ascii="Arial" w:cs="Arial" w:eastAsia="Arial" w:hAnsi="Arial"/>
          <w:sz w:val="18"/>
          <w:szCs w:val="18"/>
          <w:color w:val="auto"/>
        </w:rPr>
        <w:t>On August 24, 2015, the Company completed a firm-commitment underwritten public offering of 5,000,000 shares of common stock at a purchase price of $3.50 per share for aggregate gross proceeds of $17.5 million, and received aggregate net proceeds of approximately $16.0 million, net of underwriting discounts and commissions and offering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On October 16, 2013, the Company entered into an at-the-market equity distribution agreement with Macquarie Capital USA (MCUSA) pursuant to which the Company could sell common stock through MCUSA from time to time up to an aggregate offering price of $10.0 million. Under the terms of this agreement, unless otherwise mutually agreed, no daily sale of an amount of shares of the Company’s common stock is to exceed the lower of $50,000 or 10% of the lower of the 5-day or 3-month average daily traded value of the Company’s common stock on NASDAQ (unless 10% of the lower of the 5-day or 3-month average daily traded value of the Company’s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the Company’s common stock on NASDAQ. MCUSA agreed to use its commercially reasonable efforts consistent with its customary trading and sales practices and applicable laws, rules and regulations to sell shares of the Company’s common stock and is to sell such shares by any method permitted by law deemed to be “at the market.” The Company agreed to pay MCUSA an aggregate commission rate of 7.0% of the gross proceeds of any common stock sold under this agreement. MCUSA is under no obligation to purchase shares pursuant to this agreement and there are no assurances that MCUSA will be successful in selling shares. Proceeds from sales of common stock will depend on the number of shares of common stock sold to MCUSA and the per share purchase price of each transaction. The agreement with MCUSA provides both MCUSA and the Company the right to terminate the agreement in their discretion upon giving five business days written notice. For the nine months ended September 30, 2015, the Company has generated gross and net proceeds of $0.9 million and $0.7 million, respectively, under this agreement on the sale of 225,000 shares of the Company’s common stock at prices ranging from $3.24 to $4.45 per share. The at-the-market equity distribution agreement with MCUSA was terminated on May 22, 2015, and as of such date, the Company had completed sales to MCUSA totaling 2,127,500 shares of common stock at prices ranging from $2.01 to $4.45 per shares, generating gross and net proceeds of $5.3 million and $4.5 million, respectively. Net proceeds are calculated as gross proceeds less commissions and other issuance costs.</w:t>
      </w:r>
    </w:p>
    <w:p>
      <w:pPr>
        <w:spacing w:after="0" w:line="19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On May 22, 2015, the Company entered into an at-the-market issuance sales agreement with MLV &amp; Co. LLC (MLV) pursuant to which the Company may sell common stock through MLV from time to time up to an aggregate offering price of $30.0 million. Sales of the Company’s common stock</w:t>
      </w:r>
    </w:p>
    <w:p>
      <w:pPr>
        <w:ind w:right="20"/>
        <w:spacing w:after="0" w:line="287" w:lineRule="auto"/>
        <w:rPr>
          <w:sz w:val="20"/>
          <w:szCs w:val="20"/>
          <w:color w:val="auto"/>
        </w:rPr>
      </w:pPr>
      <w:r>
        <w:rPr>
          <w:rFonts w:ascii="Arial" w:cs="Arial" w:eastAsia="Arial" w:hAnsi="Arial"/>
          <w:sz w:val="16"/>
          <w:szCs w:val="16"/>
          <w:color w:val="auto"/>
        </w:rPr>
        <w:t>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The Company is not obligated to make any sales of common stock under the sales agreement and may terminate the sales agreement at any time upon written notice. For the nine months ended September 30, 2015, the Company has generated gross and net proceeds of $32,700 and $31,600, respectively (excluding $101,800 in issuance costs incurred), under this agreement on sales of 7,800 shares of the Company’s common stock at prices ranging from $4.16 to $4.23 per share.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2011, the Company consummated a firm-commitment underwritten public offering of 2,800,666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During the nine months ended September 30, 2015 and 2014, 237,200 and 85,500 of these warrants were exercised for gross proceeds of $0.8 million and $0.3 million, respectively. As of September 30, 2015, 2,339,300 of these warrants remain outstanding and exercisable.</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August 2012, the Company issued a warrant in exchange for investor relations services to purchase up to 130,000 of common stock of the Company at a price of $1.88 per share, the closing price of the Company’s common stock on that date. As of September 30, 2014, the warrant was exercisable for 15,000 shares, and no further shares will vest. During the nine months ended September 30, 2015, all 15,000 of these warrants were exercised for gross proceeds of $28,200.</w:t>
      </w:r>
    </w:p>
    <w:p>
      <w:pPr>
        <w:spacing w:after="0" w:line="18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May 2013, the Company entered into a securities purchase agreement with certain accredited investors pursuant to which the Company agreed to sell to investors 1,158,730 shares of the Company’s common stock at a price of $3.15 per share and warrants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120"/>
        <w:spacing w:after="0" w:line="264" w:lineRule="auto"/>
        <w:rPr>
          <w:sz w:val="20"/>
          <w:szCs w:val="20"/>
          <w:color w:val="auto"/>
        </w:rPr>
      </w:pPr>
      <w:r>
        <w:rPr>
          <w:rFonts w:ascii="Arial" w:cs="Arial" w:eastAsia="Arial" w:hAnsi="Arial"/>
          <w:sz w:val="18"/>
          <w:szCs w:val="18"/>
          <w:color w:val="auto"/>
        </w:rPr>
        <w:t>purchase an aggregate of 869,047 shares of the Company’s common stock with an exercise price of $3.15 per share. On May 29, 2013, 119,047 of the warrants were amended to reflect an exercise price of $3.38 per share. The warrants will expire on May 9, 2018. As of September 30, 2015, 869,047 of these warrants remain outstanding and exercisable.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360" w:type="dxa"/>
            <w:vAlign w:val="bottom"/>
            <w:gridSpan w:val="4"/>
          </w:tcPr>
          <w:p>
            <w:pPr>
              <w:ind w:left="70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6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as converted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2,200,000</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2,200,000</w:t>
            </w:r>
          </w:p>
        </w:tc>
        <w:tc>
          <w:tcPr>
            <w:tcW w:w="8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4,133,969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3,257,969</w:t>
            </w:r>
          </w:p>
        </w:tc>
        <w:tc>
          <w:tcPr>
            <w:tcW w:w="8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3,406,367</w:t>
            </w:r>
          </w:p>
        </w:tc>
        <w:tc>
          <w:tcPr>
            <w:tcW w:w="1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3,675,567</w:t>
            </w:r>
          </w:p>
        </w:tc>
        <w:tc>
          <w:tcPr>
            <w:tcW w:w="8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9,740,336</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9,133,536</w:t>
            </w: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September 30, 2015, is included on the balance sheet at September 30, 2015 as long-term deferred revenue and will be recognized as revenue in future periods upon the Company’s performance of the remaining services.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evaluated all subsequent events that have occurred after the date of the accompanying financial statements and determined that there were no events or transactions occurring during the subsequent event reporting period which require recognition or disclosure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2014 included in our Annual Report on Form 10-K filed with the Securities and Exchange Commission, or SEC, on March 12, 2015.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Our pipeline also includes MN-221 (bedoradrine) for the treatment of acute exacerbations of asthma and MN-029 (denibulin) for solid tumor cancers. We were incorporated in Delaware in September 2000.</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September 30, 2015, we had an accumulated deficit of $316.7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for multiple potential indications primarily through non-dilutive financings.</w:t>
      </w:r>
    </w:p>
    <w:p>
      <w:pPr>
        <w:spacing w:after="0" w:line="117" w:lineRule="exact"/>
        <w:rPr>
          <w:rFonts w:ascii="Arial" w:cs="Arial" w:eastAsia="Arial" w:hAnsi="Arial"/>
          <w:sz w:val="18"/>
          <w:szCs w:val="18"/>
          <w:color w:val="auto"/>
        </w:rPr>
      </w:pPr>
    </w:p>
    <w:p>
      <w:pPr>
        <w:ind w:left="1040" w:right="60"/>
        <w:spacing w:after="0" w:line="293" w:lineRule="auto"/>
        <w:rPr>
          <w:rFonts w:ascii="Arial" w:cs="Arial" w:eastAsia="Arial" w:hAnsi="Arial"/>
          <w:sz w:val="18"/>
          <w:szCs w:val="18"/>
          <w:color w:val="auto"/>
        </w:rPr>
      </w:pPr>
      <w:r>
        <w:rPr>
          <w:rFonts w:ascii="Arial" w:cs="Arial" w:eastAsia="Arial" w:hAnsi="Arial"/>
          <w:sz w:val="16"/>
          <w:szCs w:val="16"/>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are contributing financially to the Carolinas Neuromuscular ALS-MDA Center clinical trial of MN-166 for the treatment of ALS. We intend to enter into additional strategic alliances to support further clinical development of MN-166.</w:t>
      </w:r>
    </w:p>
    <w:p>
      <w:pPr>
        <w:spacing w:after="0" w:line="56"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for fibrotic diseases such as NASH and IPF.</w:t>
      </w:r>
    </w:p>
    <w:p>
      <w:pPr>
        <w:spacing w:after="0" w:line="117" w:lineRule="exact"/>
        <w:rPr>
          <w:rFonts w:ascii="Arial" w:cs="Arial" w:eastAsia="Arial" w:hAnsi="Arial"/>
          <w:sz w:val="18"/>
          <w:szCs w:val="18"/>
          <w:color w:val="auto"/>
        </w:rPr>
      </w:pPr>
    </w:p>
    <w:p>
      <w:pPr>
        <w:ind w:left="1040" w:right="12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through a combination of investigator-sponsored trials with or without grant funding as well as trials we may fund.</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380"/>
        <w:spacing w:after="0" w:line="277"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enter into strategic alliances with leading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1040" w:right="20"/>
        <w:spacing w:after="0" w:line="277" w:lineRule="auto"/>
        <w:rPr>
          <w:sz w:val="20"/>
          <w:szCs w:val="20"/>
          <w:color w:val="auto"/>
        </w:rPr>
      </w:pPr>
      <w:r>
        <w:rPr>
          <w:rFonts w:ascii="Arial" w:cs="Arial" w:eastAsia="Arial" w:hAnsi="Arial"/>
          <w:sz w:val="18"/>
          <w:szCs w:val="18"/>
          <w:color w:val="auto"/>
        </w:rPr>
        <w:t>pharmaceutical companies who seek late-stage product candidates, such as MN-166, MN-221, MN-001 and MN-029, to support further clinical development and product commercialization.</w:t>
      </w:r>
    </w:p>
    <w:p>
      <w:pPr>
        <w:spacing w:after="0" w:line="17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8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September 30, 2015, we reflect a long-term asset on our consolidated balance sheet which represents our investment in Zhejiang Sunmy, net of our portion of any generated loss or income.</w:t>
      </w:r>
    </w:p>
    <w:p>
      <w:pPr>
        <w:spacing w:after="0" w:line="15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three and nine months ended September 30, 2015 and 2014, we recognized zero revenues associated with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7"/>
          <w:szCs w:val="17"/>
          <w:color w:val="auto"/>
        </w:rPr>
        <w:t>The following table presents our total research, development, and patent expenses by category during the periods presented (in thousands):</w:t>
      </w:r>
    </w:p>
    <w:p>
      <w:pPr>
        <w:spacing w:after="0" w:line="242"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Three Months Ended</w:t>
      </w:r>
    </w:p>
    <w:p>
      <w:pPr>
        <w:jc w:val="center"/>
        <w:ind w:left="54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5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MN-221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MN-001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6"/>
        </w:trPr>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MN-221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MN-001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1,220</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and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September 30, 2015, goodwill and in-process research and development, or IPR&amp;D, was $9.6 million and $4.8 million, respectively.</w:t>
      </w:r>
    </w:p>
    <w:p>
      <w:pPr>
        <w:spacing w:after="0" w:line="19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development and patent expenses were $0.6 million and $0.9 million for the three months ended September 30,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$0.3 million decrease was due primarily to less drug supply and manufacturing expense.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General and administrative expenses for the three months ended September 30, 2015 were $1.0 million, a decrease of $0.5 million when compared to $1.5 million for the three months ended September 30, 2014. This decrease in general and administrative expenses was due primarily to less stock compensation expense for performance options.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development and patent expenses were $2.1 million and $2.5 million for the nine months ended September 30,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$0.4 million decrease was due primarily to less drug supply and manufacturing expense.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General and administrative expenses were $4.0 million and $4.4 million for the nine months ended September 30, 2015 and 2014, respectively. This $0.4 million decrease was due primarily to less professional expenses in 2015 as compared to 2014 along with a $100,000 payment from a vendor to offset the costs of manufactured drug product that was inadvertently destroyed by the vendor. The vendor payment was recorded as an offset to general and administrative expense.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600" w:firstLine="518"/>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2015 was $5.6 million compared to $1.8 million of net cash provided by operating activities during the same period in 2014. The $7.5 million change is primarily related to the receipt of $6.0 million in accounts receivable during the first quarter of 2014 as well as higher amortization of prepaid expenses in 2014 compared to 2015.</w:t>
      </w:r>
    </w:p>
    <w:p>
      <w:pPr>
        <w:spacing w:after="0" w:line="166"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2015 was $17.6 million compared to $3.4 million during the same period in 2014. The increase in cash provided by financing activities is due to more shares of common stock issued in 2015 in connection with the August 2015 public offering.</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October 16, 2013, we entered into an at-the-market equity distribution agreement with MCUSA pursuant to which we could sell common stock through MCUSA from time to time up to an aggregate offering price of $10.0 million. The at-the-market equity distribution agreement with MCUSA was terminated on May 22, 2015, and as of such date, we had completed sales to MCUSA totaling 2,127,500 shares of common stock at prices ranging from $2.01 to $4.45 per shares, generating gross and net proceeds of $5.3 million and $4.5 million, respectively. Net proceeds are calculated as gross proceeds less commissions and other issuance costs.</w:t>
      </w:r>
    </w:p>
    <w:p>
      <w:pPr>
        <w:spacing w:after="0" w:line="18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 May 22, 2015, we entered into an at-the-market issuance sales agreement with MLV &amp; Co. LLC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As of September 30, 2015, we have generated gross and net proceeds of approximately $32,700 and $31,600, respectively (excluding $101,800 in issuance costs), under this agreement on sales of 7,800 shares of our common stock at prices ranging from $4.16 to $4.23 per share.</w:t>
      </w:r>
    </w:p>
    <w:p>
      <w:pPr>
        <w:spacing w:after="0" w:line="17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 of September 30, 2015, we had available cash and cash equivalents of $23.6 million and working capital of $23.0 million. As of the date of this report, we believe we have working capital sufficient to fund operations through December, 2017. However, we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cannot provide assurance that these capital resources will be sufficient to conduct all of our research and development programs as planned.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At September 30, 2015,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93"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Cash and cash equivalents as of September 30, 2015 were $23.6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2015.</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September 30, 2015.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2014,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4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225" w:lineRule="exact"/>
        <w:rPr>
          <w:sz w:val="20"/>
          <w:szCs w:val="20"/>
          <w:color w:val="auto"/>
        </w:rPr>
      </w:pPr>
    </w:p>
    <w:p>
      <w:pPr>
        <w:ind w:left="820" w:hanging="812"/>
        <w:spacing w:after="0" w:line="286"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September 30, 2015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Esther van den Boom</w:t>
      </w:r>
    </w:p>
    <w:p>
      <w:pPr>
        <w:spacing w:after="0" w:line="1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844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hanging="812"/>
        <w:spacing w:after="0" w:line="286"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September 30, 2015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MediciNova,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29, 2015</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Esther van den Boom, certify that:</w:t>
      </w:r>
    </w:p>
    <w:p>
      <w:pPr>
        <w:spacing w:after="0" w:line="11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MediciNova,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29, 2015</w:t>
      </w:r>
    </w:p>
    <w:p>
      <w:pPr>
        <w:spacing w:after="0" w:line="252" w:lineRule="exact"/>
        <w:rPr>
          <w:sz w:val="20"/>
          <w:szCs w:val="20"/>
          <w:color w:val="auto"/>
        </w:rPr>
      </w:pPr>
    </w:p>
    <w:p>
      <w:pPr>
        <w:jc w:val="center"/>
        <w:ind w:left="4760"/>
        <w:spacing w:after="0"/>
        <w:tabs>
          <w:tab w:leader="none" w:pos="280" w:val="left"/>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Esther van den Boom</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2015,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29, 2015</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2015, as filed with the Securities and Exchange Commission on the date hereof (the “Report”), I, Esther van den Boom,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29, 2015</w:t>
      </w:r>
    </w:p>
    <w:p>
      <w:pPr>
        <w:spacing w:after="0" w:line="252"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Esther van den Boom</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0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2019-12-29T15:36:15Z</dcterms:created>
  <dcterms:modified xsi:type="dcterms:W3CDTF">2019-12-29T15:36:15Z</dcterms:modified>
</cp:coreProperties>
</file>