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38735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w:t>
      </w:r>
    </w:p>
    <w:p>
      <w:pPr>
        <w:spacing w:after="0" w:line="12"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1934</w:t>
      </w:r>
    </w:p>
    <w:p>
      <w:pPr>
        <w:spacing w:after="0" w:line="11" w:lineRule="exact"/>
        <w:rPr>
          <w:sz w:val="24"/>
          <w:szCs w:val="24"/>
          <w:color w:val="auto"/>
        </w:rPr>
      </w:pPr>
    </w:p>
    <w:p>
      <w:pPr>
        <w:ind w:left="4160"/>
        <w:spacing w:after="0"/>
        <w:tabs>
          <w:tab w:leader="none" w:pos="6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8"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40640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MEDICINOVA,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73" w:lineRule="exact"/>
        <w:rPr>
          <w:sz w:val="24"/>
          <w:szCs w:val="24"/>
          <w:color w:val="auto"/>
        </w:rPr>
      </w:pPr>
    </w:p>
    <w:tbl>
      <w:tblPr>
        <w:tblLayout w:type="fixed"/>
        <w:tblInd w:w="6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right"/>
              <w:ind w:right="107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jc w:val="center"/>
              <w:ind w:right="89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17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Incorporation or Organization)</w:t>
            </w: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876"/>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38"/>
        </w:trPr>
        <w:tc>
          <w:tcPr>
            <w:tcW w:w="6800" w:type="dxa"/>
            <w:vAlign w:val="bottom"/>
            <w:gridSpan w:val="8"/>
          </w:tcPr>
          <w:p>
            <w:pPr>
              <w:jc w:val="center"/>
              <w:ind w:right="2440"/>
              <w:spacing w:after="0"/>
              <w:rPr>
                <w:sz w:val="20"/>
                <w:szCs w:val="20"/>
                <w:color w:val="auto"/>
              </w:rPr>
            </w:pPr>
            <w:r>
              <w:rPr>
                <w:rFonts w:ascii="Arial" w:cs="Arial" w:eastAsia="Arial" w:hAnsi="Arial"/>
                <w:sz w:val="14"/>
                <w:szCs w:val="14"/>
                <w:b w:val="1"/>
                <w:bCs w:val="1"/>
                <w:color w:val="auto"/>
                <w:w w:val="93"/>
              </w:rPr>
              <w:t>4275 Executive Square, Suite 300, La Jolla, CA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123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8"/>
          </w:tcPr>
          <w:p>
            <w:pPr>
              <w:jc w:val="center"/>
              <w:ind w:right="244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89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60" w:type="dxa"/>
            <w:vAlign w:val="bottom"/>
            <w:gridSpan w:val="4"/>
          </w:tcPr>
          <w:p>
            <w:pPr>
              <w:jc w:val="center"/>
              <w:ind w:left="608"/>
              <w:spacing w:after="0"/>
              <w:rPr>
                <w:sz w:val="20"/>
                <w:szCs w:val="20"/>
                <w:color w:val="auto"/>
              </w:rPr>
            </w:pPr>
            <w:r>
              <w:rPr>
                <w:rFonts w:ascii="Arial" w:cs="Arial" w:eastAsia="Arial" w:hAnsi="Arial"/>
                <w:sz w:val="14"/>
                <w:szCs w:val="14"/>
                <w:b w:val="1"/>
                <w:bCs w:val="1"/>
                <w:color w:val="auto"/>
                <w:w w:val="93"/>
              </w:rPr>
              <w:t>(858) 373-1500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8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40" w:type="dxa"/>
            <w:vAlign w:val="bottom"/>
            <w:gridSpan w:val="5"/>
          </w:tcPr>
          <w:p>
            <w:pPr>
              <w:jc w:val="center"/>
              <w:ind w:left="1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w w:val="85"/>
              </w:rPr>
              <w:t>Title of Each Class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8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auto"/>
                <w:w w:val="88"/>
              </w:rPr>
              <w:t>Trading Symbol</w:t>
            </w:r>
          </w:p>
        </w:tc>
        <w:tc>
          <w:tcPr>
            <w:tcW w:w="300" w:type="dxa"/>
            <w:vAlign w:val="bottom"/>
          </w:tcPr>
          <w:p>
            <w:pPr>
              <w:spacing w:after="0"/>
              <w:rPr>
                <w:sz w:val="13"/>
                <w:szCs w:val="13"/>
                <w:color w:val="auto"/>
              </w:rPr>
            </w:pPr>
          </w:p>
        </w:tc>
        <w:tc>
          <w:tcPr>
            <w:tcW w:w="2240" w:type="dxa"/>
            <w:vAlign w:val="bottom"/>
            <w:gridSpan w:val="3"/>
          </w:tcPr>
          <w:p>
            <w:pPr>
              <w:jc w:val="center"/>
              <w:ind w:left="54"/>
              <w:spacing w:after="0"/>
              <w:rPr>
                <w:sz w:val="20"/>
                <w:szCs w:val="20"/>
                <w:color w:val="auto"/>
              </w:rPr>
            </w:pPr>
            <w:r>
              <w:rPr>
                <w:rFonts w:ascii="Arial" w:cs="Arial" w:eastAsia="Arial" w:hAnsi="Arial"/>
                <w:sz w:val="11"/>
                <w:szCs w:val="11"/>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Arial" w:cs="Arial" w:eastAsia="Arial" w:hAnsi="Arial"/>
                <w:sz w:val="14"/>
                <w:szCs w:val="14"/>
                <w:color w:val="auto"/>
                <w:w w:val="85"/>
              </w:rPr>
              <w:t>0.001 per share</w:t>
            </w: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MNOV</w:t>
            </w:r>
          </w:p>
        </w:tc>
        <w:tc>
          <w:tcPr>
            <w:tcW w:w="1400" w:type="dxa"/>
            <w:vAlign w:val="bottom"/>
            <w:gridSpan w:val="2"/>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00" w:type="dxa"/>
            <w:vAlign w:val="bottom"/>
            <w:gridSpan w:val="2"/>
          </w:tcPr>
          <w:p>
            <w:pPr>
              <w:ind w:left="520"/>
              <w:spacing w:after="0"/>
              <w:rPr>
                <w:sz w:val="20"/>
                <w:szCs w:val="20"/>
                <w:color w:val="auto"/>
              </w:rPr>
            </w:pPr>
            <w:r>
              <w:rPr>
                <w:rFonts w:ascii="Arial" w:cs="Arial" w:eastAsia="Arial" w:hAnsi="Arial"/>
                <w:sz w:val="14"/>
                <w:szCs w:val="14"/>
                <w:color w:val="auto"/>
                <w:w w:val="96"/>
              </w:rPr>
              <w:t>Common Stock, par value $</w:t>
            </w:r>
          </w:p>
        </w:tc>
        <w:tc>
          <w:tcPr>
            <w:tcW w:w="8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40" w:type="dxa"/>
            <w:vAlign w:val="bottom"/>
            <w:gridSpan w:val="6"/>
          </w:tcPr>
          <w:p>
            <w:pPr>
              <w:jc w:val="center"/>
              <w:ind w:right="2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02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0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gridSpan w:val="2"/>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00" w:type="dxa"/>
            <w:vAlign w:val="bottom"/>
            <w:gridSpan w:val="8"/>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gridSpan w:val="2"/>
          </w:tcPr>
          <w:p>
            <w:pPr>
              <w:ind w:left="20"/>
              <w:spacing w:after="0"/>
              <w:rPr>
                <w:sz w:val="20"/>
                <w:szCs w:val="20"/>
                <w:color w:val="auto"/>
              </w:rPr>
            </w:pPr>
            <w:r>
              <w:rPr>
                <w:rFonts w:ascii="Arial" w:cs="Arial" w:eastAsia="Arial" w:hAnsi="Arial"/>
                <w:sz w:val="14"/>
                <w:szCs w:val="14"/>
                <w:color w:val="auto"/>
              </w:rPr>
              <w:t>No</w:t>
            </w:r>
          </w:p>
        </w:tc>
        <w:tc>
          <w:tcPr>
            <w:tcW w:w="20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460" w:firstLine="58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firstLine="58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8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4" w:lineRule="exact"/>
        <w:rPr>
          <w:sz w:val="24"/>
          <w:szCs w:val="24"/>
          <w:color w:val="auto"/>
        </w:rPr>
      </w:pPr>
    </w:p>
    <w:p>
      <w:pPr>
        <w:ind w:right="640" w:firstLine="58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00" w:firstLine="589"/>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8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80" w:firstLine="589"/>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$197,378,126 based on the closing price of the registrant’s common stock on the NASDAQ Global Market of $4.25 per share on June 30, 2021. Shares of common stock held by each executive officer and director and each affiliated entity has been excluded from this calculation. This determination of affiliate status may not be conclusive for other purposes.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14, 2022 was 49,043,246.</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right="380" w:firstLine="589"/>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2021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4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rPr>
              <w:t>MEDICINOVA,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Arial" w:cs="Arial" w:eastAsia="Arial" w:hAnsi="Arial"/>
                <w:sz w:val="18"/>
                <w:szCs w:val="18"/>
                <w:b w:val="1"/>
                <w:bCs w:val="1"/>
                <w:color w:val="auto"/>
              </w:rPr>
              <w:t>FORM 10-K—ANNUAL REPORT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12"/>
          </w:tcPr>
          <w:p>
            <w:pPr>
              <w:jc w:val="center"/>
              <w:ind w:right="234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2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520" w:type="dxa"/>
            <w:vAlign w:val="bottom"/>
            <w:gridSpan w:val="20"/>
          </w:tcPr>
          <w:p>
            <w:pPr>
              <w:spacing w:after="0"/>
              <w:rPr>
                <w:sz w:val="16"/>
                <w:szCs w:val="16"/>
                <w:color w:val="auto"/>
              </w:rPr>
            </w:pPr>
          </w:p>
        </w:tc>
        <w:tc>
          <w:tcPr>
            <w:tcW w:w="780" w:type="dxa"/>
            <w:vAlign w:val="bottom"/>
          </w:tcPr>
          <w:p>
            <w:pPr>
              <w:jc w:val="center"/>
              <w:ind w:left="51"/>
              <w:spacing w:after="0" w:line="190"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16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8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16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Unresolved Staff Comments</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Properties</w:t>
              </w:r>
            </w:hyperlink>
          </w:p>
        </w:tc>
        <w:tc>
          <w:tcPr>
            <w:tcW w:w="7120" w:type="dxa"/>
            <w:vAlign w:val="bottom"/>
            <w:gridSpan w:val="12"/>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Legal Proceedings</w:t>
              </w:r>
            </w:hyperlink>
          </w:p>
        </w:tc>
        <w:tc>
          <w:tcPr>
            <w:tcW w:w="7820" w:type="dxa"/>
            <w:vAlign w:val="bottom"/>
            <w:gridSpan w:val="15"/>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16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4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9160" w:type="dxa"/>
            <w:vAlign w:val="bottom"/>
            <w:gridSpan w:val="21"/>
          </w:tcPr>
          <w:p>
            <w:pPr>
              <w:spacing w:after="0" w:line="190" w:lineRule="exact"/>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center"/>
              <w:ind w:left="31"/>
              <w:spacing w:after="0" w:line="190"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[Reserved]</w:t>
              </w:r>
            </w:hyperlink>
          </w:p>
        </w:tc>
        <w:tc>
          <w:tcPr>
            <w:tcW w:w="1100" w:type="dxa"/>
            <w:vAlign w:val="bottom"/>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4"/>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4800" w:type="dxa"/>
            <w:vAlign w:val="bottom"/>
            <w:gridSpan w:val="7"/>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16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160" w:type="dxa"/>
            <w:vAlign w:val="bottom"/>
            <w:gridSpan w:val="2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2660" w:type="dxa"/>
            <w:vAlign w:val="bottom"/>
            <w:gridSpan w:val="3"/>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400" w:type="dxa"/>
            <w:vAlign w:val="bottom"/>
            <w:gridSpan w:val="14"/>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9C</w:t>
            </w:r>
          </w:p>
        </w:tc>
        <w:tc>
          <w:tcPr>
            <w:tcW w:w="916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Disclosure Regarding Foreign Jurisdictions that Prevent Inspections</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34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9160" w:type="dxa"/>
            <w:vAlign w:val="bottom"/>
            <w:gridSpan w:val="21"/>
          </w:tcPr>
          <w:p>
            <w:pPr>
              <w:spacing w:after="0" w:line="190" w:lineRule="exact"/>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c>
          <w:tcPr>
            <w:tcW w:w="780" w:type="dxa"/>
            <w:vAlign w:val="bottom"/>
          </w:tcPr>
          <w:p>
            <w:pPr>
              <w:jc w:val="center"/>
              <w:ind w:left="31"/>
              <w:spacing w:after="0" w:line="190"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080" w:type="dxa"/>
            <w:vAlign w:val="bottom"/>
            <w:gridSpan w:val="8"/>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160" w:type="dxa"/>
            <w:vAlign w:val="bottom"/>
            <w:gridSpan w:val="2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1880" w:type="dxa"/>
            <w:vAlign w:val="bottom"/>
            <w:gridSpan w:val="2"/>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3720" w:type="dxa"/>
            <w:vAlign w:val="bottom"/>
            <w:gridSpan w:val="5"/>
          </w:tcPr>
          <w:p>
            <w:pPr>
              <w:spacing w:after="0"/>
              <w:rPr>
                <w:sz w:val="17"/>
                <w:szCs w:val="17"/>
                <w:color w:val="auto"/>
              </w:rPr>
            </w:pPr>
          </w:p>
        </w:tc>
        <w:tc>
          <w:tcPr>
            <w:tcW w:w="780" w:type="dxa"/>
            <w:vAlign w:val="bottom"/>
          </w:tcPr>
          <w:p>
            <w:pPr>
              <w:jc w:val="center"/>
              <w:ind w:left="31"/>
              <w:spacing w:after="0" w:line="19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34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9160" w:type="dxa"/>
            <w:vAlign w:val="bottom"/>
            <w:gridSpan w:val="21"/>
          </w:tcPr>
          <w:p>
            <w:pPr>
              <w:spacing w:after="0" w:line="190" w:lineRule="exact"/>
              <w:rPr>
                <w:rFonts w:ascii="Arial" w:cs="Arial" w:eastAsia="Arial" w:hAnsi="Arial"/>
                <w:sz w:val="18"/>
                <w:szCs w:val="18"/>
                <w:color w:val="0000EE"/>
              </w:rPr>
            </w:pPr>
            <w:hyperlink w:anchor="page88">
              <w:r>
                <w:rPr>
                  <w:rFonts w:ascii="Arial" w:cs="Arial" w:eastAsia="Arial" w:hAnsi="Arial"/>
                  <w:sz w:val="18"/>
                  <w:szCs w:val="18"/>
                  <w:color w:val="0000EE"/>
                </w:rPr>
                <w:t>Exhibits and Financial Statement Schedules</w:t>
              </w:r>
            </w:hyperlink>
          </w:p>
        </w:tc>
        <w:tc>
          <w:tcPr>
            <w:tcW w:w="780" w:type="dxa"/>
            <w:vAlign w:val="bottom"/>
          </w:tcPr>
          <w:p>
            <w:pPr>
              <w:jc w:val="center"/>
              <w:ind w:left="31"/>
              <w:spacing w:after="0" w:line="190"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ind w:firstLine="819"/>
        <w:spacing w:after="0" w:line="255" w:lineRule="auto"/>
        <w:rPr>
          <w:sz w:val="20"/>
          <w:szCs w:val="20"/>
          <w:color w:val="auto"/>
        </w:rPr>
      </w:pPr>
      <w:r>
        <w:rPr>
          <w:rFonts w:ascii="Arial" w:cs="Arial" w:eastAsia="Arial" w:hAnsi="Arial"/>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219" w:lineRule="exact"/>
        <w:rPr>
          <w:sz w:val="20"/>
          <w:szCs w:val="20"/>
          <w:color w:val="auto"/>
        </w:rPr>
      </w:pPr>
    </w:p>
    <w:p>
      <w:pPr>
        <w:jc w:val="both"/>
        <w:ind w:firstLine="819"/>
        <w:spacing w:after="0" w:line="272" w:lineRule="auto"/>
        <w:rPr>
          <w:sz w:val="20"/>
          <w:szCs w:val="20"/>
          <w:color w:val="auto"/>
        </w:rPr>
      </w:pPr>
      <w:r>
        <w:rPr>
          <w:rFonts w:ascii="Arial" w:cs="Arial" w:eastAsia="Arial" w:hAnsi="Arial"/>
          <w:sz w:val="17"/>
          <w:szCs w:val="17"/>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FDA or foreign regulatory approval for our product candidates in a timely manner;</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has lead to key employees becoming ill for a period of time;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references in this Annual Report on Form 10-K to “MediciNova,” “we,” “us” and “our” refer to MediciNova, Inc.</w:t>
      </w: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60"/>
        <w:spacing w:after="0" w:line="254" w:lineRule="auto"/>
        <w:rPr>
          <w:sz w:val="20"/>
          <w:szCs w:val="20"/>
          <w:color w:val="auto"/>
        </w:rPr>
      </w:pPr>
      <w:r>
        <w:rPr>
          <w:rFonts w:ascii="Arial" w:cs="Arial" w:eastAsia="Arial" w:hAnsi="Arial"/>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MN-166 (ibudilast) is in development for several different neurological diseases and other diseases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Progressive Multiple Sclerosis:</w:t>
      </w:r>
    </w:p>
    <w:p>
      <w:pPr>
        <w:spacing w:after="0" w:line="171" w:lineRule="exact"/>
        <w:rPr>
          <w:sz w:val="20"/>
          <w:szCs w:val="20"/>
          <w:color w:val="auto"/>
        </w:rPr>
      </w:pPr>
    </w:p>
    <w:p>
      <w:pPr>
        <w:jc w:val="both"/>
        <w:ind w:right="520" w:firstLine="632"/>
        <w:spacing w:after="0" w:line="263" w:lineRule="auto"/>
        <w:rPr>
          <w:sz w:val="20"/>
          <w:szCs w:val="20"/>
          <w:color w:val="auto"/>
        </w:rPr>
      </w:pPr>
      <w:r>
        <w:rPr>
          <w:rFonts w:ascii="Arial" w:cs="Arial" w:eastAsia="Arial" w:hAnsi="Arial"/>
          <w:sz w:val="18"/>
          <w:szCs w:val="18"/>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89" w:lineRule="exact"/>
        <w:rPr>
          <w:sz w:val="20"/>
          <w:szCs w:val="20"/>
          <w:color w:val="auto"/>
        </w:rPr>
      </w:pPr>
    </w:p>
    <w:p>
      <w:pPr>
        <w:ind w:firstLine="660"/>
        <w:spacing w:after="0" w:line="267" w:lineRule="auto"/>
        <w:rPr>
          <w:sz w:val="20"/>
          <w:szCs w:val="20"/>
          <w:color w:val="auto"/>
        </w:rPr>
      </w:pPr>
      <w:r>
        <w:rPr>
          <w:rFonts w:ascii="Arial" w:cs="Arial" w:eastAsia="Arial" w:hAnsi="Arial"/>
          <w:sz w:val="17"/>
          <w:szCs w:val="17"/>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Arial" w:cs="Arial" w:eastAsia="Arial" w:hAnsi="Arial"/>
          <w:sz w:val="17"/>
          <w:szCs w:val="17"/>
          <w:i w:val="1"/>
          <w:iCs w:val="1"/>
          <w:color w:val="auto"/>
        </w:rPr>
        <w:t>Multiple Sclerosis Journal</w:t>
      </w:r>
      <w:r>
        <w:rPr>
          <w:rFonts w:ascii="Arial" w:cs="Arial" w:eastAsia="Arial" w:hAnsi="Arial"/>
          <w:sz w:val="17"/>
          <w:szCs w:val="17"/>
          <w:color w:val="auto"/>
        </w:rPr>
        <w:t>.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w:t>
      </w:r>
    </w:p>
    <w:p>
      <w:pPr>
        <w:spacing w:after="0" w:line="94" w:lineRule="exact"/>
        <w:rPr>
          <w:sz w:val="20"/>
          <w:szCs w:val="20"/>
          <w:color w:val="auto"/>
        </w:rPr>
      </w:pPr>
    </w:p>
    <w:p>
      <w:pPr>
        <w:ind w:right="580" w:firstLine="632"/>
        <w:spacing w:after="0" w:line="277" w:lineRule="auto"/>
        <w:rPr>
          <w:sz w:val="20"/>
          <w:szCs w:val="20"/>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Amyotrophic Lateral Sclerosis (ALS):</w:t>
      </w:r>
    </w:p>
    <w:p>
      <w:pPr>
        <w:spacing w:after="0" w:line="171" w:lineRule="exact"/>
        <w:rPr>
          <w:sz w:val="20"/>
          <w:szCs w:val="20"/>
          <w:color w:val="auto"/>
        </w:rPr>
      </w:pPr>
    </w:p>
    <w:p>
      <w:pPr>
        <w:ind w:right="260" w:firstLine="779"/>
        <w:spacing w:after="0" w:line="269" w:lineRule="auto"/>
        <w:rPr>
          <w:sz w:val="20"/>
          <w:szCs w:val="20"/>
          <w:color w:val="auto"/>
        </w:rPr>
      </w:pPr>
      <w:r>
        <w:rPr>
          <w:rFonts w:ascii="Arial" w:cs="Arial" w:eastAsia="Arial" w:hAnsi="Arial"/>
          <w:sz w:val="17"/>
          <w:szCs w:val="17"/>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 Patent and Trademark Office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 ALS was presented at the 30th International Symposium on ALS/MND (amyotrophic lateral sclerosis/motor neurone disease) in Perth, Australia. In December 2021, we announced that a poster with an overview of our ongoing Phase 2b/3 clinical trial of MN-166 (ibudilast) in ALS was presented at the 32nd International Symposium on ALS/MND.</w:t>
      </w:r>
    </w:p>
    <w:p>
      <w:pPr>
        <w:spacing w:after="0" w:line="98" w:lineRule="exact"/>
        <w:rPr>
          <w:sz w:val="20"/>
          <w:szCs w:val="20"/>
          <w:color w:val="auto"/>
        </w:rPr>
      </w:pPr>
    </w:p>
    <w:p>
      <w:pPr>
        <w:ind w:firstLine="660"/>
        <w:spacing w:after="0" w:line="263"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Substance Dependence and Addiction:</w:t>
      </w:r>
    </w:p>
    <w:p>
      <w:pPr>
        <w:spacing w:after="0" w:line="171" w:lineRule="exact"/>
        <w:rPr>
          <w:sz w:val="20"/>
          <w:szCs w:val="20"/>
          <w:color w:val="auto"/>
        </w:rPr>
      </w:pPr>
    </w:p>
    <w:p>
      <w:pPr>
        <w:ind w:firstLine="660"/>
        <w:spacing w:after="0" w:line="275" w:lineRule="auto"/>
        <w:rPr>
          <w:sz w:val="20"/>
          <w:szCs w:val="20"/>
          <w:color w:val="auto"/>
        </w:rPr>
      </w:pPr>
      <w:r>
        <w:rPr>
          <w:rFonts w:ascii="Arial" w:cs="Arial" w:eastAsia="Arial" w:hAnsi="Arial"/>
          <w:sz w:val="17"/>
          <w:szCs w:val="17"/>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82" w:lineRule="exact"/>
        <w:rPr>
          <w:sz w:val="20"/>
          <w:szCs w:val="20"/>
          <w:color w:val="auto"/>
        </w:rPr>
      </w:pPr>
    </w:p>
    <w:p>
      <w:pPr>
        <w:ind w:right="60" w:firstLine="660"/>
        <w:spacing w:after="0" w:line="257"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93" w:lineRule="exact"/>
        <w:rPr>
          <w:sz w:val="20"/>
          <w:szCs w:val="20"/>
          <w:color w:val="auto"/>
        </w:rPr>
      </w:pPr>
    </w:p>
    <w:p>
      <w:pPr>
        <w:ind w:right="300" w:firstLine="655"/>
        <w:spacing w:after="0" w:line="293" w:lineRule="auto"/>
        <w:rPr>
          <w:sz w:val="20"/>
          <w:szCs w:val="20"/>
          <w:color w:val="auto"/>
        </w:rPr>
      </w:pPr>
      <w:r>
        <w:rPr>
          <w:rFonts w:ascii="Arial" w:cs="Arial" w:eastAsia="Arial" w:hAnsi="Arial"/>
          <w:sz w:val="16"/>
          <w:szCs w:val="16"/>
          <w:color w:val="auto"/>
        </w:rPr>
        <w:t xml:space="preserve">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Results from this clinical trial were published in June 2021 in Nature’s </w:t>
      </w:r>
      <w:r>
        <w:rPr>
          <w:rFonts w:ascii="Arial" w:cs="Arial" w:eastAsia="Arial" w:hAnsi="Arial"/>
          <w:sz w:val="16"/>
          <w:szCs w:val="16"/>
          <w:i w:val="1"/>
          <w:iCs w:val="1"/>
          <w:color w:val="auto"/>
        </w:rPr>
        <w:t>Translational Psychiatry.</w:t>
      </w:r>
      <w:r>
        <w:rPr>
          <w:rFonts w:ascii="Arial" w:cs="Arial" w:eastAsia="Arial" w:hAnsi="Arial"/>
          <w:sz w:val="16"/>
          <w:szCs w:val="16"/>
          <w:color w:val="auto"/>
        </w:rPr>
        <w:t xml:space="preserve"> In August 2018, we announced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660"/>
        <w:spacing w:after="0" w:line="277" w:lineRule="auto"/>
        <w:rPr>
          <w:sz w:val="20"/>
          <w:szCs w:val="20"/>
          <w:color w:val="auto"/>
        </w:rPr>
      </w:pPr>
      <w:r>
        <w:rPr>
          <w:rFonts w:ascii="Arial" w:cs="Arial" w:eastAsia="Arial" w:hAnsi="Arial"/>
          <w:sz w:val="18"/>
          <w:szCs w:val="18"/>
          <w:color w:val="auto"/>
        </w:rPr>
        <w:t>new NIAAA-funded Phase 2b clinical trial of MN-166 (ibudilast) which will evaluate heavy drinking days in subjects with alcohol dependence in collaboration with researchers at UCLA and this trial is ongoing.</w:t>
      </w:r>
    </w:p>
    <w:p>
      <w:pPr>
        <w:spacing w:after="0" w:line="76" w:lineRule="exact"/>
        <w:rPr>
          <w:sz w:val="20"/>
          <w:szCs w:val="20"/>
          <w:color w:val="auto"/>
        </w:rPr>
      </w:pPr>
    </w:p>
    <w:p>
      <w:pPr>
        <w:ind w:right="680" w:firstLine="625"/>
        <w:spacing w:after="0" w:line="255" w:lineRule="auto"/>
        <w:rPr>
          <w:sz w:val="20"/>
          <w:szCs w:val="20"/>
          <w:color w:val="auto"/>
        </w:rPr>
      </w:pPr>
      <w:r>
        <w:rPr>
          <w:rFonts w:ascii="Arial" w:cs="Arial" w:eastAsia="Arial" w:hAnsi="Arial"/>
          <w:sz w:val="18"/>
          <w:szCs w:val="18"/>
          <w:i w:val="1"/>
          <w:iCs w:val="1"/>
          <w:color w:val="auto"/>
        </w:rPr>
        <w:t xml:space="preserve">Chemotherapy-Induced Peripheral Neuropathy: </w:t>
      </w:r>
      <w:r>
        <w:rPr>
          <w:rFonts w:ascii="Arial" w:cs="Arial" w:eastAsia="Arial" w:hAnsi="Arial"/>
          <w:sz w:val="18"/>
          <w:szCs w:val="18"/>
          <w:color w:val="auto"/>
        </w:rPr>
        <w:t>In March 2018, we announced plans to initiate a clinical trial to evaluate MN-166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Arial" w:cs="Arial" w:eastAsia="Arial" w:hAnsi="Arial"/>
          <w:sz w:val="18"/>
          <w:szCs w:val="18"/>
          <w:i w:val="1"/>
          <w:iCs w:val="1"/>
          <w:color w:val="auto"/>
        </w:rPr>
        <w:t>Cancer Chemotherapy and Pharmacology</w:t>
      </w:r>
      <w:r>
        <w:rPr>
          <w:rFonts w:ascii="Arial" w:cs="Arial" w:eastAsia="Arial" w:hAnsi="Arial"/>
          <w:sz w:val="18"/>
          <w:szCs w:val="18"/>
          <w:color w:val="auto"/>
        </w:rPr>
        <w:t>. In October 2020, we announced plans to initiate a multi-center, placebo-controlled, randomized Phase 2b trial to evaluate MN-166 (ibudilast) in CIPN, which is funded by the Australasian Gastro-Intestinal Trials Group (AGITG), and this trial is ongoing.</w:t>
      </w:r>
    </w:p>
    <w:p>
      <w:pPr>
        <w:spacing w:after="0" w:line="98" w:lineRule="exact"/>
        <w:rPr>
          <w:sz w:val="20"/>
          <w:szCs w:val="20"/>
          <w:color w:val="auto"/>
        </w:rPr>
      </w:pPr>
    </w:p>
    <w:p>
      <w:pPr>
        <w:ind w:right="440" w:firstLine="651"/>
        <w:spacing w:after="0" w:line="301" w:lineRule="auto"/>
        <w:rPr>
          <w:sz w:val="20"/>
          <w:szCs w:val="20"/>
          <w:color w:val="auto"/>
        </w:rPr>
      </w:pPr>
      <w:r>
        <w:rPr>
          <w:rFonts w:ascii="Arial" w:cs="Arial" w:eastAsia="Arial" w:hAnsi="Arial"/>
          <w:sz w:val="16"/>
          <w:szCs w:val="16"/>
          <w:i w:val="1"/>
          <w:iCs w:val="1"/>
          <w:color w:val="auto"/>
        </w:rPr>
        <w:t xml:space="preserve">Degenerative Cervical Myelopathy: </w:t>
      </w:r>
      <w:r>
        <w:rPr>
          <w:rFonts w:ascii="Arial" w:cs="Arial" w:eastAsia="Arial" w:hAnsi="Arial"/>
          <w:sz w:val="16"/>
          <w:szCs w:val="16"/>
          <w:color w:val="auto"/>
        </w:rPr>
        <w:t>In August 2018, we announced plans to initiate a clinical trial of MN-166 (ibudilast) in degenerative</w:t>
      </w:r>
      <w:r>
        <w:rPr>
          <w:rFonts w:ascii="Arial" w:cs="Arial" w:eastAsia="Arial" w:hAnsi="Arial"/>
          <w:sz w:val="16"/>
          <w:szCs w:val="16"/>
          <w:i w:val="1"/>
          <w:iCs w:val="1"/>
          <w:color w:val="auto"/>
        </w:rPr>
        <w:t xml:space="preserve"> </w:t>
      </w:r>
      <w:r>
        <w:rPr>
          <w:rFonts w:ascii="Arial" w:cs="Arial" w:eastAsia="Arial" w:hAnsi="Arial"/>
          <w:sz w:val="16"/>
          <w:szCs w:val="16"/>
          <w:color w:val="auto"/>
        </w:rPr>
        <w:t>cervical 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w:t>
      </w:r>
    </w:p>
    <w:p>
      <w:pPr>
        <w:spacing w:after="0" w:line="63" w:lineRule="exact"/>
        <w:rPr>
          <w:sz w:val="20"/>
          <w:szCs w:val="20"/>
          <w:color w:val="auto"/>
        </w:rPr>
      </w:pPr>
    </w:p>
    <w:p>
      <w:pPr>
        <w:ind w:firstLine="657"/>
        <w:spacing w:after="0" w:line="268" w:lineRule="auto"/>
        <w:rPr>
          <w:sz w:val="20"/>
          <w:szCs w:val="20"/>
          <w:color w:val="auto"/>
        </w:rPr>
      </w:pPr>
      <w:r>
        <w:rPr>
          <w:rFonts w:ascii="Arial" w:cs="Arial" w:eastAsia="Arial" w:hAnsi="Arial"/>
          <w:sz w:val="17"/>
          <w:szCs w:val="17"/>
          <w:i w:val="1"/>
          <w:iCs w:val="1"/>
          <w:color w:val="auto"/>
        </w:rPr>
        <w:t xml:space="preserve">Glioblastoma: </w:t>
      </w:r>
      <w:r>
        <w:rPr>
          <w:rFonts w:ascii="Arial" w:cs="Arial" w:eastAsia="Arial" w:hAnsi="Arial"/>
          <w:sz w:val="17"/>
          <w:szCs w:val="17"/>
          <w:color w:val="auto"/>
        </w:rPr>
        <w:t>We have initiated clinical development to evaluate MN-166 (ibudilast) for the treatment of glioblastoma. In June 2017,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and this trial is ongoing. In February 2019, we announced that </w:t>
      </w:r>
      <w:r>
        <w:rPr>
          <w:rFonts w:ascii="Arial" w:cs="Arial" w:eastAsia="Arial" w:hAnsi="Arial"/>
          <w:sz w:val="17"/>
          <w:szCs w:val="17"/>
          <w:i w:val="1"/>
          <w:iCs w:val="1"/>
          <w:color w:val="auto"/>
        </w:rPr>
        <w:t>Scientific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Reports </w:t>
      </w:r>
      <w:r>
        <w:rPr>
          <w:rFonts w:ascii="Arial" w:cs="Arial" w:eastAsia="Arial" w:hAnsi="Arial"/>
          <w:sz w:val="17"/>
          <w:szCs w:val="17"/>
          <w:color w:val="auto"/>
        </w:rPr>
        <w:t>published results from the animal model study evaluating MN-166 (ibudilast) in glioblastoma. In June 2020, we announced that positive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preclinical findings were published in </w:t>
      </w:r>
      <w:r>
        <w:rPr>
          <w:rFonts w:ascii="Arial" w:cs="Arial" w:eastAsia="Arial" w:hAnsi="Arial"/>
          <w:sz w:val="17"/>
          <w:szCs w:val="17"/>
          <w:i w:val="1"/>
          <w:iCs w:val="1"/>
          <w:color w:val="auto"/>
        </w:rPr>
        <w:t>Frontiers in Immunology</w:t>
      </w:r>
      <w:r>
        <w:rPr>
          <w:rFonts w:ascii="Arial" w:cs="Arial" w:eastAsia="Arial" w:hAnsi="Arial"/>
          <w:sz w:val="17"/>
          <w:szCs w:val="17"/>
          <w:color w:val="auto"/>
        </w:rPr>
        <w:t xml:space="preserve"> regarding the prospect of MN-166 (ibudilast) as an adjunctive treatment for glioblastoma.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fifteen subjects completed cycle 6 without disease progression, i.e. 33% of the subjects were progression-free at six months.</w:t>
      </w:r>
    </w:p>
    <w:p>
      <w:pPr>
        <w:spacing w:after="0" w:line="186" w:lineRule="exact"/>
        <w:rPr>
          <w:sz w:val="20"/>
          <w:szCs w:val="20"/>
          <w:color w:val="auto"/>
        </w:rPr>
      </w:pPr>
    </w:p>
    <w:p>
      <w:pPr>
        <w:ind w:right="40" w:firstLine="785"/>
        <w:spacing w:after="0" w:line="255" w:lineRule="auto"/>
        <w:rPr>
          <w:sz w:val="20"/>
          <w:szCs w:val="20"/>
          <w:color w:val="auto"/>
        </w:rPr>
      </w:pPr>
      <w:r>
        <w:rPr>
          <w:rFonts w:ascii="Arial" w:cs="Arial" w:eastAsia="Arial" w:hAnsi="Arial"/>
          <w:sz w:val="18"/>
          <w:szCs w:val="18"/>
          <w:i w:val="1"/>
          <w:iCs w:val="1"/>
          <w:color w:val="auto"/>
        </w:rPr>
        <w:t xml:space="preserve">Prevention of Acute Respiratory Distress Syndrome in patients with COVID-19: </w:t>
      </w:r>
      <w:r>
        <w:rPr>
          <w:rFonts w:ascii="Arial" w:cs="Arial" w:eastAsia="Arial" w:hAnsi="Arial"/>
          <w:sz w:val="18"/>
          <w:szCs w:val="18"/>
          <w:color w:val="auto"/>
        </w:rPr>
        <w:t>In March 2020, we announced plans to initiate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MN-166 (ibudilast) for severe pneumonia and acute respiratory distress syndrome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In August 2021, we announced completion of 75% of planned enrollment in this Phase 2 clinical trial.</w:t>
      </w:r>
    </w:p>
    <w:p>
      <w:pPr>
        <w:spacing w:after="0" w:line="192" w:lineRule="exact"/>
        <w:rPr>
          <w:sz w:val="20"/>
          <w:szCs w:val="20"/>
          <w:color w:val="auto"/>
        </w:rPr>
      </w:pPr>
    </w:p>
    <w:p>
      <w:pPr>
        <w:ind w:right="100" w:firstLine="785"/>
        <w:spacing w:after="0" w:line="279" w:lineRule="auto"/>
        <w:rPr>
          <w:sz w:val="20"/>
          <w:szCs w:val="20"/>
          <w:color w:val="auto"/>
        </w:rPr>
      </w:pPr>
      <w:r>
        <w:rPr>
          <w:rFonts w:ascii="Arial" w:cs="Arial" w:eastAsia="Arial" w:hAnsi="Arial"/>
          <w:sz w:val="17"/>
          <w:szCs w:val="17"/>
          <w:i w:val="1"/>
          <w:iCs w:val="1"/>
          <w:color w:val="auto"/>
        </w:rPr>
        <w:t xml:space="preserve">Chlorine Gas-Induced Lung Injury: </w:t>
      </w:r>
      <w:r>
        <w:rPr>
          <w:rFonts w:ascii="Arial" w:cs="Arial" w:eastAsia="Arial" w:hAnsi="Arial"/>
          <w:sz w:val="17"/>
          <w:szCs w:val="17"/>
          <w:color w:val="auto"/>
        </w:rPr>
        <w:t>In March 2021, we announced a partnership with the Biomedical Advanced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BARDA agreed to provide federal funding for proof-of-</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ind w:right="80"/>
        <w:spacing w:after="0" w:line="259" w:lineRule="auto"/>
        <w:rPr>
          <w:sz w:val="20"/>
          <w:szCs w:val="20"/>
          <w:color w:val="auto"/>
        </w:rPr>
      </w:pPr>
      <w:r>
        <w:rPr>
          <w:rFonts w:ascii="Arial" w:cs="Arial" w:eastAsia="Arial" w:hAnsi="Arial"/>
          <w:sz w:val="18"/>
          <w:szCs w:val="18"/>
          <w:color w:val="auto"/>
        </w:rPr>
        <w:t>concept studies of MN-166 (ibudilast) in preclinical models of chlorine gas-induced acute lung injury under Contract No. 75A50121C00022. In June 2021, we announced initiation of a sheep study to investigate MN-166 (ibudilast) in an ovine model of chlorine-induced acute lung injury and this study is ongoing. In June 2021, we also announced that we will conduct a mouse study to investigate the efficacy of MN-166 (ibudilast) in a murine model of chlorine-induced lung injury and lethality and this study is ongoing.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MN-001 (tipelukast) is in development for fibrotic diseases as described below.</w:t>
      </w:r>
    </w:p>
    <w:p>
      <w:pPr>
        <w:spacing w:after="0" w:line="171" w:lineRule="exact"/>
        <w:rPr>
          <w:sz w:val="20"/>
          <w:szCs w:val="20"/>
          <w:color w:val="auto"/>
        </w:rPr>
      </w:pPr>
    </w:p>
    <w:p>
      <w:pPr>
        <w:ind w:left="40" w:right="20" w:firstLine="624"/>
        <w:spacing w:after="0" w:line="269" w:lineRule="auto"/>
        <w:rPr>
          <w:sz w:val="20"/>
          <w:szCs w:val="20"/>
          <w:color w:val="auto"/>
        </w:rPr>
      </w:pPr>
      <w:r>
        <w:rPr>
          <w:rFonts w:ascii="Arial" w:cs="Arial" w:eastAsia="Arial" w:hAnsi="Arial"/>
          <w:sz w:val="17"/>
          <w:szCs w:val="17"/>
          <w:i w:val="1"/>
          <w:iCs w:val="1"/>
          <w:color w:val="auto"/>
        </w:rPr>
        <w:t xml:space="preserve">Nonalcoholic Steatohepatitis (NASH) and Nonalcoholic Fatty Liver Disease (NAFLD): </w:t>
      </w:r>
      <w:r>
        <w:rPr>
          <w:rFonts w:ascii="Arial" w:cs="Arial" w:eastAsia="Arial" w:hAnsi="Arial"/>
          <w:sz w:val="17"/>
          <w:szCs w:val="17"/>
          <w:color w:val="auto"/>
        </w:rPr>
        <w:t>We announced positive results of MN-001 (tipelukast) in</w:t>
      </w:r>
      <w:r>
        <w:rPr>
          <w:rFonts w:ascii="Arial" w:cs="Arial" w:eastAsia="Arial" w:hAnsi="Arial"/>
          <w:sz w:val="17"/>
          <w:szCs w:val="17"/>
          <w:i w:val="1"/>
          <w:iCs w:val="1"/>
          <w:color w:val="auto"/>
        </w:rPr>
        <w:t xml:space="preserve"> </w:t>
      </w:r>
      <w:r>
        <w:rPr>
          <w:rFonts w:ascii="Arial" w:cs="Arial" w:eastAsia="Arial" w:hAnsi="Arial"/>
          <w:sz w:val="17"/>
          <w:szCs w:val="17"/>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In November 2021, we announced new findings from a study that investigated the mechanism by which MN-001 (tipelukast) alters triglyceride metabolism in hepatocytes at the Annual Meeting of the American Association for the Study of Liver Diseases (AASLD).</w:t>
      </w:r>
    </w:p>
    <w:p>
      <w:pPr>
        <w:spacing w:after="0" w:line="101" w:lineRule="exact"/>
        <w:rPr>
          <w:sz w:val="20"/>
          <w:szCs w:val="20"/>
          <w:color w:val="auto"/>
        </w:rPr>
      </w:pPr>
    </w:p>
    <w:p>
      <w:pPr>
        <w:ind w:left="60" w:right="280" w:firstLine="726"/>
        <w:spacing w:after="0" w:line="290" w:lineRule="auto"/>
        <w:rPr>
          <w:sz w:val="20"/>
          <w:szCs w:val="20"/>
          <w:color w:val="auto"/>
        </w:rPr>
      </w:pPr>
      <w:r>
        <w:rPr>
          <w:rFonts w:ascii="Arial" w:cs="Arial" w:eastAsia="Arial" w:hAnsi="Arial"/>
          <w:sz w:val="16"/>
          <w:szCs w:val="16"/>
          <w:i w:val="1"/>
          <w:iCs w:val="1"/>
          <w:color w:val="auto"/>
        </w:rPr>
        <w:t xml:space="preserve">Idiopathic Pulmonary Fibrosis (IPF): </w:t>
      </w:r>
      <w:r>
        <w:rPr>
          <w:rFonts w:ascii="Arial" w:cs="Arial" w:eastAsia="Arial" w:hAnsi="Arial"/>
          <w:sz w:val="16"/>
          <w:szCs w:val="16"/>
          <w:color w:val="auto"/>
        </w:rPr>
        <w:t>In 2014, we announced positive results of MN-001 (tipelukast) in a mouse model of pulmonary</w:t>
      </w:r>
      <w:r>
        <w:rPr>
          <w:rFonts w:ascii="Arial" w:cs="Arial" w:eastAsia="Arial" w:hAnsi="Arial"/>
          <w:sz w:val="16"/>
          <w:szCs w:val="16"/>
          <w:i w:val="1"/>
          <w:iCs w:val="1"/>
          <w:color w:val="auto"/>
        </w:rPr>
        <w:t xml:space="preserve"> </w:t>
      </w:r>
      <w:r>
        <w:rPr>
          <w:rFonts w:ascii="Arial" w:cs="Arial" w:eastAsia="Arial" w:hAnsi="Arial"/>
          <w:sz w:val="16"/>
          <w:szCs w:val="16"/>
          <w:color w:val="auto"/>
        </w:rPr>
        <w:t>fibrosis. The FDA subsequently granted Orphan-Drug designation to MN-001 (tipelukast) for treatment of IPF which will provide seven years of marketing exclusivity if MN-001 (tipelukast) is approved for IPF. The FDA granted Fast Track designation to MN-001 (tipelukast) for the treatment of patients with IPF in September 2015. We then initiated a Phase 2 clinical trial of MN-001 (tipelukast) to treat IPF and we announced results of this trial in August 2021. Although there were no clinically meaningful trends in favor of MN-001 (tipelukast) for the majority of the clinical outcome measures in this small study,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w:t>
      </w:r>
    </w:p>
    <w:p>
      <w:pPr>
        <w:spacing w:after="0" w:line="165" w:lineRule="exact"/>
        <w:rPr>
          <w:sz w:val="20"/>
          <w:szCs w:val="20"/>
          <w:color w:val="auto"/>
        </w:rPr>
      </w:pPr>
    </w:p>
    <w:p>
      <w:pPr>
        <w:ind w:firstLine="660"/>
        <w:spacing w:after="0" w:line="255" w:lineRule="auto"/>
        <w:rPr>
          <w:sz w:val="20"/>
          <w:szCs w:val="20"/>
          <w:color w:val="auto"/>
        </w:rPr>
      </w:pPr>
      <w:r>
        <w:rPr>
          <w:rFonts w:ascii="Arial" w:cs="Arial" w:eastAsia="Arial" w:hAnsi="Arial"/>
          <w:sz w:val="18"/>
          <w:szCs w:val="18"/>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primary endpoint in a pivotal trial.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98" w:lineRule="exact"/>
        <w:rPr>
          <w:sz w:val="20"/>
          <w:szCs w:val="20"/>
          <w:color w:val="auto"/>
        </w:rPr>
      </w:pPr>
    </w:p>
    <w:p>
      <w:pPr>
        <w:ind w:right="140" w:firstLine="653"/>
        <w:spacing w:after="0" w:line="259" w:lineRule="auto"/>
        <w:rPr>
          <w:sz w:val="20"/>
          <w:szCs w:val="20"/>
          <w:color w:val="auto"/>
        </w:rPr>
      </w:pPr>
      <w:r>
        <w:rPr>
          <w:rFonts w:ascii="Arial" w:cs="Arial" w:eastAsia="Arial" w:hAnsi="Arial"/>
          <w:sz w:val="18"/>
          <w:szCs w:val="18"/>
          <w:color w:val="auto"/>
        </w:rPr>
        <w:t>We have acquired licenses to MN-166 (ibudilast), MN-001 (tipelukast), MN-221 (bedoradrine), and MN-029 (denibulin) for the development of these product candidates. We have pursued development of these product candidates in various indications including COVID-19, progressive MS, ALS, chemotherapy-induced peripheral neuropathy, degenerative cervical myelopathy, glioblastoma, various addictions, NASH and NAFLD, IPF, acute exacerbations of asthma, and solid tumor cancers.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440" w:firstLine="629"/>
        <w:spacing w:after="0" w:line="274"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ind w:left="1500" w:hanging="426"/>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184" w:lineRule="exact"/>
        <w:rPr>
          <w:sz w:val="20"/>
          <w:szCs w:val="20"/>
          <w:color w:val="auto"/>
        </w:rPr>
      </w:pPr>
    </w:p>
    <w:p>
      <w:pPr>
        <w:ind w:left="1500" w:hanging="426"/>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70" w:lineRule="exact"/>
        <w:rPr>
          <w:sz w:val="20"/>
          <w:szCs w:val="20"/>
          <w:color w:val="auto"/>
        </w:rPr>
      </w:pPr>
    </w:p>
    <w:p>
      <w:pPr>
        <w:ind w:left="1500" w:right="840" w:hanging="426"/>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189" w:lineRule="exact"/>
        <w:rPr>
          <w:sz w:val="20"/>
          <w:szCs w:val="20"/>
          <w:color w:val="auto"/>
        </w:rPr>
      </w:pPr>
    </w:p>
    <w:p>
      <w:pPr>
        <w:ind w:firstLine="646"/>
        <w:spacing w:after="0" w:line="263"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49" w:lineRule="exact"/>
        <w:rPr>
          <w:sz w:val="20"/>
          <w:szCs w:val="20"/>
          <w:color w:val="auto"/>
        </w:rPr>
      </w:pPr>
    </w:p>
    <w:p>
      <w:pPr>
        <w:ind w:right="260" w:firstLine="643"/>
        <w:spacing w:after="0" w:line="311"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71" w:lineRule="exact"/>
        <w:rPr>
          <w:sz w:val="20"/>
          <w:szCs w:val="20"/>
          <w:color w:val="auto"/>
        </w:rPr>
      </w:pPr>
    </w:p>
    <w:p>
      <w:pPr>
        <w:ind w:firstLine="660"/>
        <w:spacing w:after="0" w:line="296" w:lineRule="auto"/>
        <w:rPr>
          <w:sz w:val="20"/>
          <w:szCs w:val="20"/>
          <w:color w:val="auto"/>
        </w:rPr>
      </w:pPr>
      <w:r>
        <w:rPr>
          <w:rFonts w:ascii="Arial" w:cs="Arial" w:eastAsia="Arial" w:hAnsi="Arial"/>
          <w:sz w:val="16"/>
          <w:szCs w:val="16"/>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and substance dependence. We licensed MN-166 (ibudilast) from Kyorin Pharmaceuticals (Kyorin) in 2004.</w:t>
      </w:r>
    </w:p>
    <w:p>
      <w:pPr>
        <w:spacing w:after="0" w:line="67" w:lineRule="exact"/>
        <w:rPr>
          <w:sz w:val="20"/>
          <w:szCs w:val="20"/>
          <w:color w:val="auto"/>
        </w:rPr>
      </w:pPr>
    </w:p>
    <w:p>
      <w:pPr>
        <w:ind w:right="40" w:firstLine="660"/>
        <w:spacing w:after="0" w:line="311" w:lineRule="auto"/>
        <w:rPr>
          <w:sz w:val="20"/>
          <w:szCs w:val="20"/>
          <w:color w:val="auto"/>
        </w:rPr>
      </w:pPr>
      <w:r>
        <w:rPr>
          <w:rFonts w:ascii="Arial" w:cs="Arial" w:eastAsia="Arial" w:hAnsi="Arial"/>
          <w:sz w:val="16"/>
          <w:szCs w:val="16"/>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300"/>
        <w:spacing w:after="0" w:line="263" w:lineRule="auto"/>
        <w:rPr>
          <w:sz w:val="20"/>
          <w:szCs w:val="20"/>
          <w:color w:val="auto"/>
        </w:rPr>
      </w:pPr>
      <w:r>
        <w:rPr>
          <w:rFonts w:ascii="Arial" w:cs="Arial" w:eastAsia="Arial" w:hAnsi="Arial"/>
          <w:sz w:val="18"/>
          <w:szCs w:val="18"/>
          <w:color w:val="auto"/>
        </w:rPr>
        <w:t>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89" w:lineRule="exact"/>
        <w:rPr>
          <w:sz w:val="20"/>
          <w:szCs w:val="20"/>
          <w:color w:val="auto"/>
        </w:rPr>
      </w:pPr>
    </w:p>
    <w:p>
      <w:pPr>
        <w:ind w:right="40" w:firstLine="660"/>
        <w:spacing w:after="0" w:line="279" w:lineRule="auto"/>
        <w:rPr>
          <w:sz w:val="20"/>
          <w:szCs w:val="20"/>
          <w:color w:val="auto"/>
        </w:rPr>
      </w:pPr>
      <w:r>
        <w:rPr>
          <w:rFonts w:ascii="Arial" w:cs="Arial" w:eastAsia="Arial" w:hAnsi="Arial"/>
          <w:sz w:val="17"/>
          <w:szCs w:val="17"/>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71" w:lineRule="exact"/>
        <w:rPr>
          <w:sz w:val="20"/>
          <w:szCs w:val="20"/>
          <w:color w:val="auto"/>
        </w:rPr>
      </w:pPr>
    </w:p>
    <w:p>
      <w:pPr>
        <w:ind w:right="160" w:firstLine="637"/>
        <w:spacing w:after="0" w:line="259" w:lineRule="auto"/>
        <w:rPr>
          <w:sz w:val="20"/>
          <w:szCs w:val="20"/>
          <w:color w:val="auto"/>
        </w:rPr>
      </w:pPr>
      <w:r>
        <w:rPr>
          <w:rFonts w:ascii="Arial" w:cs="Arial" w:eastAsia="Arial" w:hAnsi="Arial"/>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92" w:lineRule="exact"/>
        <w:rPr>
          <w:sz w:val="20"/>
          <w:szCs w:val="20"/>
          <w:color w:val="auto"/>
        </w:rPr>
      </w:pPr>
    </w:p>
    <w:p>
      <w:pPr>
        <w:ind w:firstLine="660"/>
        <w:spacing w:after="0" w:line="254" w:lineRule="auto"/>
        <w:rPr>
          <w:sz w:val="20"/>
          <w:szCs w:val="20"/>
          <w:color w:val="auto"/>
        </w:rPr>
      </w:pPr>
      <w:r>
        <w:rPr>
          <w:rFonts w:ascii="Arial" w:cs="Arial" w:eastAsia="Arial" w:hAnsi="Arial"/>
          <w:sz w:val="18"/>
          <w:szCs w:val="18"/>
          <w:i w:val="1"/>
          <w:iCs w:val="1"/>
          <w:color w:val="auto"/>
        </w:rPr>
        <w:t xml:space="preserve">Progressive Multiple Sclerosis: </w:t>
      </w:r>
      <w:r>
        <w:rPr>
          <w:rFonts w:ascii="Arial" w:cs="Arial" w:eastAsia="Arial" w:hAnsi="Arial"/>
          <w:sz w:val="18"/>
          <w:szCs w:val="18"/>
          <w:color w:val="auto"/>
        </w:rPr>
        <w:t>MS is a complex disease with predominantly unknown etiology and affects approximately 2.3 million people</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according to the National Multiple Sclerosis Society, or NMSS. Also, according to NMSS, approximately 85 percent of people with MS are initially diagnosed with relapsing-remitting MS, or RRMS, and some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several drugs have been approved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111" w:lineRule="exact"/>
        <w:rPr>
          <w:sz w:val="20"/>
          <w:szCs w:val="20"/>
          <w:color w:val="auto"/>
        </w:rPr>
      </w:pPr>
    </w:p>
    <w:p>
      <w:pPr>
        <w:ind w:firstLine="646"/>
        <w:spacing w:after="0" w:line="269"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w:t>
      </w:r>
    </w:p>
    <w:p>
      <w:pPr>
        <w:spacing w:after="0" w:line="182" w:lineRule="exact"/>
        <w:rPr>
          <w:sz w:val="20"/>
          <w:szCs w:val="20"/>
          <w:color w:val="auto"/>
        </w:rPr>
      </w:pPr>
    </w:p>
    <w:p>
      <w:pPr>
        <w:ind w:right="80" w:firstLine="646"/>
        <w:spacing w:after="0" w:line="257" w:lineRule="auto"/>
        <w:rPr>
          <w:sz w:val="20"/>
          <w:szCs w:val="20"/>
          <w:color w:val="auto"/>
        </w:rPr>
      </w:pPr>
      <w:r>
        <w:rPr>
          <w:rFonts w:ascii="Arial" w:cs="Arial" w:eastAsia="Arial" w:hAnsi="Arial"/>
          <w:sz w:val="18"/>
          <w:szCs w:val="18"/>
          <w:color w:val="auto"/>
        </w:rPr>
        <w:t>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right="60"/>
        <w:spacing w:after="0" w:line="289" w:lineRule="auto"/>
        <w:rPr>
          <w:sz w:val="20"/>
          <w:szCs w:val="20"/>
          <w:color w:val="auto"/>
        </w:rPr>
      </w:pPr>
      <w:r>
        <w:rPr>
          <w:rFonts w:ascii="Arial" w:cs="Arial" w:eastAsia="Arial" w:hAnsi="Arial"/>
          <w:sz w:val="16"/>
          <w:szCs w:val="16"/>
          <w:color w:val="auto"/>
        </w:rPr>
        <w:t xml:space="preserve">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Arial" w:cs="Arial" w:eastAsia="Arial" w:hAnsi="Arial"/>
          <w:sz w:val="16"/>
          <w:szCs w:val="16"/>
          <w:i w:val="1"/>
          <w:iCs w:val="1"/>
          <w:color w:val="auto"/>
        </w:rPr>
        <w:t>Multiple Sclerosis Journal</w:t>
      </w:r>
      <w:r>
        <w:rPr>
          <w:rFonts w:ascii="Arial" w:cs="Arial" w:eastAsia="Arial" w:hAnsi="Arial"/>
          <w:sz w:val="16"/>
          <w:szCs w:val="16"/>
          <w:color w:val="auto"/>
        </w:rPr>
        <w:t>. OCT measures included macular volume, pRNFL (peripapillary retinal nerve fiber layer) thickness, and ganglion cell-inner plexiform (GCIP) layer thickness. All of these OCT measures showed less loss of retinal tissue for MN-166 (ibudilast) compared to placebo.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 We were granted Fast Track designation from the FDA for MN-166 (ibudilast) for the treatment of progressive MS in 2016.</w:t>
      </w:r>
    </w:p>
    <w:p>
      <w:pPr>
        <w:spacing w:after="0" w:line="72" w:lineRule="exact"/>
        <w:rPr>
          <w:sz w:val="20"/>
          <w:szCs w:val="20"/>
          <w:color w:val="auto"/>
        </w:rPr>
      </w:pPr>
    </w:p>
    <w:p>
      <w:pPr>
        <w:ind w:right="220" w:firstLine="639"/>
        <w:spacing w:after="0" w:line="257"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w:t>
      </w:r>
      <w:r>
        <w:rPr>
          <w:rFonts w:ascii="Arial" w:cs="Arial" w:eastAsia="Arial" w:hAnsi="Arial"/>
          <w:sz w:val="18"/>
          <w:szCs w:val="18"/>
          <w:i w:val="1"/>
          <w:iCs w:val="1"/>
          <w:color w:val="auto"/>
        </w:rPr>
        <w:t xml:space="preserve"> </w:t>
      </w:r>
      <w:r>
        <w:rPr>
          <w:rFonts w:ascii="Arial" w:cs="Arial" w:eastAsia="Arial" w:hAnsi="Arial"/>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two to five years. According to the ALS Association, there are at least 16,000 ALS patients in the United States and approximately 5,000 people in the United States are diagnosed with ALS each year.</w:t>
      </w:r>
    </w:p>
    <w:p>
      <w:pPr>
        <w:spacing w:after="0" w:line="93" w:lineRule="exact"/>
        <w:rPr>
          <w:sz w:val="20"/>
          <w:szCs w:val="20"/>
          <w:color w:val="auto"/>
        </w:rPr>
      </w:pPr>
    </w:p>
    <w:p>
      <w:pPr>
        <w:ind w:right="20" w:firstLine="643"/>
        <w:spacing w:after="0" w:line="255" w:lineRule="auto"/>
        <w:rPr>
          <w:sz w:val="20"/>
          <w:szCs w:val="20"/>
          <w:color w:val="auto"/>
        </w:rPr>
      </w:pPr>
      <w:r>
        <w:rPr>
          <w:rFonts w:ascii="Arial" w:cs="Arial" w:eastAsia="Arial" w:hAnsi="Arial"/>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98" w:lineRule="exact"/>
        <w:rPr>
          <w:sz w:val="20"/>
          <w:szCs w:val="20"/>
          <w:color w:val="auto"/>
        </w:rPr>
      </w:pPr>
    </w:p>
    <w:p>
      <w:pPr>
        <w:ind w:firstLine="773"/>
        <w:spacing w:after="0" w:line="286" w:lineRule="auto"/>
        <w:rPr>
          <w:sz w:val="20"/>
          <w:szCs w:val="20"/>
          <w:color w:val="auto"/>
        </w:rPr>
      </w:pPr>
      <w:r>
        <w:rPr>
          <w:rFonts w:ascii="Arial" w:cs="Arial" w:eastAsia="Arial" w:hAnsi="Arial"/>
          <w:sz w:val="16"/>
          <w:szCs w:val="16"/>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ind w:right="300"/>
        <w:spacing w:after="0" w:line="308" w:lineRule="auto"/>
        <w:rPr>
          <w:sz w:val="20"/>
          <w:szCs w:val="20"/>
          <w:color w:val="auto"/>
        </w:rPr>
      </w:pPr>
      <w:r>
        <w:rPr>
          <w:rFonts w:ascii="Arial" w:cs="Arial" w:eastAsia="Arial" w:hAnsi="Arial"/>
          <w:sz w:val="17"/>
          <w:szCs w:val="17"/>
          <w:color w:val="auto"/>
        </w:rPr>
        <w:t>conclusions from these analyses into the design of our Phase 2b/3 clinical trial. In December 2021, we announced that a poster with an overview of our ongoing Phase 2b/3 clinical trial of MN-166 (ibudilast) in ALS was presented at the 32nd International Symposium on ALS/MND.</w:t>
      </w:r>
    </w:p>
    <w:p>
      <w:pPr>
        <w:spacing w:after="0" w:line="65" w:lineRule="exact"/>
        <w:rPr>
          <w:sz w:val="20"/>
          <w:szCs w:val="20"/>
          <w:color w:val="auto"/>
        </w:rPr>
      </w:pPr>
    </w:p>
    <w:p>
      <w:pPr>
        <w:ind w:firstLine="660"/>
        <w:spacing w:after="0" w:line="254"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new patent which covers the combination of MN-166 (ibudilast) and riluzole for the treatment of ALS and other neurodegenerative diseases.</w:t>
      </w:r>
    </w:p>
    <w:p>
      <w:pPr>
        <w:spacing w:after="0" w:line="114" w:lineRule="exact"/>
        <w:rPr>
          <w:sz w:val="20"/>
          <w:szCs w:val="20"/>
          <w:color w:val="auto"/>
        </w:rPr>
      </w:pPr>
    </w:p>
    <w:p>
      <w:pPr>
        <w:ind w:right="60" w:firstLine="646"/>
        <w:spacing w:after="0" w:line="293" w:lineRule="auto"/>
        <w:rPr>
          <w:sz w:val="20"/>
          <w:szCs w:val="20"/>
          <w:color w:val="auto"/>
        </w:rPr>
      </w:pPr>
      <w:r>
        <w:rPr>
          <w:rFonts w:ascii="Arial" w:cs="Arial" w:eastAsia="Arial" w:hAnsi="Arial"/>
          <w:sz w:val="16"/>
          <w:szCs w:val="16"/>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70" w:lineRule="exact"/>
        <w:rPr>
          <w:sz w:val="20"/>
          <w:szCs w:val="20"/>
          <w:color w:val="auto"/>
        </w:rPr>
      </w:pPr>
    </w:p>
    <w:p>
      <w:pPr>
        <w:ind w:right="80" w:firstLine="642"/>
        <w:spacing w:after="0" w:line="268" w:lineRule="auto"/>
        <w:rPr>
          <w:sz w:val="20"/>
          <w:szCs w:val="20"/>
          <w:color w:val="auto"/>
        </w:rPr>
      </w:pPr>
      <w:r>
        <w:rPr>
          <w:rFonts w:ascii="Arial" w:cs="Arial" w:eastAsia="Arial" w:hAnsi="Arial"/>
          <w:sz w:val="17"/>
          <w:szCs w:val="17"/>
          <w:i w:val="1"/>
          <w:iCs w:val="1"/>
          <w:color w:val="auto"/>
        </w:rPr>
        <w:t xml:space="preserve">Methamphetamine Addiction: </w:t>
      </w:r>
      <w:r>
        <w:rPr>
          <w:rFonts w:ascii="Arial" w:cs="Arial" w:eastAsia="Arial" w:hAnsi="Arial"/>
          <w:sz w:val="17"/>
          <w:szCs w:val="17"/>
          <w:color w:val="auto"/>
        </w:rPr>
        <w:t>Methamphetamine is a central nervous system stimulant drug that is similar in structure to amphetamine. It is a</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II drug, meaning that it has high abuse potential and low therapeutic potential. According to the Substance Abuse and Mental Health Services Administration’s (SAMHSA) 2020 National Survey on Drug Use and Health, there are approximately 1.5 million people aged 12 or older with methamphetamine use disorder in the United States. The Rand Corporation has estimated that the economic burden of methamphetamine use in the United States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92" w:lineRule="exact"/>
        <w:rPr>
          <w:sz w:val="20"/>
          <w:szCs w:val="20"/>
          <w:color w:val="auto"/>
        </w:rPr>
      </w:pPr>
    </w:p>
    <w:p>
      <w:pPr>
        <w:ind w:right="100" w:firstLine="660"/>
        <w:spacing w:after="0" w:line="293" w:lineRule="auto"/>
        <w:rPr>
          <w:sz w:val="20"/>
          <w:szCs w:val="20"/>
          <w:color w:val="auto"/>
        </w:rPr>
      </w:pPr>
      <w:r>
        <w:rPr>
          <w:rFonts w:ascii="Arial" w:cs="Arial" w:eastAsia="Arial" w:hAnsi="Arial"/>
          <w:sz w:val="16"/>
          <w:szCs w:val="16"/>
          <w:i w:val="1"/>
          <w:iCs w:val="1"/>
          <w:color w:val="auto"/>
        </w:rPr>
        <w:t xml:space="preserve">Opioid Withdrawal and Dependency: </w:t>
      </w:r>
      <w:r>
        <w:rPr>
          <w:rFonts w:ascii="Arial" w:cs="Arial" w:eastAsia="Arial" w:hAnsi="Arial"/>
          <w:sz w:val="16"/>
          <w:szCs w:val="16"/>
          <w:color w:val="auto"/>
        </w:rPr>
        <w:t>According to the SAMHSA’s 2020 National Survey on Drug Use and Health, there are approximately 2.3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people aged 12 or older with prescription pain reliever use disorder and approximately 691,000 people aged 12 or older with heroin use disorder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There is an urgent, significant unmet medical need for a safe, effective non-addictive, non-opioid therapy for the treatment of prescription opioid and heroin addiction.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right="100"/>
        <w:spacing w:after="0" w:line="257" w:lineRule="auto"/>
        <w:rPr>
          <w:sz w:val="20"/>
          <w:szCs w:val="20"/>
          <w:color w:val="auto"/>
        </w:rPr>
      </w:pPr>
      <w:r>
        <w:rPr>
          <w:rFonts w:ascii="Arial" w:cs="Arial" w:eastAsia="Arial" w:hAnsi="Arial"/>
          <w:sz w:val="18"/>
          <w:szCs w:val="18"/>
          <w:color w:val="auto"/>
        </w:rPr>
        <w:t>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07" w:lineRule="exact"/>
        <w:rPr>
          <w:sz w:val="20"/>
          <w:szCs w:val="20"/>
          <w:color w:val="auto"/>
        </w:rPr>
      </w:pPr>
    </w:p>
    <w:p>
      <w:pPr>
        <w:ind w:firstLine="646"/>
        <w:spacing w:after="0" w:line="282" w:lineRule="auto"/>
        <w:rPr>
          <w:sz w:val="20"/>
          <w:szCs w:val="20"/>
          <w:color w:val="auto"/>
        </w:rPr>
      </w:pPr>
      <w:r>
        <w:rPr>
          <w:rFonts w:ascii="Arial" w:cs="Arial" w:eastAsia="Arial" w:hAnsi="Arial"/>
          <w:sz w:val="16"/>
          <w:szCs w:val="16"/>
          <w:i w:val="1"/>
          <w:iCs w:val="1"/>
          <w:color w:val="auto"/>
        </w:rPr>
        <w:t xml:space="preserve">Alcohol Addiction: </w:t>
      </w:r>
      <w:r>
        <w:rPr>
          <w:rFonts w:ascii="Arial" w:cs="Arial" w:eastAsia="Arial" w:hAnsi="Arial"/>
          <w:sz w:val="16"/>
          <w:szCs w:val="16"/>
          <w:color w:val="auto"/>
        </w:rPr>
        <w:t>According to SAMHSA’s 2020 National Survey on Drug Use and Health, there are approximately 28.3 million people aged 12</w:t>
      </w:r>
      <w:r>
        <w:rPr>
          <w:rFonts w:ascii="Arial" w:cs="Arial" w:eastAsia="Arial" w:hAnsi="Arial"/>
          <w:sz w:val="16"/>
          <w:szCs w:val="16"/>
          <w:i w:val="1"/>
          <w:iCs w:val="1"/>
          <w:color w:val="auto"/>
        </w:rPr>
        <w:t xml:space="preserve"> </w:t>
      </w:r>
      <w:r>
        <w:rPr>
          <w:rFonts w:ascii="Arial" w:cs="Arial" w:eastAsia="Arial" w:hAnsi="Arial"/>
          <w:sz w:val="16"/>
          <w:szCs w:val="16"/>
          <w:color w:val="auto"/>
        </w:rPr>
        <w:t>or older in the United States with alcohol use disorder. The Centers for Disease Control and Prevention (CDC) has reported that excessive alcohol use costs the United States $249 billion per year. Medicines that have been approved by the FDA to treat alcohol dependence include Antabuse</w:t>
      </w:r>
      <w:r>
        <w:rPr>
          <w:rFonts w:ascii="Arial" w:cs="Arial" w:eastAsia="Arial" w:hAnsi="Arial"/>
          <w:sz w:val="13"/>
          <w:szCs w:val="13"/>
          <w:color w:val="auto"/>
        </w:rPr>
        <w:t>®</w:t>
      </w:r>
      <w:r>
        <w:rPr>
          <w:rFonts w:ascii="Arial" w:cs="Arial" w:eastAsia="Arial" w:hAnsi="Arial"/>
          <w:sz w:val="16"/>
          <w:szCs w:val="16"/>
          <w:color w:val="auto"/>
        </w:rPr>
        <w:t>, Vivitrol</w:t>
      </w:r>
      <w:r>
        <w:rPr>
          <w:rFonts w:ascii="Arial" w:cs="Arial" w:eastAsia="Arial" w:hAnsi="Arial"/>
          <w:sz w:val="13"/>
          <w:szCs w:val="13"/>
          <w:color w:val="auto"/>
        </w:rPr>
        <w:t>®</w:t>
      </w:r>
      <w:r>
        <w:rPr>
          <w:rFonts w:ascii="Arial" w:cs="Arial" w:eastAsia="Arial" w:hAnsi="Arial"/>
          <w:sz w:val="16"/>
          <w:szCs w:val="16"/>
          <w:color w:val="auto"/>
        </w:rPr>
        <w:t>, Campral</w:t>
      </w:r>
      <w:r>
        <w:rPr>
          <w:rFonts w:ascii="Arial" w:cs="Arial" w:eastAsia="Arial" w:hAnsi="Arial"/>
          <w:sz w:val="13"/>
          <w:szCs w:val="13"/>
          <w:color w:val="auto"/>
        </w:rPr>
        <w:t>®</w:t>
      </w:r>
      <w:r>
        <w:rPr>
          <w:rFonts w:ascii="Arial" w:cs="Arial" w:eastAsia="Arial" w:hAnsi="Arial"/>
          <w:sz w:val="16"/>
          <w:szCs w:val="16"/>
          <w:color w:val="auto"/>
        </w:rPr>
        <w:t xml:space="preserve"> and Revia</w:t>
      </w:r>
      <w:r>
        <w:rPr>
          <w:rFonts w:ascii="Arial" w:cs="Arial" w:eastAsia="Arial" w:hAnsi="Arial"/>
          <w:sz w:val="13"/>
          <w:szCs w:val="13"/>
          <w:color w:val="auto"/>
        </w:rPr>
        <w:t>®</w:t>
      </w:r>
      <w:r>
        <w:rPr>
          <w:rFonts w:ascii="Arial" w:cs="Arial" w:eastAsia="Arial" w:hAnsi="Arial"/>
          <w:sz w:val="16"/>
          <w:szCs w:val="16"/>
          <w:color w:val="auto"/>
        </w:rPr>
        <w:t xml:space="preserve">. However, the search for a safe and effective drug remains elusive due to limited success of these FDA-approved compounds (Witkiewitz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In a non-clinical trial (Bell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study was a randomized, double-blind, placebo-controlled Phase 2 trial to evaluate the effect of 14 days of ibudilast treatment on mood, heavy drinking, and neural reward signals in 52 patients with alcohol use disorder (AUD). Positive results of this Phase 2 clinical trial were presented at the American Psychological Association 2020 Annual Convention which was held online in August 2020. Results from this clinical trial were published in June 2021 in Nature’s </w:t>
      </w:r>
      <w:r>
        <w:rPr>
          <w:rFonts w:ascii="Arial" w:cs="Arial" w:eastAsia="Arial" w:hAnsi="Arial"/>
          <w:sz w:val="16"/>
          <w:szCs w:val="16"/>
          <w:i w:val="1"/>
          <w:iCs w:val="1"/>
          <w:color w:val="auto"/>
        </w:rPr>
        <w:t>Translational Psychiatry</w:t>
      </w:r>
      <w:r>
        <w:rPr>
          <w:rFonts w:ascii="Arial" w:cs="Arial" w:eastAsia="Arial" w:hAnsi="Arial"/>
          <w:sz w:val="16"/>
          <w:szCs w:val="16"/>
          <w:color w:val="auto"/>
        </w:rPr>
        <w:t xml:space="preserve"> which included the following: (1) MN-166 (ibudilast) did not have a significant effect on negative mood; (2) MN-166 (ibudilast), relative to placebo, reduced the odds of heavy drinking across time by 45% (p=0.04); (3) MN-166 (ibudilast) attenuated alcohol cue-elicited activation in the ventral striatum (VS) (i.e. reduced the rewarding response to alcohol in the brain) compared to placebo (p=0.01); (4) Alcohol cue-elicited activation in the VS predicted subsequent drinking in the MN-166 (ibudilast) group (p=0.02), such that individuals who had attenuated VS activation and took MN-166 (ibudilast) had the fewest number of drinks per drinking day in the week following the scan; and (5) MN-166 (ibudilast) reduced alcohol craving compared to placebo on non-drinking days (p=0.02). These findings extend preclinical and human laboratory studies of the utility of ibudilast to treat AUD and suggest a biobehavioral mechanism through which ibudilast acts, namely, by reducing the rewarding response to alcohol cues in the brain leading to a reduction in heavy drinking. In August 2018, we announced a new NIAAA-funded Phase</w:t>
      </w:r>
    </w:p>
    <w:p>
      <w:pPr>
        <w:spacing w:after="0" w:line="10"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2b clinical trial of MN-166 (ibudilast) in alcohol dependence in collaboration with researchers at UCLA. This clinical trial, which is currently ongoing, is evaluating whether MN-166 (ibudilast) will decrease the percentage of heavy drinking days (defined as ≥ 5 drinks for men and ≥ 4 drinks for women), as compared to placebo, over the course of the 12-week trial.</w:t>
      </w:r>
    </w:p>
    <w:p>
      <w:pPr>
        <w:spacing w:after="0" w:line="95" w:lineRule="exact"/>
        <w:rPr>
          <w:sz w:val="20"/>
          <w:szCs w:val="20"/>
          <w:color w:val="auto"/>
        </w:rPr>
      </w:pPr>
    </w:p>
    <w:p>
      <w:pPr>
        <w:ind w:right="100" w:firstLine="644"/>
        <w:spacing w:after="0" w:line="257" w:lineRule="auto"/>
        <w:rPr>
          <w:sz w:val="20"/>
          <w:szCs w:val="20"/>
          <w:color w:val="auto"/>
        </w:rPr>
      </w:pPr>
      <w:r>
        <w:rPr>
          <w:rFonts w:ascii="Arial" w:cs="Arial" w:eastAsia="Arial" w:hAnsi="Arial"/>
          <w:sz w:val="18"/>
          <w:szCs w:val="18"/>
          <w:i w:val="1"/>
          <w:iCs w:val="1"/>
          <w:color w:val="auto"/>
        </w:rPr>
        <w:t xml:space="preserve">Chemotherapy-Induced Peripheral Neuropathy: </w:t>
      </w:r>
      <w:r>
        <w:rPr>
          <w:rFonts w:ascii="Arial" w:cs="Arial" w:eastAsia="Arial" w:hAnsi="Arial"/>
          <w:sz w:val="18"/>
          <w:szCs w:val="18"/>
          <w:color w:val="auto"/>
        </w:rPr>
        <w:t>Peripheral neuropathy is a set of symptoms caused by damage to peripheral nerves, the nerves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t xml:space="preserve">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as a treatment for prevention of CIPN which was funded by the University of Sydney Concord Cancer 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Arial" w:cs="Arial" w:eastAsia="Arial" w:hAnsi="Arial"/>
          <w:sz w:val="16"/>
          <w:szCs w:val="16"/>
          <w:i w:val="1"/>
          <w:iCs w:val="1"/>
          <w:color w:val="auto"/>
        </w:rPr>
        <w:t>Cancer Chemotherapy and Pharmacology</w:t>
      </w:r>
      <w:r>
        <w:rPr>
          <w:rFonts w:ascii="Arial" w:cs="Arial" w:eastAsia="Arial" w:hAnsi="Arial"/>
          <w:sz w:val="16"/>
          <w:szCs w:val="16"/>
          <w:color w:val="auto"/>
        </w:rPr>
        <w:t>. Co-administration of MN-166 (ibudilast) with oxaliplatin resulted in improvement or stabilization of oxaliplatin-induced neurotoxicity in the majority of participants treated with 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 chemotherapy. Pharmacokinetic analysis indicated no effect of MN-166 (ibudilast) on systemic exposure of oxaliplatin. In October 2020, we announced plans to initiate a multi-center, placebo-controlled, randomized Phase 2b trial to evaluate MN-166 (ibudilast) in CIPN, which is funded by the Australasian Gastro-Intestinal Trials Group (AGITG). This clinical trial is evaluating MN-166 (ibudilast) as a potential treatment to reduce acute neurotoxicity severity and CIPN in patients with metastatic colorectal cancer.</w:t>
      </w:r>
    </w:p>
    <w:p>
      <w:pPr>
        <w:spacing w:after="0" w:line="86" w:lineRule="exact"/>
        <w:rPr>
          <w:sz w:val="20"/>
          <w:szCs w:val="20"/>
          <w:color w:val="auto"/>
        </w:rPr>
      </w:pPr>
    </w:p>
    <w:p>
      <w:pPr>
        <w:ind w:right="120" w:firstLine="640"/>
        <w:spacing w:after="0" w:line="287" w:lineRule="auto"/>
        <w:rPr>
          <w:sz w:val="20"/>
          <w:szCs w:val="20"/>
          <w:color w:val="auto"/>
        </w:rPr>
      </w:pPr>
      <w:r>
        <w:rPr>
          <w:rFonts w:ascii="Arial" w:cs="Arial" w:eastAsia="Arial" w:hAnsi="Arial"/>
          <w:sz w:val="16"/>
          <w:szCs w:val="16"/>
          <w:i w:val="1"/>
          <w:iCs w:val="1"/>
          <w:color w:val="auto"/>
        </w:rPr>
        <w:t xml:space="preserve">Degenerative Cervical Myelopathy: </w:t>
      </w:r>
      <w:r>
        <w:rPr>
          <w:rFonts w:ascii="Arial" w:cs="Arial" w:eastAsia="Arial" w:hAnsi="Arial"/>
          <w:sz w:val="16"/>
          <w:szCs w:val="16"/>
          <w:color w:val="auto"/>
        </w:rPr>
        <w:t>Degenerative cervical myelopathy (DCM), also known as cervical spondylotic myelopathy, involves spinal</w:t>
      </w:r>
      <w:r>
        <w:rPr>
          <w:rFonts w:ascii="Arial" w:cs="Arial" w:eastAsia="Arial" w:hAnsi="Arial"/>
          <w:sz w:val="16"/>
          <w:szCs w:val="16"/>
          <w:i w:val="1"/>
          <w:iCs w:val="1"/>
          <w:color w:val="auto"/>
        </w:rPr>
        <w:t xml:space="preserve"> </w:t>
      </w:r>
      <w:r>
        <w:rPr>
          <w:rFonts w:ascii="Arial" w:cs="Arial" w:eastAsia="Arial" w:hAnsi="Arial"/>
          <w:sz w:val="16"/>
          <w:szCs w:val="16"/>
          <w:color w:val="auto"/>
        </w:rPr>
        <w:t>cord 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the Phase 3 clinical trial in DCM, “REgeneration in CErvical DEgenerative Myelopathy (RECEDE Myelopathy)” in collaboration with University of Cambridge researchers.</w:t>
      </w:r>
    </w:p>
    <w:p>
      <w:pPr>
        <w:spacing w:after="0" w:line="73" w:lineRule="exact"/>
        <w:rPr>
          <w:sz w:val="20"/>
          <w:szCs w:val="20"/>
          <w:color w:val="auto"/>
        </w:rPr>
      </w:pPr>
    </w:p>
    <w:p>
      <w:pPr>
        <w:ind w:firstLine="767"/>
        <w:spacing w:after="0" w:line="271" w:lineRule="auto"/>
        <w:rPr>
          <w:sz w:val="20"/>
          <w:szCs w:val="20"/>
          <w:color w:val="auto"/>
        </w:rPr>
      </w:pPr>
      <w:r>
        <w:rPr>
          <w:rFonts w:ascii="Arial" w:cs="Arial" w:eastAsia="Arial" w:hAnsi="Arial"/>
          <w:sz w:val="17"/>
          <w:szCs w:val="17"/>
          <w:i w:val="1"/>
          <w:iCs w:val="1"/>
          <w:color w:val="auto"/>
        </w:rPr>
        <w:t xml:space="preserve">Glioblastoma: </w:t>
      </w:r>
      <w:r>
        <w:rPr>
          <w:rFonts w:ascii="Arial" w:cs="Arial" w:eastAsia="Arial" w:hAnsi="Arial"/>
          <w:sz w:val="17"/>
          <w:szCs w:val="17"/>
          <w:color w:val="auto"/>
        </w:rPr>
        <w:t>According to the American Association of Neurological Surgeons, glioblastoma is an aggressive brain tumor that develops from</w:t>
      </w:r>
      <w:r>
        <w:rPr>
          <w:rFonts w:ascii="Arial" w:cs="Arial" w:eastAsia="Arial" w:hAnsi="Arial"/>
          <w:sz w:val="17"/>
          <w:szCs w:val="17"/>
          <w:i w:val="1"/>
          <w:iCs w:val="1"/>
          <w:color w:val="auto"/>
        </w:rPr>
        <w:t xml:space="preserve"> </w:t>
      </w:r>
      <w:r>
        <w:rPr>
          <w:rFonts w:ascii="Arial" w:cs="Arial" w:eastAsia="Arial" w:hAnsi="Arial"/>
          <w:sz w:val="17"/>
          <w:szCs w:val="17"/>
          <w:color w:val="auto"/>
        </w:rPr>
        <w:t>glial cells (astrocytes and oligodendrocytes), grows rapidly, and commonly spreads into nearby brain tissue. The American Brain Tumor Association reports that glioblastomas represent about 15% of all primary brain tumors. Approximately 10,000 cases of glioblastoma are diagnosed each year in the U.S. Median survival is approximately 11-15 months for adults with more aggressive glioblastoma (IDH-wildtype) who receive standard treatment (surgery,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ind w:right="40"/>
        <w:spacing w:after="0" w:line="217" w:lineRule="exact"/>
        <w:rPr>
          <w:sz w:val="20"/>
          <w:szCs w:val="20"/>
          <w:color w:val="auto"/>
        </w:rPr>
      </w:pPr>
      <w:r>
        <w:rPr>
          <w:rFonts w:ascii="Arial" w:cs="Arial" w:eastAsia="Arial" w:hAnsi="Arial"/>
          <w:sz w:val="17"/>
          <w:szCs w:val="17"/>
          <w:color w:val="auto"/>
        </w:rPr>
        <w:t>to the group that received temozolomide alone. In May 2018, we announced that the Investigational New Drug 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7"/>
          <w:szCs w:val="17"/>
          <w:color w:val="auto"/>
        </w:rPr>
        <w:t>‑</w:t>
      </w:r>
      <w:r>
        <w:rPr>
          <w:rFonts w:ascii="Arial" w:cs="Arial" w:eastAsia="Arial" w:hAnsi="Arial"/>
          <w:sz w:val="17"/>
          <w:szCs w:val="17"/>
          <w:color w:val="auto"/>
        </w:rPr>
        <w:t xml:space="preserve">®) for the treatment of glioblastoma at the Dana-Farber Cancer Institute in Boston. In February 2019, we announced that </w:t>
      </w:r>
      <w:r>
        <w:rPr>
          <w:rFonts w:ascii="Arial" w:cs="Arial" w:eastAsia="Arial" w:hAnsi="Arial"/>
          <w:sz w:val="17"/>
          <w:szCs w:val="17"/>
          <w:i w:val="1"/>
          <w:iCs w:val="1"/>
          <w:color w:val="auto"/>
        </w:rPr>
        <w:t>Scientific Reports</w:t>
      </w:r>
      <w:r>
        <w:rPr>
          <w:rFonts w:ascii="Arial" w:cs="Arial" w:eastAsia="Arial" w:hAnsi="Arial"/>
          <w:sz w:val="17"/>
          <w:szCs w:val="17"/>
          <w:color w:val="auto"/>
        </w:rPr>
        <w:t xml:space="preserve"> published results from the animal model study evaluating MN-166 (ibudilast) in glioblastoma. The article, “Ibudilast sensitizes glioblastoma to temozolomide by targeting Macrophage Migration Inhibitory Factor (MIF),” is the first publication reporting the potential clinical utility of MN-166 (ibudilast) for glioblastoma. In June 2020, we announced that positive preclinical findings were published in </w:t>
      </w:r>
      <w:r>
        <w:rPr>
          <w:rFonts w:ascii="Arial" w:cs="Arial" w:eastAsia="Arial" w:hAnsi="Arial"/>
          <w:sz w:val="17"/>
          <w:szCs w:val="17"/>
          <w:i w:val="1"/>
          <w:iCs w:val="1"/>
          <w:color w:val="auto"/>
        </w:rPr>
        <w:t>Frontiers in Immunology</w:t>
      </w:r>
      <w:r>
        <w:rPr>
          <w:rFonts w:ascii="Arial" w:cs="Arial" w:eastAsia="Arial" w:hAnsi="Arial"/>
          <w:sz w:val="17"/>
          <w:szCs w:val="17"/>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fifteen subjects completed cycle 6 without disease progression, i.e. 33% of subjects were progression-free at six months.</w:t>
      </w:r>
    </w:p>
    <w:p>
      <w:pPr>
        <w:spacing w:after="0" w:line="206" w:lineRule="exact"/>
        <w:rPr>
          <w:sz w:val="20"/>
          <w:szCs w:val="20"/>
          <w:color w:val="auto"/>
        </w:rPr>
      </w:pPr>
    </w:p>
    <w:p>
      <w:pPr>
        <w:ind w:firstLine="639"/>
        <w:spacing w:after="0" w:line="286" w:lineRule="auto"/>
        <w:rPr>
          <w:sz w:val="20"/>
          <w:szCs w:val="20"/>
          <w:color w:val="auto"/>
        </w:rPr>
      </w:pPr>
      <w:r>
        <w:rPr>
          <w:rFonts w:ascii="Arial" w:cs="Arial" w:eastAsia="Arial" w:hAnsi="Arial"/>
          <w:sz w:val="16"/>
          <w:szCs w:val="16"/>
          <w:i w:val="1"/>
          <w:iCs w:val="1"/>
          <w:color w:val="auto"/>
        </w:rPr>
        <w:t xml:space="preserve">Prevention of Acute Respiratory Distress Syndrome (ARDS) in patients with COVID-19: </w:t>
      </w:r>
      <w:r>
        <w:rPr>
          <w:rFonts w:ascii="Arial" w:cs="Arial" w:eastAsia="Arial" w:hAnsi="Arial"/>
          <w:sz w:val="16"/>
          <w:szCs w:val="16"/>
          <w:color w:val="auto"/>
        </w:rPr>
        <w:t>ARDS is a serious lung condition that causes low blood</w:t>
      </w:r>
      <w:r>
        <w:rPr>
          <w:rFonts w:ascii="Arial" w:cs="Arial" w:eastAsia="Arial" w:hAnsi="Arial"/>
          <w:sz w:val="16"/>
          <w:szCs w:val="16"/>
          <w:i w:val="1"/>
          <w:iCs w:val="1"/>
          <w:color w:val="auto"/>
        </w:rPr>
        <w:t xml:space="preserve"> </w:t>
      </w:r>
      <w:r>
        <w:rPr>
          <w:rFonts w:ascii="Arial" w:cs="Arial" w:eastAsia="Arial" w:hAnsi="Arial"/>
          <w:sz w:val="16"/>
          <w:szCs w:val="16"/>
          <w:color w:val="auto"/>
        </w:rPr>
        <w:t>oxygen. Difficulty breathing is usually the first symptom of ARDS. Infections are the most common risk factors for ARDS and these infections may include influenza, coronavirus, or other viruses. According to the ARDS Foundation, there are an estimated 190,000 ARDS cases per year in the U.S. The rate of death in the hospital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and this trial is ongoing. In August 2021, we announced completion of 75% of planned enrollment in this Phase 2 clinical trial.</w:t>
      </w:r>
    </w:p>
    <w:p>
      <w:pPr>
        <w:spacing w:after="0" w:line="167" w:lineRule="exact"/>
        <w:rPr>
          <w:sz w:val="20"/>
          <w:szCs w:val="20"/>
          <w:color w:val="auto"/>
        </w:rPr>
      </w:pPr>
    </w:p>
    <w:p>
      <w:pPr>
        <w:ind w:right="20" w:firstLine="767"/>
        <w:spacing w:after="0" w:line="257" w:lineRule="auto"/>
        <w:rPr>
          <w:sz w:val="20"/>
          <w:szCs w:val="20"/>
          <w:color w:val="auto"/>
        </w:rPr>
      </w:pPr>
      <w:r>
        <w:rPr>
          <w:rFonts w:ascii="Arial" w:cs="Arial" w:eastAsia="Arial" w:hAnsi="Arial"/>
          <w:sz w:val="18"/>
          <w:szCs w:val="18"/>
          <w:i w:val="1"/>
          <w:iCs w:val="1"/>
          <w:color w:val="auto"/>
        </w:rPr>
        <w:t xml:space="preserve">Chlorine Gas-Induced Lung Injury: </w:t>
      </w:r>
      <w:r>
        <w:rPr>
          <w:rFonts w:ascii="Arial" w:cs="Arial" w:eastAsia="Arial" w:hAnsi="Arial"/>
          <w:sz w:val="18"/>
          <w:szCs w:val="18"/>
          <w:color w:val="auto"/>
        </w:rPr>
        <w:t>In March 2021, we announced a partnership with the Biomedical Advanced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(BARDA), part of the Office of the Assistant Secretary for Preparedness and Response at the U.S. Department of Health and Human Services, to develop MN-166 (ibudilast) as a potential medical countermeasure (MCM) against chlorine gas-induced lung damage such as acute respiratory distress syndrome (ARDS) and acute lung injury (ALI). Under the Division of Research, Innovation, and Ventures’ (DRIVe) Repurposing Drugs in Response to Chemical Threats (ReDIRECT) program, BARDA agreed to provide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federal funding for proof-of-concept studies of MN-166 (ibudilast) in preclinical models of chlorine gas-induced acute lung injury under Contract No. 75A50121C00022. MN-166 (ibudilast) was the first compound to receive BARDA’s development support through the DRIVe ReDIRECT program. In June 2021, we announced initiation of a sheep study to investigate MN-166 (ibudilast) in an ovine model of chlorine-induced acute lung injury and this study is ongoing. Following treatment of the sheep with MN-166 (ibudilast) or control, the study will evaluate pulmonary function, lung injury and edema formation, cardiopulmonary hemodynamics, and systemic vascular permeability. In June 2021, we also announced that we will conduct a mouse study to investigate the efficacy of MN-166 (ibudilast) in a murine model of chlorine-induced lung injury and lethality and this study is ongoing. After mice are exposed to chlorine gas and treated with MN-166 (ibudilast) or control, the study will evaluate survival, clinical outcomes, body weights, lung weights, and upper respiratory tract histopathology.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71" w:lineRule="exact"/>
        <w:rPr>
          <w:sz w:val="20"/>
          <w:szCs w:val="20"/>
          <w:color w:val="auto"/>
        </w:rPr>
      </w:pPr>
    </w:p>
    <w:p>
      <w:pPr>
        <w:ind w:right="60" w:firstLine="646"/>
        <w:spacing w:after="0" w:line="257" w:lineRule="auto"/>
        <w:rPr>
          <w:sz w:val="20"/>
          <w:szCs w:val="20"/>
          <w:color w:val="auto"/>
        </w:rPr>
      </w:pPr>
      <w:r>
        <w:rPr>
          <w:rFonts w:ascii="Arial" w:cs="Arial" w:eastAsia="Arial" w:hAnsi="Arial"/>
          <w:sz w:val="18"/>
          <w:szCs w:val="18"/>
          <w:color w:val="auto"/>
        </w:rPr>
        <w:t>MN-221 (bedoradrine) is a novel, highly selective beta-2-adrenergic receptor agonist which has been developed for the treatment of acute exacerbations of asthma. We licensed MN-221 (bedoradrine)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93" w:lineRule="exact"/>
        <w:rPr>
          <w:sz w:val="20"/>
          <w:szCs w:val="20"/>
          <w:color w:val="auto"/>
        </w:rPr>
      </w:pPr>
    </w:p>
    <w:p>
      <w:pPr>
        <w:ind w:right="40" w:firstLine="639"/>
        <w:spacing w:after="0" w:line="257" w:lineRule="auto"/>
        <w:rPr>
          <w:sz w:val="20"/>
          <w:szCs w:val="20"/>
          <w:color w:val="auto"/>
        </w:rPr>
      </w:pPr>
      <w:r>
        <w:rPr>
          <w:rFonts w:ascii="Arial" w:cs="Arial" w:eastAsia="Arial" w:hAnsi="Arial"/>
          <w:sz w:val="18"/>
          <w:szCs w:val="18"/>
          <w:color w:val="auto"/>
        </w:rPr>
        <w:t>MN-221 (bedoradrine) is designed to treat acute exacerbations of asthma via intravenous (i.v.) infusion, bypassing constricted airways to deliver the drug to the lungs. Preclinical studies showed MN-221 (bedoradrine) to have a high affinity for the ß</w:t>
      </w:r>
      <w:r>
        <w:rPr>
          <w:rFonts w:ascii="Arial" w:cs="Arial" w:eastAsia="Arial" w:hAnsi="Arial"/>
          <w:sz w:val="15"/>
          <w:szCs w:val="15"/>
          <w:color w:val="auto"/>
        </w:rPr>
        <w:t>2</w:t>
      </w:r>
      <w:r>
        <w:rPr>
          <w:rFonts w:ascii="Arial" w:cs="Arial" w:eastAsia="Arial" w:hAnsi="Arial"/>
          <w:sz w:val="18"/>
          <w:szCs w:val="18"/>
          <w:color w:val="auto"/>
        </w:rPr>
        <w:t xml:space="preserve"> -adrenergic receptor, found primarily in the lungs, and a much lower affinity for the ß</w:t>
      </w:r>
      <w:r>
        <w:rPr>
          <w:rFonts w:ascii="Arial" w:cs="Arial" w:eastAsia="Arial" w:hAnsi="Arial"/>
          <w:sz w:val="15"/>
          <w:szCs w:val="15"/>
          <w:color w:val="auto"/>
        </w:rPr>
        <w:t>1</w:t>
      </w:r>
      <w:r>
        <w:rPr>
          <w:rFonts w:ascii="Arial" w:cs="Arial" w:eastAsia="Arial" w:hAnsi="Arial"/>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107" w:lineRule="exact"/>
        <w:rPr>
          <w:sz w:val="20"/>
          <w:szCs w:val="20"/>
          <w:color w:val="auto"/>
        </w:rPr>
      </w:pPr>
    </w:p>
    <w:p>
      <w:pPr>
        <w:ind w:right="380" w:firstLine="630"/>
        <w:spacing w:after="0" w:line="277" w:lineRule="auto"/>
        <w:rPr>
          <w:sz w:val="20"/>
          <w:szCs w:val="20"/>
          <w:color w:val="auto"/>
        </w:rPr>
      </w:pPr>
      <w:r>
        <w:rPr>
          <w:rFonts w:ascii="Arial" w:cs="Arial" w:eastAsia="Arial" w:hAnsi="Arial"/>
          <w:sz w:val="18"/>
          <w:szCs w:val="18"/>
          <w:i w:val="1"/>
          <w:iCs w:val="1"/>
          <w:color w:val="auto"/>
        </w:rPr>
        <w:t xml:space="preserve">Acute Exacerbation of Asthma: </w:t>
      </w:r>
      <w:r>
        <w:rPr>
          <w:rFonts w:ascii="Arial" w:cs="Arial" w:eastAsia="Arial" w:hAnsi="Arial"/>
          <w:sz w:val="18"/>
          <w:szCs w:val="18"/>
          <w:color w:val="auto"/>
        </w:rPr>
        <w:t>According to the most recent data available from the United States National Center for Health Statistics,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1.63 million emergency department visits due to asthma in 2018 and 3,524 deaths due to asthma in 2019.</w:t>
      </w:r>
    </w:p>
    <w:p>
      <w:pPr>
        <w:spacing w:after="0" w:line="76" w:lineRule="exact"/>
        <w:rPr>
          <w:sz w:val="20"/>
          <w:szCs w:val="20"/>
          <w:color w:val="auto"/>
        </w:rPr>
      </w:pPr>
    </w:p>
    <w:p>
      <w:pPr>
        <w:ind w:right="20" w:firstLine="660"/>
        <w:spacing w:after="0" w:line="269" w:lineRule="auto"/>
        <w:rPr>
          <w:sz w:val="20"/>
          <w:szCs w:val="20"/>
          <w:color w:val="auto"/>
        </w:rPr>
      </w:pPr>
      <w:r>
        <w:rPr>
          <w:rFonts w:ascii="Arial" w:cs="Arial" w:eastAsia="Arial" w:hAnsi="Arial"/>
          <w:sz w:val="17"/>
          <w:szCs w:val="17"/>
          <w:color w:val="auto"/>
        </w:rPr>
        <w:t>We completed a Phase 2b randomized, double-blind, placebo-controlled clinical trial which evaluated MN-221 (bedoradrine) in 175 patients with acute exacerbations of asthma in the emergency department setting. MN-221 (bedoradrine) did not statistically meet the primary endpoint, improvement in FEV1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87" w:lineRule="exact"/>
        <w:rPr>
          <w:sz w:val="20"/>
          <w:szCs w:val="20"/>
          <w:color w:val="auto"/>
        </w:rPr>
      </w:pPr>
    </w:p>
    <w:p>
      <w:pPr>
        <w:ind w:right="160" w:firstLine="644"/>
        <w:spacing w:after="0" w:line="263" w:lineRule="auto"/>
        <w:rPr>
          <w:sz w:val="20"/>
          <w:szCs w:val="20"/>
          <w:color w:val="auto"/>
        </w:rPr>
      </w:pPr>
      <w:r>
        <w:rPr>
          <w:rFonts w:ascii="Arial" w:cs="Arial" w:eastAsia="Arial" w:hAnsi="Arial"/>
          <w:sz w:val="18"/>
          <w:szCs w:val="18"/>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primary endpoint in a pivotal trial.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71" w:lineRule="exact"/>
        <w:rPr>
          <w:sz w:val="20"/>
          <w:szCs w:val="20"/>
          <w:color w:val="auto"/>
        </w:rPr>
      </w:pPr>
    </w:p>
    <w:p>
      <w:pPr>
        <w:ind w:right="20" w:firstLine="660"/>
        <w:spacing w:after="0" w:line="270" w:lineRule="auto"/>
        <w:rPr>
          <w:sz w:val="20"/>
          <w:szCs w:val="20"/>
          <w:color w:val="auto"/>
        </w:rPr>
      </w:pPr>
      <w:r>
        <w:rPr>
          <w:rFonts w:ascii="Arial" w:cs="Arial" w:eastAsia="Arial" w:hAnsi="Arial"/>
          <w:sz w:val="17"/>
          <w:szCs w:val="17"/>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the treatment of idiopathic pulmonary fibrosis (IPF).</w:t>
      </w:r>
    </w:p>
    <w:p>
      <w:pPr>
        <w:spacing w:after="0" w:line="100" w:lineRule="exact"/>
        <w:rPr>
          <w:sz w:val="20"/>
          <w:szCs w:val="20"/>
          <w:color w:val="auto"/>
        </w:rPr>
      </w:pPr>
    </w:p>
    <w:p>
      <w:pPr>
        <w:ind w:right="200" w:firstLine="636"/>
        <w:spacing w:after="0" w:line="308"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46" w:lineRule="exact"/>
        <w:rPr>
          <w:sz w:val="20"/>
          <w:szCs w:val="20"/>
          <w:color w:val="auto"/>
        </w:rPr>
      </w:pPr>
    </w:p>
    <w:p>
      <w:pPr>
        <w:ind w:firstLine="660"/>
        <w:spacing w:after="0" w:line="272" w:lineRule="auto"/>
        <w:rPr>
          <w:sz w:val="20"/>
          <w:szCs w:val="20"/>
          <w:color w:val="auto"/>
        </w:rPr>
      </w:pP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Nonalcoholic steatohepatitis (NASH) is a condition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1.5-6.5%, and an additional 24% of adult Americans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NASH.</w:t>
      </w:r>
    </w:p>
    <w:p>
      <w:pPr>
        <w:spacing w:after="0" w:line="96" w:lineRule="exact"/>
        <w:rPr>
          <w:sz w:val="20"/>
          <w:szCs w:val="20"/>
          <w:color w:val="auto"/>
        </w:rPr>
      </w:pPr>
    </w:p>
    <w:p>
      <w:pPr>
        <w:ind w:right="40" w:firstLine="646"/>
        <w:spacing w:after="0" w:line="268" w:lineRule="auto"/>
        <w:rPr>
          <w:sz w:val="20"/>
          <w:szCs w:val="20"/>
          <w:color w:val="auto"/>
        </w:rPr>
      </w:pPr>
      <w:r>
        <w:rPr>
          <w:rFonts w:ascii="Arial" w:cs="Arial" w:eastAsia="Arial" w:hAnsi="Arial"/>
          <w:sz w:val="17"/>
          <w:szCs w:val="17"/>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staining area was significantly reduced in the MN-001 (tipelukast)-treated group (p&lt;0.001). Collectively, these results provided compelling evidence that MN-001 (tipelukast) warrants further evaluation for the treatment of NASH in humans.</w:t>
      </w:r>
    </w:p>
    <w:p>
      <w:pPr>
        <w:spacing w:after="0" w:line="170" w:lineRule="exact"/>
        <w:rPr>
          <w:sz w:val="20"/>
          <w:szCs w:val="20"/>
          <w:color w:val="auto"/>
        </w:rPr>
      </w:pPr>
    </w:p>
    <w:p>
      <w:pPr>
        <w:ind w:right="20" w:firstLine="660"/>
        <w:spacing w:after="0" w:line="271" w:lineRule="auto"/>
        <w:rPr>
          <w:sz w:val="20"/>
          <w:szCs w:val="20"/>
          <w:color w:val="auto"/>
        </w:rPr>
      </w:pPr>
      <w:r>
        <w:rPr>
          <w:rFonts w:ascii="Arial" w:cs="Arial" w:eastAsia="Arial" w:hAnsi="Arial"/>
          <w:sz w:val="17"/>
          <w:szCs w:val="17"/>
          <w:color w:val="auto"/>
        </w:rPr>
        <w:t>We have an open IND and the FDA has approved two different Phase 2 clinical trial protocols for MN-001 (tipelukast) for the treatment of NASH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MN-001 (tipelukast) significantly reduced mean serum triglycerides by 135.7 mg/dL, resulting in a 41.3% reduction (p=0.02), which includes the data from the 15 subjects who completed 8 weeks of treatment. Excluding one outlier with an extremely high triglyceride level of 1288 mg/dL before treatment, MN-001 (tipelukast) significantly reduced mean serum triglycerides by 74.9 mg/dL, resulting in a 28.8% reduction (p=0.00006). The FDA has granted Fast Track designation to MN-001 (tipelukast) for the treatment of patients with NASH with fibrosis.</w:t>
      </w:r>
    </w:p>
    <w:p>
      <w:pPr>
        <w:spacing w:after="0" w:line="178" w:lineRule="exact"/>
        <w:rPr>
          <w:sz w:val="20"/>
          <w:szCs w:val="20"/>
          <w:color w:val="auto"/>
        </w:rPr>
      </w:pPr>
    </w:p>
    <w:p>
      <w:pPr>
        <w:ind w:right="80" w:firstLine="660"/>
        <w:spacing w:after="0" w:line="268" w:lineRule="auto"/>
        <w:rPr>
          <w:sz w:val="20"/>
          <w:szCs w:val="20"/>
          <w:color w:val="auto"/>
        </w:rPr>
      </w:pPr>
      <w:r>
        <w:rPr>
          <w:rFonts w:ascii="Arial" w:cs="Arial" w:eastAsia="Arial" w:hAnsi="Arial"/>
          <w:sz w:val="17"/>
          <w:szCs w:val="17"/>
          <w:color w:val="auto"/>
        </w:rPr>
        <w:t>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338" w:lineRule="exact"/>
        <w:rPr>
          <w:sz w:val="20"/>
          <w:szCs w:val="20"/>
          <w:color w:val="auto"/>
        </w:rPr>
      </w:pPr>
    </w:p>
    <w:p>
      <w:pPr>
        <w:ind w:right="260" w:firstLine="633"/>
        <w:spacing w:after="0" w:line="257" w:lineRule="auto"/>
        <w:rPr>
          <w:sz w:val="20"/>
          <w:szCs w:val="20"/>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Pulmonary fibrosis (PF) is a progressive disease characterized by scarring of the lungs that thickens the</w:t>
      </w:r>
      <w:r>
        <w:rPr>
          <w:rFonts w:ascii="Arial" w:cs="Arial" w:eastAsia="Arial" w:hAnsi="Arial"/>
          <w:sz w:val="18"/>
          <w:szCs w:val="18"/>
          <w:i w:val="1"/>
          <w:iCs w:val="1"/>
          <w:color w:val="auto"/>
        </w:rPr>
        <w:t xml:space="preserve"> </w:t>
      </w:r>
      <w:r>
        <w:rPr>
          <w:rFonts w:ascii="Arial" w:cs="Arial" w:eastAsia="Arial" w:hAnsi="Arial"/>
          <w:sz w:val="18"/>
          <w:szCs w:val="18"/>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93" w:lineRule="exact"/>
        <w:rPr>
          <w:sz w:val="20"/>
          <w:szCs w:val="20"/>
          <w:color w:val="auto"/>
        </w:rPr>
      </w:pPr>
    </w:p>
    <w:p>
      <w:pPr>
        <w:ind w:right="160" w:firstLine="636"/>
        <w:spacing w:after="0" w:line="254" w:lineRule="auto"/>
        <w:rPr>
          <w:sz w:val="20"/>
          <w:szCs w:val="20"/>
          <w:color w:val="auto"/>
        </w:rPr>
      </w:pPr>
      <w:r>
        <w:rPr>
          <w:rFonts w:ascii="Arial" w:cs="Arial" w:eastAsia="Arial" w:hAnsi="Arial"/>
          <w:sz w:val="18"/>
          <w:szCs w:val="18"/>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the Vehicle-treated group (p&lt;0.05) after two weeks of treatment and MN-001 (tipelukast) reduced lung density when compared to the Vehicle-treated group. Moreover, lung hydroxyproline content was significantly reduced compared to the Vehicle-treated group (p&lt;0.01). These results show that treatment with MN-001 (tipelukast) has significant anti-fibrogenic effects in bleomycin-induced pulmonary fibrosis in mice.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ind w:right="100" w:firstLine="660"/>
        <w:spacing w:after="0" w:line="290" w:lineRule="auto"/>
        <w:rPr>
          <w:sz w:val="20"/>
          <w:szCs w:val="20"/>
          <w:color w:val="auto"/>
        </w:rPr>
      </w:pPr>
      <w:r>
        <w:rPr>
          <w:rFonts w:ascii="Arial" w:cs="Arial" w:eastAsia="Arial" w:hAnsi="Arial"/>
          <w:sz w:val="16"/>
          <w:szCs w:val="16"/>
          <w:color w:val="auto"/>
        </w:rPr>
        <w:t>We have an open IND and the FDA approved a Phase 2 clinical trial protocol for MN-001 (tipelukast) for the treatment of IPF. A Phase 2 clinical trial of MN-001 (tipelukast) in IPF was completed at Penn State and we announced results of this trial in August 2021. Although there were no clinically meaningful trends in favor of MN-001 (tipelukast) for the majority of the clinical outcome measures in this small study of 15 subjects,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71" w:lineRule="exact"/>
        <w:rPr>
          <w:sz w:val="20"/>
          <w:szCs w:val="20"/>
          <w:color w:val="auto"/>
        </w:rPr>
      </w:pPr>
    </w:p>
    <w:p>
      <w:pPr>
        <w:ind w:right="240" w:firstLine="643"/>
        <w:spacing w:after="0" w:line="259" w:lineRule="auto"/>
        <w:rPr>
          <w:sz w:val="20"/>
          <w:szCs w:val="20"/>
          <w:color w:val="auto"/>
        </w:rPr>
      </w:pPr>
      <w:r>
        <w:rPr>
          <w:rFonts w:ascii="Arial" w:cs="Arial" w:eastAsia="Arial" w:hAnsi="Arial"/>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92" w:lineRule="exact"/>
        <w:rPr>
          <w:sz w:val="20"/>
          <w:szCs w:val="20"/>
          <w:color w:val="auto"/>
        </w:rPr>
      </w:pPr>
    </w:p>
    <w:p>
      <w:pPr>
        <w:ind w:right="120" w:firstLine="660"/>
        <w:spacing w:after="0" w:line="254" w:lineRule="auto"/>
        <w:rPr>
          <w:sz w:val="20"/>
          <w:szCs w:val="20"/>
          <w:color w:val="auto"/>
        </w:rPr>
      </w:pPr>
      <w:r>
        <w:rPr>
          <w:rFonts w:ascii="Arial" w:cs="Arial" w:eastAsia="Arial" w:hAnsi="Arial"/>
          <w:sz w:val="18"/>
          <w:szCs w:val="18"/>
          <w:color w:val="auto"/>
        </w:rPr>
        <w:t>Several preclinical pharmacology studies have assessed the mechanism of action and anti-tumor activity of MN-029 (denibulin) in vivo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95" w:lineRule="exact"/>
        <w:rPr>
          <w:sz w:val="20"/>
          <w:szCs w:val="20"/>
          <w:color w:val="auto"/>
        </w:rPr>
      </w:pPr>
    </w:p>
    <w:p>
      <w:pPr>
        <w:ind w:right="20" w:firstLine="644"/>
        <w:spacing w:after="0" w:line="291" w:lineRule="auto"/>
        <w:rPr>
          <w:sz w:val="20"/>
          <w:szCs w:val="20"/>
          <w:color w:val="auto"/>
        </w:rPr>
      </w:pPr>
      <w:r>
        <w:rPr>
          <w:rFonts w:ascii="Arial" w:cs="Arial" w:eastAsia="Arial" w:hAnsi="Arial"/>
          <w:sz w:val="16"/>
          <w:szCs w:val="16"/>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Arial" w:cs="Arial" w:eastAsia="Arial" w:hAnsi="Arial"/>
          <w:sz w:val="13"/>
          <w:szCs w:val="13"/>
          <w:color w:val="auto"/>
        </w:rPr>
        <w:t>2</w:t>
      </w:r>
      <w:r>
        <w:rPr>
          <w:rFonts w:ascii="Arial" w:cs="Arial" w:eastAsia="Arial" w:hAnsi="Arial"/>
          <w:sz w:val="16"/>
          <w:szCs w:val="16"/>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 - 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Arial" w:cs="Arial" w:eastAsia="Arial" w:hAnsi="Arial"/>
          <w:sz w:val="13"/>
          <w:szCs w:val="13"/>
          <w:color w:val="auto"/>
        </w:rPr>
        <w:t>2</w:t>
      </w:r>
      <w:r>
        <w:rPr>
          <w:rFonts w:ascii="Arial" w:cs="Arial" w:eastAsia="Arial" w:hAnsi="Arial"/>
          <w:sz w:val="16"/>
          <w:szCs w:val="16"/>
          <w:color w:val="auto"/>
        </w:rPr>
        <w:t>. Nine patients continued into extended cycles of treatment.</w:t>
      </w:r>
    </w:p>
    <w:p>
      <w:pPr>
        <w:spacing w:after="0" w:line="166" w:lineRule="exact"/>
        <w:rPr>
          <w:sz w:val="20"/>
          <w:szCs w:val="20"/>
          <w:color w:val="auto"/>
        </w:rPr>
      </w:pPr>
    </w:p>
    <w:p>
      <w:pPr>
        <w:ind w:firstLine="660"/>
        <w:spacing w:after="0" w:line="271"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the study drug. The most common AEs considered related to the study drug were vomiting, nausea, arthralgia and headache. There were no clinically significant changes in routine laboratory assessments, vital signs, or ECG monitoring. There was one SAE considered unrelated to the study drug. Consistent with the previous Phase 1 trial, MN-029 (denibulin) up to dose levels of 180 mg/m2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20" w:firstLine="660"/>
        <w:spacing w:after="0" w:line="259" w:lineRule="auto"/>
        <w:rPr>
          <w:sz w:val="20"/>
          <w:szCs w:val="20"/>
          <w:color w:val="auto"/>
        </w:rPr>
      </w:pPr>
      <w:r>
        <w:rPr>
          <w:rFonts w:ascii="Arial" w:cs="Arial" w:eastAsia="Arial" w:hAnsi="Arial"/>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Table 1: MN-166 (ibudilast) Clinical Trials and Programs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Indication</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Clinical Study</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Institution and Funding Agency(s)</w:t>
            </w:r>
          </w:p>
        </w:tc>
        <w:tc>
          <w:tcPr>
            <w:tcW w:w="2140" w:type="dxa"/>
            <w:vAlign w:val="bottom"/>
          </w:tcPr>
          <w:p>
            <w:pPr>
              <w:spacing w:after="0"/>
              <w:rPr>
                <w:sz w:val="20"/>
                <w:szCs w:val="20"/>
                <w:color w:val="auto"/>
              </w:rPr>
            </w:pPr>
            <w:r>
              <w:rPr>
                <w:rFonts w:ascii="Arial" w:cs="Arial" w:eastAsia="Arial" w:hAnsi="Arial"/>
                <w:sz w:val="18"/>
                <w:szCs w:val="18"/>
                <w:color w:val="auto"/>
              </w:rPr>
              <w:t>Status</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411"/>
        </w:trPr>
        <w:tc>
          <w:tcPr>
            <w:tcW w:w="2040" w:type="dxa"/>
            <w:vAlign w:val="bottom"/>
          </w:tcPr>
          <w:p>
            <w:pPr>
              <w:spacing w:after="0"/>
              <w:rPr>
                <w:sz w:val="20"/>
                <w:szCs w:val="20"/>
                <w:color w:val="auto"/>
              </w:rPr>
            </w:pPr>
            <w:r>
              <w:rPr>
                <w:rFonts w:ascii="Arial" w:cs="Arial" w:eastAsia="Arial" w:hAnsi="Arial"/>
                <w:sz w:val="18"/>
                <w:szCs w:val="18"/>
                <w:color w:val="auto"/>
              </w:rPr>
              <w:t>COVID-19</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A Randomized, Double-Blind, Placebo-</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Multicenter</w:t>
            </w:r>
          </w:p>
        </w:tc>
        <w:tc>
          <w:tcPr>
            <w:tcW w:w="2140" w:type="dxa"/>
            <w:vAlign w:val="bottom"/>
          </w:tcPr>
          <w:p>
            <w:pPr>
              <w:spacing w:after="0"/>
              <w:rPr>
                <w:sz w:val="20"/>
                <w:szCs w:val="20"/>
                <w:color w:val="auto"/>
              </w:rPr>
            </w:pPr>
            <w:r>
              <w:rPr>
                <w:rFonts w:ascii="Arial" w:cs="Arial" w:eastAsia="Arial" w:hAnsi="Arial"/>
                <w:sz w:val="18"/>
                <w:szCs w:val="18"/>
                <w:color w:val="auto"/>
              </w:rPr>
              <w:t>Ongoing</w:t>
            </w: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4"/>
              </w:rPr>
              <w:t>Controlled, Parallel Group Study to Evaluate</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MediciNova, Inc.</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4"/>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8"/>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4"/>
        </w:trPr>
        <w:tc>
          <w:tcPr>
            <w:tcW w:w="2040" w:type="dxa"/>
            <w:vAlign w:val="bottom"/>
          </w:tcPr>
          <w:p>
            <w:pPr>
              <w:spacing w:after="0"/>
              <w:rPr>
                <w:sz w:val="24"/>
                <w:szCs w:val="24"/>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Tolerability and Activity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Primary Progressive and</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166) in Subjects with Progressive Multiple</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Cleveland Clinic / Multicenter</w:t>
            </w:r>
          </w:p>
        </w:tc>
        <w:tc>
          <w:tcPr>
            <w:tcW w:w="2140" w:type="dxa"/>
            <w:vAlign w:val="bottom"/>
          </w:tcPr>
          <w:p>
            <w:pPr>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Secondary Progressive</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Sclerosis</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National Institute on Neurological Diseases</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Multiple Sclerosis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and Stroke</w:t>
            </w: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MediciNova, Inc.</w:t>
            </w:r>
          </w:p>
        </w:tc>
        <w:tc>
          <w:tcPr>
            <w:tcW w:w="2140" w:type="dxa"/>
            <w:vAlign w:val="bottom"/>
          </w:tcPr>
          <w:p>
            <w:pPr>
              <w:spacing w:after="0"/>
              <w:rPr>
                <w:sz w:val="20"/>
                <w:szCs w:val="20"/>
                <w:color w:val="auto"/>
              </w:rPr>
            </w:pPr>
          </w:p>
        </w:tc>
      </w:tr>
      <w:tr>
        <w:trPr>
          <w:trHeight w:val="634"/>
        </w:trPr>
        <w:tc>
          <w:tcPr>
            <w:tcW w:w="2040" w:type="dxa"/>
            <w:vAlign w:val="bottom"/>
          </w:tcPr>
          <w:p>
            <w:pPr>
              <w:spacing w:after="0"/>
              <w:rPr>
                <w:sz w:val="20"/>
                <w:szCs w:val="20"/>
                <w:color w:val="auto"/>
              </w:rPr>
            </w:pPr>
            <w:r>
              <w:rPr>
                <w:rFonts w:ascii="Arial" w:cs="Arial" w:eastAsia="Arial" w:hAnsi="Arial"/>
                <w:sz w:val="18"/>
                <w:szCs w:val="18"/>
                <w:color w:val="auto"/>
              </w:rPr>
              <w:t>Amyotrophic Lateral</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3"/>
              </w:rPr>
              <w:t>A Single-Center, Randomized, Double-Blind,</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w w:val="95"/>
              </w:rPr>
              <w:t>Carolinas HealthCare System Neurosciences</w:t>
            </w:r>
          </w:p>
        </w:tc>
        <w:tc>
          <w:tcPr>
            <w:tcW w:w="2140" w:type="dxa"/>
            <w:vAlign w:val="bottom"/>
          </w:tcPr>
          <w:p>
            <w:pPr>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Sclerosis (ALS)</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6"/>
              </w:rPr>
              <w:t>Placebo-Controlled, Six Month Clinical Trial</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Institute</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Followed by an Open-Label Extension to</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MediciNova, Inc.</w:t>
            </w: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3"/>
              </w:rPr>
              <w:t>Evaluate the Safety, Tolerability, and Clinical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w w:val="96"/>
              </w:rPr>
              <w:t>Endpoint Responsiveness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166) in Subjects with Amyotrophic Lateral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782"/>
        </w:trPr>
        <w:tc>
          <w:tcPr>
            <w:tcW w:w="2040" w:type="dxa"/>
            <w:vAlign w:val="bottom"/>
          </w:tcPr>
          <w:p>
            <w:pPr>
              <w:spacing w:after="0"/>
              <w:rPr>
                <w:sz w:val="20"/>
                <w:szCs w:val="20"/>
                <w:color w:val="auto"/>
              </w:rPr>
            </w:pPr>
            <w:r>
              <w:rPr>
                <w:rFonts w:ascii="Arial" w:cs="Arial" w:eastAsia="Arial" w:hAnsi="Arial"/>
                <w:sz w:val="18"/>
                <w:szCs w:val="18"/>
                <w:color w:val="auto"/>
              </w:rPr>
              <w:t>ALS / Biomarker</w:t>
            </w: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A Biomarker Study to Evaluate MN-166</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Massachusetts General Hospital</w:t>
            </w:r>
          </w:p>
        </w:tc>
        <w:tc>
          <w:tcPr>
            <w:tcW w:w="2140" w:type="dxa"/>
            <w:vAlign w:val="bottom"/>
          </w:tcPr>
          <w:p>
            <w:pPr>
              <w:spacing w:after="0"/>
              <w:rPr>
                <w:sz w:val="20"/>
                <w:szCs w:val="20"/>
                <w:color w:val="auto"/>
              </w:rPr>
            </w:pPr>
            <w:r>
              <w:rPr>
                <w:rFonts w:ascii="Arial" w:cs="Arial" w:eastAsia="Arial" w:hAnsi="Arial"/>
                <w:sz w:val="18"/>
                <w:szCs w:val="18"/>
                <w:color w:val="auto"/>
              </w:rPr>
              <w:t>Completed</w:t>
            </w:r>
          </w:p>
        </w:tc>
      </w:tr>
      <w:tr>
        <w:trPr>
          <w:trHeight w:val="216"/>
        </w:trPr>
        <w:tc>
          <w:tcPr>
            <w:tcW w:w="2040" w:type="dxa"/>
            <w:vAlign w:val="bottom"/>
          </w:tcPr>
          <w:p>
            <w:pPr>
              <w:spacing w:after="0"/>
              <w:rPr>
                <w:sz w:val="18"/>
                <w:szCs w:val="18"/>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(ibudilast) in Subjects with Amyotrophic</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MediciNova, Inc.</w:t>
            </w:r>
          </w:p>
        </w:tc>
        <w:tc>
          <w:tcPr>
            <w:tcW w:w="21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3480" w:type="dxa"/>
            <w:vAlign w:val="bottom"/>
            <w:gridSpan w:val="2"/>
          </w:tcPr>
          <w:p>
            <w:pPr>
              <w:ind w:left="120"/>
              <w:spacing w:after="0"/>
              <w:rPr>
                <w:sz w:val="20"/>
                <w:szCs w:val="20"/>
                <w:color w:val="auto"/>
              </w:rPr>
            </w:pPr>
            <w:r>
              <w:rPr>
                <w:rFonts w:ascii="Arial" w:cs="Arial" w:eastAsia="Arial" w:hAnsi="Arial"/>
                <w:sz w:val="18"/>
                <w:szCs w:val="18"/>
                <w:color w:val="auto"/>
              </w:rPr>
              <w:t>Literal 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6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tabs>
          <w:tab w:leader="none" w:pos="2140" w:val="left"/>
          <w:tab w:leader="none" w:pos="5620" w:val="left"/>
          <w:tab w:leader="none" w:pos="9080" w:val="left"/>
        </w:tabs>
        <w:rPr>
          <w:sz w:val="20"/>
          <w:szCs w:val="20"/>
          <w:color w:val="auto"/>
        </w:rPr>
      </w:pPr>
      <w:r>
        <w:rPr>
          <w:rFonts w:ascii="Arial" w:cs="Arial" w:eastAsia="Arial" w:hAnsi="Arial"/>
          <w:sz w:val="18"/>
          <w:szCs w:val="18"/>
          <w:color w:val="auto"/>
        </w:rPr>
        <w:t>Amyotrophic Lateral</w:t>
      </w:r>
      <w:r>
        <w:rPr>
          <w:sz w:val="20"/>
          <w:szCs w:val="20"/>
          <w:color w:val="auto"/>
        </w:rPr>
        <w:tab/>
      </w:r>
      <w:r>
        <w:rPr>
          <w:rFonts w:ascii="Arial" w:cs="Arial" w:eastAsia="Arial" w:hAnsi="Arial"/>
          <w:sz w:val="18"/>
          <w:szCs w:val="18"/>
          <w:color w:val="auto"/>
        </w:rPr>
        <w:t>A Phase 2b/3, Multi-Center, Randomized,</w:t>
      </w:r>
      <w:r>
        <w:rPr>
          <w:sz w:val="20"/>
          <w:szCs w:val="20"/>
          <w:color w:val="auto"/>
        </w:rPr>
        <w:tab/>
      </w:r>
      <w:r>
        <w:rPr>
          <w:rFonts w:ascii="Arial" w:cs="Arial" w:eastAsia="Arial" w:hAnsi="Arial"/>
          <w:sz w:val="18"/>
          <w:szCs w:val="18"/>
          <w:color w:val="auto"/>
        </w:rPr>
        <w:t>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tabs>
          <w:tab w:leader="none" w:pos="2140" w:val="left"/>
          <w:tab w:leader="none" w:pos="5620" w:val="left"/>
        </w:tabs>
        <w:rPr>
          <w:sz w:val="20"/>
          <w:szCs w:val="20"/>
          <w:color w:val="auto"/>
        </w:rPr>
      </w:pPr>
      <w:r>
        <w:rPr>
          <w:rFonts w:ascii="Arial" w:cs="Arial" w:eastAsia="Arial" w:hAnsi="Arial"/>
          <w:sz w:val="18"/>
          <w:szCs w:val="18"/>
          <w:color w:val="auto"/>
        </w:rPr>
        <w:t>Sclerosis (ALS)</w:t>
      </w:r>
      <w:r>
        <w:rPr>
          <w:sz w:val="20"/>
          <w:szCs w:val="20"/>
          <w:color w:val="auto"/>
        </w:rPr>
        <w:tab/>
      </w:r>
      <w:r>
        <w:rPr>
          <w:rFonts w:ascii="Arial" w:cs="Arial" w:eastAsia="Arial" w:hAnsi="Arial"/>
          <w:sz w:val="18"/>
          <w:szCs w:val="18"/>
          <w:color w:val="auto"/>
        </w:rPr>
        <w:t>Double-Blind, Placebo-Controlled, 12 Month</w:t>
      </w:r>
      <w:r>
        <w:rPr>
          <w:sz w:val="20"/>
          <w:szCs w:val="20"/>
          <w:color w:val="auto"/>
        </w:rPr>
        <w:tab/>
      </w:r>
      <w:r>
        <w:rPr>
          <w:rFonts w:ascii="Arial" w:cs="Arial" w:eastAsia="Arial" w:hAnsi="Arial"/>
          <w:sz w:val="17"/>
          <w:szCs w:val="17"/>
          <w:color w:val="auto"/>
        </w:rPr>
        <w:t>MediciNova, Inc.</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Clinical Trial to Evaluate the Efficacy and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Safety of MN-166 (ibudilast) Followed by an</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Open-Label Extension in Subjects with</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Amyotrophic Lateral Sclerosis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Degenerative Cervical</w:t>
      </w:r>
      <w:r>
        <w:rPr>
          <w:sz w:val="20"/>
          <w:szCs w:val="20"/>
          <w:color w:val="auto"/>
        </w:rPr>
        <w:tab/>
      </w:r>
      <w:r>
        <w:rPr>
          <w:rFonts w:ascii="Arial" w:cs="Arial" w:eastAsia="Arial" w:hAnsi="Arial"/>
          <w:sz w:val="16"/>
          <w:szCs w:val="16"/>
          <w:color w:val="auto"/>
        </w:rPr>
        <w:t>A multi-centre, double-blind, randomized,</w:t>
      </w:r>
    </w:p>
    <w:p>
      <w:pPr>
        <w:spacing w:after="0" w:line="23" w:lineRule="exact"/>
        <w:rPr>
          <w:sz w:val="20"/>
          <w:szCs w:val="20"/>
          <w:color w:val="auto"/>
        </w:rPr>
      </w:pPr>
    </w:p>
    <w:p>
      <w:pPr>
        <w:spacing w:after="0"/>
        <w:tabs>
          <w:tab w:leader="none" w:pos="2140" w:val="left"/>
        </w:tabs>
        <w:rPr>
          <w:sz w:val="20"/>
          <w:szCs w:val="20"/>
          <w:color w:val="auto"/>
        </w:rPr>
      </w:pPr>
      <w:r>
        <w:rPr>
          <w:rFonts w:ascii="Arial" w:cs="Arial" w:eastAsia="Arial" w:hAnsi="Arial"/>
          <w:sz w:val="16"/>
          <w:szCs w:val="16"/>
          <w:color w:val="auto"/>
        </w:rPr>
        <w:t>Myelopathy</w:t>
      </w:r>
      <w:r>
        <w:rPr>
          <w:sz w:val="20"/>
          <w:szCs w:val="20"/>
          <w:color w:val="auto"/>
        </w:rPr>
        <w:tab/>
      </w:r>
      <w:r>
        <w:rPr>
          <w:rFonts w:ascii="Arial" w:cs="Arial" w:eastAsia="Arial" w:hAnsi="Arial"/>
          <w:sz w:val="16"/>
          <w:szCs w:val="16"/>
          <w:color w:val="auto"/>
        </w:rPr>
        <w:t>placebo-controlled trial assessing the efficacy</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of Ibudilast as an adjuvant treatment to</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decompressive surgery for degenerative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cervical myelopathy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A pilot study evaluating the impact of</w:t>
      </w:r>
    </w:p>
    <w:p>
      <w:pPr>
        <w:spacing w:after="0" w:line="2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on prevention of chemotherapy-</w:t>
      </w:r>
    </w:p>
    <w:p>
      <w:pPr>
        <w:spacing w:after="0" w:line="9" w:lineRule="exact"/>
        <w:rPr>
          <w:sz w:val="20"/>
          <w:szCs w:val="20"/>
          <w:color w:val="auto"/>
        </w:rPr>
      </w:pPr>
    </w:p>
    <w:p>
      <w:pPr>
        <w:ind w:left="2160" w:right="40"/>
        <w:spacing w:after="0" w:line="302" w:lineRule="auto"/>
        <w:rPr>
          <w:sz w:val="20"/>
          <w:szCs w:val="20"/>
          <w:color w:val="auto"/>
        </w:rPr>
      </w:pPr>
      <w:r>
        <w:rPr>
          <w:rFonts w:ascii="Arial" w:cs="Arial" w:eastAsia="Arial" w:hAnsi="Arial"/>
          <w:sz w:val="16"/>
          <w:szCs w:val="16"/>
          <w:color w:val="auto"/>
        </w:rPr>
        <w:t>induced acute neurotoxicity and evaluating pharmacokinetics with oxaliplatin in gastro-intestinal cancer patients receiving oxaliplatin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Chemotherapy-Induced</w:t>
      </w:r>
      <w:r>
        <w:rPr>
          <w:sz w:val="20"/>
          <w:szCs w:val="20"/>
          <w:color w:val="auto"/>
        </w:rPr>
        <w:tab/>
      </w:r>
      <w:r>
        <w:rPr>
          <w:rFonts w:ascii="Arial" w:cs="Arial" w:eastAsia="Arial" w:hAnsi="Arial"/>
          <w:sz w:val="16"/>
          <w:szCs w:val="16"/>
          <w:color w:val="auto"/>
        </w:rPr>
        <w:t>Can Oxaliplatin neurotoxicity be reduced with</w:t>
      </w:r>
    </w:p>
    <w:p>
      <w:pPr>
        <w:spacing w:after="0" w:line="2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Peripheral Neuropathy</w:t>
      </w:r>
      <w:r>
        <w:rPr>
          <w:sz w:val="20"/>
          <w:szCs w:val="20"/>
          <w:color w:val="auto"/>
        </w:rPr>
        <w:tab/>
      </w:r>
      <w:r>
        <w:rPr>
          <w:rFonts w:ascii="Arial" w:cs="Arial" w:eastAsia="Arial" w:hAnsi="Arial"/>
          <w:sz w:val="16"/>
          <w:szCs w:val="16"/>
          <w:color w:val="auto"/>
        </w:rPr>
        <w:t>ibudilast in people with metastatic colorectal</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cancer – a phase II randomized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Glioblastoma</w:t>
      </w:r>
      <w:r>
        <w:rPr>
          <w:sz w:val="20"/>
          <w:szCs w:val="20"/>
          <w:color w:val="auto"/>
        </w:rPr>
        <w:tab/>
      </w:r>
      <w:r>
        <w:rPr>
          <w:rFonts w:ascii="Arial" w:cs="Arial" w:eastAsia="Arial" w:hAnsi="Arial"/>
          <w:sz w:val="17"/>
          <w:szCs w:val="17"/>
          <w:color w:val="auto"/>
        </w:rPr>
        <w:t>Phase 1b/2a Multi-center, Open-label, Dose</w:t>
      </w:r>
    </w:p>
    <w:p>
      <w:pPr>
        <w:spacing w:after="0" w:line="35" w:lineRule="exact"/>
        <w:rPr>
          <w:sz w:val="20"/>
          <w:szCs w:val="20"/>
          <w:color w:val="auto"/>
        </w:rPr>
      </w:pPr>
    </w:p>
    <w:p>
      <w:pPr>
        <w:ind w:left="2160" w:right="200"/>
        <w:spacing w:after="0" w:line="295" w:lineRule="auto"/>
        <w:rPr>
          <w:sz w:val="20"/>
          <w:szCs w:val="20"/>
          <w:color w:val="auto"/>
        </w:rPr>
      </w:pPr>
      <w:r>
        <w:rPr>
          <w:rFonts w:ascii="Arial" w:cs="Arial" w:eastAsia="Arial" w:hAnsi="Arial"/>
          <w:sz w:val="16"/>
          <w:szCs w:val="16"/>
          <w:color w:val="auto"/>
        </w:rPr>
        <w:t>Escalation Study to Evaluate the Safety, Tolerability and Efficacy of MN-166 (ibudilast) and Temozolomide Combination Treatment in Patients With Glioblastoma</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Substance Dependence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Cambridge / Multicenter</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for Health Research (NIHR)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Concord Cancer Centre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University of Sydney</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ind w:right="2300"/>
        <w:spacing w:after="0" w:line="260" w:lineRule="auto"/>
        <w:rPr>
          <w:sz w:val="20"/>
          <w:szCs w:val="20"/>
          <w:color w:val="auto"/>
        </w:rPr>
      </w:pPr>
      <w:r>
        <w:rPr>
          <w:rFonts w:ascii="Arial" w:cs="Arial" w:eastAsia="Arial" w:hAnsi="Arial"/>
          <w:sz w:val="18"/>
          <w:szCs w:val="18"/>
          <w:color w:val="auto"/>
        </w:rPr>
        <w:t>Australasian Gastro-Intestinal Trials Group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Dana-Farber Cancer Institute</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495" w:lineRule="exact"/>
        <w:rPr>
          <w:sz w:val="20"/>
          <w:szCs w:val="20"/>
          <w:color w:val="auto"/>
        </w:rPr>
      </w:pPr>
    </w:p>
    <w:p>
      <w:pPr>
        <w:sectPr>
          <w:pgSz w:w="11900" w:h="16838" w:orient="portrait"/>
          <w:cols w:equalWidth="0" w:num="2">
            <w:col w:w="5500" w:space="140"/>
            <w:col w:w="5600"/>
          </w:cols>
          <w:pgMar w:left="320" w:top="125" w:right="339" w:bottom="1440" w:gutter="0" w:footer="0" w:header="0"/>
          <w:type w:val="continuous"/>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Methamphetamine</w:t>
            </w:r>
          </w:p>
        </w:tc>
        <w:tc>
          <w:tcPr>
            <w:tcW w:w="3300" w:type="dxa"/>
            <w:vAlign w:val="bottom"/>
          </w:tcPr>
          <w:p>
            <w:pPr>
              <w:ind w:left="400"/>
              <w:spacing w:after="0"/>
              <w:rPr>
                <w:sz w:val="20"/>
                <w:szCs w:val="20"/>
                <w:color w:val="auto"/>
              </w:rPr>
            </w:pPr>
            <w:r>
              <w:rPr>
                <w:rFonts w:ascii="Arial" w:cs="Arial" w:eastAsia="Arial" w:hAnsi="Arial"/>
                <w:sz w:val="18"/>
                <w:szCs w:val="18"/>
                <w:color w:val="auto"/>
              </w:rPr>
              <w:t>Randomized Trial of Ibudilast for</w:t>
            </w:r>
          </w:p>
        </w:tc>
        <w:tc>
          <w:tcPr>
            <w:tcW w:w="3520" w:type="dxa"/>
            <w:vAlign w:val="bottom"/>
          </w:tcPr>
          <w:p>
            <w:pPr>
              <w:ind w:left="580"/>
              <w:spacing w:after="0"/>
              <w:rPr>
                <w:sz w:val="20"/>
                <w:szCs w:val="20"/>
                <w:color w:val="auto"/>
              </w:rPr>
            </w:pPr>
            <w:r>
              <w:rPr>
                <w:rFonts w:ascii="Arial" w:cs="Arial" w:eastAsia="Arial" w:hAnsi="Arial"/>
                <w:sz w:val="18"/>
                <w:szCs w:val="18"/>
                <w:color w:val="auto"/>
              </w:rPr>
              <w:t>UCLA</w:t>
            </w:r>
          </w:p>
        </w:tc>
        <w:tc>
          <w:tcPr>
            <w:tcW w:w="2660" w:type="dxa"/>
            <w:vAlign w:val="bottom"/>
          </w:tcPr>
          <w:p>
            <w:pPr>
              <w:ind w:left="520"/>
              <w:spacing w:after="0"/>
              <w:rPr>
                <w:sz w:val="20"/>
                <w:szCs w:val="20"/>
                <w:color w:val="auto"/>
              </w:rPr>
            </w:pPr>
            <w:r>
              <w:rPr>
                <w:rFonts w:ascii="Arial" w:cs="Arial" w:eastAsia="Arial" w:hAnsi="Arial"/>
                <w:sz w:val="18"/>
                <w:szCs w:val="18"/>
                <w:color w:val="auto"/>
              </w:rPr>
              <w:t>Completed</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Dependence</w:t>
            </w:r>
          </w:p>
        </w:tc>
        <w:tc>
          <w:tcPr>
            <w:tcW w:w="3300" w:type="dxa"/>
            <w:vAlign w:val="bottom"/>
          </w:tcPr>
          <w:p>
            <w:pPr>
              <w:ind w:left="400"/>
              <w:spacing w:after="0"/>
              <w:rPr>
                <w:sz w:val="20"/>
                <w:szCs w:val="20"/>
                <w:color w:val="auto"/>
              </w:rPr>
            </w:pPr>
            <w:r>
              <w:rPr>
                <w:rFonts w:ascii="Arial" w:cs="Arial" w:eastAsia="Arial" w:hAnsi="Arial"/>
                <w:sz w:val="18"/>
                <w:szCs w:val="18"/>
                <w:color w:val="auto"/>
              </w:rPr>
              <w:t>Methamphetamine Dependence</w:t>
            </w:r>
          </w:p>
        </w:tc>
        <w:tc>
          <w:tcPr>
            <w:tcW w:w="3520" w:type="dxa"/>
            <w:vAlign w:val="bottom"/>
          </w:tcPr>
          <w:p>
            <w:pPr>
              <w:ind w:left="580"/>
              <w:spacing w:after="0"/>
              <w:rPr>
                <w:sz w:val="20"/>
                <w:szCs w:val="20"/>
                <w:color w:val="auto"/>
              </w:rPr>
            </w:pPr>
            <w:r>
              <w:rPr>
                <w:rFonts w:ascii="Arial" w:cs="Arial" w:eastAsia="Arial" w:hAnsi="Arial"/>
                <w:sz w:val="18"/>
                <w:szCs w:val="18"/>
                <w:color w:val="auto"/>
              </w:rPr>
              <w:t>National Institute on Drug Abuse</w:t>
            </w:r>
          </w:p>
        </w:tc>
        <w:tc>
          <w:tcPr>
            <w:tcW w:w="2660" w:type="dxa"/>
            <w:vAlign w:val="bottom"/>
          </w:tcPr>
          <w:p>
            <w:pPr>
              <w:spacing w:after="0"/>
              <w:rPr>
                <w:sz w:val="20"/>
                <w:szCs w:val="20"/>
                <w:color w:val="auto"/>
              </w:rPr>
            </w:pPr>
          </w:p>
        </w:tc>
      </w:tr>
      <w:tr>
        <w:trPr>
          <w:trHeight w:val="891"/>
        </w:trPr>
        <w:tc>
          <w:tcPr>
            <w:tcW w:w="1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20" w:type="dxa"/>
            <w:vAlign w:val="bottom"/>
          </w:tcPr>
          <w:p>
            <w:pPr>
              <w:jc w:val="right"/>
              <w:ind w:right="2770"/>
              <w:spacing w:after="0"/>
              <w:rPr>
                <w:sz w:val="20"/>
                <w:szCs w:val="20"/>
                <w:color w:val="auto"/>
              </w:rPr>
            </w:pPr>
            <w:r>
              <w:rPr>
                <w:rFonts w:ascii="Arial" w:cs="Arial" w:eastAsia="Arial" w:hAnsi="Arial"/>
                <w:sz w:val="18"/>
                <w:szCs w:val="18"/>
                <w:color w:val="auto"/>
              </w:rPr>
              <w:t>21</w:t>
            </w:r>
          </w:p>
        </w:tc>
        <w:tc>
          <w:tcPr>
            <w:tcW w:w="2660" w:type="dxa"/>
            <w:vAlign w:val="bottom"/>
          </w:tcPr>
          <w:p>
            <w:pPr>
              <w:spacing w:after="0"/>
              <w:rPr>
                <w:sz w:val="24"/>
                <w:szCs w:val="24"/>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tabs>
          <w:tab w:leader="none" w:pos="2140" w:val="left"/>
        </w:tabs>
        <w:rPr>
          <w:sz w:val="20"/>
          <w:szCs w:val="20"/>
          <w:color w:val="auto"/>
        </w:rPr>
      </w:pPr>
      <w:r>
        <w:rPr>
          <w:rFonts w:ascii="Arial" w:cs="Arial" w:eastAsia="Arial" w:hAnsi="Arial"/>
          <w:sz w:val="17"/>
          <w:szCs w:val="17"/>
          <w:color w:val="auto"/>
        </w:rPr>
        <w:t>Methamphetamine</w:t>
      </w:r>
      <w:r>
        <w:rPr>
          <w:sz w:val="20"/>
          <w:szCs w:val="20"/>
          <w:color w:val="auto"/>
        </w:rPr>
        <w:tab/>
      </w:r>
      <w:r>
        <w:rPr>
          <w:rFonts w:ascii="Arial" w:cs="Arial" w:eastAsia="Arial" w:hAnsi="Arial"/>
          <w:sz w:val="17"/>
          <w:szCs w:val="17"/>
          <w:color w:val="auto"/>
        </w:rPr>
        <w:t>Effect of Ibudilast on Neuroinflammation in</w:t>
      </w:r>
    </w:p>
    <w:p>
      <w:pPr>
        <w:spacing w:after="0" w:line="3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Dependence / Biomarker</w:t>
      </w:r>
      <w:r>
        <w:rPr>
          <w:sz w:val="20"/>
          <w:szCs w:val="20"/>
          <w:color w:val="auto"/>
        </w:rPr>
        <w:tab/>
      </w:r>
      <w:r>
        <w:rPr>
          <w:rFonts w:ascii="Arial" w:cs="Arial" w:eastAsia="Arial" w:hAnsi="Arial"/>
          <w:sz w:val="16"/>
          <w:szCs w:val="16"/>
          <w:color w:val="auto"/>
        </w:rPr>
        <w:t>Methamphetamine Users</w:t>
      </w:r>
    </w:p>
    <w:p>
      <w:pPr>
        <w:spacing w:after="0" w:line="200" w:lineRule="exact"/>
        <w:rPr>
          <w:sz w:val="20"/>
          <w:szCs w:val="20"/>
          <w:color w:val="auto"/>
        </w:rPr>
      </w:pPr>
    </w:p>
    <w:p>
      <w:pPr>
        <w:spacing w:after="0" w:line="38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6"/>
          <w:szCs w:val="16"/>
          <w:color w:val="auto"/>
        </w:rPr>
        <w:t>Effects of Ibudilast (MN-166), a Glial</w:t>
      </w:r>
    </w:p>
    <w:p>
      <w:pPr>
        <w:spacing w:after="0" w:line="23" w:lineRule="exact"/>
        <w:rPr>
          <w:sz w:val="20"/>
          <w:szCs w:val="20"/>
          <w:color w:val="auto"/>
        </w:rPr>
      </w:pPr>
    </w:p>
    <w:p>
      <w:pPr>
        <w:ind w:left="2160" w:right="260"/>
        <w:spacing w:after="0" w:line="290" w:lineRule="auto"/>
        <w:rPr>
          <w:sz w:val="20"/>
          <w:szCs w:val="20"/>
          <w:color w:val="auto"/>
        </w:rPr>
      </w:pPr>
      <w:r>
        <w:rPr>
          <w:rFonts w:ascii="Arial" w:cs="Arial" w:eastAsia="Arial" w:hAnsi="Arial"/>
          <w:sz w:val="17"/>
          <w:szCs w:val="17"/>
          <w:color w:val="auto"/>
        </w:rPr>
        <w:t>Activation Inhibitor, on Oxycodone Self-Administration in Opioid Abusers</w:t>
      </w:r>
    </w:p>
    <w:p>
      <w:pPr>
        <w:spacing w:after="0" w:line="200" w:lineRule="exact"/>
        <w:rPr>
          <w:sz w:val="20"/>
          <w:szCs w:val="20"/>
          <w:color w:val="auto"/>
        </w:rPr>
      </w:pPr>
    </w:p>
    <w:p>
      <w:pPr>
        <w:spacing w:after="0" w:line="272"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Development of Ibudilast (MN-166) as</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 Novel Treatment for Alcoholism</w:t>
      </w:r>
    </w:p>
    <w:p>
      <w:pPr>
        <w:spacing w:after="0" w:line="200" w:lineRule="exact"/>
        <w:rPr>
          <w:sz w:val="20"/>
          <w:szCs w:val="20"/>
          <w:color w:val="auto"/>
        </w:rPr>
      </w:pPr>
    </w:p>
    <w:p>
      <w:pPr>
        <w:spacing w:after="0" w:line="294"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Alcohol Dependence and</w:t>
      </w:r>
      <w:r>
        <w:rPr>
          <w:sz w:val="20"/>
          <w:szCs w:val="20"/>
          <w:color w:val="auto"/>
        </w:rPr>
        <w:tab/>
      </w:r>
      <w:r>
        <w:rPr>
          <w:rFonts w:ascii="Arial" w:cs="Arial" w:eastAsia="Arial" w:hAnsi="Arial"/>
          <w:sz w:val="16"/>
          <w:szCs w:val="16"/>
          <w:color w:val="auto"/>
        </w:rPr>
        <w:t>Ibudilast (MN-166) and Withdrawal-Related</w:t>
      </w:r>
    </w:p>
    <w:p>
      <w:pPr>
        <w:spacing w:after="0" w:line="2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Withdrawal</w:t>
      </w:r>
      <w:r>
        <w:rPr>
          <w:sz w:val="20"/>
          <w:szCs w:val="20"/>
          <w:color w:val="auto"/>
        </w:rPr>
        <w:tab/>
      </w:r>
      <w:r>
        <w:rPr>
          <w:rFonts w:ascii="Arial" w:cs="Arial" w:eastAsia="Arial" w:hAnsi="Arial"/>
          <w:sz w:val="18"/>
          <w:szCs w:val="18"/>
          <w:color w:val="auto"/>
        </w:rPr>
        <w:t>Dysphoria</w:t>
      </w:r>
    </w:p>
    <w:p>
      <w:pPr>
        <w:spacing w:after="0" w:line="200" w:lineRule="exact"/>
        <w:rPr>
          <w:sz w:val="20"/>
          <w:szCs w:val="20"/>
          <w:color w:val="auto"/>
        </w:rPr>
      </w:pPr>
    </w:p>
    <w:p>
      <w:pPr>
        <w:spacing w:after="0" w:line="22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Ibudilast (MN-166) for the Treatment</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of Alcohol Use Disorder</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Arial" w:cs="Arial" w:eastAsia="Arial" w:hAnsi="Arial"/>
          <w:sz w:val="18"/>
          <w:szCs w:val="18"/>
          <w:color w:val="auto"/>
        </w:rPr>
        <w:t>Oregon Health &amp; Science University</w:t>
      </w:r>
      <w:r>
        <w:rPr>
          <w:sz w:val="20"/>
          <w:szCs w:val="20"/>
          <w:color w:val="auto"/>
        </w:rPr>
        <w:tab/>
      </w:r>
      <w:r>
        <w:rPr>
          <w:rFonts w:ascii="Arial" w:cs="Arial" w:eastAsia="Arial" w:hAnsi="Arial"/>
          <w:sz w:val="16"/>
          <w:szCs w:val="16"/>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Columbia University / NYSPI</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321"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78" w:lineRule="exact"/>
        <w:rPr>
          <w:sz w:val="20"/>
          <w:szCs w:val="20"/>
          <w:color w:val="auto"/>
        </w:rPr>
      </w:pPr>
    </w:p>
    <w:p>
      <w:pPr>
        <w:spacing w:after="0"/>
        <w:tabs>
          <w:tab w:leader="none" w:pos="3440" w:val="left"/>
        </w:tabs>
        <w:rPr>
          <w:sz w:val="20"/>
          <w:szCs w:val="20"/>
          <w:color w:val="auto"/>
        </w:rPr>
      </w:pPr>
      <w:r>
        <w:rPr>
          <w:rFonts w:ascii="Arial" w:cs="Arial" w:eastAsia="Arial" w:hAnsi="Arial"/>
          <w:sz w:val="16"/>
          <w:szCs w:val="16"/>
          <w:color w:val="auto"/>
        </w:rPr>
        <w:t>UCLA</w:t>
      </w:r>
      <w:r>
        <w:rPr>
          <w:sz w:val="20"/>
          <w:szCs w:val="20"/>
          <w:color w:val="auto"/>
        </w:rPr>
        <w:tab/>
      </w:r>
      <w:r>
        <w:rPr>
          <w:rFonts w:ascii="Arial" w:cs="Arial" w:eastAsia="Arial" w:hAnsi="Arial"/>
          <w:sz w:val="16"/>
          <w:szCs w:val="16"/>
          <w:color w:val="auto"/>
        </w:rPr>
        <w:t>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00" w:lineRule="exact"/>
        <w:rPr>
          <w:sz w:val="20"/>
          <w:szCs w:val="20"/>
          <w:color w:val="auto"/>
        </w:rPr>
      </w:pPr>
    </w:p>
    <w:p>
      <w:pPr>
        <w:spacing w:after="0" w:line="227"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UCLA</w:t>
      </w:r>
      <w:r>
        <w:rPr>
          <w:sz w:val="20"/>
          <w:szCs w:val="20"/>
          <w:color w:val="auto"/>
        </w:rPr>
        <w:tab/>
      </w:r>
      <w:r>
        <w:rPr>
          <w:rFonts w:ascii="Arial" w:cs="Arial" w:eastAsia="Arial" w:hAnsi="Arial"/>
          <w:sz w:val="18"/>
          <w:szCs w:val="18"/>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pacing w:after="0" w:line="200" w:lineRule="exact"/>
        <w:rPr>
          <w:sz w:val="20"/>
          <w:szCs w:val="20"/>
          <w:color w:val="auto"/>
        </w:rPr>
      </w:pPr>
    </w:p>
    <w:p>
      <w:pPr>
        <w:sectPr>
          <w:pgSz w:w="11900" w:h="16838" w:orient="portrait"/>
          <w:cols w:equalWidth="0" w:num="2">
            <w:col w:w="5380" w:space="260"/>
            <w:col w:w="5500"/>
          </w:cols>
          <w:pgMar w:left="320" w:top="125" w:right="4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right="100" w:firstLine="635"/>
        <w:spacing w:after="0" w:line="257" w:lineRule="auto"/>
        <w:rPr>
          <w:sz w:val="20"/>
          <w:szCs w:val="20"/>
          <w:color w:val="auto"/>
        </w:rPr>
      </w:pPr>
      <w:r>
        <w:rPr>
          <w:rFonts w:ascii="Arial" w:cs="Arial" w:eastAsia="Arial" w:hAnsi="Arial"/>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3"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For the MN-166 (ibudilast) development program, we have historically sourced and imported delayed-release ibudilast capsules, marketed in Japan as Pinatos</w:t>
      </w:r>
      <w:r>
        <w:rPr>
          <w:rFonts w:ascii="Arial" w:cs="Arial" w:eastAsia="Arial" w:hAnsi="Arial"/>
          <w:sz w:val="15"/>
          <w:szCs w:val="15"/>
          <w:color w:val="auto"/>
        </w:rPr>
        <w:t>®</w:t>
      </w:r>
      <w:r>
        <w:rPr>
          <w:rFonts w:ascii="Arial" w:cs="Arial" w:eastAsia="Arial" w:hAnsi="Arial"/>
          <w:sz w:val="18"/>
          <w:szCs w:val="18"/>
          <w:color w:val="auto"/>
        </w:rPr>
        <w:t>, from Taisho Pharmaceutical Co., Ltd. (Taisho). In addition, we use contract manufacturers to manufacture API and finished product for the MN-166 (ibudilast) development program.</w:t>
      </w:r>
    </w:p>
    <w:p>
      <w:pPr>
        <w:spacing w:after="0" w:line="76" w:lineRule="exact"/>
        <w:rPr>
          <w:sz w:val="20"/>
          <w:szCs w:val="20"/>
          <w:color w:val="auto"/>
        </w:rPr>
      </w:pPr>
    </w:p>
    <w:p>
      <w:pPr>
        <w:ind w:right="200" w:firstLine="643"/>
        <w:spacing w:after="0" w:line="259" w:lineRule="auto"/>
        <w:rPr>
          <w:sz w:val="20"/>
          <w:szCs w:val="20"/>
          <w:color w:val="auto"/>
        </w:rPr>
      </w:pPr>
      <w:r>
        <w:rPr>
          <w:rFonts w:ascii="Arial" w:cs="Arial" w:eastAsia="Arial" w:hAnsi="Arial"/>
          <w:sz w:val="18"/>
          <w:szCs w:val="18"/>
          <w:color w:val="auto"/>
        </w:rPr>
        <w:t>Pursuant to the terms of our license agreement with Kissei for MN-221 (bedoradrine), Kissei has the exclusive right to manufacture the commercial supply of the API for MN-221 (bedoradrine). If we enter into a supply agreement with Kissei, we will purchase from Kissei all API that we require for the commercial supply of MN-221 (bedoradrine), if this product candidate is approved for commercial sale by the FDA or other regulatory authorities.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89" w:lineRule="exact"/>
        <w:rPr>
          <w:sz w:val="20"/>
          <w:szCs w:val="20"/>
          <w:color w:val="auto"/>
        </w:rPr>
      </w:pPr>
    </w:p>
    <w:p>
      <w:pPr>
        <w:ind w:right="600" w:firstLine="639"/>
        <w:spacing w:after="0" w:line="277" w:lineRule="auto"/>
        <w:rPr>
          <w:sz w:val="20"/>
          <w:szCs w:val="20"/>
          <w:color w:val="auto"/>
        </w:rPr>
      </w:pPr>
      <w:r>
        <w:rPr>
          <w:rFonts w:ascii="Arial" w:cs="Arial" w:eastAsia="Arial" w:hAnsi="Arial"/>
          <w:sz w:val="18"/>
          <w:szCs w:val="18"/>
          <w:color w:val="auto"/>
        </w:rPr>
        <w:t>Since our inception in September 2000, we have entered into license agreements with pharmaceutical companies which cover our current product candidates. We have also entered into license agreements with</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2" w:name="page23"/>
    <w:bookmarkEnd w:id="22"/>
    <w:p>
      <w:pPr>
        <w:ind w:right="60"/>
        <w:spacing w:after="0" w:line="273" w:lineRule="auto"/>
        <w:rPr>
          <w:sz w:val="20"/>
          <w:szCs w:val="20"/>
          <w:color w:val="auto"/>
        </w:rPr>
      </w:pPr>
      <w:r>
        <w:rPr>
          <w:rFonts w:ascii="Arial" w:cs="Arial" w:eastAsia="Arial" w:hAnsi="Arial"/>
          <w:sz w:val="17"/>
          <w:szCs w:val="17"/>
          <w:color w:val="auto"/>
        </w:rPr>
        <w:t>universities which cover additional intellectual property related to our product candidates. In general, we seek to procure patent protection for our anticipated products, or obtain such protection from the relevant patents owned by our licensors. We hold 30 issued U.S. patents and have filed 12 additional U.S. patent applications. We also hold 66 issued foreign patents and 35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71" w:lineRule="exact"/>
        <w:rPr>
          <w:sz w:val="20"/>
          <w:szCs w:val="20"/>
          <w:color w:val="auto"/>
        </w:rPr>
      </w:pPr>
    </w:p>
    <w:p>
      <w:pPr>
        <w:ind w:right="40" w:firstLine="660"/>
        <w:spacing w:after="0" w:line="290" w:lineRule="auto"/>
        <w:rPr>
          <w:sz w:val="20"/>
          <w:szCs w:val="20"/>
          <w:color w:val="auto"/>
        </w:rPr>
      </w:pPr>
      <w:r>
        <w:rPr>
          <w:rFonts w:ascii="Arial" w:cs="Arial" w:eastAsia="Arial" w:hAnsi="Arial"/>
          <w:sz w:val="16"/>
          <w:szCs w:val="16"/>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84" w:lineRule="exact"/>
        <w:rPr>
          <w:sz w:val="20"/>
          <w:szCs w:val="20"/>
          <w:color w:val="auto"/>
        </w:rPr>
      </w:pPr>
    </w:p>
    <w:p>
      <w:pPr>
        <w:ind w:right="260" w:firstLine="639"/>
        <w:spacing w:after="0" w:line="263"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03" w:lineRule="exact"/>
        <w:rPr>
          <w:sz w:val="20"/>
          <w:szCs w:val="20"/>
          <w:color w:val="auto"/>
        </w:rPr>
      </w:pPr>
    </w:p>
    <w:p>
      <w:pPr>
        <w:ind w:firstLine="636"/>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41" w:lineRule="exact"/>
        <w:rPr>
          <w:sz w:val="20"/>
          <w:szCs w:val="20"/>
          <w:color w:val="auto"/>
        </w:rPr>
      </w:pPr>
    </w:p>
    <w:p>
      <w:pPr>
        <w:ind w:right="160" w:firstLine="640"/>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52" w:lineRule="exact"/>
        <w:rPr>
          <w:sz w:val="20"/>
          <w:szCs w:val="20"/>
          <w:color w:val="auto"/>
        </w:rPr>
      </w:pPr>
    </w:p>
    <w:p>
      <w:pPr>
        <w:ind w:right="480" w:firstLine="617"/>
        <w:spacing w:after="0" w:line="311" w:lineRule="auto"/>
        <w:rPr>
          <w:sz w:val="20"/>
          <w:szCs w:val="20"/>
          <w:color w:val="auto"/>
        </w:rPr>
      </w:pPr>
      <w:r>
        <w:rPr>
          <w:rFonts w:ascii="Arial" w:cs="Arial" w:eastAsia="Arial" w:hAnsi="Arial"/>
          <w:sz w:val="16"/>
          <w:szCs w:val="16"/>
          <w:color w:val="auto"/>
        </w:rPr>
        <w:t>We own, co-own or hold licenses to 13 issued U.S. patents and 11 pending U.S. patent applications as well as 31 issued foreign patents and 19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54" w:lineRule="exact"/>
        <w:rPr>
          <w:sz w:val="20"/>
          <w:szCs w:val="20"/>
          <w:color w:val="auto"/>
        </w:rPr>
      </w:pPr>
    </w:p>
    <w:p>
      <w:pPr>
        <w:ind w:right="60" w:firstLine="660"/>
        <w:spacing w:after="0" w:line="257" w:lineRule="auto"/>
        <w:rPr>
          <w:sz w:val="20"/>
          <w:szCs w:val="20"/>
          <w:color w:val="auto"/>
        </w:rPr>
      </w:pPr>
      <w:r>
        <w:rPr>
          <w:rFonts w:ascii="Arial" w:cs="Arial" w:eastAsia="Arial" w:hAnsi="Arial"/>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3" w:name="page24"/>
    <w:bookmarkEnd w:id="23"/>
    <w:p>
      <w:pPr>
        <w:ind w:right="80"/>
        <w:spacing w:after="0" w:line="270" w:lineRule="auto"/>
        <w:rPr>
          <w:sz w:val="20"/>
          <w:szCs w:val="20"/>
          <w:color w:val="auto"/>
        </w:rPr>
      </w:pPr>
      <w:r>
        <w:rPr>
          <w:rFonts w:ascii="Arial" w:cs="Arial" w:eastAsia="Arial" w:hAnsi="Arial"/>
          <w:sz w:val="17"/>
          <w:szCs w:val="17"/>
          <w:color w:val="auto"/>
        </w:rPr>
        <w:t>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We have been granted a U.S. patent which covers the use of MN-166 (ibudilast) as part of a combination treatment for glioblastoma and it expires no earlier than February 2039.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71" w:lineRule="exact"/>
        <w:rPr>
          <w:sz w:val="20"/>
          <w:szCs w:val="20"/>
          <w:color w:val="auto"/>
        </w:rPr>
      </w:pPr>
    </w:p>
    <w:p>
      <w:pPr>
        <w:ind w:right="140" w:firstLine="660"/>
        <w:spacing w:after="0" w:line="254" w:lineRule="auto"/>
        <w:rPr>
          <w:sz w:val="20"/>
          <w:szCs w:val="20"/>
          <w:color w:val="auto"/>
        </w:rPr>
      </w:pPr>
      <w:r>
        <w:rPr>
          <w:rFonts w:ascii="Arial" w:cs="Arial" w:eastAsia="Arial" w:hAnsi="Arial"/>
          <w:sz w:val="18"/>
          <w:szCs w:val="18"/>
          <w:color w:val="auto"/>
        </w:rPr>
        <w:t>On February 25, 2004, we entered into an exclusive license agreement with Kissei for the development and commercialization of MN-221 (bedoradrine). Kissei is a fully integrated Japanese pharmaceutical company and is listed on the Tokyo Stock Exchange. We obtained an exclusive, worldwide (excluding Japan), sub-licensable license to various patent rights and know-how related to MN-221 (bedoradrine)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United States composition of matter patent underlying the license issued on October 17, 2000 and it expired on February 18, 2017. All of the corresponding composition of matter patents in various other countries have also expired.</w:t>
      </w:r>
    </w:p>
    <w:p>
      <w:pPr>
        <w:spacing w:after="0" w:line="114" w:lineRule="exact"/>
        <w:rPr>
          <w:sz w:val="20"/>
          <w:szCs w:val="20"/>
          <w:color w:val="auto"/>
        </w:rPr>
      </w:pPr>
    </w:p>
    <w:p>
      <w:pPr>
        <w:ind w:right="160" w:firstLine="660"/>
        <w:spacing w:after="0" w:line="255" w:lineRule="auto"/>
        <w:rPr>
          <w:sz w:val="20"/>
          <w:szCs w:val="20"/>
          <w:color w:val="auto"/>
        </w:rPr>
      </w:pPr>
      <w:r>
        <w:rPr>
          <w:rFonts w:ascii="Arial" w:cs="Arial" w:eastAsia="Arial" w:hAnsi="Arial"/>
          <w:sz w:val="18"/>
          <w:szCs w:val="18"/>
          <w:color w:val="auto"/>
        </w:rPr>
        <w:t>In addition to the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98" w:lineRule="exact"/>
        <w:rPr>
          <w:sz w:val="20"/>
          <w:szCs w:val="20"/>
          <w:color w:val="auto"/>
        </w:rPr>
      </w:pPr>
    </w:p>
    <w:p>
      <w:pPr>
        <w:ind w:firstLine="660"/>
        <w:spacing w:after="0" w:line="263"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84" w:lineRule="exact"/>
        <w:rPr>
          <w:sz w:val="20"/>
          <w:szCs w:val="20"/>
          <w:color w:val="auto"/>
        </w:rPr>
      </w:pPr>
    </w:p>
    <w:p>
      <w:pPr>
        <w:ind w:right="260" w:firstLine="660"/>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3" w:lineRule="exact"/>
        <w:rPr>
          <w:sz w:val="20"/>
          <w:szCs w:val="20"/>
          <w:color w:val="auto"/>
        </w:rPr>
      </w:pPr>
    </w:p>
    <w:p>
      <w:pPr>
        <w:ind w:firstLine="660"/>
        <w:spacing w:after="0" w:line="259"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MN-001 (tipelukast)</w:t>
      </w:r>
    </w:p>
    <w:p>
      <w:pPr>
        <w:spacing w:after="0" w:line="171" w:lineRule="exact"/>
        <w:rPr>
          <w:sz w:val="20"/>
          <w:szCs w:val="20"/>
          <w:color w:val="auto"/>
        </w:rPr>
      </w:pPr>
    </w:p>
    <w:p>
      <w:pPr>
        <w:ind w:right="40" w:firstLine="646"/>
        <w:spacing w:after="0" w:line="269"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and 26 foreign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87" w:lineRule="exact"/>
        <w:rPr>
          <w:sz w:val="20"/>
          <w:szCs w:val="20"/>
          <w:color w:val="auto"/>
        </w:rPr>
      </w:pPr>
    </w:p>
    <w:p>
      <w:pPr>
        <w:ind w:right="260" w:firstLine="639"/>
        <w:spacing w:after="0" w:line="255" w:lineRule="auto"/>
        <w:rPr>
          <w:sz w:val="20"/>
          <w:szCs w:val="20"/>
          <w:color w:val="auto"/>
        </w:rPr>
      </w:pPr>
      <w:r>
        <w:rPr>
          <w:rFonts w:ascii="Arial" w:cs="Arial" w:eastAsia="Arial" w:hAnsi="Arial"/>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98" w:lineRule="exact"/>
        <w:rPr>
          <w:sz w:val="20"/>
          <w:szCs w:val="20"/>
          <w:color w:val="auto"/>
        </w:rPr>
      </w:pPr>
    </w:p>
    <w:p>
      <w:pPr>
        <w:ind w:right="100" w:firstLine="644"/>
        <w:spacing w:after="0" w:line="275"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82" w:lineRule="exact"/>
        <w:rPr>
          <w:sz w:val="20"/>
          <w:szCs w:val="20"/>
          <w:color w:val="auto"/>
        </w:rPr>
      </w:pPr>
    </w:p>
    <w:p>
      <w:pPr>
        <w:ind w:right="60" w:firstLine="642"/>
        <w:spacing w:after="0" w:line="277" w:lineRule="auto"/>
        <w:rPr>
          <w:sz w:val="20"/>
          <w:szCs w:val="20"/>
          <w:color w:val="auto"/>
        </w:rPr>
      </w:pPr>
      <w:r>
        <w:rPr>
          <w:rFonts w:ascii="Arial" w:cs="Arial" w:eastAsia="Arial" w:hAnsi="Arial"/>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71" w:lineRule="exact"/>
        <w:rPr>
          <w:sz w:val="20"/>
          <w:szCs w:val="20"/>
          <w:color w:val="auto"/>
        </w:rPr>
      </w:pPr>
    </w:p>
    <w:p>
      <w:pPr>
        <w:ind w:firstLine="646"/>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a privately held, British drug discovery company, for the development and commercialization of the ANG-600 series of compounds.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in some of those countries.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340" w:firstLine="642"/>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76" w:lineRule="exact"/>
        <w:rPr>
          <w:sz w:val="20"/>
          <w:szCs w:val="20"/>
          <w:color w:val="auto"/>
        </w:rPr>
      </w:pPr>
    </w:p>
    <w:p>
      <w:pPr>
        <w:ind w:right="20" w:firstLine="644"/>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or 15 years from the date of first commercial sale.</w:t>
      </w:r>
    </w:p>
    <w:p>
      <w:pPr>
        <w:spacing w:after="0" w:line="76" w:lineRule="exact"/>
        <w:rPr>
          <w:sz w:val="20"/>
          <w:szCs w:val="20"/>
          <w:color w:val="auto"/>
        </w:rPr>
      </w:pPr>
    </w:p>
    <w:p>
      <w:pPr>
        <w:ind w:right="220" w:firstLine="644"/>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firstLine="646"/>
        <w:spacing w:after="0" w:line="287"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73" w:lineRule="exact"/>
        <w:rPr>
          <w:sz w:val="20"/>
          <w:szCs w:val="20"/>
          <w:color w:val="auto"/>
        </w:rPr>
      </w:pPr>
    </w:p>
    <w:p>
      <w:pPr>
        <w:ind w:right="40" w:firstLine="644"/>
        <w:spacing w:after="0" w:line="271" w:lineRule="auto"/>
        <w:rPr>
          <w:sz w:val="20"/>
          <w:szCs w:val="20"/>
          <w:color w:val="auto"/>
        </w:rPr>
      </w:pPr>
      <w:r>
        <w:rPr>
          <w:rFonts w:ascii="Arial" w:cs="Arial" w:eastAsia="Arial" w:hAnsi="Arial"/>
          <w:sz w:val="17"/>
          <w:szCs w:val="17"/>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97" w:lineRule="exact"/>
        <w:rPr>
          <w:sz w:val="20"/>
          <w:szCs w:val="20"/>
          <w:color w:val="auto"/>
        </w:rPr>
      </w:pPr>
    </w:p>
    <w:p>
      <w:pPr>
        <w:ind w:right="80" w:firstLine="643"/>
        <w:spacing w:after="0" w:line="257"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ind w:right="2140"/>
        <w:spacing w:after="0" w:line="418" w:lineRule="auto"/>
        <w:rPr>
          <w:sz w:val="20"/>
          <w:szCs w:val="20"/>
          <w:color w:val="auto"/>
        </w:rPr>
      </w:pPr>
      <w:r>
        <w:rPr>
          <w:rFonts w:ascii="Arial" w:cs="Arial" w:eastAsia="Arial" w:hAnsi="Arial"/>
          <w:sz w:val="18"/>
          <w:szCs w:val="18"/>
          <w:color w:val="auto"/>
        </w:rPr>
        <w:t xml:space="preserve">clinical trials. Certain of our license agreements provide for reduced or foregone royalties in the event of generic competition. </w:t>
      </w:r>
      <w:r>
        <w:rPr>
          <w:rFonts w:ascii="Arial" w:cs="Arial" w:eastAsia="Arial" w:hAnsi="Arial"/>
          <w:sz w:val="18"/>
          <w:szCs w:val="18"/>
          <w:b w:val="1"/>
          <w:bCs w:val="1"/>
          <w:color w:val="auto"/>
        </w:rPr>
        <w:t>Competition</w:t>
      </w:r>
    </w:p>
    <w:p>
      <w:pPr>
        <w:spacing w:after="0" w:line="49" w:lineRule="exact"/>
        <w:rPr>
          <w:sz w:val="20"/>
          <w:szCs w:val="20"/>
          <w:color w:val="auto"/>
        </w:rPr>
      </w:pPr>
    </w:p>
    <w:p>
      <w:pPr>
        <w:ind w:firstLine="660"/>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0" w:lineRule="exact"/>
        <w:rPr>
          <w:sz w:val="20"/>
          <w:szCs w:val="20"/>
          <w:color w:val="auto"/>
        </w:rPr>
      </w:pPr>
    </w:p>
    <w:p>
      <w:pPr>
        <w:ind w:right="240" w:firstLine="637"/>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171" w:lineRule="exact"/>
        <w:rPr>
          <w:sz w:val="20"/>
          <w:szCs w:val="20"/>
          <w:color w:val="auto"/>
        </w:rPr>
      </w:pPr>
    </w:p>
    <w:p>
      <w:pPr>
        <w:ind w:right="120" w:firstLine="644"/>
        <w:spacing w:after="0" w:line="296" w:lineRule="auto"/>
        <w:rPr>
          <w:sz w:val="20"/>
          <w:szCs w:val="20"/>
          <w:color w:val="auto"/>
        </w:rPr>
      </w:pPr>
      <w:r>
        <w:rPr>
          <w:rFonts w:ascii="Arial" w:cs="Arial" w:eastAsia="Arial" w:hAnsi="Arial"/>
          <w:sz w:val="16"/>
          <w:szCs w:val="16"/>
          <w:color w:val="auto"/>
        </w:rPr>
        <w:t>Our MN-166 (ibudilast) product candidate is in development for the treatment of progressive MS. Mitoxantrone is approved for the treatment of secondary progressive MS but it cannot be used on a long-term basis because of the potential for cardiac toxicity. Mayzent (siponimod), Mavenclad (cladribine), Vumerity (diroximel fumarate), Zeposia (ozanimod), Kesimpta (ofatumumab), Bafiertam (monomethyl fumarate), and Ponvory (ponesimod) are approved for the treatment of secondary progressive MS with relapses. Ocrevus (ocrelizumab) is approved for the treatment of primary progressive MS. Other programs in clinical development for progressive MS include Sanofi’s tolebrutinib, Roche’s fenebrutinib, and AB Science’s masitinib.</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171" w:lineRule="exact"/>
        <w:rPr>
          <w:sz w:val="20"/>
          <w:szCs w:val="20"/>
          <w:color w:val="auto"/>
        </w:rPr>
      </w:pPr>
    </w:p>
    <w:p>
      <w:pPr>
        <w:ind w:right="360" w:firstLine="758"/>
        <w:spacing w:after="0" w:line="279" w:lineRule="auto"/>
        <w:rPr>
          <w:sz w:val="20"/>
          <w:szCs w:val="20"/>
          <w:color w:val="auto"/>
        </w:rPr>
      </w:pPr>
      <w:r>
        <w:rPr>
          <w:rFonts w:ascii="Arial" w:cs="Arial" w:eastAsia="Arial" w:hAnsi="Arial"/>
          <w:sz w:val="17"/>
          <w:szCs w:val="17"/>
          <w:color w:val="auto"/>
        </w:rPr>
        <w:t>Our MN-166 (ibudilast) product candidate is also in development for the treatment of ALS. Generic riluzole, which is also sold under the brand names Rilutek and Tiglutik, and Radicava (edaravone) are approved for the treatment of ALS. We are aware of additional compounds in clinical development for the treatment of ALS at other companies including Cytokinetics, BrainStorm Cell Therapeutics, AB Science, Biogen, Amylyx Pharmaceuticals, Ionis Pharmaceuticals, Alexion Pharmaceuticals, Biohaven Pharmaceuticals, and Clene.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171" w:lineRule="exact"/>
        <w:rPr>
          <w:sz w:val="20"/>
          <w:szCs w:val="20"/>
          <w:color w:val="auto"/>
        </w:rPr>
      </w:pPr>
    </w:p>
    <w:p>
      <w:pPr>
        <w:ind w:right="140" w:firstLine="646"/>
        <w:spacing w:after="0" w:line="255" w:lineRule="auto"/>
        <w:rPr>
          <w:sz w:val="20"/>
          <w:szCs w:val="20"/>
          <w:color w:val="auto"/>
        </w:rPr>
      </w:pPr>
      <w:r>
        <w:rPr>
          <w:rFonts w:ascii="Arial" w:cs="Arial" w:eastAsia="Arial" w:hAnsi="Arial"/>
          <w:sz w:val="18"/>
          <w:szCs w:val="18"/>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BioDelivery Sciences’s Bunavail (buprenorphine and naloxone), Titan Pharmaceuticals Inc.’s Probuphine (buprenorphine) implant, and Indivior’s Sublocade (buprenorphine extended-release injection). In December 2018, Braeburn announced tentative FDA approval of</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ind w:right="20"/>
        <w:spacing w:after="0" w:line="254" w:lineRule="auto"/>
        <w:rPr>
          <w:sz w:val="20"/>
          <w:szCs w:val="20"/>
          <w:color w:val="auto"/>
        </w:rPr>
      </w:pPr>
      <w:r>
        <w:rPr>
          <w:rFonts w:ascii="Arial" w:cs="Arial" w:eastAsia="Arial" w:hAnsi="Arial"/>
          <w:sz w:val="18"/>
          <w:szCs w:val="18"/>
          <w:color w:val="auto"/>
        </w:rPr>
        <w:t>BRIXADI, an extended-release weekly and monthly injectable buprenorphine product, for the treatment of moderate to severe opioid use disorder. In December 2021, Braeburn’s licensing partner Camurus AB announced that Braeburn received a Complete Response Letter from the FDA regarding its updated New Drug Application (NDA) for BRIXADI, which is a result of continued quality related deficiencies at Braeburn’s third-party manufacturer.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(disulfiram), Vivitrol (naltrexone), and generic acamprosate. We are aware of additional treatments in development for the treatment of alcohol dependence at other companies including Opiant Pharmaceuticals.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Chemotherapy-Induced Peripheral Neuropathy</w:t>
      </w:r>
    </w:p>
    <w:p>
      <w:pPr>
        <w:spacing w:after="0" w:line="225" w:lineRule="exact"/>
        <w:rPr>
          <w:sz w:val="20"/>
          <w:szCs w:val="20"/>
          <w:color w:val="auto"/>
        </w:rPr>
      </w:pPr>
    </w:p>
    <w:p>
      <w:pPr>
        <w:ind w:right="340" w:firstLine="628"/>
        <w:spacing w:after="0" w:line="263" w:lineRule="auto"/>
        <w:rPr>
          <w:sz w:val="20"/>
          <w:szCs w:val="20"/>
          <w:color w:val="auto"/>
        </w:rPr>
      </w:pPr>
      <w:r>
        <w:rPr>
          <w:rFonts w:ascii="Arial" w:cs="Arial" w:eastAsia="Arial" w:hAnsi="Arial"/>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Degenerative Cervical Myelopathy</w:t>
      </w:r>
    </w:p>
    <w:p>
      <w:pPr>
        <w:spacing w:after="0" w:line="171" w:lineRule="exact"/>
        <w:rPr>
          <w:sz w:val="20"/>
          <w:szCs w:val="20"/>
          <w:color w:val="auto"/>
        </w:rPr>
      </w:pPr>
    </w:p>
    <w:p>
      <w:pPr>
        <w:ind w:right="960" w:firstLine="636"/>
        <w:spacing w:after="0" w:line="277" w:lineRule="auto"/>
        <w:rPr>
          <w:sz w:val="20"/>
          <w:szCs w:val="20"/>
          <w:color w:val="auto"/>
        </w:rPr>
      </w:pPr>
      <w:r>
        <w:rPr>
          <w:rFonts w:ascii="Arial" w:cs="Arial" w:eastAsia="Arial" w:hAnsi="Arial"/>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Glioblastoma</w:t>
      </w:r>
    </w:p>
    <w:p>
      <w:pPr>
        <w:spacing w:after="0" w:line="171" w:lineRule="exact"/>
        <w:rPr>
          <w:sz w:val="20"/>
          <w:szCs w:val="20"/>
          <w:color w:val="auto"/>
        </w:rPr>
      </w:pPr>
    </w:p>
    <w:p>
      <w:pPr>
        <w:ind w:right="120" w:firstLine="752"/>
        <w:spacing w:after="0" w:line="257" w:lineRule="auto"/>
        <w:rPr>
          <w:sz w:val="20"/>
          <w:szCs w:val="20"/>
          <w:color w:val="auto"/>
        </w:rPr>
      </w:pPr>
      <w:r>
        <w:rPr>
          <w:rFonts w:ascii="Arial" w:cs="Arial" w:eastAsia="Arial" w:hAnsi="Arial"/>
          <w:sz w:val="18"/>
          <w:szCs w:val="18"/>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Bristol-Myers Squibb, Bayer, Kazia Therapeutics, Kintara Therapeutics, Denovo Biopharma, and Laminar Pharmaceuticals.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Prevention of Acute Respiratory Distress Syndrome (ARDS) in patients with COVID-19</w:t>
      </w:r>
    </w:p>
    <w:p>
      <w:pPr>
        <w:spacing w:after="0" w:line="225"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 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line="296" w:lineRule="auto"/>
        <w:rPr>
          <w:sz w:val="20"/>
          <w:szCs w:val="20"/>
          <w:color w:val="auto"/>
        </w:rPr>
      </w:pPr>
      <w:r>
        <w:rPr>
          <w:rFonts w:ascii="Arial" w:cs="Arial" w:eastAsia="Arial" w:hAnsi="Arial"/>
          <w:sz w:val="16"/>
          <w:szCs w:val="16"/>
          <w:color w:val="auto"/>
        </w:rPr>
        <w:t>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We are aware of additional treatments in development for the treatment of COVID-19 at other companies including Merck, Pfizer, Eli Lilly, Amgen, Eisai, and AstraZeneca.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171" w:lineRule="exact"/>
        <w:rPr>
          <w:sz w:val="20"/>
          <w:szCs w:val="20"/>
          <w:color w:val="auto"/>
        </w:rPr>
      </w:pPr>
    </w:p>
    <w:p>
      <w:pPr>
        <w:jc w:val="both"/>
        <w:ind w:right="480" w:firstLine="630"/>
        <w:spacing w:after="0" w:line="259" w:lineRule="auto"/>
        <w:rPr>
          <w:sz w:val="20"/>
          <w:szCs w:val="20"/>
          <w:color w:val="auto"/>
        </w:rPr>
      </w:pPr>
      <w:r>
        <w:rPr>
          <w:rFonts w:ascii="Arial" w:cs="Arial" w:eastAsia="Arial" w:hAnsi="Arial"/>
          <w:sz w:val="18"/>
          <w:szCs w:val="18"/>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w:t>
      </w:r>
    </w:p>
    <w:p>
      <w:pPr>
        <w:spacing w:after="0" w:line="171" w:lineRule="exact"/>
        <w:rPr>
          <w:sz w:val="20"/>
          <w:szCs w:val="20"/>
          <w:color w:val="auto"/>
        </w:rPr>
      </w:pPr>
    </w:p>
    <w:p>
      <w:pPr>
        <w:ind w:right="100" w:firstLine="646"/>
        <w:spacing w:after="0" w:line="311" w:lineRule="auto"/>
        <w:rPr>
          <w:sz w:val="20"/>
          <w:szCs w:val="20"/>
          <w:color w:val="auto"/>
        </w:rPr>
      </w:pPr>
      <w:r>
        <w:rPr>
          <w:rFonts w:ascii="Arial" w:cs="Arial" w:eastAsia="Arial" w:hAnsi="Arial"/>
          <w:sz w:val="16"/>
          <w:szCs w:val="16"/>
          <w:color w:val="auto"/>
        </w:rPr>
        <w:t>Our MN-001 (tipelukast) product candidate has been developed for the treatment of NASH. There are currently no therapeutic products approved for the treatment of NASH. We are aware of compounds in clinical development for the treatment of NASH at other companies including Intercept Pharmaceuticals, Galectin Therapeutics, Gilead Sciences, Galmed Pharmaceuticals, Bristol-Myers Squibb, Pfizer, Novartis, and Novo Nordisk.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171" w:lineRule="exact"/>
        <w:rPr>
          <w:sz w:val="20"/>
          <w:szCs w:val="20"/>
          <w:color w:val="auto"/>
        </w:rPr>
      </w:pPr>
    </w:p>
    <w:p>
      <w:pPr>
        <w:ind w:right="20" w:firstLine="646"/>
        <w:spacing w:after="0" w:line="263" w:lineRule="auto"/>
        <w:rPr>
          <w:sz w:val="20"/>
          <w:szCs w:val="20"/>
          <w:color w:val="auto"/>
        </w:rPr>
      </w:pPr>
      <w:r>
        <w:rPr>
          <w:rFonts w:ascii="Arial" w:cs="Arial" w:eastAsia="Arial" w:hAnsi="Arial"/>
          <w:sz w:val="18"/>
          <w:szCs w:val="18"/>
          <w:color w:val="auto"/>
        </w:rPr>
        <w:t>Our MN-001 (tipelukast) product candidate is in development for the treatment of IPF. Products approved in the United States for treatment of IPF include Roche’s (formerly InterMune) Esbriet (pirfenidone) and Boehringer Ingelheim’s OFEV (nintedanib). Companies working on clinical development programs for treatment of IPF include Roche, United Therapeutics, Galapagos, and FibroGen.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171" w:lineRule="exact"/>
        <w:rPr>
          <w:sz w:val="20"/>
          <w:szCs w:val="20"/>
          <w:color w:val="auto"/>
        </w:rPr>
      </w:pPr>
    </w:p>
    <w:p>
      <w:pPr>
        <w:ind w:right="160" w:firstLine="640"/>
        <w:spacing w:after="0" w:line="254" w:lineRule="auto"/>
        <w:rPr>
          <w:sz w:val="20"/>
          <w:szCs w:val="20"/>
          <w:color w:val="auto"/>
        </w:rPr>
      </w:pPr>
      <w:r>
        <w:rPr>
          <w:rFonts w:ascii="Arial" w:cs="Arial" w:eastAsia="Arial" w:hAnsi="Arial"/>
          <w:sz w:val="18"/>
          <w:szCs w:val="18"/>
          <w:color w:val="auto"/>
        </w:rPr>
        <w:t>Our MN-029 (denibulin) product candidate has been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0" w:firstLine="639"/>
        <w:spacing w:after="0" w:line="255"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right="680"/>
        <w:spacing w:after="0" w:line="277" w:lineRule="auto"/>
        <w:rPr>
          <w:sz w:val="20"/>
          <w:szCs w:val="20"/>
          <w:color w:val="auto"/>
        </w:rPr>
      </w:pPr>
      <w:r>
        <w:rPr>
          <w:rFonts w:ascii="Arial" w:cs="Arial" w:eastAsia="Arial" w:hAnsi="Arial"/>
          <w:sz w:val="18"/>
          <w:szCs w:val="18"/>
          <w:color w:val="auto"/>
        </w:rPr>
        <w:t>applications, fines, warning letters, product recalls, product seizures, total or partial suspension of manufacturing or marketing, injunctions and/or criminal prosecution.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171" w:lineRule="exact"/>
        <w:rPr>
          <w:sz w:val="20"/>
          <w:szCs w:val="20"/>
          <w:color w:val="auto"/>
        </w:rPr>
      </w:pPr>
    </w:p>
    <w:p>
      <w:pPr>
        <w:ind w:firstLine="646"/>
        <w:spacing w:after="0" w:line="29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United States, drugs and drug testing are regulated by the FDA under the Federal Food, Drug and Cosmetic Act, or FDCA,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67" w:lineRule="exact"/>
        <w:rPr>
          <w:sz w:val="20"/>
          <w:szCs w:val="20"/>
          <w:color w:val="auto"/>
        </w:rPr>
      </w:pPr>
    </w:p>
    <w:p>
      <w:pPr>
        <w:ind w:left="1500" w:hanging="426"/>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23" w:lineRule="exact"/>
        <w:rPr>
          <w:rFonts w:ascii="Arial" w:cs="Arial" w:eastAsia="Arial" w:hAnsi="Arial"/>
          <w:sz w:val="18"/>
          <w:szCs w:val="18"/>
          <w:color w:val="auto"/>
        </w:rPr>
      </w:pPr>
    </w:p>
    <w:p>
      <w:pPr>
        <w:ind w:left="1500" w:hanging="426"/>
        <w:spacing w:after="0"/>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submission of an IND application which must become effective before human clinical trials may begin in the United States;</w:t>
      </w:r>
    </w:p>
    <w:p>
      <w:pPr>
        <w:spacing w:after="0" w:line="20" w:lineRule="exact"/>
        <w:rPr>
          <w:rFonts w:ascii="Arial" w:cs="Arial" w:eastAsia="Arial" w:hAnsi="Arial"/>
          <w:sz w:val="17"/>
          <w:szCs w:val="17"/>
          <w:color w:val="auto"/>
        </w:rPr>
      </w:pPr>
    </w:p>
    <w:p>
      <w:pPr>
        <w:ind w:left="1500" w:right="80" w:hanging="426"/>
        <w:spacing w:after="0" w:line="25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ind w:left="1500" w:hanging="426"/>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9" w:lineRule="exact"/>
        <w:rPr>
          <w:rFonts w:ascii="Arial" w:cs="Arial" w:eastAsia="Arial" w:hAnsi="Arial"/>
          <w:sz w:val="18"/>
          <w:szCs w:val="18"/>
          <w:color w:val="auto"/>
        </w:rPr>
      </w:pPr>
    </w:p>
    <w:p>
      <w:pPr>
        <w:ind w:left="1500" w:right="140" w:hanging="426"/>
        <w:spacing w:after="0" w:line="25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 w:lineRule="exact"/>
        <w:rPr>
          <w:rFonts w:ascii="Arial" w:cs="Arial" w:eastAsia="Arial" w:hAnsi="Arial"/>
          <w:sz w:val="18"/>
          <w:szCs w:val="18"/>
          <w:color w:val="auto"/>
        </w:rPr>
      </w:pPr>
    </w:p>
    <w:p>
      <w:pPr>
        <w:ind w:left="1500" w:right="60" w:hanging="426"/>
        <w:spacing w:after="0" w:line="260"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04" w:lineRule="exact"/>
        <w:rPr>
          <w:sz w:val="20"/>
          <w:szCs w:val="20"/>
          <w:color w:val="auto"/>
        </w:rPr>
      </w:pPr>
    </w:p>
    <w:p>
      <w:pPr>
        <w:ind w:right="240" w:firstLine="639"/>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79" w:lineRule="exact"/>
        <w:rPr>
          <w:sz w:val="20"/>
          <w:szCs w:val="20"/>
          <w:color w:val="auto"/>
        </w:rPr>
      </w:pPr>
    </w:p>
    <w:p>
      <w:pPr>
        <w:ind w:right="80" w:firstLine="643"/>
        <w:spacing w:after="0" w:line="301"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63" w:lineRule="exact"/>
        <w:rPr>
          <w:sz w:val="20"/>
          <w:szCs w:val="20"/>
          <w:color w:val="auto"/>
        </w:rPr>
      </w:pPr>
    </w:p>
    <w:p>
      <w:pPr>
        <w:ind w:right="100" w:firstLine="643"/>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57" w:lineRule="exact"/>
        <w:rPr>
          <w:sz w:val="20"/>
          <w:szCs w:val="20"/>
          <w:color w:val="auto"/>
        </w:rPr>
      </w:pPr>
    </w:p>
    <w:p>
      <w:pPr>
        <w:ind w:right="140" w:firstLine="640"/>
        <w:spacing w:after="0" w:line="263"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25" w:lineRule="exact"/>
        <w:rPr>
          <w:sz w:val="20"/>
          <w:szCs w:val="20"/>
          <w:color w:val="auto"/>
        </w:rPr>
      </w:pPr>
    </w:p>
    <w:p>
      <w:pPr>
        <w:ind w:left="1520" w:right="100" w:hanging="432"/>
        <w:spacing w:after="0" w:line="287" w:lineRule="auto"/>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2" w:lineRule="exact"/>
        <w:rPr>
          <w:rFonts w:ascii="Arial" w:cs="Arial" w:eastAsia="Arial" w:hAnsi="Arial"/>
          <w:sz w:val="16"/>
          <w:szCs w:val="16"/>
          <w:color w:val="auto"/>
        </w:rPr>
      </w:pPr>
    </w:p>
    <w:p>
      <w:pPr>
        <w:ind w:left="1520" w:right="420" w:hanging="432"/>
        <w:spacing w:after="0" w:line="281" w:lineRule="auto"/>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 w:lineRule="exact"/>
        <w:rPr>
          <w:rFonts w:ascii="Arial" w:cs="Arial" w:eastAsia="Arial" w:hAnsi="Arial"/>
          <w:sz w:val="16"/>
          <w:szCs w:val="16"/>
          <w:color w:val="auto"/>
        </w:rPr>
      </w:pPr>
    </w:p>
    <w:p>
      <w:pPr>
        <w:ind w:left="1520" w:hanging="432"/>
        <w:spacing w:after="0" w:line="253"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98" w:lineRule="exact"/>
        <w:rPr>
          <w:sz w:val="20"/>
          <w:szCs w:val="20"/>
          <w:color w:val="auto"/>
        </w:rPr>
      </w:pPr>
    </w:p>
    <w:p>
      <w:pPr>
        <w:ind w:right="200" w:firstLine="640"/>
        <w:spacing w:after="0" w:line="308" w:lineRule="auto"/>
        <w:rPr>
          <w:sz w:val="20"/>
          <w:szCs w:val="20"/>
          <w:color w:val="auto"/>
        </w:rPr>
      </w:pPr>
      <w:r>
        <w:rPr>
          <w:rFonts w:ascii="Arial" w:cs="Arial" w:eastAsia="Arial" w:hAnsi="Arial"/>
          <w:sz w:val="17"/>
          <w:szCs w:val="17"/>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52" w:lineRule="exact"/>
        <w:rPr>
          <w:sz w:val="20"/>
          <w:szCs w:val="20"/>
          <w:color w:val="auto"/>
        </w:rPr>
      </w:pPr>
    </w:p>
    <w:p>
      <w:pPr>
        <w:ind w:right="100" w:firstLine="646"/>
        <w:spacing w:after="0" w:line="254" w:lineRule="auto"/>
        <w:rPr>
          <w:sz w:val="20"/>
          <w:szCs w:val="20"/>
          <w:color w:val="auto"/>
        </w:rPr>
      </w:pPr>
      <w:r>
        <w:rPr>
          <w:rFonts w:ascii="Arial" w:cs="Arial" w:eastAsia="Arial" w:hAnsi="Arial"/>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14" w:lineRule="exact"/>
        <w:rPr>
          <w:sz w:val="20"/>
          <w:szCs w:val="20"/>
          <w:color w:val="auto"/>
        </w:rPr>
      </w:pPr>
    </w:p>
    <w:p>
      <w:pPr>
        <w:ind w:right="40" w:firstLine="642"/>
        <w:spacing w:after="0" w:line="291" w:lineRule="auto"/>
        <w:rPr>
          <w:sz w:val="20"/>
          <w:szCs w:val="20"/>
          <w:color w:val="auto"/>
        </w:rPr>
      </w:pPr>
      <w:r>
        <w:rPr>
          <w:rFonts w:ascii="Arial" w:cs="Arial" w:eastAsia="Arial" w:hAnsi="Arial"/>
          <w:sz w:val="16"/>
          <w:szCs w:val="16"/>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72" w:lineRule="exact"/>
        <w:rPr>
          <w:sz w:val="20"/>
          <w:szCs w:val="20"/>
          <w:color w:val="auto"/>
        </w:rPr>
      </w:pPr>
    </w:p>
    <w:p>
      <w:pPr>
        <w:ind w:right="420" w:firstLine="620"/>
        <w:spacing w:after="0" w:line="272" w:lineRule="auto"/>
        <w:rPr>
          <w:sz w:val="20"/>
          <w:szCs w:val="20"/>
          <w:color w:val="auto"/>
        </w:rPr>
      </w:pPr>
      <w:r>
        <w:rPr>
          <w:rFonts w:ascii="Arial" w:cs="Arial" w:eastAsia="Arial" w:hAnsi="Arial"/>
          <w:sz w:val="17"/>
          <w:szCs w:val="17"/>
          <w:i w:val="1"/>
          <w:iCs w:val="1"/>
          <w:color w:val="auto"/>
        </w:rPr>
        <w:t xml:space="preserve">Fast track designation: </w:t>
      </w:r>
      <w:r>
        <w:rPr>
          <w:rFonts w:ascii="Arial" w:cs="Arial" w:eastAsia="Arial" w:hAnsi="Arial"/>
          <w:sz w:val="17"/>
          <w:szCs w:val="17"/>
          <w:color w:val="auto"/>
        </w:rPr>
        <w:t>The FDA has a Fast Track program that is intended to expedite or facilitate the process for reviewing new drugs and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1" w:name="page32"/>
    <w:bookmarkEnd w:id="31"/>
    <w:p>
      <w:pPr>
        <w:ind w:right="40" w:firstLine="643"/>
        <w:spacing w:after="0" w:line="287" w:lineRule="auto"/>
        <w:rPr>
          <w:sz w:val="20"/>
          <w:szCs w:val="20"/>
          <w:color w:val="auto"/>
        </w:rPr>
      </w:pPr>
      <w:r>
        <w:rPr>
          <w:rFonts w:ascii="Arial" w:cs="Arial" w:eastAsia="Arial" w:hAnsi="Arial"/>
          <w:sz w:val="16"/>
          <w:szCs w:val="16"/>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73" w:lineRule="exact"/>
        <w:rPr>
          <w:sz w:val="20"/>
          <w:szCs w:val="20"/>
          <w:color w:val="auto"/>
        </w:rPr>
      </w:pPr>
    </w:p>
    <w:p>
      <w:pPr>
        <w:ind w:firstLine="644"/>
        <w:spacing w:after="0" w:line="269"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 drug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87" w:lineRule="exact"/>
        <w:rPr>
          <w:sz w:val="20"/>
          <w:szCs w:val="20"/>
          <w:color w:val="auto"/>
        </w:rPr>
      </w:pPr>
    </w:p>
    <w:p>
      <w:pPr>
        <w:ind w:right="120" w:firstLine="637"/>
        <w:spacing w:after="0" w:line="286"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 w:name="page33"/>
    <w:bookmarkEnd w:id="32"/>
    <w:p>
      <w:pPr>
        <w:ind w:right="80"/>
        <w:spacing w:after="0" w:line="259" w:lineRule="auto"/>
        <w:rPr>
          <w:sz w:val="20"/>
          <w:szCs w:val="20"/>
          <w:color w:val="auto"/>
        </w:rPr>
      </w:pPr>
      <w:r>
        <w:rPr>
          <w:rFonts w:ascii="Arial" w:cs="Arial" w:eastAsia="Arial" w:hAnsi="Arial"/>
          <w:sz w:val="18"/>
          <w:szCs w:val="18"/>
          <w:color w:val="auto"/>
        </w:rPr>
        <w:t>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7" w:lineRule="exact"/>
        <w:rPr>
          <w:sz w:val="20"/>
          <w:szCs w:val="20"/>
          <w:color w:val="auto"/>
        </w:rPr>
      </w:pPr>
    </w:p>
    <w:p>
      <w:pPr>
        <w:ind w:right="340" w:firstLine="629"/>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United States, we and our strategic alliance partners will be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regulations in other jurisdictions governing, among other things, clinical trials and any commercial sales and distribution of our products.</w:t>
      </w:r>
    </w:p>
    <w:p>
      <w:pPr>
        <w:spacing w:after="0" w:line="29" w:lineRule="exact"/>
        <w:rPr>
          <w:sz w:val="20"/>
          <w:szCs w:val="20"/>
          <w:color w:val="auto"/>
        </w:rPr>
      </w:pPr>
    </w:p>
    <w:p>
      <w:pPr>
        <w:ind w:right="160" w:firstLine="63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98" w:lineRule="exact"/>
        <w:rPr>
          <w:sz w:val="20"/>
          <w:szCs w:val="20"/>
          <w:color w:val="auto"/>
        </w:rPr>
      </w:pPr>
    </w:p>
    <w:p>
      <w:pPr>
        <w:ind w:firstLine="646"/>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49" w:lineRule="exact"/>
        <w:rPr>
          <w:sz w:val="20"/>
          <w:szCs w:val="20"/>
          <w:color w:val="auto"/>
        </w:rPr>
      </w:pPr>
    </w:p>
    <w:p>
      <w:pPr>
        <w:ind w:right="120" w:firstLine="643"/>
        <w:spacing w:after="0" w:line="263"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89" w:lineRule="exact"/>
        <w:rPr>
          <w:sz w:val="20"/>
          <w:szCs w:val="20"/>
          <w:color w:val="auto"/>
        </w:rPr>
      </w:pPr>
    </w:p>
    <w:p>
      <w:pPr>
        <w:jc w:val="both"/>
        <w:ind w:right="200" w:firstLine="632"/>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54" w:lineRule="exact"/>
        <w:rPr>
          <w:sz w:val="20"/>
          <w:szCs w:val="20"/>
          <w:color w:val="auto"/>
        </w:rPr>
      </w:pPr>
    </w:p>
    <w:p>
      <w:pPr>
        <w:jc w:val="both"/>
        <w:ind w:right="1020" w:firstLine="600"/>
        <w:spacing w:after="0" w:line="263" w:lineRule="auto"/>
        <w:rPr>
          <w:sz w:val="20"/>
          <w:szCs w:val="20"/>
          <w:color w:val="auto"/>
        </w:rPr>
      </w:pPr>
      <w:r>
        <w:rPr>
          <w:rFonts w:ascii="Arial" w:cs="Arial" w:eastAsia="Arial" w:hAnsi="Arial"/>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right="620" w:firstLine="637"/>
        <w:spacing w:after="0" w:line="263"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eleven full-time employees as of the date of this report. We believe that our relations with our employees are good, and we have no history of work stoppages.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89" w:lineRule="exact"/>
        <w:rPr>
          <w:sz w:val="20"/>
          <w:szCs w:val="20"/>
          <w:color w:val="auto"/>
        </w:rPr>
      </w:pPr>
    </w:p>
    <w:p>
      <w:pPr>
        <w:ind w:right="100" w:firstLine="637"/>
        <w:spacing w:after="0" w:line="259" w:lineRule="auto"/>
        <w:rPr>
          <w:sz w:val="20"/>
          <w:szCs w:val="20"/>
          <w:color w:val="auto"/>
        </w:rPr>
      </w:pPr>
      <w:r>
        <w:rPr>
          <w:rFonts w:ascii="Arial" w:cs="Arial" w:eastAsia="Arial" w:hAnsi="Arial"/>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7"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principal risks and uncertainties relate to, among other things: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and our Industry:</w:t>
      </w:r>
    </w:p>
    <w:p>
      <w:pPr>
        <w:spacing w:after="0" w:line="36" w:lineRule="exact"/>
        <w:rPr>
          <w:sz w:val="20"/>
          <w:szCs w:val="20"/>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operating losses we have incurred and expect to incur for the foreseeable future;</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the capital necessary to fund our operations;</w:t>
      </w:r>
    </w:p>
    <w:p>
      <w:pPr>
        <w:spacing w:after="0" w:line="49" w:lineRule="exact"/>
        <w:rPr>
          <w:rFonts w:ascii="Arial" w:cs="Arial" w:eastAsia="Arial" w:hAnsi="Arial"/>
          <w:sz w:val="18"/>
          <w:szCs w:val="18"/>
          <w:color w:val="auto"/>
        </w:rPr>
      </w:pPr>
    </w:p>
    <w:p>
      <w:pPr>
        <w:ind w:left="880" w:right="56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have any products that are approved for commercial sale and do not expect to generate any revenues from product sales for the foreseeable future, if ever;</w:t>
      </w:r>
    </w:p>
    <w:p>
      <w:pPr>
        <w:ind w:left="880" w:right="58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 w:lineRule="exact"/>
        <w:rPr>
          <w:rFonts w:ascii="Arial" w:cs="Arial" w:eastAsia="Arial" w:hAnsi="Arial"/>
          <w:sz w:val="18"/>
          <w:szCs w:val="18"/>
          <w:color w:val="auto"/>
        </w:rPr>
      </w:pPr>
    </w:p>
    <w:p>
      <w:pPr>
        <w:ind w:left="880" w:right="22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complexity and uncertainty relating to progressing product candidates through the various stages of clinical trials and obtaining regulatory approval;</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attempts to develop MN-001 (tipelukast) in NASH and IPF may detract from our efforts to develop other product candidates;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complexity, high cost and uncertainty of obtaining regulatory approval;</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stringent regulation of our product candidates;</w:t>
      </w:r>
    </w:p>
    <w:p>
      <w:pPr>
        <w:spacing w:after="0" w:line="49" w:lineRule="exact"/>
        <w:rPr>
          <w:rFonts w:ascii="Arial" w:cs="Arial" w:eastAsia="Arial" w:hAnsi="Arial"/>
          <w:sz w:val="18"/>
          <w:szCs w:val="18"/>
          <w:color w:val="auto"/>
        </w:rPr>
      </w:pPr>
    </w:p>
    <w:p>
      <w:pPr>
        <w:ind w:left="880" w:right="74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development and regulatory difficulties even if we are successful in receiving regulatory approval of one or more of our product candidates;</w:t>
      </w:r>
    </w:p>
    <w:p>
      <w:pPr>
        <w:ind w:left="880" w:right="1200" w:hanging="408"/>
        <w:spacing w:after="0" w:line="273"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undesirable side effects of any product candidate experienced during clinical trials could delay or prevent regulatory approval or commercialization or limit its commercial potential;</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commencement or completion of clinical trials, or suspension or termination of our clinical trials;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any rights to develop and market any of our product candidates;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widespread outbreak of COVID-19 or any other illness or communicable disease, or any other public health crisis;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strategic collaborations with third parties to develop and commercialize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 party manufacturers to produce our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commercial quantities;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availability of materials necessary to manufacture our product candidates;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among physicians, patients and the medical community of our product candidates;</w:t>
      </w:r>
    </w:p>
    <w:p>
      <w:pPr>
        <w:spacing w:after="0" w:line="49" w:lineRule="exact"/>
        <w:rPr>
          <w:rFonts w:ascii="Arial" w:cs="Arial" w:eastAsia="Arial" w:hAnsi="Arial"/>
          <w:sz w:val="18"/>
          <w:szCs w:val="18"/>
          <w:color w:val="auto"/>
        </w:rPr>
      </w:pPr>
    </w:p>
    <w:p>
      <w:pPr>
        <w:ind w:left="880" w:right="260" w:hanging="408"/>
        <w:spacing w:after="0" w:line="266" w:lineRule="auto"/>
        <w:tabs>
          <w:tab w:leader="none" w:pos="7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users of our products to obtain adequate coverage of and reimbursement for our products from government and other third party payers;</w:t>
      </w: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motivate and attract key personnel;</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sales, marketing and distribution capabilities;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4" w:name="page35"/>
    <w:bookmarkEnd w:id="34"/>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care reform measures could adversely affect our business;</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product liability lawsuits against us;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fluctuations in our results of operations;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and management attention required to operate as a public company;</w:t>
      </w:r>
    </w:p>
    <w:p>
      <w:pPr>
        <w:spacing w:after="0" w:line="36"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technology systems failures, network disruptions, breaches in data security and computer crime and cyber-attacks;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complexity of operating our business and marketing our products internationally;</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Risks Related to Our Intellectual Property</w:t>
      </w:r>
      <w:r>
        <w:rPr>
          <w:rFonts w:ascii="Arial" w:cs="Arial" w:eastAsia="Arial" w:hAnsi="Arial"/>
          <w:sz w:val="18"/>
          <w:szCs w:val="18"/>
          <w:color w:val="auto"/>
        </w:rPr>
        <w:t>:</w:t>
      </w:r>
    </w:p>
    <w:p>
      <w:pPr>
        <w:spacing w:after="0" w:line="50" w:lineRule="exact"/>
        <w:rPr>
          <w:sz w:val="20"/>
          <w:szCs w:val="20"/>
          <w:color w:val="auto"/>
        </w:rPr>
      </w:pPr>
    </w:p>
    <w:p>
      <w:pPr>
        <w:ind w:left="760" w:hanging="28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depends on the adequate protection of our proprietary rights;</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disclosure of our trade secrets and other proprietary information;</w:t>
      </w:r>
    </w:p>
    <w:p>
      <w:pPr>
        <w:spacing w:after="0" w:line="36" w:lineRule="exact"/>
        <w:rPr>
          <w:rFonts w:ascii="Arial" w:cs="Arial" w:eastAsia="Arial" w:hAnsi="Arial"/>
          <w:sz w:val="18"/>
          <w:szCs w:val="18"/>
          <w:color w:val="auto"/>
        </w:rPr>
      </w:pPr>
    </w:p>
    <w:p>
      <w:pPr>
        <w:ind w:left="880" w:right="180" w:hanging="408"/>
        <w:spacing w:after="0" w:line="277" w:lineRule="auto"/>
        <w:tabs>
          <w:tab w:leader="none" w:pos="7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uncertainties of any dispute concerning the infringement or misappropriation of our proprietary rights or the proprietary rights of others, including trade secrets;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Risks Related to the Securities Markets and Investments in Our Common Stock</w:t>
      </w:r>
    </w:p>
    <w:p>
      <w:pPr>
        <w:spacing w:after="0" w:line="293" w:lineRule="exact"/>
        <w:rPr>
          <w:sz w:val="20"/>
          <w:szCs w:val="20"/>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49" w:lineRule="exact"/>
        <w:rPr>
          <w:rFonts w:ascii="Arial" w:cs="Arial" w:eastAsia="Arial" w:hAnsi="Arial"/>
          <w:sz w:val="18"/>
          <w:szCs w:val="18"/>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delisting of our common stock on the NASDAQ Global Market or the JASDAQ Market of the Tokyo Stock Exchange;</w:t>
      </w:r>
    </w:p>
    <w:p>
      <w:pPr>
        <w:spacing w:after="0" w:line="36" w:lineRule="exact"/>
        <w:rPr>
          <w:rFonts w:ascii="Arial" w:cs="Arial" w:eastAsia="Arial" w:hAnsi="Arial"/>
          <w:sz w:val="18"/>
          <w:szCs w:val="18"/>
          <w:color w:val="auto"/>
        </w:rPr>
      </w:pPr>
    </w:p>
    <w:p>
      <w:pPr>
        <w:ind w:left="880" w:right="200" w:hanging="408"/>
        <w:spacing w:after="0" w:line="273"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substantial dilution to our existing stockholders and/or the decline in price of our common stock if we were to sell additional stock under our existing at-the-market issuance sales agreement;</w:t>
      </w:r>
    </w:p>
    <w:p>
      <w:pPr>
        <w:spacing w:after="0" w:line="1" w:lineRule="exact"/>
        <w:rPr>
          <w:rFonts w:ascii="Arial" w:cs="Arial" w:eastAsia="Arial" w:hAnsi="Arial"/>
          <w:sz w:val="18"/>
          <w:szCs w:val="18"/>
          <w:color w:val="auto"/>
        </w:rPr>
      </w:pPr>
    </w:p>
    <w:p>
      <w:pPr>
        <w:ind w:left="760" w:hanging="28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and management distraction if we were to face securities class action litigation; and</w:t>
      </w:r>
    </w:p>
    <w:p>
      <w:pPr>
        <w:spacing w:after="0" w:line="36" w:lineRule="exact"/>
        <w:rPr>
          <w:rFonts w:ascii="Arial" w:cs="Arial" w:eastAsia="Arial" w:hAnsi="Arial"/>
          <w:sz w:val="18"/>
          <w:szCs w:val="18"/>
          <w:color w:val="auto"/>
        </w:rPr>
      </w:pPr>
    </w:p>
    <w:p>
      <w:pPr>
        <w:ind w:left="880" w:hanging="408"/>
        <w:spacing w:after="0" w:line="277" w:lineRule="auto"/>
        <w:tabs>
          <w:tab w:leader="none" w:pos="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anti-takeover provisions in our charter documents and under Delaware law may make it difficult for third parties to acquire us or remove and replace our directors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have incurred significant net losses since our inception. For the year ended December 31, 2021, we had a net loss of $10.1 million. At December 31, 2021, from inception, our accumulated deficit was $393.1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2021, we had available cash and cash equivalents of $71.4 million and working capital of $69.2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39"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35" w:name="page36"/>
    <w:bookmarkEnd w:id="35"/>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25"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84"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We expect our research and development expenses to increase in 2022 relative to 2021 as we continue development of MN-166 (ibudilast) and MN-001 (tipelukast).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7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62"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6" w:name="page37"/>
    <w:bookmarkEnd w:id="36"/>
    <w:p>
      <w:pPr>
        <w:ind w:right="26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8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2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170"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14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 w:name="page38"/>
    <w:bookmarkEnd w:id="37"/>
    <w:p>
      <w:pPr>
        <w:ind w:right="140"/>
        <w:spacing w:after="0" w:line="263" w:lineRule="auto"/>
        <w:rPr>
          <w:sz w:val="20"/>
          <w:szCs w:val="20"/>
          <w:color w:val="auto"/>
        </w:rPr>
      </w:pPr>
      <w:r>
        <w:rPr>
          <w:rFonts w:ascii="Arial" w:cs="Arial" w:eastAsia="Arial" w:hAnsi="Arial"/>
          <w:sz w:val="18"/>
          <w:szCs w:val="18"/>
          <w:color w:val="auto"/>
        </w:rPr>
        <w:t>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9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39"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other regulatory authorities may not agree with our proposed development plans or accept the results of completed clinical trials; and</w:t>
      </w:r>
    </w:p>
    <w:p>
      <w:pPr>
        <w:spacing w:after="0" w:line="170"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84"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5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8" w:name="page39"/>
    <w:bookmarkEnd w:id="38"/>
    <w:p>
      <w:pPr>
        <w:ind w:right="80"/>
        <w:spacing w:after="0" w:line="301" w:lineRule="auto"/>
        <w:rPr>
          <w:sz w:val="20"/>
          <w:szCs w:val="20"/>
          <w:color w:val="auto"/>
        </w:rPr>
      </w:pPr>
      <w:r>
        <w:rPr>
          <w:rFonts w:ascii="Arial" w:cs="Arial" w:eastAsia="Arial" w:hAnsi="Arial"/>
          <w:sz w:val="16"/>
          <w:szCs w:val="16"/>
          <w:color w:val="auto"/>
        </w:rPr>
        <w:t>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7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21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40" w:firstLine="432"/>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05"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11"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21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84"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25"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70"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0" w:name="page41"/>
    <w:bookmarkEnd w:id="40"/>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52"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approval to commence or amend a clinical trial;</w:t>
      </w:r>
    </w:p>
    <w:p>
      <w:pPr>
        <w:spacing w:after="0" w:line="211"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25"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170" w:lineRule="exact"/>
        <w:rPr>
          <w:sz w:val="20"/>
          <w:szCs w:val="20"/>
          <w:color w:val="auto"/>
        </w:rPr>
      </w:pPr>
    </w:p>
    <w:p>
      <w:pPr>
        <w:ind w:left="880" w:right="140" w:hanging="440"/>
        <w:spacing w:after="0" w:line="259"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6" w:lineRule="exact"/>
        <w:rPr>
          <w:rFonts w:ascii="Arial" w:cs="Arial" w:eastAsia="Arial" w:hAnsi="Arial"/>
          <w:sz w:val="18"/>
          <w:szCs w:val="18"/>
          <w:color w:val="auto"/>
        </w:rPr>
      </w:pPr>
    </w:p>
    <w:p>
      <w:pPr>
        <w:ind w:left="880" w:hanging="440"/>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83"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41" w:name="page42"/>
    <w:bookmarkEnd w:id="41"/>
    <w:p>
      <w:pPr>
        <w:ind w:left="880" w:right="74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25" w:lineRule="exact"/>
        <w:rPr>
          <w:rFonts w:ascii="Arial" w:cs="Arial" w:eastAsia="Arial" w:hAnsi="Arial"/>
          <w:sz w:val="18"/>
          <w:szCs w:val="18"/>
          <w:color w:val="auto"/>
        </w:rPr>
      </w:pPr>
    </w:p>
    <w:p>
      <w:pPr>
        <w:ind w:left="880" w:right="260" w:hanging="440"/>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3" w:lineRule="exact"/>
        <w:rPr>
          <w:rFonts w:ascii="Arial" w:cs="Arial" w:eastAsia="Arial" w:hAnsi="Arial"/>
          <w:sz w:val="16"/>
          <w:szCs w:val="16"/>
          <w:color w:val="auto"/>
        </w:rPr>
      </w:pPr>
    </w:p>
    <w:p>
      <w:pPr>
        <w:ind w:left="880" w:right="66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2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21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widespread outbreak of COVID-19 or any other illness or communicable disease, or any other public health crisis, could adversely affect our business, results of operations and financial condition.</w:t>
      </w:r>
    </w:p>
    <w:p>
      <w:pPr>
        <w:spacing w:after="0" w:line="103" w:lineRule="exact"/>
        <w:rPr>
          <w:sz w:val="20"/>
          <w:szCs w:val="20"/>
          <w:color w:val="auto"/>
        </w:rPr>
      </w:pPr>
    </w:p>
    <w:p>
      <w:pPr>
        <w:ind w:right="120" w:firstLine="864"/>
        <w:spacing w:after="0" w:line="271" w:lineRule="auto"/>
        <w:rPr>
          <w:sz w:val="20"/>
          <w:szCs w:val="20"/>
          <w:color w:val="auto"/>
        </w:rPr>
      </w:pPr>
      <w:r>
        <w:rPr>
          <w:rFonts w:ascii="Arial" w:cs="Arial" w:eastAsia="Arial" w:hAnsi="Arial"/>
          <w:sz w:val="17"/>
          <w:szCs w:val="17"/>
          <w:color w:val="auto"/>
        </w:rPr>
        <w:t>We could be negatively impacted by the widespread outbreak of COVID-19 or any other illness or communicable disease, or any other public health crisis that results in economic and trade disruptions, including the disruption of global supply chains. In December 2019, an outbreak of COVID-19 began and, in March 2020, the World Health Organization declared COVID-19 a pandemic. The COVID-19 pandemic has negatively impacted the global economy, disrupted global supply chains and created significant volatility and disruption of financial markets.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ind w:right="40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6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8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21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76" w:lineRule="exact"/>
        <w:rPr>
          <w:sz w:val="20"/>
          <w:szCs w:val="20"/>
          <w:color w:val="auto"/>
        </w:rPr>
      </w:pPr>
    </w:p>
    <w:p>
      <w:pPr>
        <w:jc w:val="both"/>
        <w:ind w:right="180" w:firstLine="432"/>
        <w:spacing w:after="0" w:line="311"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62"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211" w:lineRule="exact"/>
        <w:rPr>
          <w:sz w:val="20"/>
          <w:szCs w:val="20"/>
          <w:color w:val="auto"/>
        </w:rPr>
      </w:pPr>
    </w:p>
    <w:p>
      <w:pPr>
        <w:ind w:left="1300" w:right="400" w:hanging="44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56"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17"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97"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5"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4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party manufacturers to produce our product candidates, which may result in delays in our clinical trials and the commercialization of products, as well as increased costs.</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ind w:right="120" w:firstLine="432"/>
        <w:spacing w:after="0" w:line="290" w:lineRule="auto"/>
        <w:rPr>
          <w:sz w:val="20"/>
          <w:szCs w:val="20"/>
          <w:color w:val="auto"/>
        </w:rPr>
      </w:pPr>
      <w:r>
        <w:rPr>
          <w:rFonts w:ascii="Arial" w:cs="Arial" w:eastAsia="Arial" w:hAnsi="Arial"/>
          <w:sz w:val="16"/>
          <w:szCs w:val="16"/>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9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7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ind w:right="34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2"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rely on the third party manufacturers of our product candidates to purchase from third 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76"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25" w:lineRule="exact"/>
        <w:rPr>
          <w:rFonts w:ascii="Arial" w:cs="Arial" w:eastAsia="Arial" w:hAnsi="Arial"/>
          <w:sz w:val="18"/>
          <w:szCs w:val="18"/>
          <w:color w:val="auto"/>
        </w:rPr>
      </w:pPr>
    </w:p>
    <w:p>
      <w:pPr>
        <w:ind w:left="880" w:right="27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 the availability of adequate third party insurance coverage or reimbursement.</w:t>
      </w:r>
    </w:p>
    <w:p>
      <w:pPr>
        <w:spacing w:after="0" w:line="17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6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ability to commercialize our products successfully will depend in significant part on pricing and cost effectiveness, including our ability to produce a product at a competitive price and our ability to obtain appropriate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right="40"/>
        <w:spacing w:after="0" w:line="259" w:lineRule="auto"/>
        <w:rPr>
          <w:sz w:val="20"/>
          <w:szCs w:val="20"/>
          <w:color w:val="auto"/>
        </w:rPr>
      </w:pPr>
      <w:r>
        <w:rPr>
          <w:rFonts w:ascii="Arial" w:cs="Arial" w:eastAsia="Arial" w:hAnsi="Arial"/>
          <w:sz w:val="18"/>
          <w:szCs w:val="18"/>
          <w:color w:val="auto"/>
        </w:rPr>
        <w:t>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20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21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76"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6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Although we have employment agreements with key members of management, each of our employees, subject to applicable notice requirements, may terminate his or her employment at any time. We do not carry “key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ind w:right="220"/>
        <w:spacing w:after="0" w:line="277" w:lineRule="auto"/>
        <w:rPr>
          <w:sz w:val="20"/>
          <w:szCs w:val="20"/>
          <w:color w:val="auto"/>
        </w:rPr>
      </w:pPr>
      <w:r>
        <w:rPr>
          <w:rFonts w:ascii="Arial" w:cs="Arial" w:eastAsia="Arial" w:hAnsi="Arial"/>
          <w:sz w:val="18"/>
          <w:szCs w:val="18"/>
          <w:color w:val="auto"/>
        </w:rPr>
        <w:t>insurance covering members of senior management. If we lose any of our key management personnel, we may not be able to find suitable replacements, which would adversely affect our business.</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1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62" w:lineRule="exact"/>
        <w:rPr>
          <w:sz w:val="20"/>
          <w:szCs w:val="20"/>
          <w:color w:val="auto"/>
        </w:rPr>
      </w:pPr>
    </w:p>
    <w:p>
      <w:pPr>
        <w:ind w:left="880" w:right="50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70" w:lineRule="exact"/>
        <w:rPr>
          <w:rFonts w:ascii="Arial" w:cs="Arial" w:eastAsia="Arial" w:hAnsi="Arial"/>
          <w:sz w:val="18"/>
          <w:szCs w:val="18"/>
          <w:color w:val="auto"/>
        </w:rPr>
      </w:pPr>
    </w:p>
    <w:p>
      <w:pPr>
        <w:ind w:left="880" w:right="50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ind w:firstLine="432"/>
        <w:spacing w:after="0" w:line="269" w:lineRule="auto"/>
        <w:rPr>
          <w:sz w:val="20"/>
          <w:szCs w:val="20"/>
          <w:color w:val="auto"/>
        </w:rPr>
      </w:pPr>
      <w:r>
        <w:rPr>
          <w:rFonts w:ascii="Arial" w:cs="Arial" w:eastAsia="Arial" w:hAnsi="Arial"/>
          <w:sz w:val="17"/>
          <w:szCs w:val="17"/>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JASDAQ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2021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12"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information technology systems failures, network disruptions, breaches in data security and computer crime and cyber-attacks.</w:t>
      </w:r>
    </w:p>
    <w:p>
      <w:pPr>
        <w:spacing w:after="0" w:line="260" w:lineRule="exact"/>
        <w:rPr>
          <w:sz w:val="20"/>
          <w:szCs w:val="20"/>
          <w:color w:val="auto"/>
        </w:rPr>
      </w:pPr>
    </w:p>
    <w:p>
      <w:pPr>
        <w:ind w:firstLine="576"/>
        <w:spacing w:after="0" w:line="285" w:lineRule="auto"/>
        <w:rPr>
          <w:sz w:val="20"/>
          <w:szCs w:val="20"/>
          <w:color w:val="auto"/>
        </w:rPr>
      </w:pPr>
      <w:r>
        <w:rPr>
          <w:rFonts w:ascii="Arial" w:cs="Arial" w:eastAsia="Arial" w:hAnsi="Arial"/>
          <w:sz w:val="16"/>
          <w:szCs w:val="16"/>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and marketing our products internationally could materially adversely affect our business.</w:t>
      </w:r>
    </w:p>
    <w:p>
      <w:pPr>
        <w:spacing w:after="0" w:line="152"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76"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80" w:right="30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36" w:lineRule="exact"/>
        <w:rPr>
          <w:rFonts w:ascii="Arial" w:cs="Arial" w:eastAsia="Arial" w:hAnsi="Arial"/>
          <w:sz w:val="17"/>
          <w:szCs w:val="17"/>
          <w:color w:val="auto"/>
        </w:rPr>
      </w:pPr>
    </w:p>
    <w:p>
      <w:pPr>
        <w:ind w:left="880" w:right="4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regulations and restrictions for employees living or traveling abroad;</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5"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252"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jc w:val="both"/>
        <w:ind w:firstLine="432"/>
        <w:spacing w:after="0" w:line="284"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21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20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4"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36" w:lineRule="exact"/>
        <w:rPr>
          <w:rFonts w:ascii="Arial" w:cs="Arial" w:eastAsia="Arial" w:hAnsi="Arial"/>
          <w:sz w:val="17"/>
          <w:szCs w:val="17"/>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52"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34" w:lineRule="exact"/>
        <w:rPr>
          <w:rFonts w:ascii="Arial" w:cs="Arial" w:eastAsia="Arial" w:hAnsi="Arial"/>
          <w:sz w:val="16"/>
          <w:szCs w:val="16"/>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ind w:left="880" w:hanging="440"/>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183"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2"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2"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66" w:lineRule="exact"/>
        <w:rPr>
          <w:sz w:val="20"/>
          <w:szCs w:val="20"/>
          <w:color w:val="auto"/>
        </w:rPr>
      </w:pPr>
    </w:p>
    <w:p>
      <w:pPr>
        <w:ind w:left="880" w:right="10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17"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Despite the listing of our common stock on the NASDAQ Global Market and the JASDAQ Market of the Tokyo Stock Exchange in Japan, trading volume in our securities has been light and an active trading market may not develop for our common stock. In 2021, our average trading volume was approximately 625,731 shares per day on the NASDAQ Global Market and approximately 100,482 shares per day on the JASDAQ Market.</w:t>
      </w:r>
    </w:p>
    <w:p>
      <w:pPr>
        <w:spacing w:after="0" w:line="16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2021,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215" w:lineRule="exact"/>
        <w:rPr>
          <w:sz w:val="20"/>
          <w:szCs w:val="20"/>
          <w:color w:val="auto"/>
        </w:rPr>
      </w:pPr>
    </w:p>
    <w:p>
      <w:pPr>
        <w:ind w:left="8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56" w:lineRule="exact"/>
        <w:rPr>
          <w:rFonts w:ascii="Arial" w:cs="Arial" w:eastAsia="Arial" w:hAnsi="Arial"/>
          <w:sz w:val="18"/>
          <w:szCs w:val="18"/>
          <w:color w:val="auto"/>
        </w:rPr>
      </w:pPr>
    </w:p>
    <w:p>
      <w:pPr>
        <w:ind w:left="880" w:right="66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5"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62"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From time to time, we may sell additional shares of our common stock under the 2019 ATM Agreement. Depending upon market liquidity at the time, sales of shares of our common stock under the 2019 ATM Agreement may cause the trading price of our common stock to decline and may result in substantial dilution to the interests of other holders of our common stock. The sale of a substantial number of shares of our common stock under the 2019 ATM Agreement, or anticipation of such sales, could make it more difficult for us to sell equity or equity-related securities in the future at a time and at a price that we might otherwise wish to effect sales.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color w:val="auto"/>
        </w:rPr>
        <w:t>ability to raise additional capital through the sale of securities if we should desire to do so. In addition, it may be difficult, or even impossible, to find a buyer for shares of our common stock.</w:t>
      </w:r>
    </w:p>
    <w:p>
      <w:pPr>
        <w:spacing w:after="0" w:line="184"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9" w:lineRule="exact"/>
        <w:rPr>
          <w:sz w:val="20"/>
          <w:szCs w:val="20"/>
          <w:color w:val="auto"/>
        </w:rPr>
      </w:pPr>
    </w:p>
    <w:p>
      <w:pPr>
        <w:ind w:left="880" w:right="36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70"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25"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70"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17"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We executed a sublease agreement for our headquarters effective December 1, 2017 (the “Sublease”) with Cardinal Health 127 Inc., the sublessor, to which Irvine Company, the master lessor, had provided its consent. The Sublease was for approximately 4,400 square feet and had a term of four years and one month. We have now extended this lease for an additional 5 years through January 31, 2027.</w:t>
      </w:r>
    </w:p>
    <w:p>
      <w:pPr>
        <w:spacing w:after="0" w:line="76"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In June 2005, we leased office space in Tokyo, Japan under a non-cancelable operating lease with an original expiration date of May 2013 and an auto-renewal two-year extension. The lease was renewed in May 2021 and has a term of two years with an auto-renewal, two year extension. 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80" w:firstLine="432"/>
        <w:spacing w:after="0" w:line="277" w:lineRule="auto"/>
        <w:rPr>
          <w:sz w:val="20"/>
          <w:szCs w:val="20"/>
          <w:color w:val="auto"/>
        </w:rPr>
      </w:pPr>
      <w:r>
        <w:rPr>
          <w:rFonts w:ascii="Arial" w:cs="Arial" w:eastAsia="Arial" w:hAnsi="Arial"/>
          <w:sz w:val="18"/>
          <w:szCs w:val="18"/>
          <w:color w:val="auto"/>
        </w:rPr>
        <w:t>Our common stock is listed on the JASDAQ Market of the Tokyo Stock Exchange and trades under the code “4875,” and is listed on the NASDAQ Global Market and trades under the symbol “MNOV.”</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As of December 31, 2021, there were approximately 14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3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(ARDS),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6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have incurred significant net losses since our inception. For the year ended December 31, 2021, we had a net loss of $10.1 million. At December 31, 2021, from inception, our accumulated deficit was $393.1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64" w:lineRule="exact"/>
        <w:rPr>
          <w:sz w:val="20"/>
          <w:szCs w:val="20"/>
          <w:color w:val="auto"/>
        </w:rPr>
      </w:pPr>
    </w:p>
    <w:p>
      <w:pPr>
        <w:jc w:val="both"/>
        <w:ind w:right="200" w:firstLine="432"/>
        <w:spacing w:after="0" w:line="25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right="20"/>
        <w:spacing w:after="0" w:line="293" w:lineRule="auto"/>
        <w:rPr>
          <w:sz w:val="20"/>
          <w:szCs w:val="20"/>
          <w:color w:val="auto"/>
        </w:rPr>
      </w:pPr>
      <w:r>
        <w:rPr>
          <w:rFonts w:ascii="Arial" w:cs="Arial" w:eastAsia="Arial" w:hAnsi="Arial"/>
          <w:sz w:val="16"/>
          <w:szCs w:val="16"/>
          <w:color w:val="auto"/>
        </w:rPr>
        <w:t>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To date, our accrued research, development and patent expenses have not differed significantly from the actual expenses incurred.</w:t>
      </w:r>
    </w:p>
    <w:p>
      <w:pPr>
        <w:spacing w:after="0" w:line="164"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9"/>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MN-221</w:t>
            </w:r>
          </w:p>
        </w:tc>
        <w:tc>
          <w:tcPr>
            <w:tcW w:w="3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020" w:type="dxa"/>
            <w:vAlign w:val="bottom"/>
            <w:gridSpan w:val="2"/>
          </w:tcPr>
          <w:p>
            <w:pPr>
              <w:jc w:val="right"/>
              <w:ind w:right="88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MN-166</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MN-001</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MN-029</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Patent expense</w:t>
            </w: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2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2160" w:type="dxa"/>
            <w:vAlign w:val="bottom"/>
          </w:tcPr>
          <w:p>
            <w:pPr>
              <w:spacing w:after="0"/>
              <w:rPr>
                <w:sz w:val="19"/>
                <w:szCs w:val="19"/>
                <w:color w:val="auto"/>
              </w:rPr>
            </w:pP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impact of recent accounting pronouncements is more fully described in Note 1 of our consolidated financial statements included elsewhere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We recognized $4.0 million of revenue for the year ended December 31, 2021 related to the achievement of milestones from an assignment agreement with Genzyme. No revenue was recognized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225"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Research, development and patent expenses for the year ended December 31, 2021 increased by $1.0 million to $8.5 million as compared to the same period in 2020 of $7.5 million, primarily due to higher clinical trial expenses from the ongoing clinical trial of MN-166 (ibudilast) in 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and administrative expenses for the year ended December 31, 2021 decreased by $1.0 million to $5.7 million compared to the same period in</w:t>
      </w:r>
    </w:p>
    <w:p>
      <w:pPr>
        <w:spacing w:after="0" w:line="46"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2020 of $6.7 million, primarily driven by a decrease in stock compensation expense for performance-based stock options and lower legal expenses. The decrease in performance-based stock options was due to a 55% approval of performance options by the Board in 2021 compared to a range of 45% -</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700"/>
        <w:spacing w:after="0" w:line="277" w:lineRule="auto"/>
        <w:rPr>
          <w:sz w:val="20"/>
          <w:szCs w:val="20"/>
          <w:color w:val="auto"/>
        </w:rPr>
      </w:pPr>
      <w:r>
        <w:rPr>
          <w:rFonts w:ascii="Arial" w:cs="Arial" w:eastAsia="Arial" w:hAnsi="Arial"/>
          <w:sz w:val="18"/>
          <w:szCs w:val="18"/>
          <w:color w:val="auto"/>
        </w:rPr>
        <w:t>100% approval in 2020, including a decrease in the estimated fair value of the options granted for the year ended December 31, 2021 compared to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Other expense for the years ended 2021 and 2020 was approximately $59,000 and $38,000, respectively. Other expense consisted of interest expense and net transaction losses related to vendor invoices denominated in foreign currencies.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Interest income for the year ended December 31, 2021 was approximately $0.1 million, as compared to approximately $0.4 million for the same period in 2020. The decrease was primarily due to lower interest rates available in 2021. Interest income consists of interest earned on our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incurred losses of $10.1 million and $13.9 million for the years ended December 31, 2021 and 2020, respectively. At December 31, 2021, our accumulated deficit was $393.1 million as compared to $382.9 million for the year ended December 31, 2020.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years ended December 31, 2021 and 2020 (in thousands):</w:t>
      </w:r>
    </w:p>
    <w:p>
      <w:pPr>
        <w:spacing w:after="0" w:line="29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68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Operating activities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(10,826)</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For the year ended December 31, 2021, we sold and issued 3,656,307 shares of our common stock at a price of $5.47 per share for approximately $20 million in gross proceeds in a private placement of stock on January 29, 2021. These proceeds will be used for the normal operating expenses of the business including increased R&amp;D activities. For the year ended December 31, 2020, we generated gross and net proceeds of $6.4 million and $6.2 million, respectively, on sales of 824,798 shares of our common stock at prices ranging from $5.55 to $10.45 per share.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2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December 31, 2021, we had available cash and cash equivalents of $71.4 million and working capital of $69.2 million. As of the date of this report, we believe we have sufficient working capital to fund operations at least through the end of 2023. This is based on our expected operating cash needs for 2022 to be approximately $21.3 million and assuming we keep our spend at a similar level for 2023. This increase in operating spend is expected to meet the businesses needs for additional research and development to help monetize our products in development.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any of our product candidates.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At December 31, 2021,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4280" w:type="dxa"/>
            <w:vAlign w:val="bottom"/>
            <w:gridSpan w:val="6"/>
            <w:vMerge w:val="restart"/>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Reports of Independent Registered Public Accounting Firm</w:t>
              </w:r>
            </w:hyperlink>
          </w:p>
        </w:tc>
        <w:tc>
          <w:tcPr>
            <w:tcW w:w="6280" w:type="dxa"/>
            <w:vAlign w:val="bottom"/>
            <w:gridSpan w:val="2"/>
            <w:vMerge w:val="restart"/>
          </w:tcPr>
          <w:p>
            <w:pPr>
              <w:jc w:val="right"/>
              <w:ind w:right="1960"/>
              <w:spacing w:after="0"/>
              <w:rPr>
                <w:sz w:val="20"/>
                <w:szCs w:val="20"/>
                <w:color w:val="auto"/>
              </w:rPr>
            </w:pPr>
            <w:r>
              <w:rPr>
                <w:rFonts w:ascii="Arial" w:cs="Arial" w:eastAsia="Arial" w:hAnsi="Arial"/>
                <w:sz w:val="18"/>
                <w:szCs w:val="18"/>
                <w:color w:val="auto"/>
                <w:w w:val="95"/>
              </w:rPr>
              <w:t>(BDO USA, LLP; San Diego, California; PCAOB ID#243)</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280" w:type="dxa"/>
            <w:vAlign w:val="bottom"/>
            <w:tcBorders>
              <w:bottom w:val="single" w:sz="8" w:color="0000EE"/>
            </w:tcBorders>
            <w:gridSpan w:val="6"/>
            <w:vMerge w:val="continue"/>
          </w:tcPr>
          <w:p>
            <w:pPr>
              <w:spacing w:after="0"/>
              <w:rPr>
                <w:sz w:val="13"/>
                <w:szCs w:val="13"/>
                <w:color w:val="auto"/>
              </w:rPr>
            </w:pPr>
          </w:p>
        </w:tc>
        <w:tc>
          <w:tcPr>
            <w:tcW w:w="6280" w:type="dxa"/>
            <w:vAlign w:val="bottom"/>
            <w:gridSpan w:val="2"/>
            <w:vMerge w:val="continue"/>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64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640" w:type="dxa"/>
            <w:vAlign w:val="bottom"/>
            <w:gridSpan w:val="9"/>
          </w:tcPr>
          <w:p>
            <w:pPr>
              <w:ind w:left="80"/>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140" w:type="dxa"/>
            <w:vAlign w:val="bottom"/>
            <w:gridSpan w:val="7"/>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600" w:type="dxa"/>
            <w:vAlign w:val="bottom"/>
            <w:gridSpan w:val="2"/>
          </w:tcPr>
          <w:p>
            <w:pPr>
              <w:jc w:val="right"/>
              <w:ind w:right="60"/>
              <w:spacing w:after="0" w:line="19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Statements of Operations and Comprehensive Loss</w:t>
              </w:r>
            </w:hyperlink>
          </w:p>
        </w:tc>
        <w:tc>
          <w:tcPr>
            <w:tcW w:w="5480" w:type="dxa"/>
            <w:vAlign w:val="bottom"/>
          </w:tcPr>
          <w:p>
            <w:pPr>
              <w:spacing w:after="0"/>
              <w:rPr>
                <w:sz w:val="17"/>
                <w:szCs w:val="17"/>
                <w:color w:val="auto"/>
              </w:rPr>
            </w:pPr>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w:t>
              </w:r>
            </w:hyperlink>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6620" w:type="dxa"/>
            <w:vAlign w:val="bottom"/>
            <w:gridSpan w:val="3"/>
          </w:tcPr>
          <w:p>
            <w:pPr>
              <w:spacing w:after="0"/>
              <w:rPr>
                <w:sz w:val="17"/>
                <w:szCs w:val="17"/>
                <w:color w:val="auto"/>
              </w:rPr>
            </w:pPr>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885"/>
        </w:trPr>
        <w:tc>
          <w:tcPr>
            <w:tcW w:w="500" w:type="dxa"/>
            <w:vAlign w:val="bottom"/>
            <w:gridSpan w:val="2"/>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7020" w:type="dxa"/>
            <w:vAlign w:val="bottom"/>
            <w:gridSpan w:val="4"/>
          </w:tcPr>
          <w:p>
            <w:pPr>
              <w:jc w:val="right"/>
              <w:ind w:right="492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MediciNova, Inc. (the “Company”) as of December 31, 2021 and 2020,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right="440"/>
        <w:spacing w:after="0" w:line="286" w:lineRule="auto"/>
        <w:rPr>
          <w:sz w:val="20"/>
          <w:szCs w:val="20"/>
          <w:color w:val="auto"/>
        </w:rPr>
      </w:pPr>
      <w:r>
        <w:rPr>
          <w:rFonts w:ascii="Arial" w:cs="Arial" w:eastAsia="Arial" w:hAnsi="Arial"/>
          <w:sz w:val="17"/>
          <w:szCs w:val="17"/>
          <w:color w:val="auto"/>
        </w:rPr>
        <w:t>tasks, the Company uses data such as patient enrollment, clinical site activations or vendor information of actual costs incurred. This data is obtained through reports from or discussions with Company personnel and outside service providers as to the progress or state of completion of trials, or the completion of services. As of December 31, 2021, the Company recorded $1.1 million in clinical trial accruals.</w:t>
      </w:r>
    </w:p>
    <w:p>
      <w:pPr>
        <w:spacing w:after="0" w:line="16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identified the clinical trial accruals as a critical audit matter due to significant management judgment to estimate the progress toward completion of specific tasks that is dependent upon data and information from internal clinical personnel and third-party service providers. Auditing these elements involved especially challenging auditor judgment due to the nature and extent of audit effort required to address these matters.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880" w:right="80" w:hanging="440"/>
        <w:spacing w:after="0" w:line="31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Testing the appropriate measurement of clinical trial accruals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48" w:lineRule="exact"/>
        <w:rPr>
          <w:rFonts w:ascii="Arial" w:cs="Arial" w:eastAsia="Arial" w:hAnsi="Arial"/>
          <w:sz w:val="16"/>
          <w:szCs w:val="16"/>
          <w:color w:val="auto"/>
        </w:rPr>
      </w:pPr>
    </w:p>
    <w:p>
      <w:pPr>
        <w:ind w:left="880" w:hanging="440"/>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Testing the completeness of the Company’s clinical trial accruals by evaluating publicly available information (such as press releases and public databases that track clinical trials) and board of directors’ materials regarding the status of clinical trials and inquiring of clinical staff to gain an understanding of the status of significant on-going clinical trials.</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5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577,992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680,171</w:t>
            </w:r>
          </w:p>
        </w:tc>
        <w:tc>
          <w:tcPr>
            <w:tcW w:w="12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72,008,946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60,716,934</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9,600,240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57,565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55,700</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824,215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170,857</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75,379</w:t>
            </w:r>
          </w:p>
        </w:tc>
        <w:tc>
          <w:tcPr>
            <w:tcW w:w="120" w:type="dxa"/>
            <w:vAlign w:val="bottom"/>
            <w:tcBorders>
              <w:bottom w:val="single" w:sz="8" w:color="CFF0FC"/>
            </w:tcBorders>
          </w:tcPr>
          <w:p>
            <w:pPr>
              <w:spacing w:after="0"/>
              <w:rPr>
                <w:sz w:val="19"/>
                <w:szCs w:val="19"/>
                <w:color w:val="auto"/>
              </w:rPr>
            </w:pPr>
          </w:p>
        </w:tc>
      </w:tr>
      <w:tr>
        <w:trPr>
          <w:trHeight w:val="263"/>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87,406,458</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10"/>
        </w:trPr>
        <w:tc>
          <w:tcPr>
            <w:tcW w:w="7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402,740</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616,629</w:t>
            </w:r>
          </w:p>
        </w:tc>
        <w:tc>
          <w:tcPr>
            <w:tcW w:w="120" w:type="dxa"/>
            <w:vAlign w:val="bottom"/>
          </w:tcPr>
          <w:p>
            <w:pPr>
              <w:spacing w:after="0"/>
              <w:rPr>
                <w:sz w:val="19"/>
                <w:szCs w:val="19"/>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and other current liabilities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1,391,293</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131,965</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186,028</w:t>
            </w:r>
          </w:p>
        </w:tc>
        <w:tc>
          <w:tcPr>
            <w:tcW w:w="12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2,832,908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2,193,950</w:t>
            </w:r>
          </w:p>
        </w:tc>
        <w:tc>
          <w:tcPr>
            <w:tcW w:w="120" w:type="dxa"/>
            <w:vAlign w:val="bottom"/>
            <w:shd w:val="clear" w:color="auto" w:fill="CFF0FC"/>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3,729,374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4,092,610</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Arial" w:cs="Arial" w:eastAsia="Arial" w:hAnsi="Arial"/>
                <w:sz w:val="18"/>
                <w:szCs w:val="18"/>
                <w:color w:val="auto"/>
              </w:rPr>
              <w:t>December 31, 2021 and December 31, 2020; 49,043,246 and 45,024,560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2021 and December 31,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60" w:type="dxa"/>
            <w:vAlign w:val="bottom"/>
          </w:tcPr>
          <w:p>
            <w:pPr>
              <w:ind w:left="380"/>
              <w:spacing w:after="0"/>
              <w:rPr>
                <w:sz w:val="20"/>
                <w:szCs w:val="20"/>
                <w:color w:val="auto"/>
              </w:rPr>
            </w:pPr>
            <w:r>
              <w:rPr>
                <w:rFonts w:ascii="Arial" w:cs="Arial" w:eastAsia="Arial" w:hAnsi="Arial"/>
                <w:sz w:val="18"/>
                <w:szCs w:val="18"/>
                <w:color w:val="auto"/>
              </w:rPr>
              <w:t>2020, respectively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49,043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45,025</w:t>
            </w:r>
          </w:p>
        </w:tc>
        <w:tc>
          <w:tcPr>
            <w:tcW w:w="120" w:type="dxa"/>
            <w:vAlign w:val="bottom"/>
          </w:tcPr>
          <w:p>
            <w:pPr>
              <w:spacing w:after="0"/>
              <w:rPr>
                <w:sz w:val="20"/>
                <w:szCs w:val="20"/>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476,788,012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454,296,536</w:t>
            </w:r>
          </w:p>
        </w:tc>
        <w:tc>
          <w:tcPr>
            <w:tcW w:w="120" w:type="dxa"/>
            <w:vAlign w:val="bottom"/>
            <w:shd w:val="clear" w:color="auto" w:fill="CFF0FC"/>
          </w:tcPr>
          <w:p>
            <w:pPr>
              <w:spacing w:after="0"/>
              <w:rPr>
                <w:sz w:val="19"/>
                <w:szCs w:val="19"/>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(98,877)</w:t>
            </w: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(88,219)</w:t>
            </w: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(393,061,094)</w:t>
            </w: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(382,926,842)</w:t>
            </w:r>
          </w:p>
        </w:tc>
      </w:tr>
      <w:tr>
        <w:trPr>
          <w:trHeight w:val="223"/>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83,677,084</w:t>
            </w:r>
          </w:p>
        </w:tc>
        <w:tc>
          <w:tcPr>
            <w:tcW w:w="2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71,326,500</w:t>
            </w:r>
          </w:p>
        </w:tc>
        <w:tc>
          <w:tcPr>
            <w:tcW w:w="120" w:type="dxa"/>
            <w:vAlign w:val="bottom"/>
            <w:tcBorders>
              <w:bottom w:val="single" w:sz="8" w:color="CFF0FC"/>
            </w:tcBorders>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87,406,458</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75,419,110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36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4,037,500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development and patents</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8,538,027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5,715,285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6,693,488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14,253,312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14,178,323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Operating loss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(10,215,812)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(14,178,323)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Other expense, net</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(59,498)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(38,404)</w:t>
            </w: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(13,855,545)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(2,568)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(10,134,252)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(13,853,897)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7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48,596,255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44,413,441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7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(10,134,252)</w:t>
            </w:r>
          </w:p>
        </w:tc>
        <w:tc>
          <w:tcPr>
            <w:tcW w:w="5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(13,853,897)</w:t>
            </w: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(10,658)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(10,144,910)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(13,849,435)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160" w:type="dxa"/>
            <w:vAlign w:val="bottom"/>
            <w:gridSpan w:val="7"/>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1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08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020" w:type="dxa"/>
            <w:vAlign w:val="bottom"/>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200" w:type="dxa"/>
            <w:vAlign w:val="bottom"/>
            <w:tcBorders>
              <w:top w:val="single" w:sz="8" w:color="CFF0FC"/>
            </w:tcBorders>
            <w:gridSpan w:val="2"/>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 (369,072,945)</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3,175,553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3,175,553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under an employee stock purchase plan (ESPP)</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 distribution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880" w:type="dxa"/>
            <w:vAlign w:val="bottom"/>
          </w:tcPr>
          <w:p>
            <w:pPr>
              <w:jc w:val="right"/>
              <w:spacing w:after="0"/>
              <w:rPr>
                <w:sz w:val="20"/>
                <w:szCs w:val="20"/>
                <w:color w:val="auto"/>
              </w:rPr>
            </w:pPr>
            <w:r>
              <w:rPr>
                <w:rFonts w:ascii="Arial" w:cs="Arial" w:eastAsia="Arial" w:hAnsi="Arial"/>
                <w:sz w:val="14"/>
                <w:szCs w:val="14"/>
                <w:color w:val="auto"/>
              </w:rPr>
              <w:t>824,798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6,187,254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6,188,079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287,863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905,684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(13,853,897)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(13,853,897)</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45,024,560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45,025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454,296,536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(88,219)</w:t>
            </w:r>
          </w:p>
        </w:tc>
        <w:tc>
          <w:tcPr>
            <w:tcW w:w="100" w:type="dxa"/>
            <w:vAlign w:val="bottom"/>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(382,926,842)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71,326,500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1,717,513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1,717,513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Issuance of shares under an employee stock purchase plan (ESPP)</w:t>
            </w:r>
          </w:p>
        </w:tc>
        <w:tc>
          <w:tcPr>
            <w:tcW w:w="88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8"/>
              </w:rPr>
              <w:t>Issuance of common stock in a private placement transaction, net of issuance</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costs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3,656,307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19,877,976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19,881,632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880" w:type="dxa"/>
            <w:vAlign w:val="bottom"/>
          </w:tcPr>
          <w:p>
            <w:pPr>
              <w:jc w:val="right"/>
              <w:spacing w:after="0"/>
              <w:rPr>
                <w:sz w:val="20"/>
                <w:szCs w:val="20"/>
                <w:color w:val="auto"/>
              </w:rPr>
            </w:pPr>
            <w:r>
              <w:rPr>
                <w:rFonts w:ascii="Arial" w:cs="Arial" w:eastAsia="Arial" w:hAnsi="Arial"/>
                <w:sz w:val="14"/>
                <w:szCs w:val="14"/>
                <w:color w:val="auto"/>
              </w:rPr>
              <w:t>360,955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889,879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890,239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(10,134,252)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(10,134,252)</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(10,658)</w:t>
            </w:r>
          </w:p>
        </w:tc>
        <w:tc>
          <w:tcPr>
            <w:tcW w:w="10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156"/>
        </w:trPr>
        <w:tc>
          <w:tcPr>
            <w:tcW w:w="474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2021</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49,043,246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476,788,012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(98,877)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 (393,061,094</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83,677,084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650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(10,134,252)</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(13,853,897)</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Non-cash stock-based compensation</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1,717,513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3,175,553</w:t>
            </w: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21,342</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Loss on disposal</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in carrying amount of ROU assets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210,213</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(155,259)</w:t>
            </w: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Accounts payable, accrued liabilities and other liabilities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(1,026,525)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(4,772)</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(231,735)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(219,542)</w:t>
            </w: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(9,381,605)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(10,826,362)</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(28,732)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(36,492)</w:t>
            </w: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and exercise of common</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w:t>
            </w:r>
          </w:p>
        </w:tc>
        <w:tc>
          <w:tcPr>
            <w:tcW w:w="1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20,890,239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7,297,891</w:t>
            </w:r>
          </w:p>
        </w:tc>
        <w:tc>
          <w:tcPr>
            <w:tcW w:w="100" w:type="dxa"/>
            <w:vAlign w:val="bottom"/>
            <w:shd w:val="clear" w:color="auto" w:fill="CFF0FC"/>
          </w:tcPr>
          <w:p>
            <w:pPr>
              <w:spacing w:after="0"/>
              <w:rPr>
                <w:sz w:val="20"/>
                <w:szCs w:val="20"/>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Common stock issuance costs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(118,368)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(203,840)</w:t>
            </w: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equity under ESPP</w:t>
            </w:r>
          </w:p>
        </w:tc>
        <w:tc>
          <w:tcPr>
            <w:tcW w:w="1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shd w:val="clear" w:color="auto" w:fill="CFF0FC"/>
          </w:tcPr>
          <w:p>
            <w:pPr>
              <w:spacing w:after="0"/>
              <w:rPr>
                <w:sz w:val="19"/>
                <w:szCs w:val="19"/>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20,777,981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7,105,759</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11,394,191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(3,755,894)</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60,036,763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10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year</w:t>
            </w:r>
          </w:p>
        </w:tc>
        <w:tc>
          <w:tcPr>
            <w:tcW w:w="1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60,036,763</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16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16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870,373</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170,857</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60" w:firstLine="312"/>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firstLine="312"/>
        <w:spacing w:after="0" w:line="293" w:lineRule="auto"/>
        <w:rPr>
          <w:sz w:val="20"/>
          <w:szCs w:val="20"/>
          <w:color w:val="auto"/>
        </w:rPr>
      </w:pPr>
      <w:r>
        <w:rPr>
          <w:rFonts w:ascii="Arial" w:cs="Arial" w:eastAsia="Arial" w:hAnsi="Arial"/>
          <w:sz w:val="16"/>
          <w:szCs w:val="16"/>
          <w:color w:val="auto"/>
        </w:rPr>
        <w:t>Certain reclassifications have been made to the prior year financial statements to conform to the current year presentation. “Right-of-use asset” was previously presented within “Prepaid expenses and other current assets” and was reclassified to its own line on the consolidated balance sheet for the year ended December 31, 2020. ‘Operating lease liability” was previously presented within “Accrued liabilities and other current liabilities” and was reclassified to its own line on the consolidated balance sheet for the year ended December 31, 2020. Such reclassifications also resulted in a change to the presentation of items within operating activities in the statement of cash flows for the year ended December 31, 2020. There was no change to total net cash used in operating activities. These reclassifications had no effect on previously reported results of operations, cash flows, or retained earnings.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312"/>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33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Impact of COVID-19 on the Company’s Business</w:t>
      </w:r>
    </w:p>
    <w:p>
      <w:pPr>
        <w:spacing w:after="0" w:line="117" w:lineRule="exact"/>
        <w:rPr>
          <w:sz w:val="20"/>
          <w:szCs w:val="20"/>
          <w:color w:val="auto"/>
        </w:rPr>
      </w:pPr>
    </w:p>
    <w:p>
      <w:pPr>
        <w:jc w:val="both"/>
        <w:ind w:right="160" w:firstLine="312"/>
        <w:spacing w:after="0" w:line="311" w:lineRule="auto"/>
        <w:rPr>
          <w:sz w:val="20"/>
          <w:szCs w:val="20"/>
          <w:color w:val="auto"/>
        </w:rPr>
      </w:pPr>
      <w:r>
        <w:rPr>
          <w:rFonts w:ascii="Arial" w:cs="Arial" w:eastAsia="Arial" w:hAnsi="Arial"/>
          <w:sz w:val="16"/>
          <w:szCs w:val="16"/>
          <w:color w:val="212529"/>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right="240"/>
        <w:spacing w:after="0" w:line="291" w:lineRule="auto"/>
        <w:rPr>
          <w:sz w:val="20"/>
          <w:szCs w:val="20"/>
          <w:color w:val="auto"/>
        </w:rPr>
      </w:pPr>
      <w:r>
        <w:rPr>
          <w:rFonts w:ascii="Arial" w:cs="Arial" w:eastAsia="Arial" w:hAnsi="Arial"/>
          <w:sz w:val="16"/>
          <w:szCs w:val="16"/>
          <w:color w:val="212529"/>
        </w:rPr>
        <w:t>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312"/>
        <w:spacing w:after="0" w:line="308"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20" w:firstLine="312"/>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ind w:right="160" w:firstLine="312"/>
        <w:spacing w:after="0" w:line="279"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40" w:firstLine="312"/>
        <w:spacing w:after="0" w:line="277" w:lineRule="auto"/>
        <w:rPr>
          <w:sz w:val="20"/>
          <w:szCs w:val="20"/>
          <w:color w:val="auto"/>
        </w:rPr>
      </w:pPr>
      <w:r>
        <w:rPr>
          <w:rFonts w:ascii="Arial" w:cs="Arial" w:eastAsia="Arial" w:hAnsi="Arial"/>
          <w:sz w:val="18"/>
          <w:szCs w:val="18"/>
          <w:color w:val="auto"/>
        </w:rPr>
        <w:t>Financial instruments, including cash equivalents and accounts payable, are carried at cost, which management believes approximates fair value because of the short-term nature of these instruments.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IPR&amp;D, Long-Lived Assets and Goodwill</w:t>
      </w:r>
    </w:p>
    <w:p>
      <w:pPr>
        <w:spacing w:after="0" w:line="117" w:lineRule="exact"/>
        <w:rPr>
          <w:sz w:val="20"/>
          <w:szCs w:val="20"/>
          <w:color w:val="auto"/>
        </w:rPr>
      </w:pPr>
    </w:p>
    <w:p>
      <w:pPr>
        <w:ind w:firstLine="312"/>
        <w:spacing w:after="0" w:line="269" w:lineRule="auto"/>
        <w:rPr>
          <w:sz w:val="20"/>
          <w:szCs w:val="20"/>
          <w:color w:val="auto"/>
        </w:rPr>
      </w:pPr>
      <w:r>
        <w:rPr>
          <w:rFonts w:ascii="Arial" w:cs="Arial" w:eastAsia="Arial" w:hAnsi="Arial"/>
          <w:sz w:val="17"/>
          <w:szCs w:val="17"/>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71" w:lineRule="exact"/>
        <w:rPr>
          <w:sz w:val="20"/>
          <w:szCs w:val="20"/>
          <w:color w:val="auto"/>
        </w:rPr>
      </w:pPr>
    </w:p>
    <w:p>
      <w:pPr>
        <w:ind w:right="40" w:firstLine="312"/>
        <w:spacing w:after="0" w:line="277" w:lineRule="auto"/>
        <w:rPr>
          <w:sz w:val="20"/>
          <w:szCs w:val="20"/>
          <w:color w:val="auto"/>
        </w:rPr>
      </w:pPr>
      <w:r>
        <w:rPr>
          <w:rFonts w:ascii="Arial" w:cs="Arial" w:eastAsia="Arial" w:hAnsi="Arial"/>
          <w:sz w:val="18"/>
          <w:szCs w:val="18"/>
          <w:color w:val="auto"/>
        </w:rPr>
        <w:t>The Company’s long-lived assets are reviewed for impairment whenever events or changes in circumstances indicate that the carrying value of an asset (or asset group) may not be recoverable, and the Company will perform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both"/>
        <w:ind w:right="280"/>
        <w:spacing w:after="0" w:line="287" w:lineRule="auto"/>
        <w:rPr>
          <w:sz w:val="20"/>
          <w:szCs w:val="20"/>
          <w:color w:val="auto"/>
        </w:rPr>
      </w:pPr>
      <w:r>
        <w:rPr>
          <w:rFonts w:ascii="Arial" w:cs="Arial" w:eastAsia="Arial" w:hAnsi="Arial"/>
          <w:sz w:val="16"/>
          <w:szCs w:val="16"/>
          <w:color w:val="auto"/>
        </w:rPr>
        <w:t>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There were no events or changes in circumstances to indicate that the carrying value of an asset (or asset group) may not be recoverable for any of the periods presented.</w:t>
      </w:r>
    </w:p>
    <w:p>
      <w:pPr>
        <w:spacing w:after="0" w:line="77" w:lineRule="exact"/>
        <w:rPr>
          <w:sz w:val="20"/>
          <w:szCs w:val="20"/>
          <w:color w:val="auto"/>
        </w:rPr>
      </w:pPr>
    </w:p>
    <w:p>
      <w:pPr>
        <w:ind w:right="40" w:firstLine="312"/>
        <w:spacing w:after="0" w:line="271" w:lineRule="auto"/>
        <w:rPr>
          <w:sz w:val="20"/>
          <w:szCs w:val="20"/>
          <w:color w:val="auto"/>
        </w:rPr>
      </w:pPr>
      <w:r>
        <w:rPr>
          <w:rFonts w:ascii="Arial" w:cs="Arial" w:eastAsia="Arial" w:hAnsi="Arial"/>
          <w:sz w:val="17"/>
          <w:szCs w:val="17"/>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80" w:firstLine="312"/>
        <w:spacing w:after="0" w:line="263"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$8.1 million and $7.1 million for the years ended December 31, 2021 and 2020, respectively.</w:t>
      </w:r>
    </w:p>
    <w:p>
      <w:pPr>
        <w:spacing w:after="0" w:line="184" w:lineRule="exact"/>
        <w:rPr>
          <w:sz w:val="20"/>
          <w:szCs w:val="20"/>
          <w:color w:val="auto"/>
        </w:rPr>
      </w:pPr>
    </w:p>
    <w:p>
      <w:pPr>
        <w:ind w:right="40" w:firstLine="312"/>
        <w:spacing w:after="0" w:line="263"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Leases</w:t>
      </w:r>
    </w:p>
    <w:p>
      <w:pPr>
        <w:spacing w:after="0" w:line="225" w:lineRule="exact"/>
        <w:rPr>
          <w:sz w:val="20"/>
          <w:szCs w:val="20"/>
          <w:color w:val="auto"/>
        </w:rPr>
      </w:pPr>
    </w:p>
    <w:p>
      <w:pPr>
        <w:ind w:right="40" w:firstLine="312"/>
        <w:spacing w:after="0" w:line="254" w:lineRule="auto"/>
        <w:rPr>
          <w:sz w:val="20"/>
          <w:szCs w:val="20"/>
          <w:color w:val="auto"/>
        </w:rPr>
      </w:pPr>
      <w:r>
        <w:rPr>
          <w:rFonts w:ascii="Arial" w:cs="Arial" w:eastAsia="Arial" w:hAnsi="Arial"/>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 As of December 31, 2021, the Company recorded $1.1 million and $0.4 million in clinical trial accruals and prepaid expenses, respectively. As of December 31, 2020, the Company recorded $0.4 million and $0.5 million in clinical trial accruals and prepaid expenses, respectively.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312"/>
        <w:spacing w:after="0" w:line="259"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79" w:lineRule="exact"/>
        <w:rPr>
          <w:sz w:val="20"/>
          <w:szCs w:val="20"/>
          <w:color w:val="auto"/>
        </w:rPr>
      </w:pPr>
    </w:p>
    <w:p>
      <w:pPr>
        <w:ind w:right="40" w:firstLine="312"/>
        <w:spacing w:after="0" w:line="301" w:lineRule="auto"/>
        <w:rPr>
          <w:sz w:val="20"/>
          <w:szCs w:val="20"/>
          <w:color w:val="auto"/>
        </w:rPr>
      </w:pPr>
      <w:r>
        <w:rPr>
          <w:rFonts w:ascii="Arial" w:cs="Arial" w:eastAsia="Arial" w:hAnsi="Arial"/>
          <w:sz w:val="16"/>
          <w:szCs w:val="16"/>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80" w:firstLine="312"/>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80" w:lineRule="exact"/>
        <w:rPr>
          <w:sz w:val="20"/>
          <w:szCs w:val="20"/>
          <w:color w:val="auto"/>
        </w:rPr>
      </w:pPr>
    </w:p>
    <w:p>
      <w:pPr>
        <w:ind w:right="220" w:firstLine="312"/>
        <w:spacing w:after="0" w:line="277" w:lineRule="auto"/>
        <w:rPr>
          <w:sz w:val="20"/>
          <w:szCs w:val="20"/>
          <w:color w:val="auto"/>
        </w:rPr>
      </w:pPr>
      <w:r>
        <w:rPr>
          <w:rFonts w:ascii="Arial" w:cs="Arial" w:eastAsia="Arial" w:hAnsi="Arial"/>
          <w:sz w:val="18"/>
          <w:szCs w:val="18"/>
          <w:color w:val="auto"/>
        </w:rPr>
        <w:t>Potentially dilutive outstanding securities of 7,974,250 and 7,401,387 for the years ended December 31, 2021 and 2020, respectively, were excluded from diluted net loss per common share because of their anti-dilutive effect.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 xml:space="preserve">— Credit Losses (Topic 326): Measurement of Credit Losses on Financial Instruments </w:t>
      </w:r>
      <w:r>
        <w:rPr>
          <w:rFonts w:ascii="Arial" w:cs="Arial" w:eastAsia="Arial" w:hAnsi="Arial"/>
          <w:sz w:val="17"/>
          <w:szCs w:val="17"/>
          <w:color w:val="auto"/>
        </w:rPr>
        <w:t>(“ASU 2016-13”). The ASU introduced a new credit loss</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181" w:lineRule="exact"/>
        <w:rPr>
          <w:sz w:val="20"/>
          <w:szCs w:val="20"/>
          <w:color w:val="auto"/>
        </w:rPr>
      </w:pPr>
    </w:p>
    <w:p>
      <w:pPr>
        <w:ind w:right="60" w:firstLine="490"/>
        <w:spacing w:after="0" w:line="271"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evaluating the potential impact that this standard may have on its consolidated financial statements and related disclosures.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9" w:lineRule="exact"/>
        <w:rPr>
          <w:sz w:val="20"/>
          <w:szCs w:val="20"/>
          <w:color w:val="auto"/>
        </w:rPr>
      </w:pPr>
    </w:p>
    <w:p>
      <w:pPr>
        <w:ind w:firstLine="580"/>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simplifies the accounting for income taxes by removing certain exceptions to the general principles in Topic 740. ASU 2019-12 also improves the consistent application, and the simplification, of other areas of Topic 740 by clarifying and amending existing guidance. ASU 2019-12 is effective for fiscal years beginning after December 15, 2020, and interim periods within those fiscal years, with early adoption permitted. The Company adopted ASU 2019-12 on January 1, 2021 with no material impact on its consolidated financial statements and related disclosures.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225" w:lineRule="exact"/>
        <w:rPr>
          <w:sz w:val="20"/>
          <w:szCs w:val="20"/>
          <w:color w:val="auto"/>
        </w:rPr>
      </w:pPr>
    </w:p>
    <w:p>
      <w:pPr>
        <w:ind w:right="140" w:firstLine="540"/>
        <w:spacing w:after="0" w:line="293"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120" w:firstLine="432"/>
        <w:spacing w:after="0" w:line="296" w:lineRule="auto"/>
        <w:rPr>
          <w:sz w:val="20"/>
          <w:szCs w:val="20"/>
          <w:color w:val="auto"/>
        </w:rPr>
      </w:pPr>
      <w:r>
        <w:rPr>
          <w:rFonts w:ascii="Arial" w:cs="Arial" w:eastAsia="Arial" w:hAnsi="Arial"/>
          <w:sz w:val="16"/>
          <w:szCs w:val="16"/>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its meets the definition of a collaborative arrangement per ASC 808 which is outside of the scope of ASC 606. Since ASC 808 does not provide recognition and measurement guidance for collaborative arrangements, the Company analogized to ASC 606.</w:t>
      </w:r>
    </w:p>
    <w:p>
      <w:pPr>
        <w:spacing w:after="0" w:line="5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concluded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The amount received from Kissei and allocated, net of the amount recorded as revenue, is included on the balance sheet as deferred revenue as of December 31, 2020. No revenue was recognized for the years ended December 31, 2021 and 2020 in connection with the collaboration agreement with Kissei. As of December 31, 2021, the Company and Kissei were working to mutually terminate the collaboration agreement and cancel the second study contemplated thereunder. In October 2021, the Company refunded $1.3 million of the prepayment and the Company expects to finalize the termination agreement in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initial $12 million payment. Avigen could also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87"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is responsible for the development of the product and there is no further substantive service effort required by the Company. In March 2021, the Company received notice that a gene therapy product based on AAV (adeno-associated virus) vector technology, which is covered under the Genzyme Agreement, achieved two clinical development milestones, triggering two milestone payments. Accordingly, the Company recognized revenue of $4 million for the year ended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31" w:lineRule="exact"/>
        <w:rPr>
          <w:sz w:val="20"/>
          <w:szCs w:val="20"/>
          <w:color w:val="auto"/>
        </w:rPr>
      </w:pPr>
    </w:p>
    <w:p>
      <w:pPr>
        <w:ind w:left="1540" w:right="600" w:hanging="1025"/>
        <w:spacing w:after="0" w:line="277"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Cash equivalents including money market accounts of $0.7 million and $0.7 million measured at fair value as of December 31, 2021 and 2020, respectively, are classified within Level 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124,731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244,021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482,768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579,317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(425,203)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(523,617)</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The Company uses the straight-line method to record depreciation expense with useful lives of three to five years. Leasehold improvements are amortized over a useful life of five years. Depreciation and amortization of property and equipment of $26,149 and $21,342 was recorded for the years ended December 31, 2021 and 2020,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Accrued Liabilities and Other Current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and other current liabilities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636,481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823,254</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Clinical trial accruals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1,076,411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401,789</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65,207</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547,270</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101,043</w:t>
            </w:r>
          </w:p>
        </w:tc>
        <w:tc>
          <w:tcPr>
            <w:tcW w:w="8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 and other current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1,391,293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333" w:lineRule="exact"/>
        <w:rPr>
          <w:sz w:val="20"/>
          <w:szCs w:val="20"/>
          <w:color w:val="auto"/>
        </w:rPr>
      </w:pPr>
    </w:p>
    <w:p>
      <w:pPr>
        <w:ind w:right="60" w:firstLine="580"/>
        <w:spacing w:after="0" w:line="272"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is for a term of four years and one month initially ending December 31, 2021, but was extended one month in August 2021 to January 31, 2022. The Company’s new San Diego lease has a term of five years commencing February 1, 2022 and ending January 31, 2027, with annual escalations. The Company’s lease in Tokyo, Japan was renewed in May 2021 and has a term of two years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consolidated balance sheet.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00" w:lineRule="exact"/>
        <w:rPr>
          <w:sz w:val="20"/>
          <w:szCs w:val="20"/>
          <w:color w:val="auto"/>
        </w:rPr>
      </w:pPr>
    </w:p>
    <w:p>
      <w:pPr>
        <w:spacing w:after="0" w:line="246"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Year Ended</w:t>
      </w:r>
    </w:p>
    <w:p>
      <w:pPr>
        <w:jc w:val="center"/>
        <w:ind w:left="68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r>
      <w:tr>
        <w:trPr>
          <w:trHeight w:val="155"/>
        </w:trPr>
        <w:tc>
          <w:tcPr>
            <w:tcW w:w="5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2640" w:type="dxa"/>
            <w:vAlign w:val="bottom"/>
            <w:gridSpan w:val="2"/>
            <w:shd w:val="clear" w:color="auto" w:fill="CFF0FC"/>
          </w:tcPr>
          <w:p>
            <w:pPr>
              <w:jc w:val="right"/>
              <w:ind w:right="9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242,676</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248,648</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Operating lease costs</w:t>
            </w: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228,779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240,467</w:t>
            </w: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w w:val="89"/>
              </w:rPr>
              <w:t>Right-of-use assets obtained in exchange for new operating lease obligations</w:t>
            </w:r>
          </w:p>
        </w:tc>
        <w:tc>
          <w:tcPr>
            <w:tcW w:w="1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870,373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liabilities</w:t>
            </w:r>
          </w:p>
        </w:tc>
        <w:tc>
          <w:tcPr>
            <w:tcW w:w="2640" w:type="dxa"/>
            <w:vAlign w:val="bottom"/>
            <w:gridSpan w:val="2"/>
            <w:shd w:val="clear" w:color="auto" w:fill="CFF0FC"/>
          </w:tcPr>
          <w:p>
            <w:pPr>
              <w:jc w:val="right"/>
              <w:ind w:right="9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186,028</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15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80" w:type="dxa"/>
            <w:vAlign w:val="bottom"/>
            <w:tcBorders>
              <w:bottom w:val="single" w:sz="8" w:color="CFF0FC"/>
            </w:tcBorders>
          </w:tcPr>
          <w:p>
            <w:pPr>
              <w:spacing w:after="0"/>
              <w:rPr>
                <w:sz w:val="19"/>
                <w:szCs w:val="19"/>
                <w:color w:val="auto"/>
              </w:rPr>
            </w:pPr>
          </w:p>
        </w:tc>
      </w:tr>
      <w:tr>
        <w:trPr>
          <w:trHeight w:val="223"/>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5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188,733</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29"/>
        </w:trPr>
        <w:tc>
          <w:tcPr>
            <w:tcW w:w="55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648"/>
        </w:trPr>
        <w:tc>
          <w:tcPr>
            <w:tcW w:w="5540" w:type="dxa"/>
            <w:vAlign w:val="bottom"/>
          </w:tcPr>
          <w:p>
            <w:pPr>
              <w:spacing w:after="0"/>
              <w:rPr>
                <w:sz w:val="24"/>
                <w:szCs w:val="24"/>
                <w:color w:val="auto"/>
              </w:rPr>
            </w:pPr>
          </w:p>
        </w:tc>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76</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2021 were as follows:</w:t>
            </w:r>
          </w:p>
        </w:tc>
        <w:tc>
          <w:tcPr>
            <w:tcW w:w="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210,816</w:t>
            </w:r>
          </w:p>
        </w:tc>
        <w:tc>
          <w:tcPr>
            <w:tcW w:w="100" w:type="dxa"/>
            <w:vAlign w:val="bottom"/>
            <w:shd w:val="clear" w:color="auto" w:fill="CFF0FC"/>
          </w:tcPr>
          <w:p>
            <w:pPr>
              <w:spacing w:after="0"/>
              <w:rPr>
                <w:sz w:val="19"/>
                <w:szCs w:val="19"/>
                <w:color w:val="auto"/>
              </w:rPr>
            </w:pPr>
          </w:p>
        </w:tc>
      </w:tr>
      <w:tr>
        <w:trPr>
          <w:trHeight w:val="229"/>
        </w:trPr>
        <w:tc>
          <w:tcPr>
            <w:tcW w:w="886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221,104</w:t>
            </w:r>
          </w:p>
        </w:tc>
        <w:tc>
          <w:tcPr>
            <w:tcW w:w="100" w:type="dxa"/>
            <w:vAlign w:val="bottom"/>
          </w:tcPr>
          <w:p>
            <w:pPr>
              <w:spacing w:after="0"/>
              <w:rPr>
                <w:sz w:val="19"/>
                <w:szCs w:val="19"/>
                <w:color w:val="auto"/>
              </w:rPr>
            </w:pPr>
          </w:p>
        </w:tc>
      </w:tr>
      <w:tr>
        <w:trPr>
          <w:trHeight w:val="230"/>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189,170</w:t>
            </w:r>
          </w:p>
        </w:tc>
        <w:tc>
          <w:tcPr>
            <w:tcW w:w="100" w:type="dxa"/>
            <w:vAlign w:val="bottom"/>
            <w:shd w:val="clear" w:color="auto" w:fill="CFF0FC"/>
          </w:tcPr>
          <w:p>
            <w:pPr>
              <w:spacing w:after="0"/>
              <w:rPr>
                <w:sz w:val="19"/>
                <w:szCs w:val="19"/>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197,586</w:t>
            </w:r>
          </w:p>
        </w:tc>
        <w:tc>
          <w:tcPr>
            <w:tcW w:w="100" w:type="dxa"/>
            <w:vAlign w:val="bottom"/>
          </w:tcPr>
          <w:p>
            <w:pPr>
              <w:spacing w:after="0"/>
              <w:rPr>
                <w:sz w:val="21"/>
                <w:szCs w:val="21"/>
                <w:color w:val="auto"/>
              </w:rPr>
            </w:pPr>
          </w:p>
        </w:tc>
      </w:tr>
      <w:tr>
        <w:trPr>
          <w:trHeight w:val="243"/>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FF0FC"/>
          </w:tcPr>
          <w:p>
            <w:pPr>
              <w:spacing w:after="0"/>
              <w:rPr>
                <w:sz w:val="21"/>
                <w:szCs w:val="21"/>
                <w:color w:val="auto"/>
              </w:rPr>
            </w:pPr>
          </w:p>
        </w:tc>
      </w:tr>
      <w:tr>
        <w:trPr>
          <w:trHeight w:val="229"/>
        </w:trPr>
        <w:tc>
          <w:tcPr>
            <w:tcW w:w="8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w:t>
            </w:r>
          </w:p>
        </w:tc>
        <w:tc>
          <w:tcPr>
            <w:tcW w:w="100" w:type="dxa"/>
            <w:vAlign w:val="bottom"/>
            <w:tcBorders>
              <w:bottom w:val="single" w:sz="8" w:color="CFF0FC"/>
            </w:tcBorders>
          </w:tcPr>
          <w:p>
            <w:pPr>
              <w:spacing w:after="0"/>
              <w:rPr>
                <w:sz w:val="19"/>
                <w:szCs w:val="19"/>
                <w:color w:val="auto"/>
              </w:rPr>
            </w:pPr>
          </w:p>
        </w:tc>
      </w:tr>
      <w:tr>
        <w:trPr>
          <w:trHeight w:val="223"/>
        </w:trPr>
        <w:tc>
          <w:tcPr>
            <w:tcW w:w="8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minimum payments</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1,042,428</w:t>
            </w:r>
          </w:p>
        </w:tc>
        <w:tc>
          <w:tcPr>
            <w:tcW w:w="100" w:type="dxa"/>
            <w:vAlign w:val="bottom"/>
            <w:shd w:val="clear" w:color="auto" w:fill="CFF0FC"/>
          </w:tcPr>
          <w:p>
            <w:pPr>
              <w:spacing w:after="0"/>
              <w:rPr>
                <w:sz w:val="19"/>
                <w:szCs w:val="19"/>
                <w:color w:val="auto"/>
              </w:rPr>
            </w:pPr>
          </w:p>
        </w:tc>
      </w:tr>
      <w:tr>
        <w:trPr>
          <w:trHeight w:val="223"/>
        </w:trPr>
        <w:tc>
          <w:tcPr>
            <w:tcW w:w="8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(215,789)</w:t>
            </w:r>
          </w:p>
        </w:tc>
        <w:tc>
          <w:tcPr>
            <w:tcW w:w="100" w:type="dxa"/>
            <w:vAlign w:val="bottom"/>
            <w:tcBorders>
              <w:bottom w:val="single" w:sz="8" w:color="CFF0FC"/>
            </w:tcBorders>
          </w:tcPr>
          <w:p>
            <w:pPr>
              <w:spacing w:after="0"/>
              <w:rPr>
                <w:sz w:val="19"/>
                <w:szCs w:val="19"/>
                <w:color w:val="auto"/>
              </w:rPr>
            </w:pPr>
          </w:p>
        </w:tc>
      </w:tr>
      <w:tr>
        <w:trPr>
          <w:trHeight w:val="223"/>
        </w:trPr>
        <w:tc>
          <w:tcPr>
            <w:tcW w:w="8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-788035</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No amounts have been expended under these agreements during the years ended December 31, 2021 and 2020. For products currently in development, future potential milestone payments based on product development of MN-166 (ibudilast) and MN-001 (tipelukast) are $10 million as of December 31, 2021. For all other products, future potential milestone payments related to development milestones and commercialization milestones totaled $33.5 million as of December 31, 2021.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The Company’s stockholders have subsequently approved increases to the number of shares reserved for issuance under the 2013 plan, including approval of an additional 1,500,000 shares at the annual meeting of stockholders held in June 2020. As of December 31, 2021, a total of 8,700,000 shares of common stock were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2021, 1,963,317 shares remain available for future grant under the 2013 Plan.</w:t>
      </w:r>
    </w:p>
    <w:p>
      <w:pPr>
        <w:spacing w:after="0" w:line="7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As of December 31, 2021, there were a total of 1,186,000 shares underlying performance options that were subject to vesting based on achievement of performance milestones for 2021. In January 2022, the compensation committee and the board of directors determined that the performance milestones were achieved at the 55% level and accordingly 652,300 of these options vested and the remaining shares were forfeited.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one to four-year period.</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2021 and 2020 was equal to the market value of the Company’s common stock on the date of grant.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and related information for the years ended December 31, 2021 and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 Average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2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6,802,093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1700"/>
              <w:spacing w:after="0"/>
              <w:rPr>
                <w:sz w:val="20"/>
                <w:szCs w:val="20"/>
                <w:color w:val="auto"/>
              </w:rPr>
            </w:pPr>
            <w:r>
              <w:rPr>
                <w:rFonts w:ascii="Arial" w:cs="Arial" w:eastAsia="Arial" w:hAnsi="Arial"/>
                <w:sz w:val="18"/>
                <w:szCs w:val="18"/>
                <w:color w:val="auto"/>
              </w:rPr>
              <w:t>Granted</w:t>
            </w:r>
          </w:p>
        </w:tc>
        <w:tc>
          <w:tcPr>
            <w:tcW w:w="2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(287,863)</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Cancelled</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(494,843)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21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7,401,387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1700"/>
              <w:spacing w:after="0"/>
              <w:rPr>
                <w:sz w:val="20"/>
                <w:szCs w:val="20"/>
                <w:color w:val="auto"/>
              </w:rPr>
            </w:pPr>
            <w:r>
              <w:rPr>
                <w:rFonts w:ascii="Arial" w:cs="Arial" w:eastAsia="Arial" w:hAnsi="Arial"/>
                <w:sz w:val="18"/>
                <w:szCs w:val="18"/>
                <w:color w:val="auto"/>
              </w:rPr>
              <w:t>Granted</w:t>
            </w:r>
          </w:p>
        </w:tc>
        <w:tc>
          <w:tcPr>
            <w:tcW w:w="2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(360,955)</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Cancelled</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(381,182)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7,974,250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700"/>
              <w:spacing w:after="0"/>
              <w:rPr>
                <w:sz w:val="20"/>
                <w:szCs w:val="20"/>
                <w:color w:val="auto"/>
              </w:rPr>
            </w:pPr>
            <w:r>
              <w:rPr>
                <w:rFonts w:ascii="Arial" w:cs="Arial" w:eastAsia="Arial" w:hAnsi="Arial"/>
                <w:sz w:val="18"/>
                <w:szCs w:val="18"/>
                <w:color w:val="auto"/>
              </w:rPr>
              <w:t>Exercisable at December 31, 2021</w:t>
            </w:r>
          </w:p>
        </w:tc>
        <w:tc>
          <w:tcPr>
            <w:tcW w:w="3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6,687,917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80" w:type="dxa"/>
            <w:vAlign w:val="bottom"/>
            <w:vMerge w:val="restart"/>
          </w:tcPr>
          <w:p>
            <w:pPr>
              <w:jc w:val="right"/>
              <w:ind w:right="1250"/>
              <w:spacing w:after="0"/>
              <w:rPr>
                <w:sz w:val="20"/>
                <w:szCs w:val="20"/>
                <w:color w:val="auto"/>
              </w:rPr>
            </w:pPr>
            <w:r>
              <w:rPr>
                <w:rFonts w:ascii="Arial" w:cs="Arial" w:eastAsia="Arial" w:hAnsi="Arial"/>
                <w:sz w:val="18"/>
                <w:szCs w:val="18"/>
                <w:color w:val="auto"/>
              </w:rPr>
              <w:t>78</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76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 Shares</w:t>
            </w:r>
          </w:p>
        </w:tc>
        <w:tc>
          <w:tcPr>
            <w:tcW w:w="12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Grant-Date Fair Value</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1,280,500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1,315,000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(1,133,167)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intrinsic value of options exercised was $0.7 million and $0.7 million for the years ended December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and exercisable at December 31, 2021 had a weighted average contractual life of 5.81 years and 5.17 years, respectively.</w:t>
      </w:r>
    </w:p>
    <w:p>
      <w:pPr>
        <w:spacing w:after="0" w:line="222"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8"/>
          <w:szCs w:val="18"/>
          <w:color w:val="auto"/>
        </w:rPr>
        <w:t>As of December 31, 2021 and 2020, the total intrinsic value of options outstanding was $32,840 and $5.7 million, respectively. Total intrinsic value of options exercisable was $32,840 and $5.7 million as of December 31, 2021 and 2020, respectively. Total fair value of options vested was $4.2 million and $3.7 million for the years ended December 31, 2021 and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For the years ended December 31, 2021 and 2020 an aggregate of 1,424 and 3,834 shares, respectively were issued under the ESPP. No further shares will be issued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75"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Year Ended</w:t>
      </w:r>
    </w:p>
    <w:p>
      <w:pPr>
        <w:jc w:val="center"/>
        <w:ind w:left="4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6280" w:type="dxa"/>
            <w:vAlign w:val="bottom"/>
            <w:gridSpan w:val="2"/>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0.58%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72.41%</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74.08%</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648"/>
        </w:trPr>
        <w:tc>
          <w:tcPr>
            <w:tcW w:w="6280" w:type="dxa"/>
            <w:vAlign w:val="bottom"/>
            <w:gridSpan w:val="2"/>
          </w:tcPr>
          <w:p>
            <w:pPr>
              <w:jc w:val="right"/>
              <w:ind w:right="470"/>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9" w:name="page80"/>
    <w:bookmarkEnd w:id="79"/>
    <w:p>
      <w:pPr>
        <w:ind w:right="100" w:firstLine="432"/>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83.40%</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81.49%</w:t>
            </w: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29"/>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80" w:firstLine="432"/>
        <w:spacing w:after="0" w:line="275" w:lineRule="auto"/>
        <w:rPr>
          <w:sz w:val="20"/>
          <w:szCs w:val="20"/>
          <w:color w:val="auto"/>
        </w:rPr>
      </w:pPr>
      <w:r>
        <w:rPr>
          <w:rFonts w:ascii="Arial" w:cs="Arial" w:eastAsia="Arial" w:hAnsi="Arial"/>
          <w:sz w:val="17"/>
          <w:szCs w:val="17"/>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 The simplified method approximates the average historical exercise for stock options.</w:t>
      </w:r>
    </w:p>
    <w:p>
      <w:pPr>
        <w:spacing w:after="0" w:line="17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weighted-average fair value of each stock option granted during the years ended December 31, 2021 and 2020, estimated as of the grant date using the Black-Scholes option valuation model, was $3.51 per option and $3.70 per option,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expense for the years ended December 31, 2021 and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60" w:type="dxa"/>
            <w:vAlign w:val="bottom"/>
            <w:vMerge w:val="restart"/>
          </w:tcPr>
          <w:p>
            <w:pPr>
              <w:spacing w:after="0"/>
              <w:rPr>
                <w:sz w:val="20"/>
                <w:szCs w:val="20"/>
                <w:color w:val="auto"/>
              </w:rPr>
            </w:pPr>
            <w:r>
              <w:rPr>
                <w:rFonts w:ascii="Arial" w:cs="Arial" w:eastAsia="Arial" w:hAnsi="Arial"/>
                <w:sz w:val="18"/>
                <w:szCs w:val="18"/>
                <w:color w:val="auto"/>
              </w:rPr>
              <w:t>Research, development and patents</w:t>
            </w:r>
          </w:p>
        </w:tc>
        <w:tc>
          <w:tcPr>
            <w:tcW w:w="148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1480" w:type="dxa"/>
            <w:vAlign w:val="bottom"/>
          </w:tcPr>
          <w:p>
            <w:pPr>
              <w:jc w:val="right"/>
              <w:ind w:right="129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640,340</w:t>
            </w:r>
          </w:p>
        </w:tc>
        <w:tc>
          <w:tcPr>
            <w:tcW w:w="240" w:type="dxa"/>
            <w:vAlign w:val="bottom"/>
          </w:tcPr>
          <w:p>
            <w:pPr>
              <w:spacing w:after="0"/>
              <w:rPr>
                <w:sz w:val="19"/>
                <w:szCs w:val="19"/>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1,090,839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1,077,173</w:t>
            </w:r>
          </w:p>
        </w:tc>
        <w:tc>
          <w:tcPr>
            <w:tcW w:w="2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80" w:type="dxa"/>
            <w:vAlign w:val="bottom"/>
            <w:tcBorders>
              <w:bottom w:val="single" w:sz="8" w:color="auto"/>
            </w:tcBorders>
          </w:tcPr>
          <w:p>
            <w:pPr>
              <w:jc w:val="right"/>
              <w:ind w:right="1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1,717,513</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2021, there was $0.3 million of unamortized compensation cost related to unvested stock option awards which is expected to be recognized over a remaining weighted-average vesting period of 0.13 years, on a straight-line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 Sales Agreement</w:t>
      </w:r>
    </w:p>
    <w:p>
      <w:pPr>
        <w:spacing w:after="0" w:line="252" w:lineRule="exact"/>
        <w:rPr>
          <w:sz w:val="20"/>
          <w:szCs w:val="20"/>
          <w:color w:val="auto"/>
        </w:rPr>
      </w:pPr>
    </w:p>
    <w:p>
      <w:pPr>
        <w:ind w:right="60" w:firstLine="633"/>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t>The following table summarizes the activity under the ATM agreements for the following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1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80" w:type="dxa"/>
            <w:vAlign w:val="bottom"/>
            <w:vMerge w:val="restart"/>
          </w:tcPr>
          <w:p>
            <w:pPr>
              <w:spacing w:after="0"/>
              <w:rPr>
                <w:sz w:val="20"/>
                <w:szCs w:val="20"/>
                <w:color w:val="auto"/>
              </w:rPr>
            </w:pPr>
            <w:r>
              <w:rPr>
                <w:rFonts w:ascii="Arial" w:cs="Arial" w:eastAsia="Arial" w:hAnsi="Arial"/>
                <w:sz w:val="18"/>
                <w:szCs w:val="18"/>
                <w:color w:val="auto"/>
              </w:rPr>
              <w:t>Gross proceeds</w:t>
            </w:r>
          </w:p>
        </w:tc>
        <w:tc>
          <w:tcPr>
            <w:tcW w:w="39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tcPr>
          <w:p>
            <w:pPr>
              <w:jc w:val="right"/>
              <w:ind w:right="10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166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6,391,919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proceeds</w:t>
            </w:r>
          </w:p>
        </w:tc>
        <w:tc>
          <w:tcPr>
            <w:tcW w:w="3940" w:type="dxa"/>
            <w:vAlign w:val="bottom"/>
            <w:gridSpan w:val="2"/>
            <w:shd w:val="clear" w:color="auto" w:fill="CFF0FC"/>
          </w:tcPr>
          <w:p>
            <w:pPr>
              <w:jc w:val="right"/>
              <w:ind w:right="1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Shares sold</w:t>
            </w:r>
          </w:p>
        </w:tc>
        <w:tc>
          <w:tcPr>
            <w:tcW w:w="2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824,798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Price range</w:t>
            </w:r>
          </w:p>
        </w:tc>
        <w:tc>
          <w:tcPr>
            <w:tcW w:w="3940" w:type="dxa"/>
            <w:vAlign w:val="bottom"/>
            <w:gridSpan w:val="2"/>
            <w:shd w:val="clear" w:color="auto" w:fill="CFF0FC"/>
          </w:tcPr>
          <w:p>
            <w:pPr>
              <w:jc w:val="right"/>
              <w:ind w:right="1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$5.55 - 10.45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Transactions</w:t>
      </w:r>
    </w:p>
    <w:p>
      <w:pPr>
        <w:spacing w:after="0" w:line="239" w:lineRule="exact"/>
        <w:rPr>
          <w:sz w:val="20"/>
          <w:szCs w:val="20"/>
          <w:color w:val="auto"/>
        </w:rPr>
      </w:pPr>
    </w:p>
    <w:p>
      <w:pPr>
        <w:ind w:right="140" w:firstLine="633"/>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ectPr>
          <w:pgSz w:w="11900" w:h="16838" w:orient="portrait"/>
          <w:cols w:equalWidth="0" w:num="1">
            <w:col w:w="11240"/>
          </w:cols>
          <w:pgMar w:left="320" w:top="557" w:right="3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common stock reserved for future issuance at December 31, 2021:</w:t>
      </w: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420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77360" cy="420370"/>
                    </a:xfrm>
                    <a:prstGeom prst="rect">
                      <a:avLst/>
                    </a:prstGeom>
                    <a:noFill/>
                  </pic:spPr>
                </pic:pic>
              </a:graphicData>
            </a:graphic>
          </wp:anchor>
        </w:drawing>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options outstanding (under the 2004 Plan and</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2013 Plan)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reserved for future equity awards (under</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7,974,250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1,963,317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9,937,567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46355</wp:posOffset>
            </wp:positionV>
            <wp:extent cx="711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814" w:lineRule="exact"/>
        <w:rPr>
          <w:sz w:val="20"/>
          <w:szCs w:val="20"/>
          <w:color w:val="auto"/>
        </w:rPr>
      </w:pPr>
    </w:p>
    <w:p>
      <w:pPr>
        <w:sectPr>
          <w:pgSz w:w="11900" w:h="16838" w:orient="portrait"/>
          <w:cols w:equalWidth="0" w:num="2">
            <w:col w:w="7580" w:space="600"/>
            <w:col w:w="3060"/>
          </w:cols>
          <w:pgMar w:left="320" w:top="557" w:right="33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A reconciliation of loss before income taxes for domestic and foreign locations for the years ended December 31, 2021 and 2020 is as follows:</w:t>
      </w:r>
    </w:p>
    <w:p>
      <w:pPr>
        <w:spacing w:after="0" w:line="24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w:t>
      </w:r>
    </w:p>
    <w:p>
      <w:pPr>
        <w:jc w:val="center"/>
        <w:ind w:left="7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3720" w:type="dxa"/>
            <w:vAlign w:val="bottom"/>
            <w:tcBorders>
              <w:bottom w:val="single" w:sz="8" w:color="CFF0FC"/>
            </w:tcBorders>
          </w:tcPr>
          <w:p>
            <w:pPr>
              <w:spacing w:after="0"/>
              <w:rPr>
                <w:sz w:val="13"/>
                <w:szCs w:val="13"/>
                <w:color w:val="auto"/>
              </w:rPr>
            </w:pPr>
          </w:p>
        </w:tc>
        <w:tc>
          <w:tcPr>
            <w:tcW w:w="40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0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(10,145,822)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(13,865,784)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4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40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(10,131,684)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(13,855,545)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81" w:name="page82"/>
    <w:bookmarkEnd w:id="81"/>
    <w:p>
      <w:pPr>
        <w:ind w:left="440"/>
        <w:spacing w:after="0"/>
        <w:rPr>
          <w:sz w:val="20"/>
          <w:szCs w:val="20"/>
          <w:color w:val="auto"/>
        </w:rPr>
      </w:pPr>
      <w:r>
        <w:rPr>
          <w:rFonts w:ascii="Arial" w:cs="Arial" w:eastAsia="Arial" w:hAnsi="Arial"/>
          <w:sz w:val="18"/>
          <w:szCs w:val="18"/>
          <w:color w:val="auto"/>
        </w:rPr>
        <w:t>A reconciliation of income tax benefit (expense) for the years ended December 31, 2021 and 2020 is as follows:</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vMerge w:val="continue"/>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(2,568)</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income tax benefit (expense)</w:t>
            </w:r>
          </w:p>
        </w:tc>
        <w:tc>
          <w:tcPr>
            <w:tcW w:w="1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benefit (expense)</w:t>
            </w:r>
          </w:p>
        </w:tc>
        <w:tc>
          <w:tcPr>
            <w:tcW w:w="1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income tax benefit (expense)</w:t>
            </w:r>
          </w:p>
        </w:tc>
        <w:tc>
          <w:tcPr>
            <w:tcW w:w="1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deferred income taxes at December 31, 2021 and 2020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rPr>
              <w:t>Year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vMerge w:val="continue"/>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 carryforwards</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68,485,037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67,403,329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Capitalized licenses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tax credits</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9,262,071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8,980,935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1,601,862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2,902,963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Right-of-use asset</w:t>
            </w:r>
          </w:p>
        </w:tc>
        <w:tc>
          <w:tcPr>
            <w:tcW w:w="2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79,999,092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80,195,353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(196,059)</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(35,726)</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 process R&amp;D</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(1,343,213)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(1,343,213)</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(1,539,272)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(1,378,939)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78,459,820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78,816,414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2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(78,661,612)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(79,018,206)</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2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net change in the valuation allowance during the year ended December 31, 2021 was an increase of $0.4 million. The Company periodically evaluates the recoverability of the deferred tax assets. At such time as it is determined that it is more likely than not that deferred tax assets will be realizable, the valuation allowance will be reduced.</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At December 31, 2021, the Company has federal and California net operating loss (NOL) carryforwards of approximately $273.1 million and $169.6 million, respectively. The federal NOL carryforwards began to expire in 2022, and the California NOL carryforwards will begin to expire in 2028. At December 31, 2021, the Company also had federal and California research tax credit carry-forwards of approximately $7.5 million and $2.2 million, respectively. The federal research tax credit carryforwards will begin to expire in 2024, and the California research tax credit carryforward does not expire and can be carried forward indefinitely until utilized.</w:t>
      </w:r>
    </w:p>
    <w:p>
      <w:pPr>
        <w:spacing w:after="0" w:line="18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On March 27, 2020, the CARES Act was signed into law in response to the economic challenges facing US businesses. Under the CARES Act, the Internal Revenue Code was amended to allow for federal NOL carrybacks for five years to offset previous years income, or can be carried forward indefinitely to offset 100% of taxable income for the tax year 2020 and 80% of taxable income for tax years 2021 and thereafter.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2" w:name="page83"/>
    <w:bookmarkEnd w:id="82"/>
    <w:p>
      <w:pPr>
        <w:ind w:right="60" w:firstLine="432"/>
        <w:spacing w:after="0" w:line="288" w:lineRule="auto"/>
        <w:rPr>
          <w:sz w:val="20"/>
          <w:szCs w:val="20"/>
          <w:color w:val="auto"/>
        </w:rPr>
      </w:pPr>
      <w:r>
        <w:rPr>
          <w:rFonts w:ascii="Arial" w:cs="Arial" w:eastAsia="Arial" w:hAnsi="Arial"/>
          <w:sz w:val="16"/>
          <w:szCs w:val="16"/>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1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82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29"/>
        </w:trPr>
        <w:tc>
          <w:tcPr>
            <w:tcW w:w="902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r>
      <w:tr>
        <w:trPr>
          <w:trHeight w:val="230"/>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r>
      <w:tr>
        <w:trPr>
          <w:trHeight w:val="229"/>
        </w:trPr>
        <w:tc>
          <w:tcPr>
            <w:tcW w:w="90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r>
      <w:tr>
        <w:trPr>
          <w:trHeight w:val="230"/>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(0.2)</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9020" w:type="dxa"/>
            <w:vAlign w:val="bottom"/>
            <w:gridSpan w:val="2"/>
          </w:tcPr>
          <w:p>
            <w:pPr>
              <w:spacing w:after="0"/>
              <w:rPr>
                <w:sz w:val="20"/>
                <w:szCs w:val="20"/>
                <w:color w:val="auto"/>
              </w:rPr>
            </w:pPr>
            <w:r>
              <w:rPr>
                <w:rFonts w:ascii="Arial" w:cs="Arial" w:eastAsia="Arial" w:hAnsi="Arial"/>
                <w:sz w:val="18"/>
                <w:szCs w:val="18"/>
                <w:color w:val="auto"/>
              </w:rPr>
              <w:t>Expiration of attributes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29"/>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(12.4)</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8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338"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jc w:val="center"/>
        <w:ind w:left="8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85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January 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8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893,371</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8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unrecognized tax benefits at December 31</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893,371</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If recognized, none of the unrecognized tax benefits as of December 31, 2021 would reduce the annual effective tax rate, primarily due to corresponding adjustments to the valuation allowance.</w:t>
      </w:r>
    </w:p>
    <w:p>
      <w:pPr>
        <w:spacing w:after="0" w:line="62"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2021, there are no significant accruals for interest related to unrecognized tax benefits or tax penalties. The Company does not expect the unrecognized tax benefits to change significantly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9. Employee Savings Plan</w:t>
      </w:r>
    </w:p>
    <w:p>
      <w:pPr>
        <w:spacing w:after="0" w:line="121"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$72,330 and $81,647 for the years ended December 31, 2021 and 2020, respectively.</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2021, our disclosure controls and procedures were effective.</w:t>
      </w:r>
    </w:p>
    <w:p>
      <w:pPr>
        <w:spacing w:after="0" w:line="17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720" w:hanging="258"/>
        <w:spacing w:after="0"/>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760" w:right="320" w:hanging="298"/>
        <w:spacing w:after="0" w:line="263" w:lineRule="auto"/>
        <w:tabs>
          <w:tab w:leader="none" w:pos="7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75" w:lineRule="exact"/>
        <w:rPr>
          <w:rFonts w:ascii="Arial" w:cs="Arial" w:eastAsia="Arial" w:hAnsi="Arial"/>
          <w:sz w:val="18"/>
          <w:szCs w:val="18"/>
          <w:color w:val="auto"/>
        </w:rPr>
      </w:pPr>
    </w:p>
    <w:p>
      <w:pPr>
        <w:ind w:left="760" w:right="360" w:hanging="298"/>
        <w:spacing w:after="0" w:line="277" w:lineRule="auto"/>
        <w:tabs>
          <w:tab w:leader="none" w:pos="7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4" w:name="page85"/>
    <w:bookmarkEnd w:id="84"/>
    <w:p>
      <w:pPr>
        <w:ind w:firstLine="432"/>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95"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2021.</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the Prevent Inspections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2022 Annual Meeting of Stockholders to be filed with the SEC within 120 days after the conclusion of our fiscal year ended December 31, 2021 (the “Proxy Statement”) and is incorporated in this Annual Report on Form 10-K by reference.</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2021 with respect to the shares of our common stock that may be issued under our existing equity compensation plans.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51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5160" w:type="dxa"/>
            <w:vAlign w:val="bottom"/>
            <w:gridSpan w:val="4"/>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and Rights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by Stockholders (1)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7,974,250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4"/>
          </w:tcPr>
          <w:p>
            <w:pPr>
              <w:ind w:left="11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7,974,250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right="200" w:hanging="432"/>
        <w:spacing w:after="0" w:line="311"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3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37" w:right="8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80" w:hanging="24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5" w:lineRule="exact"/>
        <w:rPr>
          <w:sz w:val="20"/>
          <w:szCs w:val="20"/>
          <w:color w:val="auto"/>
        </w:rPr>
      </w:pPr>
    </w:p>
    <w:p>
      <w:pPr>
        <w:ind w:right="380" w:firstLine="440"/>
        <w:spacing w:after="0" w:line="277" w:lineRule="auto"/>
        <w:tabs>
          <w:tab w:leader="none" w:pos="612"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 of BDO USA,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20"/>
            <w:vMerge w:val="restart"/>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10"/>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20"/>
            <w:vMerge w:val="continue"/>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8"/>
          </w:tcPr>
          <w:p>
            <w:pPr>
              <w:spacing w:after="0"/>
              <w:rPr>
                <w:sz w:val="17"/>
                <w:szCs w:val="17"/>
                <w:color w:val="auto"/>
              </w:rPr>
            </w:pPr>
          </w:p>
        </w:tc>
        <w:tc>
          <w:tcPr>
            <w:tcW w:w="6840" w:type="dxa"/>
            <w:vAlign w:val="bottom"/>
            <w:gridSpan w:val="18"/>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r>
        <w:trPr>
          <w:trHeight w:val="196"/>
        </w:trPr>
        <w:tc>
          <w:tcPr>
            <w:tcW w:w="11060" w:type="dxa"/>
            <w:vAlign w:val="bottom"/>
            <w:gridSpan w:val="3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and Comprehensive Loss</w:t>
              </w:r>
            </w:hyperlink>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67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3"/>
          </w:tcPr>
          <w:p>
            <w:pPr>
              <w:spacing w:after="0"/>
              <w:rPr>
                <w:sz w:val="17"/>
                <w:szCs w:val="17"/>
                <w:color w:val="auto"/>
              </w:rPr>
            </w:pPr>
          </w:p>
        </w:tc>
        <w:tc>
          <w:tcPr>
            <w:tcW w:w="6380" w:type="dxa"/>
            <w:vAlign w:val="bottom"/>
            <w:gridSpan w:val="17"/>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68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w:t>
              </w:r>
            </w:hyperlink>
          </w:p>
        </w:tc>
        <w:tc>
          <w:tcPr>
            <w:tcW w:w="8180" w:type="dxa"/>
            <w:vAlign w:val="bottom"/>
            <w:gridSpan w:val="24"/>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69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7900" w:type="dxa"/>
            <w:vAlign w:val="bottom"/>
            <w:gridSpan w:val="23"/>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79"/>
              </w:rPr>
              <w:t>70</w:t>
            </w:r>
          </w:p>
        </w:tc>
        <w:tc>
          <w:tcPr>
            <w:tcW w:w="0" w:type="dxa"/>
            <w:vAlign w:val="bottom"/>
          </w:tcPr>
          <w:p>
            <w:pPr>
              <w:spacing w:after="0"/>
              <w:rPr>
                <w:sz w:val="1"/>
                <w:szCs w:val="1"/>
                <w:color w:val="auto"/>
              </w:rPr>
            </w:pPr>
          </w:p>
        </w:tc>
      </w:tr>
      <w:tr>
        <w:trPr>
          <w:trHeight w:val="493"/>
        </w:trPr>
        <w:tc>
          <w:tcPr>
            <w:tcW w:w="11060" w:type="dxa"/>
            <w:vAlign w:val="bottom"/>
            <w:gridSpan w:val="30"/>
          </w:tcPr>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60" w:type="dxa"/>
            <w:vAlign w:val="bottom"/>
            <w:gridSpan w:val="30"/>
          </w:tcPr>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gridSpan w:val="28"/>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top w:val="single" w:sz="8" w:color="auto"/>
            </w:tcBorders>
          </w:tcPr>
          <w:p>
            <w:pPr>
              <w:jc w:val="center"/>
              <w:ind w:right="412"/>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0"/>
                <w:szCs w:val="20"/>
                <w:color w:val="auto"/>
              </w:rPr>
            </w:pPr>
          </w:p>
        </w:tc>
        <w:tc>
          <w:tcPr>
            <w:tcW w:w="9920" w:type="dxa"/>
            <w:vAlign w:val="bottom"/>
            <w:tcBorders>
              <w:top w:val="single" w:sz="8" w:color="auto"/>
            </w:tcBorders>
            <w:gridSpan w:val="2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Restated Certificate of Incorporation of the Registrant, as amended (incorporated by reference to Exhibit 3.1 of the Registrant’s Quarterly</w:t>
              </w:r>
            </w:hyperlink>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Report on Form 10-Q (File No. 001-33185) filed August 9, 2012).</w:t>
              </w:r>
            </w:hyperlink>
          </w:p>
        </w:tc>
        <w:tc>
          <w:tcPr>
            <w:tcW w:w="512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2"/>
                <w:szCs w:val="22"/>
                <w:color w:val="auto"/>
              </w:rPr>
            </w:pPr>
          </w:p>
        </w:tc>
        <w:tc>
          <w:tcPr>
            <w:tcW w:w="9920" w:type="dxa"/>
            <w:vAlign w:val="bottom"/>
            <w:gridSpan w:val="28"/>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Amended and Restated Bylaws of the Registrant (incorporated by reference to Exhibit 3.4 of the Registrant’s Registration Statement on</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S-1 (File No. 333-119433) filed October 1, 2004).</w:t>
              </w:r>
            </w:hyperlink>
          </w:p>
        </w:tc>
        <w:tc>
          <w:tcPr>
            <w:tcW w:w="5720" w:type="dxa"/>
            <w:vAlign w:val="bottom"/>
            <w:tcBorders>
              <w:top w:val="single" w:sz="8" w:color="0000EE"/>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2"/>
                <w:szCs w:val="22"/>
                <w:color w:val="auto"/>
              </w:rPr>
            </w:pPr>
          </w:p>
        </w:tc>
        <w:tc>
          <w:tcPr>
            <w:tcW w:w="9800" w:type="dxa"/>
            <w:vAlign w:val="bottom"/>
            <w:tcBorders>
              <w:bottom w:val="single" w:sz="8" w:color="0000EE"/>
            </w:tcBorders>
            <w:gridSpan w:val="25"/>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Specimen of Common Stock Certificate (incorporated by reference to Exhibit 4.1 of the Registrant’s Annual Report on Form 10-K (File</w:t>
              </w:r>
            </w:hyperlink>
          </w:p>
        </w:tc>
        <w:tc>
          <w:tcPr>
            <w:tcW w:w="120" w:type="dxa"/>
            <w:vAlign w:val="bottom"/>
            <w:gridSpan w:val="3"/>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No. 001-33185) filed February 15, 2007).</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2"/>
                <w:szCs w:val="22"/>
                <w:color w:val="auto"/>
              </w:rPr>
            </w:pPr>
          </w:p>
        </w:tc>
        <w:tc>
          <w:tcPr>
            <w:tcW w:w="9500" w:type="dxa"/>
            <w:vAlign w:val="bottom"/>
            <w:tcBorders>
              <w:bottom w:val="single" w:sz="8" w:color="0000EE"/>
            </w:tcBorders>
            <w:gridSpan w:val="17"/>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Amended and Restated Registration Rights Agreement, dated September 2, 2004, by and among the Registrant, its founders and the</w:t>
              </w:r>
            </w:hyperlink>
          </w:p>
        </w:tc>
        <w:tc>
          <w:tcPr>
            <w:tcW w:w="420" w:type="dxa"/>
            <w:vAlign w:val="bottom"/>
            <w:gridSpan w:val="11"/>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28"/>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investors named therein (incorporated by reference to Exhibit 4.2 of the Registrant’s Registration Statement on Form S-1 (File No. 333-</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119433) filed October 1, 2004).</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2"/>
                <w:szCs w:val="22"/>
                <w:color w:val="auto"/>
              </w:rPr>
            </w:pPr>
          </w:p>
        </w:tc>
        <w:tc>
          <w:tcPr>
            <w:tcW w:w="2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Description of Capital Stock</w:t>
              </w:r>
            </w:hyperlink>
          </w:p>
        </w:tc>
        <w:tc>
          <w:tcPr>
            <w:tcW w:w="220" w:type="dxa"/>
            <w:vAlign w:val="bottom"/>
            <w:tcBorders>
              <w:top w:val="single" w:sz="8" w:color="0000EE"/>
            </w:tcBorders>
          </w:tcPr>
          <w:p>
            <w:pPr>
              <w:spacing w:after="0"/>
              <w:rPr>
                <w:sz w:val="22"/>
                <w:szCs w:val="22"/>
                <w:color w:val="auto"/>
              </w:rPr>
            </w:pPr>
          </w:p>
        </w:tc>
        <w:tc>
          <w:tcPr>
            <w:tcW w:w="7640" w:type="dxa"/>
            <w:vAlign w:val="bottom"/>
            <w:gridSpan w:val="21"/>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9"/>
              </w:rPr>
              <w:t>10.1*</w:t>
            </w:r>
          </w:p>
        </w:tc>
        <w:tc>
          <w:tcPr>
            <w:tcW w:w="220" w:type="dxa"/>
            <w:vAlign w:val="bottom"/>
          </w:tcPr>
          <w:p>
            <w:pPr>
              <w:spacing w:after="0"/>
              <w:rPr>
                <w:sz w:val="22"/>
                <w:szCs w:val="22"/>
                <w:color w:val="auto"/>
              </w:rPr>
            </w:pPr>
          </w:p>
        </w:tc>
        <w:tc>
          <w:tcPr>
            <w:tcW w:w="9920" w:type="dxa"/>
            <w:vAlign w:val="bottom"/>
            <w:gridSpan w:val="28"/>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Amended and Restated 2004 Stock Incentive Plan of the Registrant (incorporated by reference to Exhibit 10.2 of the Registrant’s Annual</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Report on Form 10-K (File No. 001-33185) filed March 29, 2012).</w:t>
              </w:r>
            </w:hyperlink>
          </w:p>
        </w:tc>
        <w:tc>
          <w:tcPr>
            <w:tcW w:w="504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9"/>
              </w:rPr>
              <w:t>10.2*</w:t>
            </w:r>
          </w:p>
        </w:tc>
        <w:tc>
          <w:tcPr>
            <w:tcW w:w="220" w:type="dxa"/>
            <w:vAlign w:val="bottom"/>
          </w:tcPr>
          <w:p>
            <w:pPr>
              <w:spacing w:after="0"/>
              <w:rPr>
                <w:sz w:val="22"/>
                <w:szCs w:val="22"/>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Indemnity Agreement between the Registrant and its officers and directors (incorporated by reference to Exhibit 10.3 of the</w:t>
              </w:r>
            </w:hyperlink>
          </w:p>
        </w:tc>
        <w:tc>
          <w:tcPr>
            <w:tcW w:w="380" w:type="dxa"/>
            <w:vAlign w:val="bottom"/>
            <w:gridSpan w:val="10"/>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Registrant’s Annual Report on Form 10-K (File No. 001-33185) filed March 28, 2013).</w:t>
              </w:r>
            </w:hyperlink>
          </w:p>
        </w:tc>
        <w:tc>
          <w:tcPr>
            <w:tcW w:w="362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10.3†</w:t>
            </w:r>
          </w:p>
        </w:tc>
        <w:tc>
          <w:tcPr>
            <w:tcW w:w="9920" w:type="dxa"/>
            <w:vAlign w:val="bottom"/>
            <w:gridSpan w:val="28"/>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License Agreement, dated March 14, 2002, between the Registrant and Kyorin Pharmaceutical Co., Ltd. (incorporated by reference to</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540" w:type="dxa"/>
            <w:vAlign w:val="bottom"/>
            <w:gridSpan w:val="1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28"/>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Exhibit 10.4 of the Registrant’s Registration Statement on Form S-1, as amended (File No. 333-119433), originally filed on October 1,</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2004).</w:t>
              </w:r>
            </w:hyperlink>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10.4†</w:t>
            </w:r>
          </w:p>
        </w:tc>
        <w:tc>
          <w:tcPr>
            <w:tcW w:w="9560" w:type="dxa"/>
            <w:vAlign w:val="bottom"/>
            <w:tcBorders>
              <w:bottom w:val="single" w:sz="8" w:color="0000EE"/>
            </w:tcBorders>
            <w:gridSpan w:val="19"/>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License Agreement, dated June 19, 2002, between the Registrant and Angiogene Pharmaceuticals, Ltd. (incorporated by reference to</w:t>
              </w:r>
            </w:hyperlink>
          </w:p>
        </w:tc>
        <w:tc>
          <w:tcPr>
            <w:tcW w:w="360" w:type="dxa"/>
            <w:vAlign w:val="bottom"/>
            <w:gridSpan w:val="9"/>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28"/>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Exhibit 10.5 of the Registrant’s Registration Statement on Form S-1, as amended (File No. 333-119433), originally filed on October 1,</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1">
              <w:r>
                <w:rPr>
                  <w:rFonts w:ascii="Arial" w:cs="Arial" w:eastAsia="Arial" w:hAnsi="Arial"/>
                  <w:sz w:val="18"/>
                  <w:szCs w:val="18"/>
                  <w:color w:val="0000EE"/>
                  <w:w w:val="86"/>
                </w:rPr>
                <w:t>2004).</w:t>
              </w:r>
            </w:hyperlink>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10.5†</w:t>
            </w:r>
          </w:p>
        </w:tc>
        <w:tc>
          <w:tcPr>
            <w:tcW w:w="9920" w:type="dxa"/>
            <w:vAlign w:val="bottom"/>
            <w:gridSpan w:val="28"/>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Exclusive License Agreement, dated February 25, 2004, between the Registrant and Kissei Pharmaceutical Co., Ltd. (incorporated by</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540" w:type="dxa"/>
            <w:vAlign w:val="bottom"/>
            <w:gridSpan w:val="13"/>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28"/>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reference to Exhibit 10.7 of the Registrant’s Registration Statement on Form S-1, as amended (File No. 333-119433), originally filed on</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October 1, 2004).</w:t>
              </w:r>
            </w:hyperlink>
          </w:p>
        </w:tc>
        <w:tc>
          <w:tcPr>
            <w:tcW w:w="8500" w:type="dxa"/>
            <w:vAlign w:val="bottom"/>
            <w:tcBorders>
              <w:top w:val="single" w:sz="8" w:color="0000EE"/>
            </w:tcBorders>
            <w:gridSpan w:val="21"/>
          </w:tcPr>
          <w:p>
            <w:pPr>
              <w:spacing w:after="0"/>
              <w:rPr>
                <w:sz w:val="17"/>
                <w:szCs w:val="17"/>
                <w:color w:val="auto"/>
              </w:rPr>
            </w:pPr>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10.6†</w:t>
            </w:r>
          </w:p>
        </w:tc>
        <w:tc>
          <w:tcPr>
            <w:tcW w:w="9920" w:type="dxa"/>
            <w:vAlign w:val="bottom"/>
            <w:gridSpan w:val="28"/>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License Agreement, dated October 22, 2004, between the Registrant and Kyorin Pharmaceutical Co., Ltd., (incorporated by reference to</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Exhibit 10.18 of the Registrant’s Registration Statement on Form S-1, as amended (File No. 333-119433), originally filed on October 1,</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2004).</w:t>
              </w:r>
            </w:hyperlink>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10.7†</w:t>
            </w:r>
          </w:p>
        </w:tc>
        <w:tc>
          <w:tcPr>
            <w:tcW w:w="9920" w:type="dxa"/>
            <w:vAlign w:val="bottom"/>
            <w:gridSpan w:val="28"/>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License Agreement, dated October 31, 2006, by and between the Registrant and Meiji Seika Kaisha, Ltd. (incorporated by reference to</w:t>
              </w:r>
            </w:hyperlink>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Exhibit 10.1 of the Registrant’s Current Report on Form 8-K (File No. 000-51133) filed November 2, 2006).</w:t>
              </w:r>
            </w:hyperlink>
          </w:p>
        </w:tc>
        <w:tc>
          <w:tcPr>
            <w:tcW w:w="22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Borders>
              <w:top w:val="single" w:sz="8" w:color="0000EE"/>
            </w:tcBorders>
            <w:gridSpan w:val="13"/>
          </w:tcPr>
          <w:p>
            <w:pPr>
              <w:ind w:left="4400"/>
              <w:spacing w:after="0"/>
              <w:rPr>
                <w:sz w:val="20"/>
                <w:szCs w:val="20"/>
                <w:color w:val="auto"/>
              </w:rPr>
            </w:pPr>
            <w:r>
              <w:rPr>
                <w:rFonts w:ascii="Arial" w:cs="Arial" w:eastAsia="Arial" w:hAnsi="Arial"/>
                <w:sz w:val="18"/>
                <w:szCs w:val="18"/>
                <w:color w:val="auto"/>
              </w:rPr>
              <w:t>88</w:t>
            </w:r>
          </w:p>
        </w:tc>
        <w:tc>
          <w:tcPr>
            <w:tcW w:w="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160" w:type="dxa"/>
            <w:vAlign w:val="bottom"/>
            <w:tcBorders>
              <w:bottom w:val="single" w:sz="8" w:color="auto"/>
            </w:tcBorders>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spacing w:after="0"/>
              <w:rPr>
                <w:sz w:val="20"/>
                <w:szCs w:val="20"/>
                <w:color w:val="auto"/>
              </w:rPr>
            </w:pPr>
            <w:r>
              <w:rPr>
                <w:rFonts w:ascii="Arial" w:cs="Arial" w:eastAsia="Arial" w:hAnsi="Arial"/>
                <w:sz w:val="18"/>
                <w:szCs w:val="18"/>
                <w:color w:val="auto"/>
              </w:rPr>
              <w:t>10.8†</w:t>
            </w:r>
          </w:p>
        </w:tc>
        <w:tc>
          <w:tcPr>
            <w:tcW w:w="97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License Agreement, dated October 31, 2006, by and between the Registrant and Meiji Seika Kaisha, Ltd. (incorporated by reference to</w:t>
              </w:r>
            </w:hyperlink>
          </w:p>
        </w:tc>
        <w:tc>
          <w:tcPr>
            <w:tcW w:w="4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Exhibit 10.2 of the Registrant’s Current Report on Form 8-K (File No. 000-51133) filed November 2, 2006).</w:t>
              </w:r>
            </w:hyperlink>
          </w:p>
        </w:tc>
        <w:tc>
          <w:tcPr>
            <w:tcW w:w="23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2"/>
                <w:szCs w:val="22"/>
                <w:color w:val="auto"/>
              </w:rPr>
            </w:pPr>
          </w:p>
        </w:tc>
        <w:tc>
          <w:tcPr>
            <w:tcW w:w="10160" w:type="dxa"/>
            <w:vAlign w:val="bottom"/>
            <w:tcBorders>
              <w:bottom w:val="single" w:sz="8" w:color="0000EE"/>
            </w:tcBorders>
            <w:gridSpan w:val="30"/>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Exhibit 10.1 of the Registrant’s Current Report on Form 8-K (File No. 001-33185) filed April 4, 2007).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6"/>
              </w:rPr>
            </w:pPr>
            <w:hyperlink r:id="rId129">
              <w:r>
                <w:rPr>
                  <w:rFonts w:ascii="Arial" w:cs="Arial" w:eastAsia="Arial" w:hAnsi="Arial"/>
                  <w:sz w:val="18"/>
                  <w:szCs w:val="18"/>
                  <w:color w:val="0000EE"/>
                  <w:w w:val="96"/>
                </w:rPr>
                <w:t>2007 Employee Stock Purchase Plan of the Registrant (incorporated by reference to Appendix A of the Registrant’s Definitive Proxy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Statement on Schedule 14A (File No. 001-33185) filed March 13, 2007).</w:t>
              </w:r>
            </w:hyperlink>
          </w:p>
        </w:tc>
        <w:tc>
          <w:tcPr>
            <w:tcW w:w="4320" w:type="dxa"/>
            <w:vAlign w:val="bottom"/>
            <w:tcBorders>
              <w:top w:val="single" w:sz="8" w:color="0000EE"/>
            </w:tcBorders>
            <w:gridSpan w:val="15"/>
          </w:tcPr>
          <w:p>
            <w:pPr>
              <w:spacing w:after="0"/>
              <w:rPr>
                <w:sz w:val="17"/>
                <w:szCs w:val="17"/>
                <w:color w:val="auto"/>
              </w:rPr>
            </w:pPr>
          </w:p>
        </w:tc>
        <w:tc>
          <w:tcPr>
            <w:tcW w:w="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30"/>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Development and Supply Agreement, dated as of March 26, 2009, between the Registrant and Hospira Worldwide, Inc.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reference to Exhibit 10.1 of the Registrant’s Current Report on Form 8-K (File No. 001-33185) filed March 30, 2009).</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10.12†</w:t>
            </w:r>
          </w:p>
        </w:tc>
        <w:tc>
          <w:tcPr>
            <w:tcW w:w="9940" w:type="dxa"/>
            <w:vAlign w:val="bottom"/>
            <w:tcBorders>
              <w:bottom w:val="single" w:sz="8" w:color="0000EE"/>
            </w:tcBorders>
            <w:gridSpan w:val="25"/>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Assignment Agreement, dated December 19, 2005, between Genzyme Corporation and Avigen, Inc. (incorporated by reference to Exhibit</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58</w:t>
              </w:r>
              <w:r>
                <w:rPr>
                  <w:rFonts w:ascii="Arial" w:cs="Arial" w:eastAsia="Arial" w:hAnsi="Arial"/>
                  <w:sz w:val="18"/>
                  <w:szCs w:val="18"/>
                  <w:color w:val="0000EE"/>
                  <w:w w:val="92"/>
                </w:rPr>
                <w:t xml:space="preserve"> of Avigen, Inc.’s Annual Report on Form 10-K (File No. 000-51133) filed February 16, 2006).</w:t>
              </w:r>
            </w:hyperlink>
          </w:p>
        </w:tc>
        <w:tc>
          <w:tcPr>
            <w:tcW w:w="2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160" w:type="dxa"/>
            <w:vAlign w:val="bottom"/>
            <w:gridSpan w:val="30"/>
          </w:tcPr>
          <w:p>
            <w:pPr>
              <w:spacing w:after="0"/>
              <w:rPr>
                <w:rFonts w:ascii="Arial" w:cs="Arial" w:eastAsia="Arial" w:hAnsi="Arial"/>
                <w:sz w:val="18"/>
                <w:szCs w:val="18"/>
                <w:color w:val="0000EE"/>
                <w:w w:val="95"/>
              </w:rPr>
            </w:pPr>
            <w:hyperlink r:id="rId132">
              <w:r>
                <w:rPr>
                  <w:rFonts w:ascii="Arial" w:cs="Arial" w:eastAsia="Arial" w:hAnsi="Arial"/>
                  <w:sz w:val="18"/>
                  <w:szCs w:val="18"/>
                  <w:color w:val="0000EE"/>
                  <w:w w:val="95"/>
                </w:rPr>
                <w:t>Asset Purchase Agreement, dated December 17, 2008, between Baxter Healthcare Corporation, Baxter International Inc., and Baxter</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Healthcare S.A. and Avigen, Inc. (incorporated by reference to Exhibit 2.2 of Avigen, Inc.’s Annual Report on Form 10-K (File No. 001-</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33185) filed March 31, 2009).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8"/>
              </w:rPr>
            </w:pPr>
            <w:hyperlink r:id="rId133">
              <w:r>
                <w:rPr>
                  <w:rFonts w:ascii="Arial" w:cs="Arial" w:eastAsia="Arial" w:hAnsi="Arial"/>
                  <w:sz w:val="18"/>
                  <w:szCs w:val="18"/>
                  <w:color w:val="0000EE"/>
                  <w:w w:val="98"/>
                </w:rPr>
                <w:t>Form of Amendment to Employment Agreement, dated December 31, 2011, between the Registrant and Yuichi Iwaki, M.D., Ph.D.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(incorporated by reference to Exhibit 10.1 of the Registrant’s Current Report on Form 8-K (File No. 001-33185) filed January 4, 2011).</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2"/>
                <w:szCs w:val="22"/>
                <w:color w:val="auto"/>
              </w:rPr>
            </w:pPr>
          </w:p>
        </w:tc>
        <w:tc>
          <w:tcPr>
            <w:tcW w:w="10120" w:type="dxa"/>
            <w:vAlign w:val="bottom"/>
            <w:tcBorders>
              <w:bottom w:val="single" w:sz="8" w:color="0000EE"/>
            </w:tcBorders>
            <w:gridSpan w:val="29"/>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Sublease, by and between MediciNova, Inc. and Cardinal Health 127 Inc., dated August 31, 2017 (incorporated by reference to Exhibit 10.1</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to Current Report on Form 8-K (File No. 001-33185) filed with the SEC on September 7,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2013 Equity Incentive Plan of the Registrant (incorporated by reference to Exhibit 10.23 of the Registrant’s Annual Report on Form 10-K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(File No. 001-33185) filed March 27, 2014).</w:t>
              </w:r>
            </w:hyperlink>
          </w:p>
        </w:tc>
        <w:tc>
          <w:tcPr>
            <w:tcW w:w="6700" w:type="dxa"/>
            <w:vAlign w:val="bottom"/>
            <w:tcBorders>
              <w:top w:val="single" w:sz="8" w:color="0000EE"/>
            </w:tcBorders>
            <w:gridSpan w:val="22"/>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7"/>
              </w:rPr>
            </w:pPr>
            <w:hyperlink r:id="rId136">
              <w:r>
                <w:rPr>
                  <w:rFonts w:ascii="Arial" w:cs="Arial" w:eastAsia="Arial" w:hAnsi="Arial"/>
                  <w:sz w:val="18"/>
                  <w:szCs w:val="18"/>
                  <w:color w:val="0000EE"/>
                  <w:w w:val="97"/>
                </w:rPr>
                <w:t>Amended and Restated 2013 Equity Incentive Plan of the Registrant.* (incorporated by reference to Exhibit 10.1 of the Registrant’s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Quarterly Report on Form 10-Q (File No. 001-33185) filed July 26, 2017).</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gridSpan w:val="4"/>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2"/>
                <w:szCs w:val="22"/>
                <w:color w:val="auto"/>
              </w:rPr>
            </w:pPr>
          </w:p>
        </w:tc>
        <w:tc>
          <w:tcPr>
            <w:tcW w:w="10100" w:type="dxa"/>
            <w:vAlign w:val="bottom"/>
            <w:tcBorders>
              <w:bottom w:val="single" w:sz="8" w:color="0000EE"/>
            </w:tcBorders>
            <w:gridSpan w:val="28"/>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Form of Notice of Stock Option Grant and Stock Option Agreement for awards pursuant to the 2013 Equity Incentive Plan (incorporated by</w:t>
              </w:r>
            </w:hyperlink>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reference to Exhibit 10.3 of the Registrant’s Quarterly Report on Form 10-Q (File No. 001-33185) filed November 7, 2013).</w:t>
              </w:r>
            </w:hyperlink>
          </w:p>
        </w:tc>
        <w:tc>
          <w:tcPr>
            <w:tcW w:w="1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Severance Protection Agreement, dated July 14, 2014, by and between MediciNova, Inc. and Dr. Yuichi Iwaki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Exhibit 10.2 of the Registrant’s Quarterly Report on Form 10-Q (File No. 001-33185) filed August 13, 2014).</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6"/>
              </w:rPr>
            </w:pPr>
            <w:hyperlink r:id="rId139">
              <w:r>
                <w:rPr>
                  <w:rFonts w:ascii="Arial" w:cs="Arial" w:eastAsia="Arial" w:hAnsi="Arial"/>
                  <w:sz w:val="18"/>
                  <w:szCs w:val="18"/>
                  <w:color w:val="0000EE"/>
                  <w:w w:val="96"/>
                </w:rPr>
                <w:t>Severance Protection Agreement, dated July 14, 2014, by and between MediciNova, Inc. and Dr. Kazuko Matsuda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139">
              <w:r>
                <w:rPr>
                  <w:rFonts w:ascii="Arial" w:cs="Arial" w:eastAsia="Arial" w:hAnsi="Arial"/>
                  <w:sz w:val="18"/>
                  <w:szCs w:val="18"/>
                  <w:color w:val="0000EE"/>
                  <w:w w:val="99"/>
                </w:rPr>
                <w:t>reference to Exhibit 10.4 of the Registrant’s Quarterly Report on Form 10-Q (File No. 001-33185) filed August 13, 2014).</w:t>
              </w:r>
            </w:hyperlink>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2"/>
                <w:szCs w:val="22"/>
                <w:color w:val="auto"/>
              </w:rPr>
            </w:pPr>
          </w:p>
        </w:tc>
        <w:tc>
          <w:tcPr>
            <w:tcW w:w="10160" w:type="dxa"/>
            <w:vAlign w:val="bottom"/>
            <w:gridSpan w:val="30"/>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Severance Protection Agreement, dated July 14, 2014, by and between MediciNova, Inc. and Geoffrey O’Brien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to Exhibit 10.5 of the Registrant’s Quarterly Report on Form 10-Q (File No. 001-33185) filed August 13, 2014).</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0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2"/>
                <w:szCs w:val="22"/>
                <w:color w:val="auto"/>
              </w:rPr>
            </w:pP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At Market Issuance Sales Agreement, dated August 23, 2019, by and between MediciNova, Inc. and B. Riley FBR, Inc. (incorporated by</w:t>
              </w:r>
            </w:hyperlink>
          </w:p>
        </w:tc>
        <w:tc>
          <w:tcPr>
            <w:tcW w:w="2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reference to Exhibit 10.1 of the Registrant’s Current Report on Form 8-K (File No. 001-33185) filed August 23, 2019). Inc.</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2"/>
                <w:szCs w:val="22"/>
                <w:color w:val="auto"/>
              </w:rPr>
            </w:pPr>
          </w:p>
        </w:tc>
        <w:tc>
          <w:tcPr>
            <w:tcW w:w="10120" w:type="dxa"/>
            <w:vAlign w:val="bottom"/>
            <w:tcBorders>
              <w:bottom w:val="single" w:sz="8" w:color="0000EE"/>
            </w:tcBorders>
            <w:gridSpan w:val="29"/>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Securities Purchase Agreement, dated January 11, 2021, between the Company and 3D Opportunity Master Fund (incorporated by reference</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to Exhibit 10.1 of the Registrant’s Current Report on Form 8-K (File No. 001-33185) filed January 12, 2021.</w:t>
              </w:r>
            </w:hyperlink>
          </w:p>
        </w:tc>
        <w:tc>
          <w:tcPr>
            <w:tcW w:w="2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2"/>
                <w:szCs w:val="22"/>
                <w:color w:val="auto"/>
              </w:rPr>
            </w:pPr>
          </w:p>
        </w:tc>
        <w:tc>
          <w:tcPr>
            <w:tcW w:w="10100" w:type="dxa"/>
            <w:vAlign w:val="bottom"/>
            <w:tcBorders>
              <w:bottom w:val="single" w:sz="8" w:color="0000EE"/>
            </w:tcBorders>
            <w:gridSpan w:val="28"/>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Shareholder Rights Agreement, dated January 11, 2021, between the Company and 3D Opportunity Master Fund (incorporated by reference</w:t>
              </w:r>
            </w:hyperlink>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to Exhibit 10.2 of the Registrant’s Current Report on Form 8-K (File No. 001-33185) filed January 12, 2021.</w:t>
              </w:r>
            </w:hyperlink>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Borders>
              <w:top w:val="single" w:sz="8" w:color="0000EE"/>
            </w:tcBorders>
            <w:gridSpan w:val="3"/>
          </w:tcPr>
          <w:p>
            <w:pPr>
              <w:ind w:left="4460"/>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0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20"/>
                <w:szCs w:val="20"/>
                <w:color w:val="auto"/>
              </w:rPr>
            </w:pPr>
          </w:p>
        </w:tc>
        <w:tc>
          <w:tcPr>
            <w:tcW w:w="10100" w:type="dxa"/>
            <w:vAlign w:val="bottom"/>
            <w:tcBorders>
              <w:top w:val="single" w:sz="8" w:color="auto"/>
            </w:tcBorders>
            <w:gridSpan w:val="12"/>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Services Agreement, dated August 1, 2021, by and between MediciNova, Inc. and Signature Analytics LLC (incorporated by reference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Exhibit 10.1 of the Registrant’s Current Report on Form 8-K (File No. 001-33185) filed August 2, 2021.</w:t>
              </w:r>
            </w:hyperlink>
          </w:p>
        </w:tc>
        <w:tc>
          <w:tcPr>
            <w:tcW w:w="238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2"/>
                <w:szCs w:val="22"/>
                <w:color w:val="auto"/>
              </w:rPr>
            </w:pPr>
          </w:p>
        </w:tc>
        <w:tc>
          <w:tcPr>
            <w:tcW w:w="10100" w:type="dxa"/>
            <w:vAlign w:val="bottom"/>
            <w:gridSpan w:val="12"/>
          </w:tcPr>
          <w:p>
            <w:pPr>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Lease, dated July 20, 2021, by and between MediciNova, Inc. and the Irvine Company LLC (incorporated by reference to Exhibit 99.1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the Registrant’s Current Report on Form 8-K (File No. 001-33185) filed July 23, 2021.</w:t>
              </w:r>
            </w:hyperlink>
          </w:p>
        </w:tc>
        <w:tc>
          <w:tcPr>
            <w:tcW w:w="3620" w:type="dxa"/>
            <w:vAlign w:val="bottom"/>
            <w:tcBorders>
              <w:top w:val="single" w:sz="8" w:color="0000EE"/>
            </w:tcBorders>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10100" w:type="dxa"/>
            <w:vAlign w:val="bottom"/>
            <w:gridSpan w:val="1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2"/>
                <w:szCs w:val="22"/>
                <w:color w:val="auto"/>
              </w:rPr>
            </w:pPr>
          </w:p>
        </w:tc>
        <w:tc>
          <w:tcPr>
            <w:tcW w:w="29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Powers of Attorney (see signature page).</w:t>
              </w:r>
            </w:hyperlink>
          </w:p>
        </w:tc>
        <w:tc>
          <w:tcPr>
            <w:tcW w:w="1420" w:type="dxa"/>
            <w:vAlign w:val="bottom"/>
            <w:tcBorders>
              <w:top w:val="single" w:sz="8" w:color="0000EE"/>
            </w:tcBorders>
          </w:tcPr>
          <w:p>
            <w:pPr>
              <w:spacing w:after="0"/>
              <w:rPr>
                <w:sz w:val="22"/>
                <w:szCs w:val="22"/>
                <w:color w:val="auto"/>
              </w:rPr>
            </w:pPr>
          </w:p>
        </w:tc>
        <w:tc>
          <w:tcPr>
            <w:tcW w:w="57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94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the Principal Executive Officer pursuant to Rules 13a-14 and 15d-14 promulgated under the Securities Act of 1933.</w:t>
              </w:r>
            </w:hyperlink>
          </w:p>
        </w:tc>
        <w:tc>
          <w:tcPr>
            <w:tcW w:w="6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10100" w:type="dxa"/>
            <w:vAlign w:val="bottom"/>
            <w:gridSpan w:val="12"/>
          </w:tcPr>
          <w:p>
            <w:pPr>
              <w:spacing w:after="0"/>
              <w:rPr>
                <w:rFonts w:ascii="Arial" w:cs="Arial" w:eastAsia="Arial" w:hAnsi="Arial"/>
                <w:sz w:val="18"/>
                <w:szCs w:val="18"/>
                <w:color w:val="0000EE"/>
                <w:w w:val="98"/>
              </w:rPr>
            </w:pPr>
            <w:hyperlink w:anchor="page99">
              <w:r>
                <w:rPr>
                  <w:rFonts w:ascii="Arial" w:cs="Arial" w:eastAsia="Arial" w:hAnsi="Arial"/>
                  <w:sz w:val="18"/>
                  <w:szCs w:val="18"/>
                  <w:color w:val="0000EE"/>
                  <w:w w:val="98"/>
                </w:rPr>
                <w:t>Certification of the Principal Financial Officer pursuant to Rules 13a-14 and 15d-14 promulgated under the Securities Act of 1933.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10100" w:type="dxa"/>
            <w:vAlign w:val="bottom"/>
            <w:gridSpan w:val="12"/>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Certification of the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Oxley Act of 2002.</w:t>
              </w:r>
            </w:hyperlink>
          </w:p>
        </w:tc>
        <w:tc>
          <w:tcPr>
            <w:tcW w:w="8400" w:type="dxa"/>
            <w:vAlign w:val="bottom"/>
            <w:tcBorders>
              <w:top w:val="single" w:sz="8" w:color="0000EE"/>
            </w:tcBorders>
            <w:gridSpan w:val="8"/>
          </w:tcPr>
          <w:p>
            <w:pPr>
              <w:spacing w:after="0"/>
              <w:rPr>
                <w:sz w:val="17"/>
                <w:szCs w:val="17"/>
                <w:color w:val="auto"/>
              </w:rPr>
            </w:pPr>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2"/>
                <w:szCs w:val="22"/>
                <w:color w:val="auto"/>
              </w:rPr>
            </w:pPr>
          </w:p>
        </w:tc>
        <w:tc>
          <w:tcPr>
            <w:tcW w:w="97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Certification of the Principal Financial Officer pursuant to 18 U.S.C. Section 1350, as adopted pursuant to Section 906 of the Sarbanes-</w:t>
              </w:r>
            </w:hyperlink>
          </w:p>
        </w:tc>
        <w:tc>
          <w:tcPr>
            <w:tcW w:w="3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Oxley Act of 2002.</w:t>
              </w:r>
            </w:hyperlink>
          </w:p>
        </w:tc>
        <w:tc>
          <w:tcPr>
            <w:tcW w:w="8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140" w:right="60" w:hanging="1132"/>
        <w:spacing w:after="0" w:line="259"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2021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10972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0"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240"/>
          </w:cols>
          <w:pgMar w:left="320" w:top="553" w:right="3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2022</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22225</wp:posOffset>
            </wp:positionV>
            <wp:extent cx="2846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5580" w:space="720"/>
            <w:col w:w="1400" w:space="720"/>
            <w:col w:w="2820"/>
          </w:cols>
          <w:pgMar w:left="320" w:top="553" w:right="339" w:bottom="1440" w:gutter="0" w:footer="0" w:header="0"/>
          <w:type w:val="continuous"/>
        </w:sectPr>
      </w:pPr>
    </w:p>
    <w:p>
      <w:pPr>
        <w:jc w:val="center"/>
        <w:ind w:left="674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&amp; Chief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4"/>
                <w:szCs w:val="14"/>
                <w:color w:val="auto"/>
              </w:rPr>
            </w:pPr>
          </w:p>
        </w:tc>
        <w:tc>
          <w:tcPr>
            <w:tcW w:w="502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0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3900" w:type="dxa"/>
            <w:vAlign w:val="bottom"/>
          </w:tcPr>
          <w:p>
            <w:pPr>
              <w:jc w:val="center"/>
              <w:spacing w:after="0"/>
              <w:rPr>
                <w:sz w:val="20"/>
                <w:szCs w:val="20"/>
                <w:color w:val="auto"/>
              </w:rPr>
            </w:pPr>
            <w:r>
              <w:rPr>
                <w:rFonts w:ascii="Arial" w:cs="Arial" w:eastAsia="Arial" w:hAnsi="Arial"/>
                <w:sz w:val="18"/>
                <w:szCs w:val="18"/>
                <w:color w:val="auto"/>
                <w:w w:val="95"/>
              </w:rPr>
              <w:t>/s/ Yuichi Iwaki</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 President and Chief Executive Officer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20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4"/>
              </w:rPr>
              <w:t>Yuichi Iwaki, M.D., Ph.D.</w:t>
            </w:r>
          </w:p>
        </w:tc>
        <w:tc>
          <w:tcPr>
            <w:tcW w:w="532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900" w:type="dxa"/>
            <w:vAlign w:val="bottom"/>
          </w:tcPr>
          <w:p>
            <w:pPr>
              <w:jc w:val="center"/>
              <w:spacing w:after="0"/>
              <w:rPr>
                <w:sz w:val="20"/>
                <w:szCs w:val="20"/>
                <w:color w:val="auto"/>
              </w:rPr>
            </w:pPr>
            <w:r>
              <w:rPr>
                <w:rFonts w:ascii="Arial" w:cs="Arial" w:eastAsia="Arial" w:hAnsi="Arial"/>
                <w:sz w:val="18"/>
                <w:szCs w:val="18"/>
                <w:color w:val="auto"/>
                <w:w w:val="90"/>
              </w:rPr>
              <w:t>/s/ Douglas Paulin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8"/>
        </w:trPr>
        <w:tc>
          <w:tcPr>
            <w:tcW w:w="3900" w:type="dxa"/>
            <w:vAlign w:val="bottom"/>
            <w:tcBorders>
              <w:bottom w:val="single" w:sz="8" w:color="auto"/>
            </w:tcBorders>
          </w:tcPr>
          <w:p>
            <w:pPr>
              <w:spacing w:after="0"/>
              <w:rPr>
                <w:sz w:val="2"/>
                <w:szCs w:val="2"/>
                <w:color w:val="auto"/>
              </w:rPr>
            </w:pPr>
          </w:p>
        </w:tc>
        <w:tc>
          <w:tcPr>
            <w:tcW w:w="5320" w:type="dxa"/>
            <w:vAlign w:val="bottom"/>
            <w:gridSpan w:val="3"/>
            <w:vMerge w:val="restart"/>
          </w:tcPr>
          <w:p>
            <w:pPr>
              <w:ind w:left="20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00" w:type="dxa"/>
            <w:vAlign w:val="bottom"/>
          </w:tcPr>
          <w:p>
            <w:pPr>
              <w:jc w:val="center"/>
              <w:spacing w:after="0"/>
              <w:rPr>
                <w:sz w:val="20"/>
                <w:szCs w:val="20"/>
                <w:color w:val="auto"/>
              </w:rPr>
            </w:pPr>
            <w:r>
              <w:rPr>
                <w:rFonts w:ascii="Arial" w:cs="Arial" w:eastAsia="Arial" w:hAnsi="Arial"/>
                <w:sz w:val="18"/>
                <w:szCs w:val="18"/>
                <w:color w:val="auto"/>
                <w:w w:val="92"/>
              </w:rPr>
              <w:t>Douglas Paulin</w:t>
            </w:r>
          </w:p>
        </w:tc>
        <w:tc>
          <w:tcPr>
            <w:tcW w:w="532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 Himawan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Chairman of the Board of Directors</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Jeff Himawan, Ph.D.</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Carolyn Beaver</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0"/>
              </w:rPr>
              <w:t>Carolyn Beaver</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Kazuko Matsuda</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Kazuko Matsuda</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Hideki Nagao</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360"/>
              <w:spacing w:after="0"/>
              <w:rPr>
                <w:sz w:val="20"/>
                <w:szCs w:val="20"/>
                <w:color w:val="auto"/>
              </w:rPr>
            </w:pPr>
            <w:r>
              <w:rPr>
                <w:rFonts w:ascii="Arial" w:cs="Arial" w:eastAsia="Arial" w:hAnsi="Arial"/>
                <w:sz w:val="18"/>
                <w:szCs w:val="18"/>
                <w:color w:val="auto"/>
              </w:rPr>
              <w:t>February 16, 2022</w:t>
            </w:r>
          </w:p>
        </w:tc>
        <w:tc>
          <w:tcPr>
            <w:tcW w:w="0" w:type="dxa"/>
            <w:vAlign w:val="bottom"/>
          </w:tcPr>
          <w:p>
            <w:pPr>
              <w:spacing w:after="0"/>
              <w:rPr>
                <w:sz w:val="1"/>
                <w:szCs w:val="1"/>
                <w:color w:val="auto"/>
              </w:rPr>
            </w:pP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color w:val="auto"/>
                <w:w w:val="92"/>
              </w:rPr>
              <w:t>Hideki Nagao</w:t>
            </w:r>
          </w:p>
        </w:tc>
        <w:tc>
          <w:tcPr>
            <w:tcW w:w="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553" w:right="3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00" w:firstLine="802"/>
        <w:spacing w:after="0" w:line="277" w:lineRule="auto"/>
        <w:rPr>
          <w:sz w:val="20"/>
          <w:szCs w:val="20"/>
          <w:color w:val="auto"/>
        </w:rPr>
      </w:pPr>
      <w:r>
        <w:rPr>
          <w:rFonts w:ascii="Arial" w:cs="Arial" w:eastAsia="Arial" w:hAnsi="Arial"/>
          <w:sz w:val="18"/>
          <w:szCs w:val="18"/>
          <w:color w:val="auto"/>
        </w:rPr>
        <w:t>MediciNova, Inc. (“we,” “us,” and “our”) has one class of securities registered under Section 12 of the Securities Exchange Act of 1934, as amended - our common stock, $0.001 par value per share.</w:t>
      </w:r>
    </w:p>
    <w:p>
      <w:pPr>
        <w:spacing w:after="0" w:line="238" w:lineRule="exact"/>
        <w:rPr>
          <w:sz w:val="20"/>
          <w:szCs w:val="20"/>
          <w:color w:val="auto"/>
        </w:rPr>
      </w:pPr>
    </w:p>
    <w:p>
      <w:pPr>
        <w:ind w:right="100" w:firstLine="802"/>
        <w:spacing w:after="0" w:line="259" w:lineRule="auto"/>
        <w:rPr>
          <w:sz w:val="20"/>
          <w:szCs w:val="20"/>
          <w:color w:val="auto"/>
        </w:rPr>
      </w:pPr>
      <w:r>
        <w:rPr>
          <w:rFonts w:ascii="Arial" w:cs="Arial" w:eastAsia="Arial" w:hAnsi="Arial"/>
          <w:sz w:val="18"/>
          <w:szCs w:val="18"/>
          <w:color w:val="auto"/>
        </w:rPr>
        <w:t>The following information describes our capital stock, as well as certain provisions of our restated certificate of incorporation, as amended, and amended and restated bylaws. The summary does not purport to be complete and is qualified in its entirety by reference to our restated certificate of incorporation and amended and restated bylaws, copies of which have been filed as exhibits to our public filings with the Securities and Exchange Commission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802"/>
        <w:spacing w:after="0" w:line="296" w:lineRule="auto"/>
        <w:rPr>
          <w:sz w:val="20"/>
          <w:szCs w:val="20"/>
          <w:color w:val="auto"/>
        </w:rPr>
      </w:pPr>
      <w:r>
        <w:rPr>
          <w:rFonts w:ascii="Arial" w:cs="Arial" w:eastAsia="Arial" w:hAnsi="Arial"/>
          <w:sz w:val="16"/>
          <w:szCs w:val="16"/>
          <w:color w:val="auto"/>
        </w:rPr>
        <w:t>Our authorized capital stock consists of 100,000,000 shares of common stock, with a $0.001 par value per share, and 10,000,000 shares of preferred stock, with a $0.01 par value per share, all of which shares of preferred stock are undesignated. Our board of directors may establish the rights and preferences of the preferred stock from time to time. As of February 14, 2022, there were 49,043,246 shares of common stock issued and outstanding, held of record by 14 stockholders, although we believe that there may be a significantly larger number of beneficial owners of our common stock. We derived the number of stockholders by reviewing the listing of outstanding common stock recorded by our transfer agent as of February 14,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802"/>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64" w:lineRule="exact"/>
        <w:rPr>
          <w:sz w:val="20"/>
          <w:szCs w:val="20"/>
          <w:color w:val="auto"/>
        </w:rPr>
      </w:pPr>
    </w:p>
    <w:p>
      <w:pPr>
        <w:ind w:right="380" w:firstLine="802"/>
        <w:spacing w:after="0" w:line="277" w:lineRule="auto"/>
        <w:rPr>
          <w:sz w:val="20"/>
          <w:szCs w:val="20"/>
          <w:color w:val="auto"/>
        </w:rPr>
      </w:pPr>
      <w:r>
        <w:rPr>
          <w:rFonts w:ascii="Arial" w:cs="Arial" w:eastAsia="Arial" w:hAnsi="Arial"/>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70" w:lineRule="exact"/>
        <w:rPr>
          <w:sz w:val="20"/>
          <w:szCs w:val="20"/>
          <w:color w:val="auto"/>
        </w:rPr>
      </w:pPr>
    </w:p>
    <w:p>
      <w:pPr>
        <w:ind w:right="80" w:firstLine="802"/>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“MNOV.” The transfer agent and registrar for our common stock is American Stock Transfer &amp; Trust Company, LLC. Its address is 6201 15th Avenue, Brooklyn, New York 11219, and its telephone number is (718) 921-8200.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firstLine="802"/>
        <w:spacing w:after="0" w:line="259"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87" w:lineRule="exact"/>
        <w:rPr>
          <w:sz w:val="20"/>
          <w:szCs w:val="20"/>
          <w:color w:val="auto"/>
        </w:rPr>
      </w:pPr>
    </w:p>
    <w:p>
      <w:pPr>
        <w:ind w:right="100" w:firstLine="802"/>
        <w:spacing w:after="0" w:line="277" w:lineRule="auto"/>
        <w:rPr>
          <w:sz w:val="20"/>
          <w:szCs w:val="20"/>
          <w:color w:val="auto"/>
        </w:rPr>
      </w:pPr>
      <w:r>
        <w:rPr>
          <w:rFonts w:ascii="Arial" w:cs="Arial" w:eastAsia="Arial" w:hAnsi="Arial"/>
          <w:sz w:val="18"/>
          <w:szCs w:val="18"/>
          <w:color w:val="auto"/>
        </w:rPr>
        <w:t>The issuance of preferred stock will affect, and may adversely affect, the rights of holders of common stock. It is not possible to state the actual effect of the issuance of any shares of preferred stock on the rights of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180"/>
        <w:spacing w:after="0" w:line="277" w:lineRule="auto"/>
        <w:rPr>
          <w:sz w:val="20"/>
          <w:szCs w:val="20"/>
          <w:color w:val="auto"/>
        </w:rPr>
      </w:pPr>
      <w:r>
        <w:rPr>
          <w:rFonts w:ascii="Arial" w:cs="Arial" w:eastAsia="Arial" w:hAnsi="Arial"/>
          <w:sz w:val="18"/>
          <w:szCs w:val="18"/>
          <w:color w:val="auto"/>
        </w:rPr>
        <w:t>until the board of directors determines the specific rights attached to that preferred stock. The effects of issuing preferred stock could include one or more of the following:</w:t>
      </w:r>
    </w:p>
    <w:p>
      <w:pPr>
        <w:spacing w:after="0" w:line="170" w:lineRule="exact"/>
        <w:rPr>
          <w:sz w:val="20"/>
          <w:szCs w:val="20"/>
          <w:color w:val="auto"/>
        </w:rPr>
      </w:pPr>
    </w:p>
    <w:p>
      <w:pPr>
        <w:ind w:left="1200" w:hanging="396"/>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36" w:lineRule="exact"/>
        <w:rPr>
          <w:rFonts w:ascii="Arial" w:cs="Arial" w:eastAsia="Arial" w:hAnsi="Arial"/>
          <w:sz w:val="18"/>
          <w:szCs w:val="18"/>
          <w:color w:val="auto"/>
        </w:rPr>
      </w:pPr>
    </w:p>
    <w:p>
      <w:pPr>
        <w:ind w:left="1200" w:hanging="396"/>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or preventing changes in control or management of our company.</w:t>
      </w:r>
    </w:p>
    <w:p>
      <w:pPr>
        <w:spacing w:after="0" w:line="252" w:lineRule="exact"/>
        <w:rPr>
          <w:sz w:val="20"/>
          <w:szCs w:val="20"/>
          <w:color w:val="auto"/>
        </w:rPr>
      </w:pPr>
    </w:p>
    <w:p>
      <w:pPr>
        <w:ind w:right="160" w:firstLine="802"/>
        <w:spacing w:after="0" w:line="277" w:lineRule="auto"/>
        <w:rPr>
          <w:sz w:val="20"/>
          <w:szCs w:val="20"/>
          <w:color w:val="auto"/>
        </w:rPr>
      </w:pPr>
      <w:r>
        <w:rPr>
          <w:rFonts w:ascii="Arial" w:cs="Arial" w:eastAsia="Arial" w:hAnsi="Arial"/>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 of Certain Provisions of our Restated Certificate of Incorporation and Bylaws</w:t>
      </w:r>
    </w:p>
    <w:p>
      <w:pPr>
        <w:spacing w:after="0" w:line="225" w:lineRule="exact"/>
        <w:rPr>
          <w:sz w:val="20"/>
          <w:szCs w:val="20"/>
          <w:color w:val="auto"/>
        </w:rPr>
      </w:pPr>
    </w:p>
    <w:p>
      <w:pPr>
        <w:ind w:firstLine="802"/>
        <w:spacing w:after="0" w:line="275" w:lineRule="auto"/>
        <w:rPr>
          <w:sz w:val="20"/>
          <w:szCs w:val="20"/>
          <w:color w:val="auto"/>
        </w:rPr>
      </w:pPr>
      <w:r>
        <w:rPr>
          <w:rFonts w:ascii="Arial" w:cs="Arial" w:eastAsia="Arial" w:hAnsi="Arial"/>
          <w:sz w:val="17"/>
          <w:szCs w:val="17"/>
          <w:color w:val="auto"/>
        </w:rPr>
        <w:t>Provisions of our restated certificate of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6" w:lineRule="exact"/>
        <w:rPr>
          <w:sz w:val="20"/>
          <w:szCs w:val="20"/>
          <w:color w:val="auto"/>
        </w:rPr>
      </w:pPr>
    </w:p>
    <w:p>
      <w:pPr>
        <w:jc w:val="both"/>
        <w:ind w:right="160" w:firstLine="802"/>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authority of our board of directors to issue preferred stock could potentially be used to discourage attempts</w:t>
      </w:r>
      <w:r>
        <w:rPr>
          <w:rFonts w:ascii="Arial" w:cs="Arial" w:eastAsia="Arial" w:hAnsi="Arial"/>
          <w:sz w:val="18"/>
          <w:szCs w:val="18"/>
          <w:i w:val="1"/>
          <w:iCs w:val="1"/>
          <w:color w:val="auto"/>
        </w:rPr>
        <w:t xml:space="preserve"> </w:t>
      </w:r>
      <w:r>
        <w:rPr>
          <w:rFonts w:ascii="Arial" w:cs="Arial" w:eastAsia="Arial" w:hAnsi="Arial"/>
          <w:sz w:val="18"/>
          <w:szCs w:val="18"/>
          <w:color w:val="auto"/>
        </w:rPr>
        <w:t>by third parties to obtain control of our company through a merger, tender offer, proxy contest, or otherwise by making it more difficult or more costly to obtain control of our company. Our board of directors may issue preferred stock with voting rights or conversion rights that, if exercised, could adversely affect the voting power of the holders of common stock.</w:t>
      </w:r>
    </w:p>
    <w:p>
      <w:pPr>
        <w:spacing w:after="0" w:line="187" w:lineRule="exact"/>
        <w:rPr>
          <w:sz w:val="20"/>
          <w:szCs w:val="20"/>
          <w:color w:val="auto"/>
        </w:rPr>
      </w:pPr>
    </w:p>
    <w:p>
      <w:pPr>
        <w:ind w:right="120" w:firstLine="802"/>
        <w:spacing w:after="0" w:line="259" w:lineRule="auto"/>
        <w:rPr>
          <w:sz w:val="20"/>
          <w:szCs w:val="20"/>
          <w:color w:val="auto"/>
        </w:rPr>
      </w:pPr>
      <w:r>
        <w:rPr>
          <w:rFonts w:ascii="Arial" w:cs="Arial" w:eastAsia="Arial" w:hAnsi="Arial"/>
          <w:sz w:val="18"/>
          <w:szCs w:val="18"/>
          <w:i w:val="1"/>
          <w:iCs w:val="1"/>
          <w:color w:val="auto"/>
        </w:rPr>
        <w:t xml:space="preserve">Limits on Ability of Stockholders to Call a Special Meeting. </w:t>
      </w:r>
      <w:r>
        <w:rPr>
          <w:rFonts w:ascii="Arial" w:cs="Arial" w:eastAsia="Arial" w:hAnsi="Arial"/>
          <w:sz w:val="18"/>
          <w:szCs w:val="18"/>
          <w:color w:val="auto"/>
        </w:rPr>
        <w:t>Our restated certificate of incorporation, as amended and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generally provide that special meetings of our stockholders may be called only by the Chairman of the board of directors, our Chief Executive Officer or by resolution of the board of directors. Stockholders are not permitted to call a special meeting or require our board of directors to call a special meeting.</w:t>
      </w:r>
    </w:p>
    <w:p>
      <w:pPr>
        <w:spacing w:after="0" w:line="187"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i w:val="1"/>
          <w:iCs w:val="1"/>
          <w:color w:val="auto"/>
        </w:rPr>
        <w:t xml:space="preserve">Limits on Stockholder Action by Written Consent. </w:t>
      </w:r>
      <w:r>
        <w:rPr>
          <w:rFonts w:ascii="Arial" w:cs="Arial" w:eastAsia="Arial" w:hAnsi="Arial"/>
          <w:sz w:val="18"/>
          <w:szCs w:val="18"/>
          <w:color w:val="auto"/>
        </w:rPr>
        <w:t>Any action required or permitted to be taken by the stockholders must be taken at a duly called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and not by written consent.</w:t>
      </w:r>
    </w:p>
    <w:p>
      <w:pPr>
        <w:spacing w:after="0" w:line="170" w:lineRule="exact"/>
        <w:rPr>
          <w:sz w:val="20"/>
          <w:szCs w:val="20"/>
          <w:color w:val="auto"/>
        </w:rPr>
      </w:pPr>
    </w:p>
    <w:p>
      <w:pPr>
        <w:ind w:right="220" w:firstLine="802"/>
        <w:spacing w:after="0" w:line="311"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Our board of directors is divided into three classes, one class of which is elected each year by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The directors in each class serve for a three-year term.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49" w:lineRule="exact"/>
        <w:rPr>
          <w:sz w:val="20"/>
          <w:szCs w:val="20"/>
          <w:color w:val="auto"/>
        </w:rPr>
      </w:pPr>
    </w:p>
    <w:p>
      <w:pPr>
        <w:ind w:right="160" w:firstLine="802"/>
        <w:spacing w:after="0" w:line="296" w:lineRule="auto"/>
        <w:rPr>
          <w:sz w:val="20"/>
          <w:szCs w:val="20"/>
          <w:color w:val="auto"/>
        </w:rPr>
      </w:pPr>
      <w:r>
        <w:rPr>
          <w:rFonts w:ascii="Arial" w:cs="Arial" w:eastAsia="Arial" w:hAnsi="Arial"/>
          <w:sz w:val="16"/>
          <w:szCs w:val="16"/>
          <w:i w:val="1"/>
          <w:iCs w:val="1"/>
          <w:color w:val="auto"/>
        </w:rPr>
        <w:t xml:space="preserve">Requirements for Advance Notification of Stockholder Nominations and Proposals. </w:t>
      </w:r>
      <w:r>
        <w:rPr>
          <w:rFonts w:ascii="Arial" w:cs="Arial" w:eastAsia="Arial" w:hAnsi="Arial"/>
          <w:sz w:val="16"/>
          <w:szCs w:val="16"/>
          <w:color w:val="auto"/>
        </w:rPr>
        <w:t>Our amended and restated bylaws establish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with respect to stockholder proposals and the nomination of candidates for election as directors, other than nominations made by or at the direction of our board of directors or a committee of our board of directors. However,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1" w:lineRule="exact"/>
        <w:rPr>
          <w:sz w:val="20"/>
          <w:szCs w:val="20"/>
          <w:color w:val="auto"/>
        </w:rPr>
      </w:pPr>
    </w:p>
    <w:p>
      <w:pPr>
        <w:jc w:val="both"/>
        <w:ind w:right="200" w:firstLine="802"/>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(“DGCL”) provides that stockholders are not entitled to the right to cumulate</w:t>
      </w:r>
      <w:r>
        <w:rPr>
          <w:rFonts w:ascii="Arial" w:cs="Arial" w:eastAsia="Arial" w:hAnsi="Arial"/>
          <w:sz w:val="18"/>
          <w:szCs w:val="18"/>
          <w:i w:val="1"/>
          <w:iCs w:val="1"/>
          <w:color w:val="auto"/>
        </w:rPr>
        <w:t xml:space="preserve"> </w:t>
      </w:r>
      <w:r>
        <w:rPr>
          <w:rFonts w:ascii="Arial" w:cs="Arial" w:eastAsia="Arial" w:hAnsi="Arial"/>
          <w:sz w:val="18"/>
          <w:szCs w:val="18"/>
          <w:color w:val="auto"/>
        </w:rPr>
        <w:t>votes in the election of directors unless our restated certificate of incorporation provides otherwise. Our restated certificate of incorporation and amended and restated bylaws do not expressly provide for cumulative voting.</w:t>
      </w:r>
    </w:p>
    <w:p>
      <w:pPr>
        <w:spacing w:after="0" w:line="184" w:lineRule="exact"/>
        <w:rPr>
          <w:sz w:val="20"/>
          <w:szCs w:val="20"/>
          <w:color w:val="auto"/>
        </w:rPr>
      </w:pPr>
    </w:p>
    <w:p>
      <w:pPr>
        <w:ind w:right="80" w:firstLine="802"/>
        <w:spacing w:after="0" w:line="301" w:lineRule="auto"/>
        <w:rPr>
          <w:sz w:val="20"/>
          <w:szCs w:val="20"/>
          <w:color w:val="auto"/>
        </w:rPr>
      </w:pPr>
      <w:r>
        <w:rPr>
          <w:rFonts w:ascii="Arial" w:cs="Arial" w:eastAsia="Arial" w:hAnsi="Arial"/>
          <w:sz w:val="16"/>
          <w:szCs w:val="16"/>
          <w:i w:val="1"/>
          <w:iCs w:val="1"/>
          <w:color w:val="auto"/>
        </w:rPr>
        <w:t>Size of Board and Vacancies</w:t>
      </w:r>
      <w:r>
        <w:rPr>
          <w:rFonts w:ascii="Arial" w:cs="Arial" w:eastAsia="Arial" w:hAnsi="Arial"/>
          <w:sz w:val="16"/>
          <w:szCs w:val="16"/>
          <w:color w:val="auto"/>
        </w:rPr>
        <w:t>. Our restated certificate provides that the number of directors on our board of directors is fixed exclusively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Newly created directorships resulting from any increase in our authorized number of directors or any vacancies in the board of directors resulting from death, resignation or other cause (including removal from office by a vote of the stockholders) may be filled only by a majority vote of the directors based on the total number of designated directors, though less than a quorum, or by the sole remaining director. The directors so chosen shall</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ind w:right="140"/>
        <w:spacing w:after="0" w:line="277" w:lineRule="auto"/>
        <w:rPr>
          <w:sz w:val="20"/>
          <w:szCs w:val="20"/>
          <w:color w:val="auto"/>
        </w:rPr>
      </w:pPr>
      <w:r>
        <w:rPr>
          <w:rFonts w:ascii="Arial" w:cs="Arial" w:eastAsia="Arial" w:hAnsi="Arial"/>
          <w:sz w:val="18"/>
          <w:szCs w:val="18"/>
          <w:color w:val="auto"/>
        </w:rPr>
        <w:t>hold office for a term expiring at the next annual meeting of stockholders, and until their respective successors are elected, except in the case of the death, incapacity, resignation or removal of any director.</w:t>
      </w:r>
    </w:p>
    <w:p>
      <w:pPr>
        <w:spacing w:after="0" w:line="170" w:lineRule="exact"/>
        <w:rPr>
          <w:sz w:val="20"/>
          <w:szCs w:val="20"/>
          <w:color w:val="auto"/>
        </w:rPr>
      </w:pPr>
    </w:p>
    <w:p>
      <w:pPr>
        <w:jc w:val="both"/>
        <w:ind w:right="280" w:firstLine="802"/>
        <w:spacing w:after="0" w:line="311" w:lineRule="auto"/>
        <w:rPr>
          <w:sz w:val="20"/>
          <w:szCs w:val="20"/>
          <w:color w:val="auto"/>
        </w:rPr>
      </w:pPr>
      <w:r>
        <w:rPr>
          <w:rFonts w:ascii="Arial" w:cs="Arial" w:eastAsia="Arial" w:hAnsi="Arial"/>
          <w:sz w:val="16"/>
          <w:szCs w:val="16"/>
          <w:i w:val="1"/>
          <w:iCs w:val="1"/>
          <w:color w:val="auto"/>
        </w:rPr>
        <w:t xml:space="preserve">Amendments of Governance Documents. </w:t>
      </w:r>
      <w:r>
        <w:rPr>
          <w:rFonts w:ascii="Arial" w:cs="Arial" w:eastAsia="Arial" w:hAnsi="Arial"/>
          <w:sz w:val="16"/>
          <w:szCs w:val="16"/>
          <w:color w:val="auto"/>
        </w:rPr>
        <w:t>Our restated certificate of incorporation provides that the affirmative vote of the holders of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sixty-six and two-thirds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 then outstanding is required to amend certain provisions relating to the number, term, election and removal of our directors, the filling of our board vacancies, the calling of special meetings of stockholders, and the indemnification of directors.</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Limitations on Liability, Indemnification of Officers and Directors and Insurance</w:t>
      </w:r>
      <w:r>
        <w:rPr>
          <w:rFonts w:ascii="Arial" w:cs="Arial" w:eastAsia="Arial" w:hAnsi="Arial"/>
          <w:sz w:val="18"/>
          <w:szCs w:val="18"/>
          <w:color w:val="auto"/>
        </w:rPr>
        <w:t>.</w:t>
      </w:r>
    </w:p>
    <w:p>
      <w:pPr>
        <w:spacing w:after="0" w:line="225" w:lineRule="exact"/>
        <w:rPr>
          <w:sz w:val="20"/>
          <w:szCs w:val="20"/>
          <w:color w:val="auto"/>
        </w:rPr>
      </w:pPr>
    </w:p>
    <w:p>
      <w:pPr>
        <w:ind w:right="80" w:firstLine="802"/>
        <w:spacing w:after="0" w:line="291"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subject to certain exceptions, by provision of the corporation’s certificate of incorporation. Our restated certificate of incorporation contains a provision eliminating the personal liability of our directors to the fullest extent permitted by the DGCL. In addition, our restated certificate of incorporation includes provisions that require us to indemnify, to the fullest extent allowable under the DGCL, our directors and officers for monetary damages for actions taken as our director or officer, or for serving at our request as a director or officer or another position at another corporation or enterprise, as the case may be. Our restated certificate of incorporation also provides that we must advance reasonable expenses to our directors and officers, subject to our receipt of an undertaking from the indemnified party as may be required under the DGCL.</w:t>
      </w:r>
    </w:p>
    <w:p>
      <w:pPr>
        <w:spacing w:after="0" w:line="166" w:lineRule="exact"/>
        <w:rPr>
          <w:sz w:val="20"/>
          <w:szCs w:val="20"/>
          <w:color w:val="auto"/>
        </w:rPr>
      </w:pPr>
    </w:p>
    <w:p>
      <w:pPr>
        <w:ind w:right="40" w:firstLine="802"/>
        <w:spacing w:after="0" w:line="269" w:lineRule="auto"/>
        <w:rPr>
          <w:sz w:val="20"/>
          <w:szCs w:val="20"/>
          <w:color w:val="auto"/>
        </w:rPr>
      </w:pPr>
      <w:r>
        <w:rPr>
          <w:rFonts w:ascii="Arial" w:cs="Arial" w:eastAsia="Arial" w:hAnsi="Arial"/>
          <w:sz w:val="17"/>
          <w:szCs w:val="17"/>
          <w:color w:val="auto"/>
        </w:rPr>
        <w:t>We are also expressly authorized by the DGCL to carry directors’ and officers’ insurance to protect us, our directors, officers and certain employees for some liabilities. The limitation of liability and indemnification and advancements provisions in our restated certificate of incorporation and amended and restated bylaws, respectively,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 provision in our restated certificate of incorporation eliminating the personal liability of our directors to the fullest extent permitted by the DGCL does not limit or eliminate our rights, or those of any stockholder, to seek non-monetary relief such as injunction or rescission in the event of a breach of a director’s fiduciary duties, including the duty of care. The indemnification provisions will not alter the liability of directors under the federal securities laws. In addition, your investment may be adversely affected to the extent that, in a derivative or direct suit, we pay the litigation costs of our directors and officers and the costs of settlement and damage awards against directors and officers pursuant to these indemnification and advancements provisions.</w:t>
      </w:r>
    </w:p>
    <w:p>
      <w:pPr>
        <w:spacing w:after="0" w:line="185" w:lineRule="exact"/>
        <w:rPr>
          <w:sz w:val="20"/>
          <w:szCs w:val="20"/>
          <w:color w:val="auto"/>
        </w:rPr>
      </w:pPr>
    </w:p>
    <w:p>
      <w:pPr>
        <w:ind w:firstLine="802"/>
        <w:spacing w:after="0" w:line="263" w:lineRule="auto"/>
        <w:rPr>
          <w:sz w:val="20"/>
          <w:szCs w:val="20"/>
          <w:color w:val="auto"/>
        </w:rPr>
      </w:pPr>
      <w:r>
        <w:rPr>
          <w:rFonts w:ascii="Arial" w:cs="Arial" w:eastAsia="Arial" w:hAnsi="Arial"/>
          <w:sz w:val="18"/>
          <w:szCs w:val="18"/>
          <w:color w:val="auto"/>
        </w:rPr>
        <w:t>We expect to maintain standard policies of insurance that provide coverage (i) to our directors and officers against loss arising from claims made by reason of breach of duty or other wrongful act and (ii) to us with respect to indemnification and advancements payments that we may make to such directors and officers.</w:t>
      </w:r>
    </w:p>
    <w:p>
      <w:pPr>
        <w:spacing w:after="0" w:line="184" w:lineRule="exact"/>
        <w:rPr>
          <w:sz w:val="20"/>
          <w:szCs w:val="20"/>
          <w:color w:val="auto"/>
        </w:rPr>
      </w:pPr>
    </w:p>
    <w:p>
      <w:pPr>
        <w:ind w:right="280" w:firstLine="802"/>
        <w:spacing w:after="0" w:line="257" w:lineRule="auto"/>
        <w:rPr>
          <w:sz w:val="20"/>
          <w:szCs w:val="20"/>
          <w:color w:val="auto"/>
        </w:rPr>
      </w:pPr>
      <w:r>
        <w:rPr>
          <w:rFonts w:ascii="Arial" w:cs="Arial" w:eastAsia="Arial" w:hAnsi="Arial"/>
          <w:sz w:val="18"/>
          <w:szCs w:val="18"/>
          <w:color w:val="auto"/>
        </w:rPr>
        <w:t>We have entered into an indemnification agreement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 limitation of liability provision in our restated certificate of incorporation and the indemnification agreements will facilitate our ability to continue to attract and retain qualified individuals to serve as directors and officers.</w:t>
      </w:r>
    </w:p>
    <w:p>
      <w:pPr>
        <w:spacing w:after="0" w:line="188" w:lineRule="exact"/>
        <w:rPr>
          <w:sz w:val="20"/>
          <w:szCs w:val="20"/>
          <w:color w:val="auto"/>
        </w:rPr>
      </w:pPr>
    </w:p>
    <w:p>
      <w:pPr>
        <w:ind w:right="220" w:firstLine="802"/>
        <w:spacing w:after="0" w:line="263" w:lineRule="auto"/>
        <w:rPr>
          <w:sz w:val="20"/>
          <w:szCs w:val="20"/>
          <w:color w:val="auto"/>
        </w:rPr>
      </w:pPr>
      <w:r>
        <w:rPr>
          <w:rFonts w:ascii="Arial" w:cs="Arial" w:eastAsia="Arial" w:hAnsi="Arial"/>
          <w:sz w:val="18"/>
          <w:szCs w:val="18"/>
          <w:color w:val="auto"/>
        </w:rPr>
        <w:t>Insofar as the above described indemnification provisions permit indemnification of directors, officers or persons controlling us for liability arising under the Securities Act of 1933, as amended (the “Securities Act”), we understand that in the opinion of the SEC, this indemnification is against public policy as expressed in the Securities Act and is therefore unenforceable.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229" w:lineRule="exact"/>
        <w:rPr>
          <w:sz w:val="20"/>
          <w:szCs w:val="20"/>
          <w:color w:val="auto"/>
        </w:rPr>
      </w:pPr>
    </w:p>
    <w:p>
      <w:pPr>
        <w:jc w:val="both"/>
        <w:ind w:right="200" w:firstLine="802"/>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184" w:lineRule="exact"/>
        <w:rPr>
          <w:sz w:val="20"/>
          <w:szCs w:val="20"/>
          <w:color w:val="auto"/>
        </w:rPr>
      </w:pPr>
    </w:p>
    <w:p>
      <w:pPr>
        <w:ind w:left="1200" w:right="640" w:hanging="396"/>
        <w:spacing w:after="0" w:line="258"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the date of the transaction that resulted in the stockholder becoming an interested stockholder, the board of directors of the corporation approved either the business combination or the transaction;</w:t>
      </w:r>
    </w:p>
    <w:p>
      <w:pPr>
        <w:spacing w:after="0" w:line="1" w:lineRule="exact"/>
        <w:rPr>
          <w:rFonts w:ascii="Arial" w:cs="Arial" w:eastAsia="Arial" w:hAnsi="Arial"/>
          <w:sz w:val="18"/>
          <w:szCs w:val="18"/>
          <w:color w:val="auto"/>
        </w:rPr>
      </w:pPr>
    </w:p>
    <w:p>
      <w:pPr>
        <w:ind w:left="1200" w:right="20" w:hanging="396"/>
        <w:spacing w:after="0" w:line="281" w:lineRule="auto"/>
        <w:tabs>
          <w:tab w:leader="none" w:pos="1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6"/>
          <w:szCs w:val="16"/>
          <w:color w:val="auto"/>
        </w:rPr>
      </w:pPr>
    </w:p>
    <w:p>
      <w:pPr>
        <w:ind w:left="1200" w:right="320" w:hanging="396"/>
        <w:spacing w:after="0" w:line="255"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1200" w:hanging="396"/>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36" w:lineRule="exact"/>
        <w:rPr>
          <w:rFonts w:ascii="Arial" w:cs="Arial" w:eastAsia="Arial" w:hAnsi="Arial"/>
          <w:sz w:val="18"/>
          <w:szCs w:val="18"/>
          <w:color w:val="auto"/>
        </w:rPr>
      </w:pPr>
    </w:p>
    <w:p>
      <w:pPr>
        <w:ind w:left="1200" w:right="280" w:hanging="396"/>
        <w:spacing w:after="0" w:line="258"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either the assets or outstanding stock of the corporation involving the interested stockholder;</w:t>
      </w:r>
    </w:p>
    <w:p>
      <w:pPr>
        <w:spacing w:after="0" w:line="1" w:lineRule="exact"/>
        <w:rPr>
          <w:rFonts w:ascii="Arial" w:cs="Arial" w:eastAsia="Arial" w:hAnsi="Arial"/>
          <w:sz w:val="18"/>
          <w:szCs w:val="18"/>
          <w:color w:val="auto"/>
        </w:rPr>
      </w:pPr>
    </w:p>
    <w:p>
      <w:pPr>
        <w:ind w:left="1200" w:hanging="396"/>
        <w:spacing w:after="0" w:line="250"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1200" w:right="160" w:hanging="396"/>
        <w:spacing w:after="0" w:line="250"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ind w:left="1200" w:right="60" w:hanging="396"/>
        <w:spacing w:after="0" w:line="260"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5" w:lineRule="exact"/>
        <w:rPr>
          <w:sz w:val="20"/>
          <w:szCs w:val="20"/>
          <w:color w:val="auto"/>
        </w:rPr>
      </w:pPr>
    </w:p>
    <w:p>
      <w:pPr>
        <w:ind w:right="220" w:firstLine="802"/>
        <w:spacing w:after="0" w:line="342" w:lineRule="auto"/>
        <w:rPr>
          <w:sz w:val="20"/>
          <w:szCs w:val="20"/>
          <w:color w:val="auto"/>
        </w:rPr>
      </w:pPr>
      <w:r>
        <w:rPr>
          <w:rFonts w:ascii="Arial" w:cs="Arial" w:eastAsia="Arial" w:hAnsi="Arial"/>
          <w:sz w:val="16"/>
          <w:szCs w:val="16"/>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124" w:lineRule="exact"/>
        <w:rPr>
          <w:sz w:val="20"/>
          <w:szCs w:val="20"/>
          <w:color w:val="auto"/>
        </w:rPr>
      </w:pPr>
    </w:p>
    <w:p>
      <w:pPr>
        <w:ind w:right="80" w:firstLine="844"/>
        <w:spacing w:after="0" w:line="257" w:lineRule="auto"/>
        <w:rPr>
          <w:sz w:val="20"/>
          <w:szCs w:val="20"/>
          <w:color w:val="auto"/>
        </w:rPr>
      </w:pPr>
      <w:r>
        <w:rPr>
          <w:rFonts w:ascii="Arial" w:cs="Arial" w:eastAsia="Arial" w:hAnsi="Arial"/>
          <w:sz w:val="18"/>
          <w:szCs w:val="18"/>
          <w:color w:val="auto"/>
        </w:rPr>
        <w:t>The provisions of the DGCL,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40" w:firstLine="802"/>
        <w:spacing w:after="0" w:line="254" w:lineRule="auto"/>
        <w:rPr>
          <w:sz w:val="20"/>
          <w:szCs w:val="20"/>
          <w:color w:val="auto"/>
        </w:rPr>
      </w:pPr>
      <w:r>
        <w:rPr>
          <w:rFonts w:ascii="Arial" w:cs="Arial" w:eastAsia="Arial" w:hAnsi="Arial"/>
          <w:sz w:val="18"/>
          <w:szCs w:val="18"/>
          <w:color w:val="auto"/>
        </w:rPr>
        <w:t>Certain holders of shares of our common stock are entitled to contractual rights to require us to register such shares under the Securities Act. These rights are provided under the terms of our amended and restated registration rights agreement. We will pay all expenses relating to any such registration, other than underwriting discounts and selling commissions. The registration rights terminate with respect to any holder if all of the following conditions are met: (a) as reflected on our books and records, such holder (together with its affiliates) holds less than 1% of our outstanding common stock (on an as-if-converted to common stock basis), (b) our securities trade on a national securities exchange or list on a national automatic quotation system, in each case, located in the United States, and (c) all shares of common stock issued or issuable upon conversion of the registrable securities held by such holder (and its affiliates) either (i) may be sold pursuant to Rule 144 promulgated under the Securities Act during any ninety (90) day period or (ii) have ceased to be outstanding.</w:t>
      </w:r>
    </w:p>
    <w:p>
      <w:pPr>
        <w:spacing w:after="0" w:line="219" w:lineRule="exact"/>
        <w:rPr>
          <w:sz w:val="20"/>
          <w:szCs w:val="20"/>
          <w:color w:val="auto"/>
        </w:rPr>
      </w:pPr>
    </w:p>
    <w:p>
      <w:pPr>
        <w:ind w:right="400" w:firstLine="802"/>
        <w:spacing w:after="0" w:line="277"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If we propose to register any of our securities under the Securities Act either for our own account 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of other stockholders, the holders of shares having registration rights will, subject to certain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95" w:name="page96"/>
    <w:bookmarkEnd w:id="95"/>
    <w:p>
      <w:pPr>
        <w:spacing w:after="0" w:line="259" w:lineRule="auto"/>
        <w:rPr>
          <w:sz w:val="20"/>
          <w:szCs w:val="20"/>
          <w:color w:val="auto"/>
        </w:rPr>
      </w:pPr>
      <w:r>
        <w:rPr>
          <w:rFonts w:ascii="Arial" w:cs="Arial" w:eastAsia="Arial" w:hAnsi="Arial"/>
          <w:sz w:val="18"/>
          <w:szCs w:val="18"/>
          <w:color w:val="auto"/>
        </w:rPr>
        <w:t>exceptions, be entitled to include their shares in our registration statement. These piggyback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 without the consent of more than 50% of the holders of registrable securities.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GDSVF&amp;H\5607010.2</w:t>
      </w:r>
    </w:p>
    <w:p>
      <w:pPr>
        <w:sectPr>
          <w:pgSz w:w="11900" w:h="16838" w:orient="portrait"/>
          <w:cols w:equalWidth="0" w:num="1">
            <w:col w:w="11240"/>
          </w:cols>
          <w:pgMar w:left="320" w:top="35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333-252592, 333-233201 and 333-208274) and Form S-8 (Nos. 333-232239, 333-219491, 333-190490, 333-151808, 333-141694 and 333-122665) of MediciNova, Inc. of our report dated February 16, 2022, relating to the consolidated financial statements,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MediciNova,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97"/>
        <w:spacing w:after="0" w:line="263" w:lineRule="auto"/>
        <w:tabs>
          <w:tab w:leader="none" w:pos="7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97"/>
        <w:spacing w:after="0" w:line="263"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60" w:firstLine="597"/>
        <w:spacing w:after="0" w:line="342" w:lineRule="auto"/>
        <w:tabs>
          <w:tab w:leader="none" w:pos="7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40" w:firstLine="597"/>
        <w:spacing w:after="0" w:line="263"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60" w:firstLine="597"/>
        <w:spacing w:after="0" w:line="277" w:lineRule="auto"/>
        <w:tabs>
          <w:tab w:leader="none" w:pos="7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597"/>
        <w:spacing w:after="0" w:line="277"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2022</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Paulin, certify that:</w:t>
      </w:r>
    </w:p>
    <w:p>
      <w:pPr>
        <w:spacing w:after="0" w:line="117"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MediciNova,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97"/>
        <w:spacing w:after="0" w:line="263" w:lineRule="auto"/>
        <w:tabs>
          <w:tab w:leader="none" w:pos="7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97"/>
        <w:spacing w:after="0" w:line="263"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60" w:firstLine="597"/>
        <w:spacing w:after="0" w:line="342" w:lineRule="auto"/>
        <w:tabs>
          <w:tab w:leader="none" w:pos="773"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40" w:firstLine="597"/>
        <w:spacing w:after="0" w:line="263"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60" w:firstLine="597"/>
        <w:spacing w:after="0" w:line="277" w:lineRule="auto"/>
        <w:tabs>
          <w:tab w:leader="none" w:pos="7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597"/>
        <w:spacing w:after="0" w:line="277"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Douglas Paulin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Douglas Paulin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2022</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2021,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80" w:hanging="183"/>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83"/>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February 16,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Yuichi Iwaki, M.D., Ph.D.</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340" w:right="2400"/>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In connection with the Annual Report on Form 10-K of MediciNova, Inc. (the “Company”) for the period ended December 31, 2021, as filed with the Securities and Exchange Commission on the date hereof (the “Report”),</w:t>
      </w:r>
    </w:p>
    <w:p>
      <w:pPr>
        <w:spacing w:after="0" w:line="62"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I, Douglas Paulin, as Chief Financial Officer of the Company, certify, pursuant to 18 U.S.C. Section 1350, as adopted pursuant to Section 906 of the Sarbanes-Oxley Act of 2002, that to my knowledge:</w:t>
      </w:r>
    </w:p>
    <w:p>
      <w:pPr>
        <w:spacing w:after="0" w:line="62" w:lineRule="exact"/>
        <w:rPr>
          <w:sz w:val="20"/>
          <w:szCs w:val="20"/>
          <w:color w:val="auto"/>
        </w:rPr>
      </w:pPr>
    </w:p>
    <w:p>
      <w:pPr>
        <w:ind w:left="780" w:hanging="183"/>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83"/>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Date: February 16,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Paulin</w:t>
            </w:r>
          </w:p>
        </w:tc>
      </w:tr>
      <w:tr>
        <w:trPr>
          <w:trHeight w:val="195"/>
        </w:trPr>
        <w:tc>
          <w:tcPr>
            <w:tcW w:w="678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Douglas Paulin</w:t>
            </w:r>
          </w:p>
        </w:tc>
      </w:tr>
      <w:tr>
        <w:trPr>
          <w:trHeight w:val="216"/>
        </w:trPr>
        <w:tc>
          <w:tcPr>
            <w:tcW w:w="67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emdash "/>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0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14" Type="http://schemas.openxmlformats.org/officeDocument/2006/relationships/hyperlink" Target="http://www.sec.gov/Archives/edgar/data/1226616/000119312512347932/d344794dex31.htm" TargetMode="External"/><Relationship Id="rId115" Type="http://schemas.openxmlformats.org/officeDocument/2006/relationships/hyperlink" Target="http://www.sec.gov/Archives/edgar/data/1226616/000119312504164964/dex34.htm" TargetMode="External"/><Relationship Id="rId116" Type="http://schemas.openxmlformats.org/officeDocument/2006/relationships/hyperlink" Target="http://www.sec.gov/Archives/edgar/data/1226616/000119312507033031/dex41.htm" TargetMode="External"/><Relationship Id="rId117" Type="http://schemas.openxmlformats.org/officeDocument/2006/relationships/hyperlink" Target="http://www.sec.gov/Archives/edgar/data/1226616/000119312504164964/dex42.htm" TargetMode="External"/><Relationship Id="rId118" Type="http://schemas.openxmlformats.org/officeDocument/2006/relationships/hyperlink" Target="http://www.sec.gov/Archives/edgar/data/1226616/000119312512137788/d270304dex102.htm" TargetMode="External"/><Relationship Id="rId119" Type="http://schemas.openxmlformats.org/officeDocument/2006/relationships/hyperlink" Target="http://www.sec.gov/Archives/edgar/data/1226616/000119312513132600/d448827dex103.htm" TargetMode="External"/><Relationship Id="rId120" Type="http://schemas.openxmlformats.org/officeDocument/2006/relationships/hyperlink" Target="http://www.sec.gov/Archives/edgar/data/1226616/000119312504202924/dex104.htm" TargetMode="External"/><Relationship Id="rId121" Type="http://schemas.openxmlformats.org/officeDocument/2006/relationships/hyperlink" Target="http://www.sec.gov/Archives/edgar/data/1226616/000119312504202924/dex105.htm" TargetMode="External"/><Relationship Id="rId122" Type="http://schemas.openxmlformats.org/officeDocument/2006/relationships/hyperlink" Target="http://www.sec.gov/Archives/edgar/data/1226616/000119312504202924/dex107.htm" TargetMode="External"/><Relationship Id="rId123" Type="http://schemas.openxmlformats.org/officeDocument/2006/relationships/hyperlink" Target="http://www.sec.gov/Archives/edgar/data/1226616/000119312504202924/dex1018.htm" TargetMode="External"/><Relationship Id="rId124" Type="http://schemas.openxmlformats.org/officeDocument/2006/relationships/hyperlink" Target="http://www.sec.gov/Archives/edgar/data/1226616/000119312506221980/dex101.htm" TargetMode="External"/><Relationship Id="rId127" Type="http://schemas.openxmlformats.org/officeDocument/2006/relationships/hyperlink" Target="http://www.sec.gov/Archives/edgar/data/1226616/000119312506221980/dex102.htm" TargetMode="External"/><Relationship Id="rId128" Type="http://schemas.openxmlformats.org/officeDocument/2006/relationships/hyperlink" Target="http://www.sec.gov/Archives/edgar/data/1226616/000119312507074153/dex101.htm" TargetMode="External"/><Relationship Id="rId129" Type="http://schemas.openxmlformats.org/officeDocument/2006/relationships/hyperlink" Target="http://www.sec.gov/Archives/edgar/data/1226616/000119312507053569/ddef14a.htm" TargetMode="External"/><Relationship Id="rId130" Type="http://schemas.openxmlformats.org/officeDocument/2006/relationships/hyperlink" Target="http://www.sec.gov/Archives/edgar/data/1226616/000119312509066501/dex101.htm" TargetMode="External"/><Relationship Id="rId131" Type="http://schemas.openxmlformats.org/officeDocument/2006/relationships/hyperlink" Target="http://www.sec.gov/Archives/edgar/data/932903/000114544306000811/d18787ex10-58.htm" TargetMode="External"/><Relationship Id="rId132" Type="http://schemas.openxmlformats.org/officeDocument/2006/relationships/hyperlink" Target="http://www.sec.gov/Archives/edgar/data/932903/000120677409000503/exhibit_2-2.htm" TargetMode="External"/><Relationship Id="rId133" Type="http://schemas.openxmlformats.org/officeDocument/2006/relationships/hyperlink" Target="http://www.sec.gov/Archives/edgar/data/1226616/000119312511001216/dex101.htm" TargetMode="External"/><Relationship Id="rId134" Type="http://schemas.openxmlformats.org/officeDocument/2006/relationships/hyperlink" Target="http://www.sec.gov/Archives/edgar/data/1226616/000119312517279377/d414779dex101.htm" TargetMode="External"/><Relationship Id="rId135" Type="http://schemas.openxmlformats.org/officeDocument/2006/relationships/hyperlink" Target="http://www.sec.gov/Archives/edgar/data/1226616/000119312514118744/d652763dex1023.htm" TargetMode="External"/><Relationship Id="rId136" Type="http://schemas.openxmlformats.org/officeDocument/2006/relationships/hyperlink" Target="http://www.sec.gov/Archives/edgar/data/1226616/000156459017014096/mnov-ex101_306.htm" TargetMode="External"/><Relationship Id="rId137" Type="http://schemas.openxmlformats.org/officeDocument/2006/relationships/hyperlink" Target="http://www.sec.gov/Archives/edgar/data/1226616/000119312513433171/d595996dex103.htm" TargetMode="External"/><Relationship Id="rId138" Type="http://schemas.openxmlformats.org/officeDocument/2006/relationships/hyperlink" Target="http://www.sec.gov/Archives/edgar/data/1226616/000119312514308545/d745670dex102.htm" TargetMode="External"/><Relationship Id="rId139" Type="http://schemas.openxmlformats.org/officeDocument/2006/relationships/hyperlink" Target="http://www.sec.gov/Archives/edgar/data/1226616/000119312514308545/d745670dex104.htm" TargetMode="External"/><Relationship Id="rId140" Type="http://schemas.openxmlformats.org/officeDocument/2006/relationships/hyperlink" Target="http://www.sec.gov/Archives/edgar/data/1226616/000119312514308545/d745670dex105.htm" TargetMode="External"/><Relationship Id="rId141" Type="http://schemas.openxmlformats.org/officeDocument/2006/relationships/hyperlink" Target="http://www.sec.gov/Archives/edgar/data/1226616/000119312519228009/d768153dex101.htm" TargetMode="External"/><Relationship Id="rId142" Type="http://schemas.openxmlformats.org/officeDocument/2006/relationships/hyperlink" Target="http://www.sec.gov/Archives/edgar/data/0001226616/000119312521006833/d931163dex101.htm" TargetMode="External"/><Relationship Id="rId143" Type="http://schemas.openxmlformats.org/officeDocument/2006/relationships/hyperlink" Target="http://www.sec.gov/Archives/edgar/data/0001226616/000119312521006833/d931163dex102.htm" TargetMode="External"/><Relationship Id="rId146" Type="http://schemas.openxmlformats.org/officeDocument/2006/relationships/hyperlink" Target="http://www.sec.gov/Archives/edgar/data/0001226616/000119312521233293/d211886dex991.htm" TargetMode="External"/><Relationship Id="rId147" Type="http://schemas.openxmlformats.org/officeDocument/2006/relationships/hyperlink" Target="http://www.sec.gov/Archives/edgar/data/0001226616/000119312521222985/d1598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2022-02-16T15:30:13Z</dcterms:created>
  <dcterms:modified xsi:type="dcterms:W3CDTF">2022-02-16T15:30:13Z</dcterms:modified>
</cp:coreProperties>
</file>