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9" w:lineRule="exact"/>
        <w:rPr>
          <w:rFonts w:ascii="MS PGothic" w:cs="MS PGothic" w:eastAsia="MS PGothic" w:hAnsi="MS PGothic"/>
          <w:sz w:val="18"/>
          <w:szCs w:val="18"/>
          <w:color w:val="auto"/>
          <w:highlight w:val="black"/>
        </w:rPr>
      </w:pPr>
    </w:p>
    <w:p>
      <w:pPr>
        <w:ind w:left="35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JUNE 30, 2024</w:t>
      </w:r>
    </w:p>
    <w:p>
      <w:pPr>
        <w:spacing w:after="0" w:line="93"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spacing w:after="0"/>
              <w:rPr>
                <w:sz w:val="20"/>
                <w:szCs w:val="20"/>
                <w:color w:val="auto"/>
              </w:rPr>
            </w:pPr>
          </w:p>
        </w:tc>
        <w:tc>
          <w:tcPr>
            <w:tcW w:w="3560" w:type="dxa"/>
            <w:vAlign w:val="bottom"/>
            <w:gridSpan w:val="2"/>
          </w:tcPr>
          <w:p>
            <w:pPr>
              <w:jc w:val="right"/>
              <w:ind w:right="2244"/>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51"/>
        </w:trPr>
        <w:tc>
          <w:tcPr>
            <w:tcW w:w="4540" w:type="dxa"/>
            <w:vAlign w:val="bottom"/>
            <w:gridSpan w:val="3"/>
          </w:tcPr>
          <w:p>
            <w:pPr>
              <w:jc w:val="center"/>
              <w:ind w:left="91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jc w:val="center"/>
              <w:ind w:right="196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4540" w:type="dxa"/>
            <w:vAlign w:val="bottom"/>
            <w:gridSpan w:val="3"/>
          </w:tcPr>
          <w:p>
            <w:pPr>
              <w:jc w:val="center"/>
              <w:ind w:left="918"/>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4540" w:type="dxa"/>
            <w:vAlign w:val="bottom"/>
            <w:gridSpan w:val="3"/>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La Jolla, CA</w:t>
            </w:r>
          </w:p>
        </w:tc>
        <w:tc>
          <w:tcPr>
            <w:tcW w:w="3140" w:type="dxa"/>
            <w:vAlign w:val="bottom"/>
          </w:tcPr>
          <w:p>
            <w:pPr>
              <w:spacing w:after="0"/>
              <w:rPr>
                <w:sz w:val="20"/>
                <w:szCs w:val="20"/>
                <w:color w:val="auto"/>
              </w:rPr>
            </w:pPr>
          </w:p>
        </w:tc>
        <w:tc>
          <w:tcPr>
            <w:tcW w:w="3560" w:type="dxa"/>
            <w:vAlign w:val="bottom"/>
            <w:gridSpan w:val="2"/>
          </w:tcPr>
          <w:p>
            <w:pPr>
              <w:jc w:val="right"/>
              <w:ind w:right="2444"/>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3"/>
        </w:trPr>
        <w:tc>
          <w:tcPr>
            <w:tcW w:w="454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jc w:val="center"/>
              <w:ind w:right="19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4"/>
        </w:trPr>
        <w:tc>
          <w:tcPr>
            <w:tcW w:w="3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1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(858) 373-1500</w:t>
            </w: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212"/>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34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8"/>
        </w:trPr>
        <w:tc>
          <w:tcPr>
            <w:tcW w:w="4540" w:type="dxa"/>
            <w:vAlign w:val="bottom"/>
            <w:gridSpan w:val="3"/>
          </w:tcPr>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314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MNOV</w:t>
            </w:r>
          </w:p>
        </w:tc>
        <w:tc>
          <w:tcPr>
            <w:tcW w:w="1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59"/>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107"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24"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217" w:lineRule="exact"/>
        <w:rPr>
          <w:sz w:val="24"/>
          <w:szCs w:val="24"/>
          <w:color w:val="auto"/>
        </w:rPr>
      </w:pPr>
    </w:p>
    <w:p>
      <w:pPr>
        <w:ind w:left="20"/>
        <w:spacing w:after="0" w:line="161" w:lineRule="exact"/>
        <w:tabs>
          <w:tab w:leader="none" w:pos="2480" w:val="left"/>
          <w:tab w:leader="none" w:pos="79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54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5, 2024,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00"/>
            <w:col w:w="260"/>
          </w:cols>
          <w:pgMar w:left="320" w:top="1289"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any other communicable disease, such as COVID-19, which has led to lead key employees becoming ill for a period of time;</w:t>
      </w:r>
    </w:p>
    <w:p>
      <w:pPr>
        <w:spacing w:after="0" w:line="32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“MediciNova,” “we,” “us” and “our” refer to MediciNova, Inc.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093"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0" w:type="dxa"/>
            <w:vAlign w:val="bottom"/>
            <w:gridSpan w:val="6"/>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5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37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240" w:type="dxa"/>
            <w:vAlign w:val="bottom"/>
            <w:gridSpan w:val="2"/>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20" w:type="dxa"/>
            <w:vAlign w:val="bottom"/>
            <w:tcBorders>
              <w:bottom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72"/>
        </w:trPr>
        <w:tc>
          <w:tcPr>
            <w:tcW w:w="2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750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9"/>
                <w:szCs w:val="19"/>
                <w:color w:val="auto"/>
              </w:rPr>
            </w:pPr>
          </w:p>
        </w:tc>
        <w:tc>
          <w:tcPr>
            <w:tcW w:w="8100" w:type="dxa"/>
            <w:vAlign w:val="bottom"/>
            <w:gridSpan w:val="13"/>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300" w:type="dxa"/>
            <w:vAlign w:val="bottom"/>
            <w:gridSpan w:val="3"/>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00" w:type="dxa"/>
            <w:vAlign w:val="bottom"/>
            <w:gridSpan w:val="6"/>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8"/>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00" w:type="dxa"/>
            <w:vAlign w:val="bottom"/>
            <w:gridSpan w:val="9"/>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72"/>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1"/>
          </w:tcPr>
          <w:p>
            <w:pPr>
              <w:jc w:val="center"/>
              <w:ind w:left="3130"/>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7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44,337,824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1,167,763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174,938</w:t>
            </w: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45,505,587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51,174,380</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443,172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575,406</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1"/>
                <w:szCs w:val="21"/>
                <w:color w:val="auto"/>
              </w:rPr>
            </w:pPr>
          </w:p>
        </w:tc>
      </w:tr>
      <w:tr>
        <w:trPr>
          <w:trHeight w:val="27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60,403,808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667,695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1,003,937</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1,636,637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190,047</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2,494,379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3,279,101</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302,483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2,998,654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3,891,553</w:t>
            </w:r>
          </w:p>
        </w:tc>
        <w:tc>
          <w:tcPr>
            <w:tcW w:w="100" w:type="dxa"/>
            <w:vAlign w:val="bottom"/>
          </w:tcPr>
          <w:p>
            <w:pPr>
              <w:spacing w:after="0"/>
              <w:rPr>
                <w:sz w:val="20"/>
                <w:szCs w:val="20"/>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June 30, 2024 and December 31, 2023; 49,046,246 and 49,046,246</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shares issued and outstanding at June 30, 2024 and December</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31, 2023, respectively</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478,572,046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478,149,161</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(131,527 )</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(118,090 )</w:t>
            </w:r>
          </w:p>
        </w:tc>
      </w:tr>
      <w:tr>
        <w:trPr>
          <w:trHeight w:val="243"/>
        </w:trPr>
        <w:tc>
          <w:tcPr>
            <w:tcW w:w="7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(421,084,411 )</w:t>
            </w:r>
          </w:p>
        </w:tc>
        <w:tc>
          <w:tcPr>
            <w:tcW w:w="26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(415,701,693 )</w:t>
            </w:r>
          </w:p>
        </w:tc>
      </w:tr>
      <w:tr>
        <w:trPr>
          <w:trHeight w:val="23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57,405,154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62,378,424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60,403,808</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1,646,049</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1,735,735</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3,427,918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3,212,411</w:t>
            </w:r>
          </w:p>
        </w:tc>
        <w:tc>
          <w:tcPr>
            <w:tcW w:w="100" w:type="dxa"/>
            <w:vAlign w:val="bottom"/>
          </w:tcPr>
          <w:p>
            <w:pPr>
              <w:spacing w:after="0"/>
              <w:rPr>
                <w:sz w:val="20"/>
                <w:szCs w:val="20"/>
                <w:color w:val="auto"/>
              </w:rPr>
            </w:pPr>
          </w:p>
        </w:tc>
      </w:tr>
      <w:tr>
        <w:trPr>
          <w:trHeight w:val="247"/>
        </w:trPr>
        <w:tc>
          <w:tcPr>
            <w:tcW w:w="5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1,400,447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1,564,295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2,754,571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3,046,496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6,182,489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6,263,273</w:t>
            </w:r>
          </w:p>
        </w:tc>
        <w:tc>
          <w:tcPr>
            <w:tcW w:w="100" w:type="dxa"/>
            <w:vAlign w:val="bottom"/>
          </w:tcPr>
          <w:p>
            <w:pPr>
              <w:spacing w:after="0"/>
              <w:rPr>
                <w:sz w:val="20"/>
                <w:szCs w:val="20"/>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(3,046,496 )</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(3,300,030 )</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(6,182,489 )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(6,263,273 )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435,351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960,466</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(17,055 )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(23,210 )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(33,090 )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(486,517 )</w:t>
            </w:r>
          </w:p>
        </w:tc>
      </w:tr>
      <w:tr>
        <w:trPr>
          <w:trHeight w:val="20"/>
        </w:trPr>
        <w:tc>
          <w:tcPr>
            <w:tcW w:w="5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(2,628,200 )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(2,871,820 )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(5,382,718 )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(5,789,324 )</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(2,628,200 )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(2,871,820 )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(5,382,718 )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(5,789,324 )</w:t>
            </w: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(4,545 )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(4,213 )</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(13,437 )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(5,755 )</w:t>
            </w:r>
          </w:p>
        </w:tc>
      </w:tr>
      <w:tr>
        <w:trPr>
          <w:trHeight w:val="20"/>
        </w:trPr>
        <w:tc>
          <w:tcPr>
            <w:tcW w:w="5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(2,632,745 )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(2,876,033 )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(5,396,155 )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(5,795,079 )</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-1782445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-1782445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-1782445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-1148080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478,149,161</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(118,090 )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(415,701,693 )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62,378,424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(2,754,518 )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(2,754,518 )</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(8,892 )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(8,892 )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Balance at March 31, 2024</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478,364,591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(126,982 )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(418,456,211 )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59,830,444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207,455</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207,455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(2,628,200 )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(2,628,200 )</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(4,545 )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(4,545 )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Balance at June 30, 2024</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gridSpan w:val="2"/>
            <w:shd w:val="clear" w:color="auto" w:fill="CFF0FC"/>
          </w:tcPr>
          <w:p>
            <w:pPr>
              <w:spacing w:after="0"/>
              <w:rPr>
                <w:sz w:val="16"/>
                <w:szCs w:val="16"/>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478,572,046</w:t>
            </w:r>
          </w:p>
        </w:tc>
        <w:tc>
          <w:tcPr>
            <w:tcW w:w="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(131,527 )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(421,084,411 )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57,405,154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40" w:type="dxa"/>
            <w:vAlign w:val="bottom"/>
            <w:gridSpan w:val="2"/>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477,438,451</w:t>
            </w:r>
          </w:p>
        </w:tc>
        <w:tc>
          <w:tcPr>
            <w:tcW w:w="220" w:type="dxa"/>
            <w:vAlign w:val="bottom"/>
            <w:gridSpan w:val="2"/>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(115,285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(407,130,177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70,242,035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403,263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(2,917,504 )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(2,917,504 )</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(1,542 )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(1,542 )</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Balance at March 31, 2023</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477,841,714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(116,827 )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(410,047,681 )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67,726,252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325,710</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(2,871,820 )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(2,871,820 )</w:t>
            </w: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(4,213 )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(4,213 )</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Balance at June 30, 2023</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gridSpan w:val="2"/>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478,167,424</w:t>
            </w:r>
          </w:p>
        </w:tc>
        <w:tc>
          <w:tcPr>
            <w:tcW w:w="220" w:type="dxa"/>
            <w:vAlign w:val="bottom"/>
            <w:gridSpan w:val="2"/>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(121,040 )</w:t>
            </w:r>
          </w:p>
        </w:tc>
        <w:tc>
          <w:tcPr>
            <w:tcW w:w="1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(412,919,501 )</w:t>
            </w:r>
          </w:p>
        </w:tc>
        <w:tc>
          <w:tcPr>
            <w:tcW w:w="1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65,175,929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-2236470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-2236470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-2236470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-2236470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-2236470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-1774190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-1756410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-1774190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-1756410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-1774190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-1756410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-1774190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-1756410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-1774190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-1756410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-608330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-608330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-608330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-608330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-608330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-145415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-145415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-145415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-145415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-145415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(5,382,718 )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(5,789,324 )</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422,885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on disposal of investments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(947,502 )</w:t>
            </w: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(182,896 )</w:t>
            </w: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(780,838 )</w:t>
            </w: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(428,876 )</w:t>
            </w:r>
          </w:p>
        </w:tc>
        <w:tc>
          <w:tcPr>
            <w:tcW w:w="0" w:type="dxa"/>
            <w:vAlign w:val="bottom"/>
          </w:tcPr>
          <w:p>
            <w:pPr>
              <w:spacing w:after="0"/>
              <w:rPr>
                <w:sz w:val="1"/>
                <w:szCs w:val="1"/>
                <w:color w:val="auto"/>
              </w:rPr>
            </w:pPr>
          </w:p>
        </w:tc>
      </w:tr>
      <w:tr>
        <w:trPr>
          <w:trHeight w:val="243"/>
        </w:trPr>
        <w:tc>
          <w:tcPr>
            <w:tcW w:w="7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(87,320 )</w:t>
            </w:r>
          </w:p>
        </w:tc>
        <w:tc>
          <w:tcPr>
            <w:tcW w:w="5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(98,562 )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(6,679,178 )</w:t>
            </w: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(5,560,429 )</w:t>
            </w:r>
          </w:p>
        </w:tc>
        <w:tc>
          <w:tcPr>
            <w:tcW w:w="0" w:type="dxa"/>
            <w:vAlign w:val="bottom"/>
          </w:tcPr>
          <w:p>
            <w:pPr>
              <w:spacing w:after="0"/>
              <w:rPr>
                <w:sz w:val="1"/>
                <w:szCs w:val="1"/>
                <w:color w:val="auto"/>
              </w:rPr>
            </w:pPr>
          </w:p>
        </w:tc>
      </w:tr>
      <w:tr>
        <w:trPr>
          <w:trHeight w:val="232"/>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disposal of investments</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39,929,015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(891 )</w:t>
            </w:r>
          </w:p>
        </w:tc>
        <w:tc>
          <w:tcPr>
            <w:tcW w:w="5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(18,577 )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(891 )</w:t>
            </w: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39,910,438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22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(6,661,618 )</w:t>
            </w: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34,370,778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44,337,824</w:t>
            </w:r>
          </w:p>
        </w:tc>
        <w:tc>
          <w:tcPr>
            <w:tcW w:w="2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52,876,271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carrying amount of right-of-use asset due to termination of lease</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2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720"/>
              <w:spacing w:after="0"/>
              <w:rPr>
                <w:sz w:val="20"/>
                <w:szCs w:val="20"/>
                <w:color w:val="auto"/>
              </w:rPr>
            </w:pPr>
            <w:r>
              <w:rPr>
                <w:rFonts w:ascii="Times New Roman" w:cs="Times New Roman" w:eastAsia="Times New Roman" w:hAnsi="Times New Roman"/>
                <w:sz w:val="18"/>
                <w:szCs w:val="18"/>
                <w:color w:val="auto"/>
              </w:rPr>
              <w:t>See accompanying notes.</w:t>
            </w: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6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-3179445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-2545080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-1902460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-1885315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-1722120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-1396365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2023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2023 has been derived from the audited financial statements at that date but does not include all the information and footnotes required by GAAP for complete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 accounts, with original maturities of three months or less from the date of purchase.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35"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$1.5 million and $1.6 million for the three months ended June 30, 2024 and 2023, respectively, and $3.2 million and $3.0 million for the six months ended June 30, 2024 and 2023, respectively.</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and $0.1 million for the three months ended June 30, 2024 and 2023, respectively, and $0.2 million and $0.2 million for the six months ended June 30, 2024 and 2023, respectively.</w:t>
      </w:r>
    </w:p>
    <w:p>
      <w:pPr>
        <w:spacing w:after="0" w:line="261"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 xml:space="preserve">For transactions with a government where the Company receives government assistance in performing research and development activities and the accounting for a transaction is not specified within the scope of authoritative GAAP, the Company follows Accounting Standards Codification (ASC) 832, </w:t>
      </w:r>
      <w:r>
        <w:rPr>
          <w:rFonts w:ascii="Times New Roman" w:cs="Times New Roman" w:eastAsia="Times New Roman" w:hAnsi="Times New Roman"/>
          <w:sz w:val="17"/>
          <w:szCs w:val="17"/>
          <w:i w:val="1"/>
          <w:iCs w:val="1"/>
          <w:color w:val="auto"/>
        </w:rPr>
        <w:t>Government Assistance (Topic 832)</w:t>
      </w:r>
      <w:r>
        <w:rPr>
          <w:rFonts w:ascii="Times New Roman" w:cs="Times New Roman" w:eastAsia="Times New Roman" w:hAnsi="Times New Roman"/>
          <w:sz w:val="17"/>
          <w:szCs w:val="17"/>
          <w:color w:val="auto"/>
        </w:rPr>
        <w:t>, applying a grant or contribution model by analogy to Subtopic 958-605,</w:t>
      </w:r>
      <w:r>
        <w:rPr>
          <w:rFonts w:ascii="Times New Roman" w:cs="Times New Roman" w:eastAsia="Times New Roman" w:hAnsi="Times New Roman"/>
          <w:sz w:val="17"/>
          <w:szCs w:val="17"/>
          <w:i w:val="1"/>
          <w:iCs w:val="1"/>
          <w:color w:val="auto"/>
        </w:rPr>
        <w:t xml:space="preserve"> Not-for-Profit Entities-Revenue Recognition</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No. 2020-06, </w:t>
      </w:r>
      <w:r>
        <w:rPr>
          <w:rFonts w:ascii="Times New Roman" w:cs="Times New Roman" w:eastAsia="Times New Roman" w:hAnsi="Times New Roman"/>
          <w:sz w:val="18"/>
          <w:szCs w:val="18"/>
          <w:i w:val="1"/>
          <w:iCs w:val="1"/>
          <w:color w:val="auto"/>
        </w:rPr>
        <w:t>Debt – 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simplifies the accounting for convertible debt instruments 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was effective for the Company on January 1, 2024. There was no impact on the consolidated financial statements upon adoption of this standard on January 1, 2024.</w:t>
      </w:r>
    </w:p>
    <w:p>
      <w:pPr>
        <w:spacing w:after="0" w:line="29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improves the disclosures about a public entity’s reportable segments and addresses requests from investors for additional, more detailed information about a reportable segment’s expenses. Specifically, it requires that a public entity: 1) disclose, on an annual and interim basis, significant segment expenses that are regularly provided to the chief operating decision maker (CODM) and included within each reported measure of segment profit or loss, 2)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provide all annual disclosures about a reportable segment’s profit or loss and assets currently required by Topic 280 in interim periods, and 4) disclose the title and position of the CODM and an explanation of how the CODM uses the reported measure(s) of segment profit or loss in assessing segment performance and deciding how to allocate resources. The ASU also requires a public entity that has a single reportable segment to provide all the disclosures required by the amendments in this ASU and all existing segment disclosures in Topic 280. Further, the ASU clarifies that if the CODM uses more than one measure of a segment’s profit or loss in assessing segment performance and deciding how to allocate resources, a public entity may report one or more of those additional measures. However, at least one of the reported segment profit or loss measures should be the measure that is most consistent with the measurement principles used in measuring the corresponding amounts in the public entity’s consolidated financial statements. The amendments are effective for all public entities that are required to report segment information for fiscal years beginning after December 15, 2023 and interim periods beginning after December 15, 2024. Early adoption is permitted. The amendments should be applied retrospectively to all prior periods presented. The Company is currently evaluating the potential impact that this standard will have on its consolidated financial statements and related disclosures.</w:t>
      </w:r>
    </w:p>
    <w:p>
      <w:pPr>
        <w:spacing w:after="0" w:line="19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1" w:name="page12"/>
    <w:bookmarkEnd w:id="11"/>
    <w:p>
      <w:pPr>
        <w:ind w:right="180"/>
        <w:spacing w:after="0" w:line="313" w:lineRule="auto"/>
        <w:rPr>
          <w:sz w:val="20"/>
          <w:szCs w:val="20"/>
          <w:color w:val="auto"/>
        </w:rPr>
      </w:pPr>
      <w:r>
        <w:rPr>
          <w:rFonts w:ascii="Times New Roman" w:cs="Times New Roman" w:eastAsia="Times New Roman" w:hAnsi="Times New Roman"/>
          <w:sz w:val="18"/>
          <w:szCs w:val="18"/>
          <w:color w:val="auto"/>
        </w:rPr>
        <w:t>enhances an asset controlled by the customer; 3) the vendor’s performance does not create an asset for which the vendor has an alternative use; and 4) the vendor has an enforceable right to payment for performance completed to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9"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85" w:lineRule="exact"/>
        <w:rPr>
          <w:sz w:val="20"/>
          <w:szCs w:val="20"/>
          <w:color w:val="auto"/>
        </w:rPr>
      </w:pPr>
    </w:p>
    <w:p>
      <w:pPr>
        <w:ind w:left="1340" w:right="720" w:hanging="742"/>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Level 2:</w:t>
        <w:tab/>
        <w:t>Inputs are quoted prices for similar items in active markets or quoted prices for identical or similar items in markets that are not active near the measurement date; and</w:t>
      </w:r>
    </w:p>
    <w:p>
      <w:pPr>
        <w:spacing w:after="0" w:line="121"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due to little or no market data, which require the reporting entity to develop its own assumptions.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June 30, 2024 and December 31, 2023,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20,980,327</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20,980,327</w:t>
            </w:r>
          </w:p>
        </w:tc>
        <w:tc>
          <w:tcPr>
            <w:tcW w:w="6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has an initial lease term of 12 months ending May 2025 with an option to extend for an additional two months, after which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exercise, discounted using the estimated incremental borrowing rate of 6.95%, which is the interest rate that the Company would have to pay to borrow on a collateralized basis over a similar term for an amount equal to the lease payments at initial commencement. The real estate operating leases are included in "Right-of-use asset” on the Company's balance sheets and represents the Company’s right to use the underlying assets for the lease term. The Company’s obligation to make lease payments are included in "Operating lease liability" and "Other non-current liabilities" on the Company's balance sheets.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60" w:type="dxa"/>
            <w:vAlign w:val="bottom"/>
            <w:gridSpan w:val="9"/>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320" w:type="dxa"/>
            <w:vAlign w:val="bottom"/>
            <w:vMerge w:val="continue"/>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64,239</w:t>
            </w:r>
          </w:p>
        </w:tc>
        <w:tc>
          <w:tcPr>
            <w:tcW w:w="24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128,833</w:t>
            </w:r>
          </w:p>
        </w:tc>
        <w:tc>
          <w:tcPr>
            <w:tcW w:w="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62,122</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64,011</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125,301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190,047</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302,483</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492,530</w:t>
            </w:r>
          </w:p>
        </w:tc>
        <w:tc>
          <w:tcPr>
            <w:tcW w:w="2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626,586</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1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5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9.6 %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461"/>
        </w:trPr>
        <w:tc>
          <w:tcPr>
            <w:tcW w:w="5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were as follows: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minimum payments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(64,497 )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492,530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-2211070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121"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milestone payments have been made under these agreements during the six months ended June 30, 2024 and 2023. For products currently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future potential milestone payments based on product development of MN-166 (ibudilast) and MN-001 (tipelukast) are $10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For all other products, future potential milestone payments related to development milestones and commercialization milestones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as of June 30, 2024. There are no minimum royalties required under any of the license agreements. The Company is unable to estimate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certainty the timing on when these milestone payments will occur as these payments are dependent upon the progress of the Company’s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programs.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20" w:firstLine="49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9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1,502,923 shares remain available for future grants under the 2023 Plan.</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June 30, 2024, there were a total of 1,100,000 shares underlying performance options that were subject to vesting based on achievement of corporate objectives for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or four year period. The exercise price of all options granted through June 30, 2024 and 2023, was equal to the fair market value of the Company’s common stock on the date of grant.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June 30, 2024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5"/>
                <w:szCs w:val="15"/>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7"/>
        </w:trPr>
        <w:tc>
          <w:tcPr>
            <w:tcW w:w="4420" w:type="dxa"/>
            <w:vAlign w:val="bottom"/>
          </w:tcPr>
          <w:p>
            <w:pPr>
              <w:spacing w:after="0"/>
              <w:rPr>
                <w:sz w:val="16"/>
                <w:szCs w:val="16"/>
                <w:color w:val="auto"/>
              </w:rPr>
            </w:pPr>
          </w:p>
        </w:tc>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260" w:type="dxa"/>
            <w:vAlign w:val="bottom"/>
          </w:tcPr>
          <w:p>
            <w:pPr>
              <w:spacing w:after="0"/>
              <w:rPr>
                <w:sz w:val="16"/>
                <w:szCs w:val="16"/>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7"/>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shd w:val="clear" w:color="auto" w:fill="CFF0FC"/>
          </w:tcPr>
          <w:p>
            <w:pPr>
              <w:spacing w:after="0"/>
              <w:rPr>
                <w:sz w:val="20"/>
                <w:szCs w:val="20"/>
                <w:color w:val="auto"/>
              </w:rPr>
            </w:pPr>
          </w:p>
        </w:tc>
      </w:tr>
      <w:tr>
        <w:trPr>
          <w:trHeight w:val="239"/>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20"/>
                <w:szCs w:val="20"/>
                <w:color w:val="auto"/>
              </w:rPr>
            </w:pPr>
          </w:p>
        </w:tc>
      </w:tr>
      <w:tr>
        <w:trPr>
          <w:trHeight w:val="247"/>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(450,105 )</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20"/>
                <w:szCs w:val="20"/>
                <w:color w:val="auto"/>
              </w:rPr>
            </w:pPr>
          </w:p>
        </w:tc>
      </w:tr>
      <w:tr>
        <w:trPr>
          <w:trHeight w:val="277"/>
        </w:trPr>
        <w:tc>
          <w:tcPr>
            <w:tcW w:w="44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8,431,644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00" w:type="dxa"/>
            <w:vAlign w:val="bottom"/>
            <w:tcBorders>
              <w:bottom w:val="single" w:sz="8" w:color="CFF0FC"/>
            </w:tcBorders>
            <w:shd w:val="clear" w:color="auto" w:fill="CFF0FC"/>
          </w:tcPr>
          <w:p>
            <w:pPr>
              <w:spacing w:after="0"/>
              <w:rPr>
                <w:sz w:val="24"/>
                <w:szCs w:val="24"/>
                <w:color w:val="auto"/>
              </w:rPr>
            </w:pPr>
          </w:p>
        </w:tc>
      </w:tr>
      <w:tr>
        <w:trPr>
          <w:trHeight w:val="223"/>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7,536,644</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-205105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-205105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period.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six months ended June 30, 2024 and 2023,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3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37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8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120,037</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160,218</w:t>
            </w:r>
          </w:p>
        </w:tc>
        <w:tc>
          <w:tcPr>
            <w:tcW w:w="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261,155</w:t>
            </w: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128,906</w:t>
            </w:r>
          </w:p>
        </w:tc>
        <w:tc>
          <w:tcPr>
            <w:tcW w:w="2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205,673</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262,667</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467,818</w:t>
            </w:r>
          </w:p>
        </w:tc>
        <w:tc>
          <w:tcPr>
            <w:tcW w:w="100" w:type="dxa"/>
            <w:vAlign w:val="bottom"/>
          </w:tcPr>
          <w:p>
            <w:pPr>
              <w:spacing w:after="0"/>
              <w:rPr>
                <w:sz w:val="20"/>
                <w:szCs w:val="20"/>
                <w:color w:val="auto"/>
              </w:rPr>
            </w:pPr>
          </w:p>
        </w:tc>
      </w:tr>
      <w:tr>
        <w:trPr>
          <w:trHeight w:val="27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207,455</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325,710</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422,885</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six months ended June 30, 2024 and 2023, and to estimate the fair value of performance-based stock options as of June 30,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40" w:type="dxa"/>
            <w:vAlign w:val="bottom"/>
            <w:tcBorders>
              <w:bottom w:val="single" w:sz="8" w:color="auto"/>
            </w:tcBorders>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1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- 4.41%</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- 4.13%</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- 74.05%</w:t>
            </w:r>
          </w:p>
        </w:tc>
        <w:tc>
          <w:tcPr>
            <w:tcW w:w="2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- 77.96%</w:t>
            </w: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0.00%</w:t>
            </w:r>
          </w:p>
        </w:tc>
        <w:tc>
          <w:tcPr>
            <w:tcW w:w="3680" w:type="dxa"/>
            <w:vAlign w:val="bottom"/>
            <w:gridSpan w:val="4"/>
          </w:tcPr>
          <w:p>
            <w:pPr>
              <w:jc w:val="center"/>
              <w:ind w:left="814"/>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gridSpan w:val="2"/>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5.30 - 5.77</w:t>
            </w:r>
          </w:p>
        </w:tc>
        <w:tc>
          <w:tcPr>
            <w:tcW w:w="3680" w:type="dxa"/>
            <w:vAlign w:val="bottom"/>
            <w:gridSpan w:val="4"/>
            <w:shd w:val="clear" w:color="auto" w:fill="CFF0FC"/>
          </w:tcPr>
          <w:p>
            <w:pPr>
              <w:jc w:val="center"/>
              <w:ind w:left="814"/>
              <w:spacing w:after="0"/>
              <w:rPr>
                <w:sz w:val="20"/>
                <w:szCs w:val="20"/>
                <w:color w:val="auto"/>
              </w:rPr>
            </w:pPr>
            <w:r>
              <w:rPr>
                <w:rFonts w:ascii="Times New Roman" w:cs="Times New Roman" w:eastAsia="Times New Roman" w:hAnsi="Times New Roman"/>
                <w:sz w:val="18"/>
                <w:szCs w:val="18"/>
                <w:color w:val="auto"/>
                <w:w w:val="99"/>
              </w:rPr>
              <w:t>5.13 - 5.38</w:t>
            </w:r>
          </w:p>
        </w:tc>
      </w:tr>
    </w:tbl>
    <w:p>
      <w:pPr>
        <w:spacing w:after="0" w:line="26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there was $0.4 million of unamortized compensation cost related to unvested stock option awards which is expected to be recognized over a remaining weighted-average vesting period of 0.63 years, on a straight-line basis. Such compensation cost will ultimately be adjusted based upon actual performance compared to the corporate objectives as described above.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six months ended June 30, 2024 and 2023, estimated as of the grant date using the Black-Scholes option valuation model, was $0.99 and $1.60 per option,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 and Private Placement Transactions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six months ended June 30,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stock options excluded from diluted net loss per common share due to their anti-dilutive effect totaled 8,431,644 shares for the three and six months ended June 30, 2024 and 8,286,416 shares for the three and six months ended June 30, 2023.</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6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2023 included in our Annual Report on Form 10-K, as filed with the Securities and Exchange Commission (SEC) on February 15, 2024 (Annual Report on Form 10-K). Past operating results are not necessarily indicative of results that may occur in future periods.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8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June 30, 2024, from inception, our accumulated deficit was $421.1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85" w:lineRule="exact"/>
        <w:rPr>
          <w:sz w:val="20"/>
          <w:szCs w:val="20"/>
          <w:color w:val="auto"/>
        </w:rPr>
      </w:pPr>
    </w:p>
    <w:p>
      <w:pPr>
        <w:ind w:right="420" w:firstLine="45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20" w:hanging="50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32" w:lineRule="exact"/>
        <w:rPr>
          <w:rFonts w:ascii="Times New Roman" w:cs="Times New Roman" w:eastAsia="Times New Roman" w:hAnsi="Times New Roman"/>
          <w:sz w:val="18"/>
          <w:szCs w:val="18"/>
          <w:color w:val="auto"/>
        </w:rPr>
      </w:pPr>
    </w:p>
    <w:p>
      <w:pPr>
        <w:jc w:val="both"/>
        <w:ind w:left="102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65" w:lineRule="exact"/>
        <w:rPr>
          <w:rFonts w:ascii="Times New Roman" w:cs="Times New Roman" w:eastAsia="Times New Roman" w:hAnsi="Times New Roman"/>
          <w:sz w:val="18"/>
          <w:szCs w:val="18"/>
          <w:color w:val="auto"/>
        </w:rPr>
      </w:pPr>
    </w:p>
    <w:p>
      <w:pPr>
        <w:ind w:left="1040" w:hanging="56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2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51" w:lineRule="exact"/>
        <w:rPr>
          <w:rFonts w:ascii="Times New Roman" w:cs="Times New Roman" w:eastAsia="Times New Roman" w:hAnsi="Times New Roman"/>
          <w:sz w:val="18"/>
          <w:szCs w:val="18"/>
          <w:color w:val="auto"/>
        </w:rPr>
      </w:pPr>
    </w:p>
    <w:p>
      <w:pPr>
        <w:ind w:left="1020" w:right="400" w:hanging="503"/>
        <w:spacing w:after="0" w:line="284"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jc w:val="both"/>
        <w:ind w:left="102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and the Macroeconomic Environment on Our Business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recent COVID-19 pandemic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continued with routine clinical trial activities including executing new clinical trial agreements, negotiating budgets, institutional review board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pandemic created certain opportunities for our clinical development and we have pursued those opportunities. Following the outbreak of the pandemic, we designed a clinical trial to evaluate MN-166 (ibudilast) for prevention of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Recovering from COVID-19 Lingering Symptoms Adaptive Integrative Medicine Trial (the RECLAIM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p>
    <w:p>
      <w:pPr>
        <w:spacing w:after="0" w:line="18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possible effects on our financial condition, liquidity, operations, suppliers, industry, and workforce resulting from the recent pandemic and the macroeconomic environment. To the extent that there is a resurgence in the COVID-19 pandemic, or other health epidemics or outbreaks, our operations could be disrupted and our business adversely impacted.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certain global COVID-19 pandemic and government responses to the pandemic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2024 as our development programs progress.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8" w:name="page19"/>
    <w:bookmarkEnd w:id="18"/>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2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5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78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MN-221</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MN-166</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2,011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MN-001</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r>
      <w:tr>
        <w:trPr>
          <w:trHeight w:val="247"/>
        </w:trPr>
        <w:tc>
          <w:tcPr>
            <w:tcW w:w="55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MN-029</w:t>
            </w:r>
          </w:p>
        </w:tc>
        <w:tc>
          <w:tcPr>
            <w:tcW w:w="7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1,078</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personnel expense</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21"/>
                <w:szCs w:val="2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expenses</w:t>
            </w: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R&amp;D expense</w:t>
            </w: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r>
      <w:tr>
        <w:trPr>
          <w:trHeight w:val="277"/>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1,646</w:t>
            </w:r>
          </w:p>
        </w:tc>
        <w:tc>
          <w:tcPr>
            <w:tcW w:w="3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1,735</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3,428</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-968375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-968375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-968375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2023. There have not been any material changes to the critical accounting policies discussed therein during the six months ended June 30,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2023.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Research, development and patents expenses were $1.6 million and $1.7 million for the three months ended June 30, 2024 and 2023,</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respectively. The decrease of $0.1 million was primarily driven by a decrease in performance-based stock option expense and product liability insurance.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$1.4 million and $1.6 million for the three months ended June 30, 2024 and 2023, respectively. The decrease of $0.2 million was primarily driven by decreases in performance-based stock option expense and payroll costs from a reduction in headcount, partially offset by an increase in accounting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$0.4 million and $0.5 million for the three months ended June 30, 2024 and 2023, respectively. The decrease of $0.1 million was primarily driven by lower interest rates on available cash in 2024 compared to cash and bank certificates of deposit in 2023. Interest income consists of interest earned on our cash and cash equivalents and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Research, development and patents expenses were $3.4 million and $3.2 million for the six months ended June 30, 2024 and 2023, respectively. The increase of $0.2 million was primarily due to an increase in MN-166 manufacturing costs, partially offset by a decrease in performance-based stock option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$2.8 million and $3.1 million for the six months ended June 30, 2024 and 2023, respectively. The decrease of $0.3 million was primarily driven by a decrease in performance-based stock option expense partially offset by an increase in accounting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$0.8 million and $1.0 million for the six months ended June 30, 2024 and 2023, respectively. The decrease of $0.2 million was primarily driven by lower interest rates on available cash in 2024 compared to cash and bank certificates of deposit in 2023. Interest income consists of interest earned on our cash and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2024 was $6.7 million compared to $5.6 million during the same period in 2023. The $1.1 million change is primarily related to the increase in prepaid expenses, other assets, accounts payable and accrued liabilities for those periods.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2024 was $0.0 million compared to $39.9 million provided by during the same period in 2023 related to the disposal of certificates of deposit of $39.9 million during the six months ended June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had available cash and cash equivalents of $44.3 million and working capital of $43.0 million. As of the date of this report, we believe we have working capital sufficient to fund operations at least through the end of 2025. However, we cannot provide assurance that these capital resources will be sufficient to conduct all our research and development programs as planned.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and six months ended June 30, 2024 and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June 30, 2024.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none of our officers or directors, as defined in Rule 16a-1(f), informed us of the adoption or termination of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4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5"/>
          <w:szCs w:val="35"/>
          <w:color w:val="auto"/>
          <w:vertAlign w:val="subscript"/>
        </w:rPr>
        <w:t>10.1</w:t>
      </w:r>
      <w:r>
        <w:rPr>
          <w:rFonts w:ascii="Times New Roman" w:cs="Times New Roman" w:eastAsia="Times New Roman" w:hAnsi="Times New Roman"/>
          <w:sz w:val="12"/>
          <w:szCs w:val="12"/>
          <w:color w:val="auto"/>
        </w:rPr>
        <w:t>(1)+</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(1)</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2"/>
          <w:szCs w:val="22"/>
          <w:color w:val="auto"/>
          <w:vertAlign w:val="superscript"/>
        </w:rPr>
        <w:t>(1)</w:t>
      </w:r>
    </w:p>
    <w:p>
      <w:pPr>
        <w:ind w:left="20"/>
        <w:spacing w:after="0" w:line="234" w:lineRule="auto"/>
        <w:rPr>
          <w:sz w:val="20"/>
          <w:szCs w:val="20"/>
          <w:color w:val="auto"/>
        </w:rPr>
      </w:pPr>
      <w:r>
        <w:rPr>
          <w:rFonts w:ascii="Times New Roman" w:cs="Times New Roman" w:eastAsia="Times New Roman" w:hAnsi="Times New Roman"/>
          <w:sz w:val="35"/>
          <w:szCs w:val="35"/>
          <w:color w:val="auto"/>
          <w:vertAlign w:val="subscript"/>
        </w:rPr>
        <w:t>104</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Restated Certificate of Incorporation of the Registrant (incorporated by reference to Exhibit 3.1 of the Registrant’s Quarterly Report on</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Form 10-Q filed with the SEC on August 9, 2012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2058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058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3329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101"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Amended and Restated Bylaws of the Registrant (incorporated by reference to Exhibit 3.1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filed with the SEC on April 25, 2019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351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2757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Consulting Agreement, dated April 2, 2024, by and between the Registrant and Geoffrey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44411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444119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48044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480441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47161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471614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9315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93153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997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899785" cy="8255"/>
                    </a:xfrm>
                    <a:prstGeom prst="rect">
                      <a:avLst/>
                    </a:prstGeom>
                    <a:noFill/>
                  </pic:spPr>
                </pic:pic>
              </a:graphicData>
            </a:graphic>
          </wp:anchor>
        </w:drawing>
      </w:r>
    </w:p>
    <w:p>
      <w:pPr>
        <w:spacing w:after="0" w:line="1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6" w:lineRule="exact"/>
        <w:rPr>
          <w:sz w:val="20"/>
          <w:szCs w:val="20"/>
          <w:color w:val="auto"/>
        </w:rPr>
      </w:pPr>
    </w:p>
    <w:p>
      <w:pPr>
        <w:sectPr>
          <w:pgSz w:w="11900" w:h="16838" w:orient="portrait"/>
          <w:cols w:equalWidth="0" w:num="2">
            <w:col w:w="820" w:space="340"/>
            <w:col w:w="10060"/>
          </w:cols>
          <w:pgMar w:left="320" w:top="1305" w:right="359" w:bottom="1440" w:gutter="0" w:footer="0" w:header="0"/>
          <w:type w:val="continuous"/>
        </w:sectPr>
      </w:pPr>
    </w:p>
    <w:p>
      <w:pPr>
        <w:spacing w:after="0" w:line="3"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24" w:name="page25"/>
    <w:bookmarkEnd w:id="2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0" w:lineRule="exact"/>
        <w:rPr>
          <w:sz w:val="20"/>
          <w:szCs w:val="20"/>
          <w:color w:val="auto"/>
        </w:rPr>
      </w:pPr>
    </w:p>
    <w:p>
      <w:pPr>
        <w:ind w:left="20"/>
        <w:spacing w:after="0"/>
        <w:tabs>
          <w:tab w:leader="none" w:pos="6460" w:val="left"/>
          <w:tab w:leader="none" w:pos="8340" w:val="left"/>
          <w:tab w:leader="none" w:pos="87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820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76" w:lineRule="exact"/>
        <w:rPr>
          <w:sz w:val="20"/>
          <w:szCs w:val="20"/>
          <w:color w:val="auto"/>
        </w:rPr>
      </w:pPr>
    </w:p>
    <w:p>
      <w:pPr>
        <w:ind w:left="6480"/>
        <w:spacing w:after="0"/>
        <w:tabs>
          <w:tab w:leader="none" w:pos="8300" w:val="left"/>
          <w:tab w:leader="none" w:pos="8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820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5"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25" w:name="page26"/>
    <w:bookmarkEnd w:id="25"/>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April 2,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Geoffrey O’Brien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MEDICINOVA,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right="80" w:firstLine="1490"/>
        <w:spacing w:after="0" w:line="255" w:lineRule="auto"/>
        <w:tabs>
          <w:tab w:leader="none" w:pos="1927"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Services; Payment; No Violation of Rights or Obligations</w:t>
      </w:r>
      <w:r>
        <w:rPr>
          <w:rFonts w:ascii="Times New Roman" w:cs="Times New Roman" w:eastAsia="Times New Roman" w:hAnsi="Times New Roman"/>
          <w:sz w:val="18"/>
          <w:szCs w:val="18"/>
          <w:color w:val="auto"/>
        </w:rPr>
        <w:t xml:space="preserve">. Consultant agrees to undertake and complete the Services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accordance with and on the schedule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the only consideration due to Consultant regarding the subject matter of this Agreement, Company will pay Consultant as (and only as) expressly stated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Unless otherwise specifically agreed upon by Company in writing (and notwithstanding any other provision of this Agreement), all activity relating to Services will be performed by and only by Consultant. Consultant agrees that it will not (and will not permit others to) violate any agreement with or rights of any third party or, except as expressly authorized by Company in writing hereafter, use or disclose at any time Consultant’s own or any third party’s confidential information or intellectual property in connection with the Services or otherwise for or on behalf of Company.</w:t>
      </w:r>
    </w:p>
    <w:p>
      <w:pPr>
        <w:spacing w:after="0" w:line="188" w:lineRule="exact"/>
        <w:rPr>
          <w:rFonts w:ascii="Times New Roman" w:cs="Times New Roman" w:eastAsia="Times New Roman" w:hAnsi="Times New Roman"/>
          <w:sz w:val="18"/>
          <w:szCs w:val="18"/>
          <w:u w:val="single" w:color="auto"/>
          <w:color w:val="auto"/>
        </w:rPr>
      </w:pPr>
    </w:p>
    <w:p>
      <w:pPr>
        <w:ind w:left="2240" w:hanging="750"/>
        <w:spacing w:after="0"/>
        <w:tabs>
          <w:tab w:leader="none" w:pos="2240"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Ownership; Rights; Proprietary Information; Publicity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jc w:val="both"/>
        <w:ind w:right="80" w:firstLine="2239"/>
        <w:spacing w:after="0" w:line="253" w:lineRule="auto"/>
        <w:tabs>
          <w:tab w:leader="none" w:pos="24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shall own all right, title and interest (including patent rights, copyrights, trade secret rights, mask work rights, trademark rights, </w:t>
      </w:r>
      <w:r>
        <w:rPr>
          <w:rFonts w:ascii="Times New Roman" w:cs="Times New Roman" w:eastAsia="Times New Roman" w:hAnsi="Times New Roman"/>
          <w:sz w:val="18"/>
          <w:szCs w:val="18"/>
          <w:i w:val="1"/>
          <w:iCs w:val="1"/>
          <w:color w:val="auto"/>
        </w:rPr>
        <w:t>sui generis</w:t>
      </w:r>
      <w:r>
        <w:rPr>
          <w:rFonts w:ascii="Times New Roman" w:cs="Times New Roman" w:eastAsia="Times New Roman" w:hAnsi="Times New Roman"/>
          <w:sz w:val="18"/>
          <w:szCs w:val="18"/>
          <w:color w:val="auto"/>
        </w:rPr>
        <w:t xml:space="preserve"> database rights and all other intellectual property rights of any sort throughout the world) relating to any and all inventions (whether or not patentable), works of authorship, mask works, designations, designs, know-how, ideas and information made or conceived or reduced to practice, in whole or in part, by or for or on behalf of Consultant in connection with the Services or any Proprietary Information (as defined below)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xml:space="preserve">”) and Consultant will promptly disclose and provide all Inventions to Company. Consultant hereby makes all assignments necessary to accomplish the foregoing ownership; provided that no assignment is made that extends beyond what would be allowed under California Labor Code Section 2870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Consultant was an employee of Company. Consultant shall assist Company, at Company’s expense, to further evidence, record and perfect such assignments, and to perfect, obtain, maintain, enforce and defend any rights assigned. Consultant hereby irrevocably designates and appoints Company as its agents and attorneys-in-fact, coupled with an interest, to act for and on Consultant’s behalf to execute and file any document and to do all other lawfully permitted acts to further the foregoing with the same legal force and effect as if executed by Consultant and all other creators or owners of the applicable Invention.</w:t>
      </w:r>
    </w:p>
    <w:p>
      <w:pPr>
        <w:spacing w:after="0" w:line="191" w:lineRule="exact"/>
        <w:rPr>
          <w:rFonts w:ascii="Times New Roman" w:cs="Times New Roman" w:eastAsia="Times New Roman" w:hAnsi="Times New Roman"/>
          <w:sz w:val="18"/>
          <w:szCs w:val="18"/>
          <w:color w:val="auto"/>
        </w:rPr>
      </w:pPr>
    </w:p>
    <w:p>
      <w:pPr>
        <w:jc w:val="both"/>
        <w:ind w:right="80" w:firstLine="2239"/>
        <w:spacing w:after="0" w:line="253" w:lineRule="auto"/>
        <w:tabs>
          <w:tab w:leader="none" w:pos="24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agrees that all Inventions and all other business, technical and financial information (including, without limitation, the identity of and information relating to customers or employees) developed, learned or obtained by or for or on behalf of Consultant during the period that Consultant is to be providing the Services that relate to Company or the business or demonstrably anticipated business of Company or in connection with the Services or that are received by or for Company in confidence, constitute “</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Consultant shall hold in confidence and not disclose or, except in performing the Services, use any Proprietary Information. However, Consultant shall not be obligated under this paragraph with respect to information Consultant can document is or becomes readily publicly available without restriction through no fault of Consultant. Upon termination or as otherwise requested by Company, Consultant will promptly provide to Company all items and copies containing or embodying Proprietary Information, except that Consultant may keep its personal copies of its compensation records and this Agreement. Consultant also recognizes and agrees that Consultant has no expectation of privacy with respect to Company’s telecommunications, networking or information processing systems (including, without limitation, stored computer files, email messages and voice messages) and that Consultant’s activity, and any files or messages, on or using any of those systems may be monitored at any time without notice.</w:t>
      </w:r>
    </w:p>
    <w:p>
      <w:pPr>
        <w:spacing w:after="0" w:line="191" w:lineRule="exact"/>
        <w:rPr>
          <w:rFonts w:ascii="Times New Roman" w:cs="Times New Roman" w:eastAsia="Times New Roman" w:hAnsi="Times New Roman"/>
          <w:sz w:val="18"/>
          <w:szCs w:val="18"/>
          <w:color w:val="auto"/>
        </w:rPr>
      </w:pPr>
    </w:p>
    <w:p>
      <w:pPr>
        <w:jc w:val="both"/>
        <w:ind w:right="80" w:firstLine="2239"/>
        <w:spacing w:after="0" w:line="266" w:lineRule="auto"/>
        <w:tabs>
          <w:tab w:leader="none" w:pos="24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additional protection for Proprietary Information, Consultant agrees that during the period over which it is to be providing the Services Consultant will not directly or indirectly encourage or solicit any employee or consultant of Company to leave Company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744855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400" w:right="379" w:bottom="1440" w:gutter="0" w:footer="0" w:header="0"/>
        </w:sectPr>
      </w:pPr>
    </w:p>
    <w:bookmarkStart w:id="26" w:name="page27"/>
    <w:bookmarkEnd w:id="26"/>
    <w:p>
      <w:pPr>
        <w:spacing w:after="0" w:line="99" w:lineRule="exact"/>
        <w:rPr>
          <w:sz w:val="20"/>
          <w:szCs w:val="20"/>
          <w:color w:val="auto"/>
        </w:rPr>
      </w:pPr>
    </w:p>
    <w:p>
      <w:pPr>
        <w:jc w:val="both"/>
        <w:ind w:left="60" w:firstLine="2246"/>
        <w:spacing w:after="0" w:line="256" w:lineRule="auto"/>
        <w:rPr>
          <w:sz w:val="20"/>
          <w:szCs w:val="20"/>
          <w:color w:val="auto"/>
        </w:rPr>
      </w:pPr>
      <w:r>
        <w:rPr>
          <w:rFonts w:ascii="Times New Roman" w:cs="Times New Roman" w:eastAsia="Times New Roman" w:hAnsi="Times New Roman"/>
          <w:sz w:val="18"/>
          <w:szCs w:val="18"/>
          <w:color w:val="auto"/>
        </w:rPr>
        <w:t>d. To the extent allowed by law, Section 2.a and any license granted Company hereunder includes all rights of paternity, integrity, disclosure and withdrawal and any other rights that may be known as or referred to as “moral rights,” “artist’s rights,” “droit moral,” or the like. To the extent any of the foregoing is ineffective under applicable law, Consultant hereby provides any and all ratifications and consents necessary to accomplish the purposes of the foregoing to the extent possible. Consultant will confirm any such ratifications and consents from time to time as requested by Company. If any other person is in any way involved in any Services, Consultant will obtain the foregoing ratifications, consents and authorizations from such person for Company’s exclusive benefit.</w:t>
      </w:r>
    </w:p>
    <w:p>
      <w:pPr>
        <w:spacing w:after="0" w:line="187" w:lineRule="exact"/>
        <w:rPr>
          <w:sz w:val="20"/>
          <w:szCs w:val="20"/>
          <w:color w:val="auto"/>
        </w:rPr>
      </w:pPr>
    </w:p>
    <w:p>
      <w:pPr>
        <w:jc w:val="both"/>
        <w:ind w:left="60" w:firstLine="2246"/>
        <w:spacing w:after="0" w:line="255" w:lineRule="auto"/>
        <w:rPr>
          <w:sz w:val="20"/>
          <w:szCs w:val="20"/>
          <w:color w:val="auto"/>
        </w:rPr>
      </w:pPr>
      <w:r>
        <w:rPr>
          <w:rFonts w:ascii="Times New Roman" w:cs="Times New Roman" w:eastAsia="Times New Roman" w:hAnsi="Times New Roman"/>
          <w:sz w:val="18"/>
          <w:szCs w:val="18"/>
          <w:color w:val="auto"/>
        </w:rPr>
        <w:t>e. If any part of the Services or Inventions or information provided hereunder is based on, incorporates, or is an improvement or derivative of, or cannot be reasonably and fully made, used, reproduced, distributed and otherwise exploited without using or violating technology or intellectual property rights owned by or licensed to Consultant (or any person involved in the Services) and not assigned hereunder, Consultant hereby grants Company and its successors a perpetual, irrevocable, worldwide royalty-free, non-exclusive, sublicensable right and license to exploit and exercise all such technology and intellectual property rights in support of Company’s exercise or exploitation of the Services, Inventions, other work or information performed or provided hereunder, or any assigned rights (including any modifications, improvements and derivatives of any of them).</w:t>
      </w:r>
    </w:p>
    <w:p>
      <w:pPr>
        <w:spacing w:after="0" w:line="189" w:lineRule="exact"/>
        <w:rPr>
          <w:sz w:val="20"/>
          <w:szCs w:val="20"/>
          <w:color w:val="auto"/>
        </w:rPr>
      </w:pPr>
    </w:p>
    <w:p>
      <w:pPr>
        <w:jc w:val="both"/>
        <w:ind w:left="60" w:firstLine="1490"/>
        <w:spacing w:after="0" w:line="253" w:lineRule="auto"/>
        <w:tabs>
          <w:tab w:leader="none" w:pos="1987" w:val="left"/>
        </w:tabs>
        <w:numPr>
          <w:ilvl w:val="1"/>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Warranties and Other Obligations</w:t>
      </w:r>
      <w:r>
        <w:rPr>
          <w:rFonts w:ascii="Times New Roman" w:cs="Times New Roman" w:eastAsia="Times New Roman" w:hAnsi="Times New Roman"/>
          <w:sz w:val="18"/>
          <w:szCs w:val="18"/>
          <w:color w:val="auto"/>
        </w:rPr>
        <w:t>. Consultant represents, warrants and covenants that: (i) the Services will be performed in a professional and workmanlike manner 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and rights provided for herein (and has written enforceable agreements with all persons necessary to give it the rights to do the foregoing and otherwise fully perform this Agreement; (iv) Consultant shall comply with all applicable laws and Company safety rules in the course of performing the Services; and</w:t>
      </w:r>
    </w:p>
    <w:p>
      <w:pPr>
        <w:spacing w:after="0" w:line="2" w:lineRule="exact"/>
        <w:rPr>
          <w:rFonts w:ascii="Times New Roman" w:cs="Times New Roman" w:eastAsia="Times New Roman" w:hAnsi="Times New Roman"/>
          <w:sz w:val="18"/>
          <w:szCs w:val="18"/>
          <w:u w:val="single" w:color="auto"/>
          <w:color w:val="auto"/>
        </w:rPr>
      </w:pPr>
    </w:p>
    <w:p>
      <w:pPr>
        <w:ind w:left="300" w:hanging="247"/>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Consultant’s work requires a license, Consultant has obtained that license and the license is in full force and effect.</w:t>
      </w:r>
    </w:p>
    <w:p>
      <w:pPr>
        <w:spacing w:after="0" w:line="206" w:lineRule="exact"/>
        <w:rPr>
          <w:rFonts w:ascii="Times New Roman" w:cs="Times New Roman" w:eastAsia="Times New Roman" w:hAnsi="Times New Roman"/>
          <w:sz w:val="18"/>
          <w:szCs w:val="18"/>
          <w:color w:val="auto"/>
        </w:rPr>
      </w:pPr>
    </w:p>
    <w:p>
      <w:pPr>
        <w:jc w:val="both"/>
        <w:ind w:left="60" w:firstLine="1490"/>
        <w:spacing w:after="0" w:line="261" w:lineRule="auto"/>
        <w:tabs>
          <w:tab w:leader="none" w:pos="1987" w:val="left"/>
        </w:tabs>
        <w:numPr>
          <w:ilvl w:val="1"/>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Either party may terminate this Agreement at any time, for any reason, by giving the other party 10 days’ notice. Sections 2 (subject to the limitations set forth in Section 2.c) through 9 of this Agreement and any remedies for breach of this Agreement shall survive any termination or expiration. Company may communicate the obligations contained in this Agreement to any other (or potential) client or employer of Consultant.</w:t>
      </w:r>
    </w:p>
    <w:p>
      <w:pPr>
        <w:spacing w:after="0" w:line="179" w:lineRule="exact"/>
        <w:rPr>
          <w:rFonts w:ascii="Times New Roman" w:cs="Times New Roman" w:eastAsia="Times New Roman" w:hAnsi="Times New Roman"/>
          <w:sz w:val="18"/>
          <w:szCs w:val="18"/>
          <w:u w:val="single" w:color="auto"/>
          <w:color w:val="auto"/>
        </w:rPr>
      </w:pPr>
    </w:p>
    <w:p>
      <w:pPr>
        <w:jc w:val="both"/>
        <w:ind w:left="60" w:firstLine="1490"/>
        <w:spacing w:after="0" w:line="273" w:lineRule="auto"/>
        <w:tabs>
          <w:tab w:leader="none" w:pos="1987" w:val="left"/>
        </w:tabs>
        <w:numPr>
          <w:ilvl w:val="1"/>
          <w:numId w:val="1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Relationship of the Parties; Independent Contractor; No Employee Benefits</w:t>
      </w:r>
      <w:r>
        <w:rPr>
          <w:rFonts w:ascii="Times New Roman" w:cs="Times New Roman" w:eastAsia="Times New Roman" w:hAnsi="Times New Roman"/>
          <w:sz w:val="17"/>
          <w:szCs w:val="17"/>
          <w:color w:val="auto"/>
        </w:rPr>
        <w:t>. Consultant is an independent contractor (not an employee or other agent) solely responsible for the manner and hours in which the Services are performed, is solely responsible for all taxes, withholdings and other statutory, regulatory or contractual obligations of any sort (including, but not limited to, those relating to workers’ compensation, disability insurance, Social Security, unemployment compensation coverage, the Fair Labor Standards Act, income taxes, etc.), and is not entitled to participate in any employee benefit plans, fringe benefit programs, group insurance arrangements or similar programs of Company. Consultant will ensure that its employees, contractors and others involved in the Services, if any, are bound in writing to the foregoing, and to all of Consultant’s obligations under any provision of this Agreement, for Company’s benefit and Consultant will be responsible for any noncompliance by them.</w:t>
      </w:r>
    </w:p>
    <w:p>
      <w:pPr>
        <w:spacing w:after="0" w:line="171" w:lineRule="exact"/>
        <w:rPr>
          <w:rFonts w:ascii="Times New Roman" w:cs="Times New Roman" w:eastAsia="Times New Roman" w:hAnsi="Times New Roman"/>
          <w:sz w:val="17"/>
          <w:szCs w:val="17"/>
          <w:u w:val="single" w:color="auto"/>
          <w:color w:val="auto"/>
        </w:rPr>
      </w:pPr>
    </w:p>
    <w:p>
      <w:pPr>
        <w:jc w:val="both"/>
        <w:ind w:left="60" w:firstLine="1490"/>
        <w:spacing w:after="0" w:line="266" w:lineRule="auto"/>
        <w:tabs>
          <w:tab w:leader="none" w:pos="1987" w:val="left"/>
        </w:tabs>
        <w:numPr>
          <w:ilvl w:val="1"/>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the services contemplated hereunder are personal to Consultant and Consultant shall not have the right or ability to assign, transfer or subcontract any rights or obligations under this Agreement without the written consent of Company. Any attempt to do so shall be void. Company may fully assign and transfer this Agreement in whole or part.</w:t>
      </w:r>
    </w:p>
    <w:p>
      <w:pPr>
        <w:spacing w:after="0" w:line="175" w:lineRule="exact"/>
        <w:rPr>
          <w:rFonts w:ascii="Times New Roman" w:cs="Times New Roman" w:eastAsia="Times New Roman" w:hAnsi="Times New Roman"/>
          <w:sz w:val="18"/>
          <w:szCs w:val="18"/>
          <w:u w:val="single" w:color="auto"/>
          <w:color w:val="auto"/>
        </w:rPr>
      </w:pPr>
    </w:p>
    <w:p>
      <w:pPr>
        <w:jc w:val="both"/>
        <w:ind w:left="60" w:firstLine="1490"/>
        <w:spacing w:after="0" w:line="261" w:lineRule="auto"/>
        <w:tabs>
          <w:tab w:leader="none" w:pos="1987" w:val="left"/>
        </w:tabs>
        <w:numPr>
          <w:ilvl w:val="1"/>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under this Agreement shall be in writing and shall be deemed given (a) when personally delivered, (b) when sent by electronic mail to the address set forth below on Consultant’s signature page hereto, as updated from time to time by notice to the Company or (c) when delivery is confirmed electronically with a tracking number by prepaid certified or registered U.S. mail to the address of the party to be noticed as set forth herein or to such other address as such party last provided to the other by written notice.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7" w:name="page28"/>
    <w:bookmarkEnd w:id="27"/>
    <w:p>
      <w:pPr>
        <w:spacing w:after="0" w:line="99" w:lineRule="exact"/>
        <w:rPr>
          <w:sz w:val="20"/>
          <w:szCs w:val="20"/>
          <w:color w:val="auto"/>
        </w:rPr>
      </w:pPr>
    </w:p>
    <w:p>
      <w:pPr>
        <w:jc w:val="both"/>
        <w:ind w:left="60" w:firstLine="1490"/>
        <w:spacing w:after="0" w:line="253" w:lineRule="auto"/>
        <w:tabs>
          <w:tab w:leader="none" w:pos="1987"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Any breach of Section 2 or 3 will cause irreparable harm to Company for which damages would not be an adequate remedy, and therefore, Company will be entitled to injunctive relief with respect thereto in addition to any other remedies. The failure of either party to enforce its rights under this Agreement at any time for any period shall not be construed as a waiver of such rights. Other than that certain Indemnity Agreement by and between the Company and Consultant dated October 15, 2013, this Agreement represents the entire understanding between the parties with respect to the subject matter hereof to the exclusion of all other terms and conditions, and no changes, additions, modifications or waivers to this Agreement will be effective unless in writing and signed by both parties. In the event that any provision of this Agreement shall be determined to be illegal or unenforceable, that provision will be limited or eliminated to the minimum extent necessary so that this Agreement shall otherwise remain in full force and effect and enforceable. This Agreement shall be governed by and construed in accordance with the laws of the State of California without regard to the conflicts of laws provisions thereof. Headings herein are for convenience of reference only and shall in no way affect interpretation of the Agreement.</w:t>
      </w:r>
    </w:p>
    <w:p>
      <w:pPr>
        <w:spacing w:after="0" w:line="194" w:lineRule="exact"/>
        <w:rPr>
          <w:rFonts w:ascii="Times New Roman" w:cs="Times New Roman" w:eastAsia="Times New Roman" w:hAnsi="Times New Roman"/>
          <w:sz w:val="18"/>
          <w:szCs w:val="18"/>
          <w:u w:val="single" w:color="auto"/>
          <w:color w:val="auto"/>
        </w:rPr>
      </w:pPr>
    </w:p>
    <w:p>
      <w:pPr>
        <w:jc w:val="both"/>
        <w:ind w:left="60" w:firstLine="1490"/>
        <w:spacing w:after="0" w:line="256" w:lineRule="auto"/>
        <w:tabs>
          <w:tab w:leader="none" w:pos="1987"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or claim (except those regarding Inventions, Proprietary Information or intellEx-10.1ectual property) arising out of or relating to this Agreement, or the breach thereof, shall be settled by arbitration in accordance with the Commercial Arbitration Rules of the American Arbitration Association, and judgment on the award rendered by the arbitrator may be entered in any court having jurisdiction thereof, provided however, that each party will have a right to seek injunctive or other equitable relief in a court of law. The prevailing party will be that party who may be fairly said by the arbitrator(s) to have prevailed on the major disputed issues. Consultant hereby consents to the arbitration in the State of California in the county of San Diego.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28" w:name="page29"/>
    <w:bookmarkEnd w:id="28"/>
    <w:p>
      <w:pPr>
        <w:spacing w:after="0" w:line="99"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NOTICE: This agreement does not affect any immunity under 18 USC Sections 1833(b) (1) or (2), which read as follows (note that for purposes of this statute only, individuals performing work as contractors or consultants are considered to be employees):</w:t>
      </w:r>
    </w:p>
    <w:p>
      <w:pPr>
        <w:spacing w:after="0" w:line="162" w:lineRule="exact"/>
        <w:rPr>
          <w:sz w:val="20"/>
          <w:szCs w:val="20"/>
          <w:color w:val="auto"/>
        </w:rPr>
      </w:pPr>
    </w:p>
    <w:p>
      <w:pPr>
        <w:jc w:val="both"/>
        <w:ind w:left="840" w:right="780"/>
        <w:spacing w:after="0" w:line="261" w:lineRule="auto"/>
        <w:rPr>
          <w:sz w:val="20"/>
          <w:szCs w:val="20"/>
          <w:color w:val="auto"/>
        </w:rPr>
      </w:pPr>
      <w:r>
        <w:rPr>
          <w:rFonts w:ascii="Times New Roman" w:cs="Times New Roman" w:eastAsia="Times New Roman" w:hAnsi="Times New Roman"/>
          <w:sz w:val="18"/>
          <w:szCs w:val="18"/>
          <w:color w:val="auto"/>
        </w:rPr>
        <w:t>(1)An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0" w:lineRule="exact"/>
        <w:rPr>
          <w:sz w:val="20"/>
          <w:szCs w:val="20"/>
          <w:color w:val="auto"/>
        </w:rPr>
      </w:pPr>
    </w:p>
    <w:p>
      <w:pPr>
        <w:jc w:val="both"/>
        <w:ind w:left="800" w:right="800"/>
        <w:spacing w:after="0" w:line="266" w:lineRule="auto"/>
        <w:rPr>
          <w:sz w:val="20"/>
          <w:szCs w:val="20"/>
          <w:color w:val="auto"/>
        </w:rPr>
      </w:pPr>
      <w:r>
        <w:rPr>
          <w:rFonts w:ascii="Times New Roman" w:cs="Times New Roman" w:eastAsia="Times New Roman" w:hAnsi="Times New Roman"/>
          <w:sz w:val="18"/>
          <w:szCs w:val="18"/>
          <w:color w:val="auto"/>
        </w:rPr>
        <w:t>(2)An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80" w:top="1440" w:right="479" w:bottom="1440" w:gutter="0" w:footer="0" w:header="0"/>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Consultant shall perform the following services for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to be mutually agreed upon by the Company’s Chief Executive Officer and Consultant from time to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FEES/EXPENSES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pay Consultant at a rate of $800.00 per hour, payable monthly in arrears.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O’Brien (you) was granted one or more stock options (each,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shares of the Company’s common stock (the</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under the Company’s 2013 Equity Incentive Plan, as amended (the “</w:t>
      </w:r>
      <w:r>
        <w:rPr>
          <w:rFonts w:ascii="Times New Roman" w:cs="Times New Roman" w:eastAsia="Times New Roman" w:hAnsi="Times New Roman"/>
          <w:sz w:val="18"/>
          <w:szCs w:val="18"/>
          <w:b w:val="1"/>
          <w:bCs w:val="1"/>
          <w:color w:val="auto"/>
        </w:rPr>
        <w:t>2013 Plan</w:t>
      </w:r>
      <w:r>
        <w:rPr>
          <w:rFonts w:ascii="Times New Roman" w:cs="Times New Roman" w:eastAsia="Times New Roman" w:hAnsi="Times New Roman"/>
          <w:sz w:val="18"/>
          <w:szCs w:val="18"/>
          <w:color w:val="auto"/>
        </w:rPr>
        <w:t>”) and the Company’s 2023 Equity Incentive Plan (the “</w:t>
      </w: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18"/>
          <w:szCs w:val="18"/>
          <w:color w:val="auto"/>
        </w:rPr>
        <w:t>”). For the avoidance of doubt, (i) pursuant to the applicable notice of stock option grants and stock option agreements (collectively, the “</w:t>
      </w:r>
      <w:r>
        <w:rPr>
          <w:rFonts w:ascii="Times New Roman" w:cs="Times New Roman" w:eastAsia="Times New Roman" w:hAnsi="Times New Roman"/>
          <w:sz w:val="18"/>
          <w:szCs w:val="18"/>
          <w:b w:val="1"/>
          <w:bCs w:val="1"/>
          <w:color w:val="auto"/>
        </w:rPr>
        <w:t>Stock Option Agreements</w:t>
      </w:r>
      <w:r>
        <w:rPr>
          <w:rFonts w:ascii="Times New Roman" w:cs="Times New Roman" w:eastAsia="Times New Roman" w:hAnsi="Times New Roman"/>
          <w:sz w:val="18"/>
          <w:szCs w:val="18"/>
          <w:color w:val="auto"/>
        </w:rPr>
        <w:t>”) between you and the Company, any shares subject to your Options that are vested and exercisable as of the Effective Date of this Agreement shall remain exercisable at any time until the date three months after the termination of this Agreement (and such shares to the extent unexercised will expire on such date) and (ii) any shares subject to your Options that were not vested and exercisable as of the Effective Date of this Agreement were forfeited and cancelled as of the Effective Date.</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that certain Indemnity Agreement by and between the Company and Consultant dated October 15, 2013 shall remain in effect until this Agreement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692785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1400" w:right="399" w:bottom="1440" w:gutter="0" w:footer="0" w:header="0"/>
        </w:sectPr>
      </w:pPr>
    </w:p>
    <w:bookmarkStart w:id="30" w:name="page31"/>
    <w:bookmarkEnd w:id="30"/>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right="80" w:firstLine="1496"/>
        <w:spacing w:after="0" w:line="286" w:lineRule="auto"/>
        <w:rPr>
          <w:sz w:val="20"/>
          <w:szCs w:val="20"/>
          <w:color w:val="auto"/>
        </w:rPr>
      </w:pPr>
      <w:r>
        <w:rPr>
          <w:rFonts w:ascii="Times New Roman" w:cs="Times New Roman" w:eastAsia="Times New Roman" w:hAnsi="Times New Roman"/>
          <w:sz w:val="18"/>
          <w:szCs w:val="18"/>
          <w:color w:val="auto"/>
        </w:rPr>
        <w:t xml:space="preserve">California Labor Code Section 2870. </w:t>
      </w:r>
      <w:r>
        <w:rPr>
          <w:rFonts w:ascii="Times New Roman" w:cs="Times New Roman" w:eastAsia="Times New Roman" w:hAnsi="Times New Roman"/>
          <w:sz w:val="18"/>
          <w:szCs w:val="18"/>
          <w:b w:val="1"/>
          <w:bCs w:val="1"/>
          <w:color w:val="auto"/>
        </w:rPr>
        <w:t>Application of provision providing that employee shall assign or offer to assign rights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 to employer.</w:t>
      </w:r>
    </w:p>
    <w:p>
      <w:pPr>
        <w:spacing w:after="0" w:line="145" w:lineRule="exact"/>
        <w:rPr>
          <w:sz w:val="20"/>
          <w:szCs w:val="20"/>
          <w:color w:val="auto"/>
        </w:rPr>
      </w:pPr>
    </w:p>
    <w:p>
      <w:pPr>
        <w:jc w:val="both"/>
        <w:ind w:firstLine="1490"/>
        <w:spacing w:after="0" w:line="266" w:lineRule="auto"/>
        <w:tabs>
          <w:tab w:leader="none" w:pos="19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6" w:lineRule="exact"/>
        <w:rPr>
          <w:sz w:val="20"/>
          <w:szCs w:val="20"/>
          <w:color w:val="auto"/>
        </w:rPr>
      </w:pPr>
    </w:p>
    <w:p>
      <w:pPr>
        <w:ind w:firstLine="2246"/>
        <w:spacing w:after="0" w:line="282" w:lineRule="auto"/>
        <w:rPr>
          <w:sz w:val="20"/>
          <w:szCs w:val="20"/>
          <w:color w:val="auto"/>
        </w:rPr>
      </w:pPr>
      <w:r>
        <w:rPr>
          <w:rFonts w:ascii="Times New Roman" w:cs="Times New Roman" w:eastAsia="Times New Roman" w:hAnsi="Times New Roman"/>
          <w:sz w:val="18"/>
          <w:szCs w:val="18"/>
          <w:color w:val="auto"/>
        </w:rPr>
        <w:t>(1)Relate at the time of conception or reduction to practice of the invention to the employer’s business, or actual or demonstrably anticipated research or development of the employer; or</w:t>
      </w:r>
    </w:p>
    <w:p>
      <w:pPr>
        <w:spacing w:after="0" w:line="162" w:lineRule="exact"/>
        <w:rPr>
          <w:sz w:val="20"/>
          <w:szCs w:val="20"/>
          <w:color w:val="auto"/>
        </w:rPr>
      </w:pPr>
    </w:p>
    <w:p>
      <w:pPr>
        <w:ind w:left="2980" w:hanging="741"/>
        <w:spacing w:after="0"/>
        <w:tabs>
          <w:tab w:leader="none" w:pos="2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any work performed by the employee for his employer.</w:t>
      </w:r>
    </w:p>
    <w:p>
      <w:pPr>
        <w:spacing w:after="0" w:line="225" w:lineRule="exact"/>
        <w:rPr>
          <w:rFonts w:ascii="Times New Roman" w:cs="Times New Roman" w:eastAsia="Times New Roman" w:hAnsi="Times New Roman"/>
          <w:sz w:val="18"/>
          <w:szCs w:val="18"/>
          <w:color w:val="auto"/>
        </w:rPr>
      </w:pPr>
    </w:p>
    <w:p>
      <w:pPr>
        <w:ind w:firstLine="1490"/>
        <w:spacing w:after="0" w:line="282" w:lineRule="auto"/>
        <w:tabs>
          <w:tab w:leader="none" w:pos="19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692785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0" w:right="4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8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Times New Roman" w:cs="Times New Roman" w:eastAsia="Times New Roman" w:hAnsi="Times New Roman"/>
          <w:sz w:val="18"/>
          <w:szCs w:val="18"/>
          <w:color w:val="auto"/>
        </w:rPr>
        <w:t>By:</w:t>
        <w:tab/>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700" w:hanging="183"/>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306" w:lineRule="exact"/>
        <w:rPr>
          <w:sz w:val="20"/>
          <w:szCs w:val="20"/>
          <w:color w:val="auto"/>
        </w:rPr>
      </w:pPr>
    </w:p>
    <w:p>
      <w:pPr>
        <w:ind w:left="6780"/>
        <w:spacing w:after="0"/>
        <w:tabs>
          <w:tab w:leader="none" w:pos="7220" w:val="left"/>
          <w:tab w:leader="none" w:pos="7560" w:val="left"/>
        </w:tabs>
        <w:rPr>
          <w:sz w:val="20"/>
          <w:szCs w:val="20"/>
          <w:color w:val="auto"/>
        </w:rPr>
      </w:pPr>
      <w:r>
        <w:rPr>
          <w:rFonts w:ascii="Times New Roman" w:cs="Times New Roman" w:eastAsia="Times New Roman" w:hAnsi="Times New Roman"/>
          <w:sz w:val="18"/>
          <w:szCs w:val="18"/>
          <w:color w:val="auto"/>
        </w:rPr>
        <w:t>By:</w:t>
        <w:tab/>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June 30, 2024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200" w:hanging="174"/>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306" w:lineRule="exact"/>
        <w:rPr>
          <w:sz w:val="20"/>
          <w:szCs w:val="20"/>
          <w:color w:val="auto"/>
        </w:rPr>
      </w:pPr>
    </w:p>
    <w:p>
      <w:pPr>
        <w:ind w:left="6780"/>
        <w:spacing w:after="0"/>
        <w:tabs>
          <w:tab w:leader="none" w:pos="8580" w:val="left"/>
          <w:tab w:leader="none" w:pos="8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2"/>
          <w:szCs w:val="12"/>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spacing w:after="0" w:line="2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June 30, 2024,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200" w:hanging="174"/>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306" w:lineRule="exact"/>
        <w:rPr>
          <w:sz w:val="20"/>
          <w:szCs w:val="20"/>
          <w:color w:val="auto"/>
        </w:rPr>
      </w:pPr>
    </w:p>
    <w:p>
      <w:pPr>
        <w:ind w:left="6780"/>
        <w:spacing w:after="0"/>
        <w:tabs>
          <w:tab w:leader="none" w:pos="8500" w:val="left"/>
          <w:tab w:leader="none" w:pos="8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Jason Kruger</w:t>
      </w:r>
    </w:p>
    <w:p>
      <w:pPr>
        <w:spacing w:after="0" w:line="2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2."/>
      <w:numFmt w:val="lowerLetter"/>
      <w:start w:val="1"/>
    </w:lvl>
  </w:abstractNum>
  <w:abstractNum w:abstractNumId="8">
    <w:nsid w:val="109CF92E"/>
    <w:multiLevelType w:val="hybridMultilevel"/>
    <w:lvl w:ilvl="0">
      <w:lvlJc w:val="left"/>
      <w:lvlText w:val="%1"/>
      <w:numFmt w:val="lowerRoman"/>
      <w:start w:val="1"/>
    </w:lvl>
    <w:lvl w:ilvl="1">
      <w:lvlJc w:val="left"/>
      <w:lvlText w:val="%2."/>
      <w:numFmt w:val="decimal"/>
      <w:start w:val="3"/>
    </w:lvl>
  </w:abstractNum>
  <w:abstractNum w:abstractNumId="9">
    <w:nsid w:val="DED7263"/>
    <w:multiLevelType w:val="hybridMultilevel"/>
    <w:lvl w:ilvl="0">
      <w:lvlJc w:val="left"/>
      <w:lvlText w:val="(%1)"/>
      <w:numFmt w:val="lowerRoman"/>
      <w:start w:val="5"/>
    </w:lvl>
    <w:lvl w:ilvl="1">
      <w:lvlJc w:val="left"/>
      <w:lvlText w:val="%2."/>
      <w:numFmt w:val="decimal"/>
      <w:start w:val="4"/>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lvl w:ilvl="1">
      <w:lvlJc w:val="left"/>
      <w:lvlText w:val="(%2)"/>
      <w:numFmt w:val="decimal"/>
      <w:start w:val="2"/>
    </w:lvl>
  </w:abstractNum>
  <w:abstractNum w:abstractNumId="13">
    <w:nsid w:val="6B68079A"/>
    <w:multiLevelType w:val="hybridMultilevel"/>
    <w:lvl w:ilvl="0">
      <w:lvlJc w:val="left"/>
      <w:lvlText w:val="(%1)"/>
      <w:numFmt w:val="lowerLetter"/>
      <w:start w:val="2"/>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34" Type="http://schemas.openxmlformats.org/officeDocument/2006/relationships/hyperlink" Target="https://www.sec.gov/Archives/edgar/data/1226616/000119312512347932/d344794dex31.htm" TargetMode="External"/><Relationship Id="rId137" Type="http://schemas.openxmlformats.org/officeDocument/2006/relationships/hyperlink" Target="https://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2024-08-08T16:18:21Z</dcterms:created>
  <dcterms:modified xsi:type="dcterms:W3CDTF">2024-08-08T16:18:21Z</dcterms:modified>
</cp:coreProperties>
</file>