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3700" w:space="520"/>
            <w:col w:w="714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MEDICINOVA,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5"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4275 Executive Drive, Suite 650</w:t>
            </w:r>
          </w:p>
        </w:tc>
        <w:tc>
          <w:tcPr>
            <w:tcW w:w="5120" w:type="dxa"/>
            <w:vAlign w:val="bottom"/>
          </w:tcPr>
          <w:p>
            <w:pPr>
              <w:spacing w:after="0"/>
              <w:rPr>
                <w:sz w:val="24"/>
                <w:szCs w:val="24"/>
                <w:color w:val="auto"/>
              </w:rPr>
            </w:pPr>
          </w:p>
        </w:tc>
      </w:tr>
      <w:tr>
        <w:trPr>
          <w:trHeight w:val="23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La Jolla, CA</w:t>
            </w:r>
          </w:p>
        </w:tc>
        <w:tc>
          <w:tcPr>
            <w:tcW w:w="5120" w:type="dxa"/>
            <w:vAlign w:val="bottom"/>
          </w:tcPr>
          <w:p>
            <w:pPr>
              <w:jc w:val="right"/>
              <w:ind w:right="224"/>
              <w:spacing w:after="0"/>
              <w:rPr>
                <w:sz w:val="20"/>
                <w:szCs w:val="20"/>
                <w:color w:val="auto"/>
              </w:rPr>
            </w:pPr>
            <w:r>
              <w:rPr>
                <w:rFonts w:ascii="Arial" w:cs="Arial" w:eastAsia="Arial" w:hAnsi="Arial"/>
                <w:sz w:val="18"/>
                <w:szCs w:val="18"/>
                <w:b w:val="1"/>
                <w:bCs w:val="1"/>
                <w:color w:val="auto"/>
              </w:rPr>
              <w:t>92037</w:t>
            </w:r>
          </w:p>
        </w:tc>
      </w:tr>
      <w:tr>
        <w:trPr>
          <w:trHeight w:val="174"/>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20" w:type="dxa"/>
            <w:vAlign w:val="bottom"/>
          </w:tcPr>
          <w:p>
            <w:pPr>
              <w:jc w:val="center"/>
              <w:ind w:left="400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400" w:type="dxa"/>
            <w:vAlign w:val="bottom"/>
          </w:tcPr>
          <w:p>
            <w:pPr>
              <w:spacing w:after="0"/>
              <w:rPr>
                <w:sz w:val="24"/>
                <w:szCs w:val="24"/>
                <w:color w:val="auto"/>
              </w:rPr>
            </w:pPr>
          </w:p>
        </w:tc>
        <w:tc>
          <w:tcPr>
            <w:tcW w:w="5120" w:type="dxa"/>
            <w:vAlign w:val="bottom"/>
          </w:tcPr>
          <w:p>
            <w:pPr>
              <w:jc w:val="right"/>
              <w:ind w:right="286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400" w:type="dxa"/>
            <w:vAlign w:val="bottom"/>
          </w:tcPr>
          <w:p>
            <w:pPr>
              <w:spacing w:after="0"/>
              <w:rPr>
                <w:sz w:val="15"/>
                <w:szCs w:val="15"/>
                <w:color w:val="auto"/>
              </w:rPr>
            </w:pPr>
          </w:p>
        </w:tc>
        <w:tc>
          <w:tcPr>
            <w:tcW w:w="51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230"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November 6, 2013, the registrant had 22,397,943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80" w:type="dxa"/>
            <w:vAlign w:val="bottom"/>
            <w:gridSpan w:val="6"/>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43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CONSOLIDATED FINANCIAL STATEMENTS (unaudited)</w:t>
              </w:r>
            </w:hyperlink>
          </w:p>
        </w:tc>
        <w:tc>
          <w:tcPr>
            <w:tcW w:w="492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808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LEGAL PROCEEDINGS</w:t>
              </w:r>
            </w:hyperlink>
          </w:p>
        </w:tc>
        <w:tc>
          <w:tcPr>
            <w:tcW w:w="742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04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8"/>
          </w:tcPr>
          <w:p>
            <w:pPr>
              <w:ind w:left="434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10,660,849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4,010,530</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11,039,097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4,422,122</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676,481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667,204</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78,474</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26,196,620</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19,568,041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491,853</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472,426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314,652</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440,086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228,124</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Current deferred revenue</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1,037,792</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1,694,257</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4,749,567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4,688,049</w:t>
            </w: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w w:val="97"/>
              </w:rPr>
              <w:t>Preferred stock, $0.01 par value; 3,000,000 shares authorized at September 30, 2013 and December 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2012; 220,000 shares issued and outstanding at September 30, 2013 and December 31, 2012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r>
      <w:tr>
        <w:trPr>
          <w:trHeight w:val="209"/>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100,000,000 shares authorized at September 30, 2013 and December 31,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2012; 22,377,943 and 17,407,311 shares issued at September 30, 2013 and December 31, 2012,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respectively, and 22,377,943 and 17,403,125 shares outstanding at September 30, 2013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17,407</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326,300,292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312,293,225</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(67,957)</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0 shares at September 30, 2013 and 4,186 shares at December 31, 2012</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(1,124,389)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(1,131,086)</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(303,675,590)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(296,233,797)</w:t>
            </w:r>
          </w:p>
        </w:tc>
      </w:t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21,447,053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14,879,992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26,196,620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19,568,041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jc w:val="right"/>
              <w:ind w:right="86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6"/>
          </w:tcPr>
          <w:p>
            <w:pPr>
              <w:jc w:val="right"/>
              <w:ind w:right="100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3"/>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785,573</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872,555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2,427,650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4,234,956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169,482,305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1,456,774</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1,573,943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5,023,445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5,057,802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117,280,813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2,242,347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2,446,498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7,451,095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9,292,758</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288,021,539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(2,242,347)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(2,362,711)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(7,447,838)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(8,524,174)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(285,657,475)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19,159,498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(2,234,944)</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(2,372,950)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(7,439,443)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(8,521,523)</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(272,234,157)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(2,236,750)</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(2,378,768)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(7,441,793)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(8,527,341)</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(272,312,468)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6"/>
              </w:rPr>
              <w:t>Accretion to redemption value of redeemable convertible preferred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8"/>
              </w:rPr>
              <w:t>Deemed dividend resulting from beneficial conversion feature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Series C redeemable convertible 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(2,236,750)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(2,378,768)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(7,441,793)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(8,527,341)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(303,675,590)</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Shares used to compute basic and diluted net loss per common share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22,301,773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16,585,172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20,114,289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16,273,247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(2,236,750)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(2,378,768)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(7,441,793)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(8,527,341)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(303,675,590)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(9,881)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(2,235,994)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(2,375,904)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(7,451,674)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(8,529,360)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(303,753,428)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jc w:val="right"/>
              <w:ind w:right="82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(7,441,793)</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(8,527,341)</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(272,312,468)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719,084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540,385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51,110,015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Kissei upfront payment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(768,584)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90,966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35,519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2,105,918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93"/>
              </w:rPr>
              <w:t>Amortization of premium/discount on investment securities, convertible debt, debt discount and issuance costs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(1,099,365)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Impairment charge, net on investment securities and ARS Put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1,735,212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(30,635)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103,108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(166,345)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(664,938)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211,962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(395,957)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280"/>
              <w:spacing w:after="0" w:line="149" w:lineRule="exact"/>
              <w:rPr>
                <w:sz w:val="20"/>
                <w:szCs w:val="20"/>
                <w:color w:val="auto"/>
              </w:rPr>
            </w:pPr>
            <w:r>
              <w:rPr>
                <w:rFonts w:ascii="Arial" w:cs="Arial" w:eastAsia="Arial" w:hAnsi="Arial"/>
                <w:sz w:val="14"/>
                <w:szCs w:val="14"/>
                <w:color w:val="auto"/>
              </w:rPr>
              <w:t>Deferred Revenue</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(6,624,818)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(9,677,808)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(216,337,289)</w:t>
            </w: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377,918,240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(83,176)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(2,390,282)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joint venture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(680,000)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261,645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(24,514)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(763,176)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(4,925,948)</w:t>
            </w:r>
          </w:p>
        </w:tc>
        <w:tc>
          <w:tcPr>
            <w:tcW w:w="0" w:type="dxa"/>
            <w:vAlign w:val="bottom"/>
          </w:tcPr>
          <w:p>
            <w:pPr>
              <w:spacing w:after="0"/>
              <w:rPr>
                <w:sz w:val="1"/>
                <w:szCs w:val="1"/>
                <w:color w:val="auto"/>
              </w:rPr>
            </w:pPr>
          </w:p>
        </w:tc>
      </w:tr>
      <w:tr>
        <w:trPr>
          <w:trHeight w:val="156"/>
        </w:trPr>
        <w:tc>
          <w:tcPr>
            <w:tcW w:w="730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 warrants and units, net of issuance costs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13,292,954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1,033,764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145,958,179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85,572,825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1,881,253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6,697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58,619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debt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ind w:left="420"/>
              <w:spacing w:after="0" w:line="149" w:lineRule="exact"/>
              <w:rPr>
                <w:sz w:val="20"/>
                <w:szCs w:val="20"/>
                <w:color w:val="auto"/>
              </w:rPr>
            </w:pPr>
            <w:r>
              <w:rPr>
                <w:rFonts w:ascii="Arial" w:cs="Arial" w:eastAsia="Arial" w:hAnsi="Arial"/>
                <w:sz w:val="14"/>
                <w:szCs w:val="14"/>
                <w:color w:val="auto"/>
              </w:rPr>
              <w:t>Repayments of ARS loan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13,299,651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1,092,383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231,924,086</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6,650,319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(9,348,601)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10,660,849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4,010,530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15,093,124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10,660,849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5,744,523</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10,660,849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and financing activities: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Issuance of warrants</w:t>
            </w:r>
          </w:p>
        </w:tc>
        <w:tc>
          <w:tcPr>
            <w:tcW w:w="5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2,882,258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5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43,515,677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5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1,881,815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5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6,354</w:t>
            </w:r>
          </w:p>
        </w:tc>
        <w:tc>
          <w:tcPr>
            <w:tcW w:w="240" w:type="dxa"/>
            <w:vAlign w:val="bottom"/>
          </w:tcPr>
          <w:p>
            <w:pPr>
              <w:spacing w:after="0"/>
              <w:rPr>
                <w:sz w:val="12"/>
                <w:szCs w:val="12"/>
                <w:color w:val="auto"/>
              </w:rPr>
            </w:pP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10,952</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5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2,487,343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2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We are currently focusing our development activities on MN-166, a drug candidate for the treatment of neurological disorders, and on MN-221, a drug candidate for the treatment of acute exacerbations of asthma and chronic obstructive pulmonary disease, or COPD.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U.S. for interim financial information. Accordingly, they do not include all of the information and disclosures required by generally accepted accounting principles for complete financial statements. In the opinion of management, all adjustments of a normal recurring nature necessary for the fair presentation of our financial position, results of operations and cash flow for the interim periods presented have been included. Operating results for the three and nine months ended September 30, 2013 are not necessarily indicative of the results that may be expected for the year ending December 31, 2013 or for any other period. For further information, see the financial statements and disclosures thereto for the year ended December 31, 2012 in our Annual Report on Form 10-K as filed with the Securities and Exchange Commission on March 28,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our product candidates for the European marketplace. MediciNova (Europe) Limited’s functional currency is the U.S. dollar, the reporting currency of its parent.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18, 2009, Avigen, Inc. was acquired by and became a wholly-owned subsidiary of MediciNova, Inc. Avigen, Inc.’s functional currency is the U.S. dollar.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October 2011, we entered into an agreement with Kissei Pharmaceutical Co., Ltd., or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Under the terms of the agreement, we are responsible for all costs to be incurred in the performance of these services. Certain of these research and development services were completed in 2012 and the remaining services are expected to be completed after 2014. We are recognizing the $2.5 million payment as revenue as the research and development services are performed. The amount received from Kissei, net of the amount recorded as revenue to date, is included on the balance sheet as deferred revenue and will be recognized as revenue as we perform the remaining services. For the three months ended September 30, 2013 and 2012, revenue recorded was $0 and $0.1 million, respectively. For the nine months ended September 30, 2013 and 2012, revenue recorded was approximately $3 thousand and $0.8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although they are invested primarily in U.S. government securities. We have not experienced any losses in such accounts and management believes that we do not have significant credit risk with respect to such cash and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Joint Venture</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We entered into an agreement to form a joint venture company with Zhejiang Medicine Co., Ltd. and Beijing Make-Friend Medicine Technology Co., Ltd. effective September 27, 2011. In accordance with the joint venture agreement, in March 2012 we paid $680,000 for a 30% interest in Zhejiang Sunmy. The other parties to the joint venture agreement provided funding for their combined 70% interest and are responsible for future funding of Zhejiang Sunmy’s activities.</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September 30, 2013 we reflect a long-term asset on our consolidated balance sheet which represents our investment in Zhejiang Sunmy, net of our portion of any generated loss or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6"/>
              </w:rPr>
              <w:t>As of September 30, 2013</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227"/>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2</w:t>
            </w:r>
          </w:p>
        </w:tc>
        <w:tc>
          <w:tcPr>
            <w:tcW w:w="5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699</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87"/>
              </w:rPr>
              <w:t>As of December 31, 2012</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227"/>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2</w:t>
            </w:r>
          </w:p>
        </w:tc>
        <w:tc>
          <w:tcPr>
            <w:tcW w:w="5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1,720</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$ 1,720</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At September 30, 2013, cash equivalents (instruments with maturities of three months or less at the date of purchase) were primarily invested in money market accounts, the fair value of which is based on Level 1 criteria in which their carrying amount is a reasonable estimate of their fair value based on daily quoted market prices. At September 30, 2013 and December 31, 2012 we did not hold financial instruments measured at fair value on a non-recurring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loss per common share is presented as basic and diluted net loss per common share. Basic net loss per common share is calculated by dividing the net loss attributable to common stockholders by the weighted average number of common shares outstanding for the period, without consideration for common stock equivalents. Diluted net loss per common share is calculated by dividing the net loss attributable to common stockholders by the weighted average number of common shares outstanding for the period using the treasury-stock method. For purposes of this calculation, convertible preferred stock, stock options and warrants are considered to be common stock equivalents and are only included in the calculation of diluted net loss per common share when their effect is dilutive.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Potentially dilutive outstanding securities excluded from diluted net loss per common share because of their anti-dilutive effect consist of the following:</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22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28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8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 as converted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2,904,137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3,328,981</w:t>
            </w:r>
          </w:p>
        </w:tc>
        <w:tc>
          <w:tcPr>
            <w:tcW w:w="1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3,876,067</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3,128,686</w:t>
            </w:r>
          </w:p>
        </w:tc>
        <w:tc>
          <w:tcPr>
            <w:tcW w:w="12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8,980,204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8,657,667</w:t>
            </w:r>
          </w:p>
        </w:tc>
        <w:tc>
          <w:tcPr>
            <w:tcW w:w="12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56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b w:val="1"/>
          <w:bCs w:val="1"/>
          <w:i w:val="1"/>
          <w:iCs w:val="1"/>
          <w:color w:val="auto"/>
        </w:rPr>
        <w:t>Accrued Expenses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Accrued expenses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76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118,197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183,198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171,031</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19"/>
                <w:szCs w:val="19"/>
                <w:color w:val="auto"/>
              </w:rPr>
            </w:pPr>
          </w:p>
        </w:tc>
        <w:tc>
          <w:tcPr>
            <w:tcW w:w="44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472,426</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220" w:type="dxa"/>
            <w:vAlign w:val="bottom"/>
            <w:vMerge w:val="restart"/>
          </w:tcPr>
          <w:p>
            <w:pPr>
              <w:jc w:val="right"/>
              <w:ind w:right="2592"/>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96"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For the three months ended September 30, 2013 and 2012, stock-based compensation expense related to stock options and the employee stock purchase plan was approximately $198,000 and $179,000, respectively, and was recorded as a component of general and administrative expense (approximately $128,000 and $111,000, respectively) and research and development expense (approximately $70,000 and $68,000, respectively). For the nine months ended September 30, 2013 and 2012, stock-based compensation expense related to stock options and the employee stock purchase plan was approximately $719,000 and $540,000, respectively, and was recorded as a component of general and administrative expense (approximately $455,000 and $325,000, respectively) and research and development expense (approximately $264,000 and $215,000, respectively). During the three months ended September 30, 2013 and 2012, there were no options exercised. During the nine months ended September 30, 2013 and 2012, 79,462 and 60,000 stock options, respectively, were exercised from which proceeds of approximately $194,000 and $138,000, respectively, were received. As of September 30, 2013, there was $1.3 million of unamortized compensation expense related to unvested stock option awards which is expected to be recognized over a remaining weighted-average vesting period of 1.69 years.</w:t>
      </w:r>
    </w:p>
    <w:p>
      <w:pPr>
        <w:spacing w:after="0" w:line="10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During the three and nine months ended September 30, 2013, options to purchase 0 and 867,500 shares of common stock were granted, respectively. During the three and nine months ended September 30, 2012, options to purchase 735,000 and 750,000 shares of common stock were granted, respectively. As stock-based compensation expense recognized in the accompanying consolidated statements of operations and comprehensive loss includes expense related to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As forfeitures have been immaterial in the past and are expected to continue to be immaterial, we did not estimate any forfeitures during 2012, or during the nine months ended September 30, 2013. We adjust our stock-based compensation expense when any forfeitures occur.</w:t>
      </w:r>
    </w:p>
    <w:p>
      <w:pPr>
        <w:spacing w:after="0" w:line="11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MediciNova, Inc. 2007 Employee Stock Purchase Plan, or ESPP, provides employees the right to purchase our common stock through payroll deductions (not to exceed 15% of each employee’s compensation) at the lower of 85% of fair market value at the beginning of or the end of each six-month offering period. For the three and nine months ended September 30, 2013, the number of shares of common stock issued under the ESPP was 14,184 and 30,251, respectively, and for the three and nine months ended September 30, 2012, the number of shares of common stock issued under the ESPP was 19,864 and 35,414, respectively. Shares of common stock available for future ESPP issuances at September 30, 2013 and 2012 were 234,327 and 249,578, respectively.</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the Black-Scholes valuation model for determining the estimated fair value and the stock-based compensation for stock-based awards to employees. The following table provides the assumptions used in the Black-Scholes valuation model for the three and nine months ended September 30, 2013 and 2012. The ESPP assumptions for the three months ended September 30, 2013 and 2012 are actual amounts, and for the nine months ended September 30, 2013 and 2012 are weighted average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Three Months Ended</w:t>
            </w:r>
          </w:p>
        </w:tc>
        <w:tc>
          <w:tcPr>
            <w:tcW w:w="500" w:type="dxa"/>
            <w:vAlign w:val="bottom"/>
          </w:tcPr>
          <w:p>
            <w:pPr>
              <w:spacing w:after="0"/>
              <w:rPr>
                <w:sz w:val="14"/>
                <w:szCs w:val="14"/>
                <w:color w:val="auto"/>
              </w:rPr>
            </w:pPr>
          </w:p>
        </w:tc>
        <w:tc>
          <w:tcPr>
            <w:tcW w:w="20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8"/>
              </w:rPr>
              <w:t>Three Months Ended</w:t>
            </w:r>
          </w:p>
        </w:tc>
        <w:tc>
          <w:tcPr>
            <w:tcW w:w="19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7"/>
              </w:rPr>
              <w:t>Nine Months Ended</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02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September 30, 2013</w:t>
            </w:r>
          </w:p>
        </w:tc>
        <w:tc>
          <w:tcPr>
            <w:tcW w:w="500" w:type="dxa"/>
            <w:vAlign w:val="bottom"/>
          </w:tcPr>
          <w:p>
            <w:pPr>
              <w:spacing w:after="0"/>
              <w:rPr>
                <w:sz w:val="14"/>
                <w:szCs w:val="14"/>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8"/>
              </w:rPr>
              <w:t>September 30, 2012</w:t>
            </w:r>
          </w:p>
        </w:tc>
        <w:tc>
          <w:tcPr>
            <w:tcW w:w="19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September 30, 2013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September 30, 2012</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 assumptions:</w:t>
            </w: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0.62%</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0.80%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0.62%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82.22%</w:t>
            </w:r>
          </w:p>
        </w:tc>
        <w:tc>
          <w:tcPr>
            <w:tcW w:w="1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86.10%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0.0%</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0.16%</w:t>
            </w:r>
          </w:p>
        </w:tc>
        <w:tc>
          <w:tcPr>
            <w:tcW w:w="1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91.60%</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74.34%</w:t>
            </w: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91.55%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75.52%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1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8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r>
      <w:tr>
        <w:trPr>
          <w:trHeight w:val="356"/>
        </w:trPr>
        <w:tc>
          <w:tcPr>
            <w:tcW w:w="4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statements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recognize the impact of a tax position in the financial statements only if that position is more likely than not of being sustained upon examination by taxing authorities, based on the technical merits of the position. Our practice is to recognize interest and/or penalties related to income tax matters in income tax expense.</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are subject to income taxation in the U.S.,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During the three and nine months ended September 30, 2013 and 2012, income tax expense recognized related to intercompany service income earned by our Japanese subsidiary, MediciNova Japan,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May 9, 2013, we entered into a securities purchase agreement with certain accredited investors pursuant to which we agreed to sell to the investors 1,158,730 shares of our common stock and warrants to purchase an aggregate of 869,047 shares of our common stock (the “Private Placement”). The Private Placement closed on May 14, 2013. The Private Placement included our issuance of shares of common stock and a warrant to purchase shares of common stock to Fountain Erika LLC (“Fountain Erika”), an entity of which Tatsuo Izumi, a member of our board of directors, is a principal. Fountain Erika’s acquisition of the shares of the our common stock and a warrant to purchase shares of our common stock was at an “at the market” price.</w:t>
      </w:r>
    </w:p>
    <w:p>
      <w:pPr>
        <w:spacing w:after="0" w:line="191" w:lineRule="exact"/>
        <w:rPr>
          <w:sz w:val="20"/>
          <w:szCs w:val="20"/>
          <w:color w:val="auto"/>
        </w:rPr>
      </w:pPr>
    </w:p>
    <w:p>
      <w:pPr>
        <w:ind w:right="872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involved in any material legal proceedings as of September 30, 2013. We may become involved in various disputes and legal proceedings which arise in the ordinary course of business or otherwise. Our assessment of the likely impact of any pending litigation may change over time. An adverse result in any litigation matter may occur which could harm our business and result in a material liability.</w:t>
      </w:r>
    </w:p>
    <w:p>
      <w:pPr>
        <w:spacing w:after="0" w:line="215" w:lineRule="exact"/>
        <w:rPr>
          <w:sz w:val="20"/>
          <w:szCs w:val="20"/>
          <w:color w:val="auto"/>
        </w:rPr>
      </w:pPr>
    </w:p>
    <w:p>
      <w:pPr>
        <w:ind w:right="954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granted stock options to our employees, officers, directors and consultants under the MediciNova, Inc. Amended and Restated 2004 Stock Incentive Plan, and future stock option grants will be made under the MediciNova, Inc. 2013 Equity Incentive Plan. A summary of the changes in stock options outstanding during the nine months ended September 30, 2013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6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4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3,328,981</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867,500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Cancelled</w:t>
            </w:r>
          </w:p>
        </w:tc>
        <w:tc>
          <w:tcPr>
            <w:tcW w:w="4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1,212,882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4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2,904,137</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2013</w:t>
            </w:r>
          </w:p>
        </w:tc>
        <w:tc>
          <w:tcPr>
            <w:tcW w:w="4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2"/>
            <w:vMerge w:val="continue"/>
          </w:tcPr>
          <w:p>
            <w:pPr>
              <w:spacing w:after="0"/>
              <w:rPr>
                <w:sz w:val="18"/>
                <w:szCs w:val="18"/>
                <w:color w:val="auto"/>
              </w:rPr>
            </w:pP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2,103,865</w:t>
            </w:r>
          </w:p>
        </w:tc>
        <w:tc>
          <w:tcPr>
            <w:tcW w:w="9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00" w:type="dxa"/>
            <w:vAlign w:val="bottom"/>
          </w:tcPr>
          <w:p>
            <w:pPr>
              <w:jc w:val="right"/>
              <w:ind w:right="2592"/>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aggregate intrinsic values of stock options outstanding, options exercised and options exercisable at September 30, 2013 were approximately $132,000, $64,000 and $116,000, respectively. The weighted average contractual life of options outstanding at September 30, 2013 was 6.5 years and the weighted average contractual life of exercisable options at September 30, 2013 was 5.5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(on an as-if-converted-to-common-stock basis) with the common stock in liquidation and dividend rights. The holders of the Series B Preferred do not have voting rights, however the consent of the holders of a majority of the outstanding Series B Preferred is required for certain 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20, 2012, we entered into a common stock purchase agreement with Aspire Capital Fund LLC, or Aspire, pursuant to which we could sell our common stock to Aspire from time to time up to an aggregate of $20 million of our common stock over the two-year term of the agreement, including $1 million in common stock purchased by Aspire in connection with execution of the agreement. No more than 3,231,096 shares of our common stock could be issued under this agreement, including 363,636 shares initially issued to Aspire in consideration of entering into the agreement. We could on any business day over the term of the agreement direct Aspire to purchase up to 50,000 shares, to a maximum of $500,000 per business day with a purchase price of the lower of the lowest sale price of our common stock on the date of the sale, or the average of the three lowest closing stock prices during the 12 consecutive business days ending on the business day immediately preceding the purchase date. In addition, we could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would be the lower of the closing price on the date of the sale, or 95% of the next business day’s NASDAQ volume weighted average price, subject to a minimum market price threshold established by us and certain other exceptions. In addition to the initial issuance of shares, as of September 30, 2013 we had completed sales to Aspire totaling 2,504,532 shares of common stock at prices ranging from $1.60 to $3.82 per share, generating gross proceeds of $5.4 million. See “Notes to Consolidated Financial Statements - Note 11. Subsequent Events” regarding termination of the common stock purchase agreement with Aspire subsequent to September 30,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22, 2012, we issued a warrant in exchange for investor relations services to purchase up to 130,000 shares of our common stock at a price of $1.88 per share, the closing price of our common stock on that date. The warrant contains provisions whereby the warrant becomes exercisable for specified shares of our common stock as a result of our stock achieving certain share price targets within a 15 month period beginning on August 22, 2012. The warrant expires in five years. The warrant is valued at its fair value of approximately $0.1 million on August 22, 2012, was classified as equity and as a prepaid expense and amortized over the one-year period beginning August 22,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three months ended September 30, 2013, no warrants were exercised. During the nine months ended September 30, 2013, warrants to purchase 121,666 shares of common stock related to the March 23, 2011 public offering of 2,750,000 units, with each unit consisting of one share of common stock and a warrant to purchase one share of common stock, were exercised generating proceeds of $0.4 million. No warrants were exercised during the three and nine months ended September 30,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17, 2013, we entered into an at-the-market equity distribution agreement with Macquarie Capital (USA) Inc., or MCUSA, pursuant to which we could sell our common stock through MCUSA from time to time up to an aggregate offering price of $6 million. Under the terms of the agreement, no daily sale of an amount of shares of our common stock was to exceed the lower of $50,000 or 10% of the lower of the 5-day or 3-month average daily traded value of our common stock as of the date of the applicable issuance notice. The price per share was not to be less than the greater of $1.19 or the last available closing price of a share of common stock on The NASDAQ Global Market (“NASDAQ”). MCUSA agreed to use its commercially reasonable efforts consistent with its customary trading and sales practices and applicable laws, rules and regulations to sell shares of our common stock and was to sell such shares by any method permitted by law deemed to be “at the market”. We agreed to pay MCUSA an aggregate commission rate of 8.0% of the gross proceeds of any common stock sold under the agreement. As of September 30, 2013, we had completed all available sales to MCUSA under this agreement generating gross and net proceeds of $6.0 million and $5.5 million, respectively, on sales of 1,936,237 shares of common stock at prices ranging from $2.44 to $4.10 per share.</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“Notes to Consolidated Financial Statements - Note 11. Subsequent Events” regarding a second at-the-market equity distribution agreement executed with MCUSA subsequent to September 30,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9, 2013, we entered into a securities purchase agreement with certain accredited investors (the “Purchase Agreement”) pursuant to which we agreed to sell to the investors 1,158,730 shares of our common stock at a price of $3.15 per share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The Purchase Agreement includes representations, warranties, covenants and closing conditions customary for transactions of this type.</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connection with the purchase by an affiliated investor of 158,730 shares of our common stock and a warrant to purchase 119,047 shares of our common stock, on May 29, 2013 the investor provided $51,389 additional consideration for the shares and the warrant, and we amended the warrant to reflect an exercise price of $3.38 per share.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allocated the net proceeds for the shares and the warrants sold in the Private Placement of $3.4 million based on the relative fair value of each instrument. We determined the fair value of the shares based on the closing price of our common stock on May 9, 2013, and the fair value of the warrants based on a Black-Scholes valuation model.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Securities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Through November 5, 2013, we have generated gross and net proceeds of $51.0 thousand and $47.4 thousand, respectively, under this agreement on sales of 20,000 shares of our common stock at prices ranging from $2.52 to $2.58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made no sales of our common stock to Aspire subsequent to September 30, 2013, and we terminated the common stock purchase agreement with Aspire on October 17, 2013.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2012 included in our Annual Report on Form 10-K filed with the Securities and Exchange Commission, or SEC, on March 28, 2013. Past operating results are not necessarily indicative of results that may occur in future periods.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a development stage biopharmaceutical company focused on acquiring and developing novel, small molecule therapeutics for the treatment of serious diseases with unmet medical needs with a commercial focus on the U.S. market. We are currently focusing our development activities on MN-166, a drug candidate for the treatment of neurological disorders, and on MN-221, a drug candidate for the treatment of acute exacerbations of asthma and COPD.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incurred significant net losses since our inception. We incurred losses of $7.4 million for the nine months ended September 30, 2013, and at September 30, 2013 our accumulated deficit is $303.7 million, including $51.1 million of non-cash stock-based compensation charges. We expect to incur substantial net losses for the next several years as we continue to develop certain of our existing product development programs, and we may incur substantial net losses over the long-term if we expand our research and development programs and/or acquire products, technologies or businesses that are complementary to our own. As of September 30, 2013, we had available cash and cash equivalents of $10.7 million and working capital of $9.9 million. While there can be no assurances given, we believe our working capital at September 30, 2013 will be sufficient to fund our operations for at least the next 12 months, assuming that we operate our business in accordance with our current operating plan. This belief is based on assumptions that could prove to be wrong, and we could utilize our available working capital sooner than we currently expect.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Between August 20, 2012 and September 30, 2013 we completed sales totaling 2,504,532 shares of common stock and generated net proceeds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$5.4 million under the common stock purchase agreement with Aspire Capital Fund LLC, or Aspire. We have made no sales of our common stock to Aspire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 to September 30, 2013 and we terminated the common stock purchase agreement with Aspire on October 17, 2013. Between April 17, 2013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2013, we completed all available sales totaling 1,936,237 shares of common stock and generated gross and net proceeds of $6.0 million and $5.5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under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at-the-market equity distribution agreement with Macquarie Capital (USA) Inc., or MCUSA. On May 14, 2013, we closed a private placement which generated gross proceeds of $3.7 million through the sale of 1,158,730 shares of our common stock and warrants to purchase 750,000 and 119,047 shares of our common stock with an exercise price of $3.15 per share and $3.38 per share, respectively. Expenses incurred related to this transaction were $0.3 million. On October 16, 2013, we entered into a second at-the-market equity distribution agreement with MCUSA pursuant to which we may from time to time sell through MCUSA shares of our common stock up to an aggregate offering price of $10 million. Through November 5, 2013, we have generated gross and net proceeds of $51.0 thousand and $47.4 thousand, respectively, under this agreement on sales of 20,000 shares of our common stock.</w:t>
      </w:r>
    </w:p>
    <w:p>
      <w:pPr>
        <w:spacing w:after="0" w:line="12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may pursue other opportunities to raise capital in the future. There can be no assurances that there will be adequate financing available to us on acceptable terms, or at all. If we are unable to obtain additional financing, we may have to sell one or more of our programs or cease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is convertible into 10 shares of common stock. The Series B Preferred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(on an as-if-converted-to-common-stock basis) with the common stock in liquidation and dividend rights. The holders of the Series B Preferred do not have voting rights, however the consent of the holders of a majority of the outstanding Series B Preferred is required for certain 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Under the terms of the agreement, we are responsible for all costs to be incurred in the performance of these services. Certain of these research and development services were completed in 2012 and the remaining services are expected to be completed after 2014. We are recognizing the $2.5 million payment as revenue as the research and development services are performed.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20, 2012, we entered into a common stock purchase agreement with Aspire pursuant to which we could sell our common stock to Aspire from time to time up to an aggregate of $20 million of our common stock over the two-year term of the agreement, including $1 million in common stock purchased by Aspire in connection with execution of the agreement. No more than 3,231,096 shares of our common stock could be issued under this agreement, including 363,636 shares initially issued to Aspire in consideration of entering into the agreement. Our proceeds were dependent on the frequency and number of shares of our common stock sold to Aspire and the per share purchase price of each transaction. In addition to the initial issuance of shares, as of September 30, 2013 we had completed sales to Aspire totaling 2,504,532 shares of common stock at prices ranging from $1.60 to $3.82 per share, generating gross proceeds of $5.4 million. We have made no sales of our common stock to Aspire subsequent to September30, 2013 and we terminated the common stock purchase agreement with Aspire on October 17,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17, 2013, we entered into an at-the-market equity distribution agreement with MCUSA pursuant to which we could sell our common stock through MCUSA from time to time up to an aggregate offering price of $6 million. Under the terms of the agreement no daily sale of an amount of shares of our common stock was to exceed the lower of $50,000 or 10% of the lower of the 5-day or 3-month average daily traded value of our common stock as of the date of the applicable issuance notice. The price per share was not to be less than the greater of $1.19 or the last available closing price of a share of common stock on The NASDAQ Global Market (“NASDAQ”). MCUSA agreed to use its commercially reasonable efforts consistent with its customary trading and sales practices and applicable laws, rules and regulations to sell shares of our common stock and was to sell such shares by any method permitted by law deemed to be “at the market”. We agreed to pay MCUSA an aggregate commission rate of 8.0% of the gross proceeds of any common stock sold under the agreement. As of September 30, 2013, we had completed all available sales to MCUSA generating gross and net proceeds of $6.0 million and $5.5 million, respectively, on sales of 1,936,237 shares of common stock at prices ranging from $2.44 to $4.10 per share.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be greater than the lower of $50,000 or 10% of the lower of the 5-day or 3-month average daily traded value of our common stock on NASDAQ (unless 10% of the lower of the 5-day or 3-month average daily traded value of our common stock on the JASDAQ Market of the Tokyo Securities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May 9, 2013, we entered into a securities purchase agreement with certain accredited investors (the “Purchase Agreement”) pursuant to which we agreed to sell to the investors 1,158,730 shares of our common stock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The Purchase Agreement includes representations, warranties, covenants and closing conditions customary for transactions of this type.</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purchase by an affiliated investor of 158,730 shares of our common stock and a warrant to purchase 119,047 shares of our common stock, on May 29, 2013 the investor provided $51,389 additional consideration for the shares and the warrant, and the investor and we amended the warrant to reflect an exercise price of $3.38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of Corporate Headquarters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leased office space at our headquarters at 4350 La Jolla Village Drive, Suite 950, San Diego, California under a lease that expired on February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 On February 27, 2013, we entered into a sublease 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effective March 1, 2013 (the “Sublease”) with Denali Advisors, LLC, the sublessor. The Sublease is for our current headquarters located at 4275 Executive Square, Suite 650, La Jolla, California, 92037. The Sublease has a term of 4 years and 9 months and provides that we will pay Denali Advisors, LLC an initial monthly base rent of $10,699 for the premises, with monthly increases of $522 as of the 13</w:t>
      </w:r>
      <w:r>
        <w:rPr>
          <w:rFonts w:ascii="Arial" w:cs="Arial" w:eastAsia="Arial" w:hAnsi="Arial"/>
          <w:sz w:val="10"/>
          <w:szCs w:val="10"/>
          <w:color w:val="auto"/>
        </w:rPr>
        <w:t>th</w:t>
      </w:r>
      <w:r>
        <w:rPr>
          <w:rFonts w:ascii="Arial" w:cs="Arial" w:eastAsia="Arial" w:hAnsi="Arial"/>
          <w:sz w:val="16"/>
          <w:szCs w:val="16"/>
          <w:color w:val="auto"/>
        </w:rPr>
        <w:t>, 25</w:t>
      </w:r>
      <w:r>
        <w:rPr>
          <w:rFonts w:ascii="Arial" w:cs="Arial" w:eastAsia="Arial" w:hAnsi="Arial"/>
          <w:sz w:val="10"/>
          <w:szCs w:val="10"/>
          <w:color w:val="auto"/>
        </w:rPr>
        <w:t>th</w:t>
      </w:r>
      <w:r>
        <w:rPr>
          <w:rFonts w:ascii="Arial" w:cs="Arial" w:eastAsia="Arial" w:hAnsi="Arial"/>
          <w:sz w:val="16"/>
          <w:szCs w:val="16"/>
          <w:color w:val="auto"/>
        </w:rPr>
        <w:t>, 37</w:t>
      </w:r>
      <w:r>
        <w:rPr>
          <w:rFonts w:ascii="Arial" w:cs="Arial" w:eastAsia="Arial" w:hAnsi="Arial"/>
          <w:sz w:val="10"/>
          <w:szCs w:val="10"/>
          <w:color w:val="auto"/>
        </w:rPr>
        <w:t>th</w:t>
      </w:r>
      <w:r>
        <w:rPr>
          <w:rFonts w:ascii="Arial" w:cs="Arial" w:eastAsia="Arial" w:hAnsi="Arial"/>
          <w:sz w:val="16"/>
          <w:szCs w:val="16"/>
          <w:color w:val="auto"/>
        </w:rPr>
        <w:t xml:space="preserve"> and 49</w:t>
      </w:r>
      <w:r>
        <w:rPr>
          <w:rFonts w:ascii="Arial" w:cs="Arial" w:eastAsia="Arial" w:hAnsi="Arial"/>
          <w:sz w:val="10"/>
          <w:szCs w:val="10"/>
          <w:color w:val="auto"/>
        </w:rPr>
        <w:t>th</w:t>
      </w:r>
      <w:r>
        <w:rPr>
          <w:rFonts w:ascii="Arial" w:cs="Arial" w:eastAsia="Arial" w:hAnsi="Arial"/>
          <w:sz w:val="16"/>
          <w:szCs w:val="16"/>
          <w:color w:val="auto"/>
        </w:rPr>
        <w:t xml:space="preserve"> month.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 the three months ended September 30, 2013 and 2012, we recognized $0 and $0.1 million, respectively, and for the nine months ended September 30, 2013 and 2012, we recognized $3.3 thousand and $0.8 million, respectively, of revenue related to the Kissei services agreement based on the development services we performed during each period. To date through September 30, 2013 we have recognized approximately $806,000 of Kissei services revenue, and all expenses incurred related to these services have been recorded as research and development expenses. Other than the Kissei services revenue, our revenues to date have been from development services revenues under service agreements pursuant to which we billed consulting fees and our pass-through clinical contract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activities. We use external service providers to manufacture our compounds to be used in clinical trials and for the majority of the services performed in 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and development costs are expensed as incurred.</w:t>
      </w:r>
    </w:p>
    <w:p>
      <w:pPr>
        <w:spacing w:after="0" w:line="11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reflected as “Unallocated”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0"/>
              </w:rPr>
              <w:t>Three months ended</w:t>
            </w:r>
          </w:p>
        </w:tc>
        <w:tc>
          <w:tcPr>
            <w:tcW w:w="48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35"/>
        </w:trPr>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right"/>
              <w:ind w:right="295"/>
              <w:spacing w:after="0" w:line="135" w:lineRule="exact"/>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1"/>
                <w:szCs w:val="11"/>
                <w:color w:val="auto"/>
              </w:rPr>
            </w:pPr>
          </w:p>
        </w:tc>
        <w:tc>
          <w:tcPr>
            <w:tcW w:w="16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26"/>
        </w:trPr>
        <w:tc>
          <w:tcPr>
            <w:tcW w:w="1020" w:type="dxa"/>
            <w:vAlign w:val="bottom"/>
            <w:gridSpan w:val="3"/>
            <w:vMerge w:val="restart"/>
          </w:tcPr>
          <w:p>
            <w:pPr>
              <w:spacing w:after="0" w:line="141" w:lineRule="exact"/>
              <w:rPr>
                <w:sz w:val="20"/>
                <w:szCs w:val="20"/>
                <w:color w:val="auto"/>
              </w:rPr>
            </w:pPr>
            <w:r>
              <w:rPr>
                <w:rFonts w:ascii="Arial" w:cs="Arial" w:eastAsia="Arial" w:hAnsi="Arial"/>
                <w:sz w:val="14"/>
                <w:szCs w:val="14"/>
                <w:b w:val="1"/>
                <w:bCs w:val="1"/>
                <w:color w:val="auto"/>
              </w:rPr>
              <w:t>Candidate</w:t>
            </w:r>
          </w:p>
        </w:tc>
        <w:tc>
          <w:tcPr>
            <w:tcW w:w="140" w:type="dxa"/>
            <w:vAlign w:val="bottom"/>
          </w:tcPr>
          <w:p>
            <w:pPr>
              <w:spacing w:after="0"/>
              <w:rPr>
                <w:sz w:val="2"/>
                <w:szCs w:val="2"/>
                <w:color w:val="auto"/>
              </w:rPr>
            </w:pPr>
          </w:p>
        </w:tc>
        <w:tc>
          <w:tcPr>
            <w:tcW w:w="6160" w:type="dxa"/>
            <w:vAlign w:val="bottom"/>
            <w:vMerge w:val="restart"/>
          </w:tcPr>
          <w:p>
            <w:pPr>
              <w:ind w:left="2180"/>
              <w:spacing w:after="0" w:line="141" w:lineRule="exact"/>
              <w:rPr>
                <w:sz w:val="20"/>
                <w:szCs w:val="20"/>
                <w:color w:val="auto"/>
              </w:rPr>
            </w:pPr>
            <w:r>
              <w:rPr>
                <w:rFonts w:ascii="Arial" w:cs="Arial" w:eastAsia="Arial" w:hAnsi="Arial"/>
                <w:sz w:val="14"/>
                <w:szCs w:val="14"/>
                <w:b w:val="1"/>
                <w:bCs w:val="1"/>
                <w:color w:val="auto"/>
              </w:rPr>
              <w:t>Product Development Program</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1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7"/>
              <w:spacing w:after="0" w:line="102" w:lineRule="exact"/>
              <w:rPr>
                <w:sz w:val="20"/>
                <w:szCs w:val="20"/>
                <w:color w:val="auto"/>
              </w:rPr>
            </w:pPr>
            <w:r>
              <w:rPr>
                <w:rFonts w:ascii="Arial" w:cs="Arial" w:eastAsia="Arial" w:hAnsi="Arial"/>
                <w:sz w:val="11"/>
                <w:szCs w:val="11"/>
                <w:b w:val="1"/>
                <w:bCs w:val="1"/>
                <w:color w:val="auto"/>
              </w:rPr>
              <w:t>2013</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55"/>
              <w:spacing w:after="0" w:line="102" w:lineRule="exact"/>
              <w:rPr>
                <w:sz w:val="20"/>
                <w:szCs w:val="20"/>
                <w:color w:val="auto"/>
              </w:rPr>
            </w:pPr>
            <w:r>
              <w:rPr>
                <w:rFonts w:ascii="Arial" w:cs="Arial" w:eastAsia="Arial" w:hAnsi="Arial"/>
                <w:sz w:val="11"/>
                <w:szCs w:val="11"/>
                <w:b w:val="1"/>
                <w:bCs w:val="1"/>
                <w:color w:val="auto"/>
              </w:rPr>
              <w:t>2012</w:t>
            </w:r>
          </w:p>
        </w:tc>
        <w:tc>
          <w:tcPr>
            <w:tcW w:w="480" w:type="dxa"/>
            <w:vAlign w:val="bottom"/>
          </w:tcPr>
          <w:p>
            <w:pPr>
              <w:spacing w:after="0"/>
              <w:rPr>
                <w:sz w:val="10"/>
                <w:szCs w:val="10"/>
                <w:color w:val="auto"/>
              </w:rPr>
            </w:pPr>
          </w:p>
        </w:tc>
        <w:tc>
          <w:tcPr>
            <w:tcW w:w="540" w:type="dxa"/>
            <w:vAlign w:val="bottom"/>
            <w:tcBorders>
              <w:top w:val="single" w:sz="8" w:color="auto"/>
            </w:tcBorders>
          </w:tcPr>
          <w:p>
            <w:pPr>
              <w:jc w:val="right"/>
              <w:ind w:right="64"/>
              <w:spacing w:after="0" w:line="102" w:lineRule="exact"/>
              <w:rPr>
                <w:sz w:val="20"/>
                <w:szCs w:val="20"/>
                <w:color w:val="auto"/>
              </w:rPr>
            </w:pPr>
            <w:r>
              <w:rPr>
                <w:rFonts w:ascii="Arial" w:cs="Arial" w:eastAsia="Arial" w:hAnsi="Arial"/>
                <w:sz w:val="11"/>
                <w:szCs w:val="11"/>
                <w:b w:val="1"/>
                <w:bCs w:val="1"/>
                <w:color w:val="auto"/>
              </w:rPr>
              <w:t>2013</w:t>
            </w: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5"/>
              <w:spacing w:after="0" w:line="102" w:lineRule="exact"/>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MN-166</w:t>
            </w:r>
          </w:p>
        </w:tc>
        <w:tc>
          <w:tcPr>
            <w:tcW w:w="140" w:type="dxa"/>
            <w:vAlign w:val="bottom"/>
            <w:shd w:val="clear" w:color="auto" w:fill="CCEEFF"/>
          </w:tcPr>
          <w:p>
            <w:pPr>
              <w:spacing w:after="0"/>
              <w:rPr>
                <w:sz w:val="16"/>
                <w:szCs w:val="16"/>
                <w:color w:val="auto"/>
              </w:rPr>
            </w:pPr>
          </w:p>
        </w:tc>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Neurological disorders including opioid withdrawal, methamphetamine addiction,</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chronic MOH pain and MS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MN-221</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Acute exacerbations of asthma/COPD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Bronchial asthma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MN-029</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Solid tumors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Interstitial cystitis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MN-305</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Generalized anxiety disorder/insomnia</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MN-246</w:t>
            </w: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Urinary incontinence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MN-447</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Thrombotic disorders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MN-462</w:t>
            </w:r>
          </w:p>
        </w:tc>
        <w:tc>
          <w:tcPr>
            <w:tcW w:w="6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Thrombotic disorders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$ 2,428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00" w:type="dxa"/>
            <w:vAlign w:val="bottom"/>
            <w:gridSpan w:val="2"/>
            <w:vMerge w:val="restart"/>
          </w:tcPr>
          <w:p>
            <w:pPr>
              <w:jc w:val="right"/>
              <w:ind w:right="1442"/>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currently focusing our development activities on MN-166, a drug candidate for the treatment of neurological disorders, and on MN-221, a drug candidate for the treatment of acute exacerbations of asthma and chronic obstructive pulmonary disease, or COPD. Clinical development of MN-166 is ongoing in both methamphetamine addiction and opioid addiction with clinical trials being conducted by experts in both areas. A Phase 2 outpatient clinical trial of MN-166 in methamphetamine dependence, led by investigators at UCLA, has been funded by the National Institute of Drug Abuse, or NIDA. A second NIDA funded clinical trial of MN-166 in opioid abusers is currently ongoing with the investigators at Columbia University and the New York State Psychiatric Institute. In February 2013, we received Fast Track designation from the United States Food and Drug Administration, or FDA, for MN-166 in methamphetamine dependence. Fast Track designation is a process designed to facilitate development and expedite the review of drugs intended to treat serious diseases that have the potential to fill an unmet medical need. The FDA’s Fast Track program emphasizes early and frequent communication between the FDA and the sponsor throughout the development process to improve product development efficiency, potentially leading to a shortened timeline to ultimate drug approval. A Phase 1b clinical trial of MN-166 in methamphetamine dependence at UCLA and funded by NIDA was completed in June, 2013, and a Phase 1b/2a clinical trial of MN-166 for the treatment of opioid withdrawal and analgesia led by investigators at Columbia University and New York State Psychiatric Institute and funded by NIDA was completed in 2010. In July, 2013 we announced the funding and regulatory approvals of a National Institute of Health, or NIH, based grant for a Phase 2b trial of MN-166 for patients with progressive multiple sclerosis. In August 2013 we announced that the National Institute on Alcohol Abuse and Alcoholism, or NIAAA, a part of the NIH, will fund a clinical trial of MN-166 for alcohol dependence to be conducted at UCLA. Regarding MN-221, future development is being considered according to feedback received from the FDA in October 2012.</w:t>
      </w:r>
    </w:p>
    <w:p>
      <w:pPr>
        <w:spacing w:after="0" w:line="126"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We expect our research and development expenses related to the remainder of our existing product candidates to remain low in the foreseeable future as we continue to limit our expenditures on these product candidates to only those activities deemed necessary to maintain our license rights or to maximize their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or to raise additional capital to support our product development programs or otherwise in connection with increased business development activities related to partnering, out-licensing or product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income primarily consists of interest earned on our cash and cash equivalents. Other expense primarily consists of losses from the joint venture and net foreign exchange gains and losses related to vendor invoices denominated in foreign currencies. We held no debt and had no interest expense in 2012 or in the nine months ended September 30,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consolidated financial statements which have been prepared in accordance with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believe to be reasonable under the circumstances, the results of which form the basis for making judgments about the carrying values of assets and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may differ from these estimates.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significant accounting policies and estimates are the same as those noted in our Annual Report on Form 10-K for the year ended December 31, 2012, as filed with the SEC on March 28,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2013 and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for the three months ended September 30, 2013 was $0, a decrease of $0.1 million when compared to the three months ended September 30, 2012. The decrease in revenue was due to the completion of the Phase 1b/2a COPD clinical trial (MN 221-CL-012) in 2012 for which we recorded revenue related to the development services we performed under the Kissei services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Research and development expenses for the three months ended September 30, 2013 were $0.8 million, a decrease of $0.1 million when compared to $0.9 million for the three months ended September 30, 2012. This decrease in research and development expenses was due primarily to a decrease in spending on MN-221 development due to the completion of the CL-007 and CL-012 clinical trials in 2012, partially offset by an increase in spending on MN-166 development.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2013 were $1.5 million, a decrease of $0.1 million when compared to $1.6 million for the three months ended September 30, 2012. This decrease in general and administrative expenses was due primarily to a decrease in employee compensation and bonus expense.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Other expense for the three months ended September 30, 2013 was $0.4 thousand as compared to approximately $14 thousand for the three months ended September 30, 2012. Other expense consisted of losses from the joint venture accounted for under the equity method and net foreign exchange gains and losses related to vendor invoices denominated in foreign currencies.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Other income for the three months ended September 30, 2013 was approximately $8 thousand as compared to approximately $4 thousand for the three months ended September 30, 2012. Other income consists of interest income on our cash equivalents.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2013 and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Revenue for the nine months ended September 30, 2013 was $3.2 thousand, a decrease of $0.8 million when compared to $0.8 million for the nine months ended September 30, 2012. The decrease in revenue is due to the completion of the Phase 1b/2a COPD clinical trial (MN 221-CL-012) in 2012 for which we recorded revenue related to the development services we performed under the Kissei services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Research and development expenses for the nine months ended September 30, 2013 were $2.4 million, a decrease of $1.8 million when compared to $4.2 million for the nine months ended September 30, 2012. This decrease in research and development expenses was due primarily to a decrease in spending on MN-221 development due to the completion of the CL-007 and CL-012 clinical trials in 2012, partially offset by an increase in spending on MN-166 development.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2013 were $5.0 million, a decrease of $0.1 million when compared to $5.1 million for the nine months ended September 30, 2012. This decrease in general and administrative expenses was due primarily to a decrease in employee compensation and bonus expense.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Other expense for the nine months ended September 30, 2013 was approximately $6 thousand as compared to approximately $19 thousand for the nine months ended September 30, 2012. Other expense consisted of losses from the joint venture accounted for under the equity method and net foreign exchange gains and losses related to vendor invoices denominated in foreign currencies.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income for the nine months ended September 30, 2013 was approximately $14 thousand as compared to approximately $22 thousand for the nine months ended September 30, 2012. Other income consists of interest income on our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incurred losses of $2.2 million and $7.4 million for the three and nine months ended September 30, 2013, and $11.0 million for the year ended December 31, 2012. At September 30, 2013 our accumulated deficit was $303.7 million including $51.1 million of non-cash stock-based compensation charges. We have used net cash of $6.6 million and $11.9 million to fund our operating activities for the nine months ended September 30, 2013 and for the year ended December 31, 2012, respectively. Our operating losses to date have been funded primarily through the private placement of our equity securities, the public sale of our common stock, long-term debt, development agreements with partners and the exercise of warrants. As of September 30, 2013, we had available cash and cash equivalents of $10.7 million and working capital of $9.9 million.</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2011, pursuant to a stock purchase agreement by and between us and Kissei, Kissei purchased (i) an aggregate of 800,000 shares of our common stock, par value $0.001 per share, at a price of $2.50 per share, and (ii) 220,000 shares of our Series B Preferred, par value $0.01 per share, at a price of $25.00 per share. We received gross proceeds of $7.5 million related to this purchase agreement.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are responsible for all costs incurred and to be incurred in the performance of these services. The amount received from Kissei, net of the amount recorded as revenue to date, is included on the balance sheet as deferred revenue and will be recognized as revenue as we perform the remaining services. At September 30, 2013, our deferred revenue was $1.7 million and was classified entirely as long-term.</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20, 2012, we entered into a common stock purchase agreement with Aspire, pursuant to which we could sell our common stock to Aspire from time to time up to an aggregate of $20 million of our common stock over the two-year term of the agreement including $1 million in common stock purchased by Aspire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connection with execution of the agreement. No more than 3,231,096 shares of our common stock could be issued under this agreement, including 363,636 shares initially issued to Aspire in consideration of entering into the agreement. We could on any business day over the term of the agreement direct Aspire to purchase up to 50,000 shares, to a maximum of $500,000 per business day with a purchase price of the lower of the lowest sale price of our common stock on the date of the sale, or the average of the three lowest closing stock prices during the 12 consecutive business days ending on the business day immediately preceding the purchase date. In addition, we could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Between August 20, 2012 and September 30, 2013, we generated gross proceeds of $5.4 million under this agreement. We have made no sales of our common stock to Aspire subsequent to September 30, 2013 and we terminated the common stock purchase agreement with Aspire on October 17, 2013.</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17, 2013, we entered into an at-the-market equity distribution agreement with MCUSA pursuant to which we could sell our common stock through MCUSA from time to time up to an aggregate offering price of $6 million. Under the terms of the agreement, no daily sale of an amount of shares of our common stock was to exceed the lower of $50,000 or 10% of the lower of the 5-day or 3-month average daily traded value of our common stock as of the date of the applicable issuance notice. The price per share may not be less than the greater of $1.19 or the last available closing price of a share of common stock on NASDAQ. MCUSA agreed to use its commercially reasonable efforts consistent with its customary trading and sales practices and applicable laws, rules and regulations to sell shares of our common stock and may sell such shares by any method permitted by law deemed to be “at the market”. We agreed to pay MCUSA an aggregate commission rate of 8.0% of the gross proceeds of any common stock sold under the agreement. Between April 17, 2013 and September 30, 2013, we completed all available sales totaling 1,936,237 shares of common stock and generated gross and net proceeds of $6.0 million and $5.5 million, respectively, under the agreement with MCUSA.</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May 9, 2013, we entered into a securities purchase agreement with certain accredited investors (the “Purchase Agreement”) pursuant to which we agreed to sell to the investors 1,158,730 shares of our common stock at a price of $3.15 per share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The Purchase Agreement includes representations, warranties, covenants and closing conditions customary for transactions of this type. In connection with the purchase by an affiliated investor of 158,730 shares of our common stock and a warrant to purchase 119,047 shares of our common stock, on May 29, 2013 the investor provided $51,389 additional consideration for the shares and the warrant, and the investor and we amended the warrant to reflect an exercise price of $3.38 per share.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be greater than the lower of $50,000 and 10% of the lower of the 5-day or 3-month average daily traded value of our common stock on NASDAQ (unless 10% of the lower of the 5-day or 3-month average daily traded value of our common stock on the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current cash and cash equivalents are our principal sources of liquidity. We utilize our cash and cash equivalents to fund our operations, including research and development of our product development candidates and clinical trials. As of September 30, 2013, we had available cash and cash equivalents of $10.7 million and working capital of $9.9 million. While there can be no assurances given, we believe our working capital at September 30, 2013 will be sufficient to fund our operations for at least the next 12 months, assuming that we operate our business in accordance with our current operating plan. This belief is based on assumptions that could prove to be wrong, and we could utilize our available working capital sooner than we currently expect. We have had, and continue to have, an ongoing need to raise additional cash from outside sources to fund our operations. We have a history of raising capital through equity and debt, and management plans to continue its efforts to finance operations with equity issuances, debt arrangements, or a combination thereof. If adequate funds are not available, we might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various risks and uncertainties associated with development and commercialization of our products, we are unable to estimate the amount of our future working capital requirements. These requirements will depend on many factors, including, but not limited to:</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September 30, 2013,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and cash equivalents as of September 30, 2013 were $10.7 million and were primarily invested in money market interest bearing accounts and money market funds. A hypothetical 10% adverse change in the average interest rate on our cash and cash equivalents would have had no material effect on net loss for the nine months ended September 30, 2013.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involved in any material legal proceedings as of September 30, 2013.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2012,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2012 other than the addition of the following risk factor:</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The sale of additional common stock to Macquarie Capital (USA) Inc.) may cause substantial dilution to our existing shareholders and/or the price of our common stock to decline.</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Pursuant to the at-the-market equity distribution agreement with MCUSA dated October16, 2013, we may sell additional shares of our common stock to MCUSA. Depending upon market liquidity at the time, sales of shares of our common stock under the agreement may cause the trading price of our common stock to decline and may result in substantial dilution to the interests of other holders of our common stock. The sale of a substantial number of shares of our common stock to MCUSA, or anticipation of such sales, could make it more difficult for us to sell equity or equity-related securities in the future at a time and at a price that we might otherwise wish to effect sales.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161"/>
        </w:trPr>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8"/>
              </w:rPr>
              <w:t>Severance</w:t>
            </w:r>
          </w:p>
        </w:tc>
        <w:tc>
          <w:tcPr>
            <w:tcW w:w="9240" w:type="dxa"/>
            <w:vAlign w:val="bottom"/>
          </w:tcPr>
          <w:p>
            <w:pPr>
              <w:jc w:val="right"/>
              <w:spacing w:after="0" w:line="201" w:lineRule="exact"/>
              <w:rPr>
                <w:sz w:val="20"/>
                <w:szCs w:val="20"/>
                <w:color w:val="auto"/>
              </w:rPr>
            </w:pPr>
            <w:r>
              <w:rPr>
                <w:rFonts w:ascii="Arial" w:cs="Arial" w:eastAsia="Arial" w:hAnsi="Arial"/>
                <w:sz w:val="18"/>
                <w:szCs w:val="18"/>
                <w:color w:val="auto"/>
                <w:w w:val="87"/>
              </w:rPr>
              <w:t>Agreement and Release, dated as of September 25, 2013, by and between the Registrant and Kirk Johnson, Ph.D. (incorporated by</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reference to Exhibit 10.1 to the Registrant’s Current Report on Form 8-K filed September 26, 2013).</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Equity Distribution Agreement between the Registrant and Macquarie Capital (USA) Inc., dated October 16, 2013 (incorporated by reference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to Exhibit 10.1 to the Registrant’s Current Report on From 8-K filed October 16, 2013).</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Form of Notice of Stock Option Grant and Stock Option Agreement for awards pursuant to the 2013 Equity Incentive Plan.</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September 30,</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2013.</w:t>
            </w:r>
          </w:p>
        </w:tc>
        <w:tc>
          <w:tcPr>
            <w:tcW w:w="9240" w:type="dxa"/>
            <w:vAlign w:val="bottom"/>
          </w:tcPr>
          <w:p>
            <w:pPr>
              <w:spacing w:after="0"/>
              <w:rPr>
                <w:sz w:val="19"/>
                <w:szCs w:val="19"/>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September 30,</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2013.</w:t>
            </w:r>
          </w:p>
        </w:tc>
        <w:tc>
          <w:tcPr>
            <w:tcW w:w="9240" w:type="dxa"/>
            <w:vAlign w:val="bottom"/>
          </w:tcPr>
          <w:p>
            <w:pPr>
              <w:spacing w:after="0"/>
              <w:rPr>
                <w:sz w:val="19"/>
                <w:szCs w:val="19"/>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20" w:type="dxa"/>
            <w:vAlign w:val="bottom"/>
            <w:gridSpan w:val="3"/>
          </w:tcPr>
          <w:p>
            <w:pPr>
              <w:jc w:val="right"/>
              <w:ind w:right="5472"/>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ind w:left="1520" w:hanging="1512"/>
        <w:spacing w:after="0" w:line="329"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following financial statements from the MediciNova, Inc. Quarterly Report on Form 10-Q for the quarter ended September 30, 2013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940" w:val="left"/>
          <w:tab w:leader="none" w:pos="8220" w:val="left"/>
          <w:tab w:leader="none" w:pos="856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Yuichi Iwaki, M.D., Ph.D.</w:t>
      </w:r>
    </w:p>
    <w:p>
      <w:pPr>
        <w:jc w:val="center"/>
        <w:ind w:left="64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960"/>
        <w:spacing w:after="0"/>
        <w:tabs>
          <w:tab w:leader="none" w:pos="798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Michael Gennaro</w:t>
      </w:r>
    </w:p>
    <w:p>
      <w:pPr>
        <w:jc w:val="center"/>
        <w:ind w:left="640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80"/>
          </w:cols>
          <w:pgMar w:left="240" w:top="459" w:right="8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tcPr>
          <w:p>
            <w:pPr>
              <w:ind w:left="29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20" w:type="dxa"/>
            <w:vAlign w:val="bottom"/>
          </w:tcPr>
          <w:p>
            <w:pPr>
              <w:spacing w:after="0"/>
              <w:rPr>
                <w:sz w:val="24"/>
                <w:szCs w:val="24"/>
                <w:color w:val="auto"/>
              </w:rPr>
            </w:pPr>
          </w:p>
        </w:tc>
      </w:tr>
      <w:tr>
        <w:trPr>
          <w:trHeight w:val="161"/>
        </w:trPr>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68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8"/>
              </w:rPr>
              <w:t>Severance</w:t>
            </w:r>
          </w:p>
        </w:tc>
        <w:tc>
          <w:tcPr>
            <w:tcW w:w="9520" w:type="dxa"/>
            <w:vAlign w:val="bottom"/>
          </w:tcPr>
          <w:p>
            <w:pPr>
              <w:ind w:left="60"/>
              <w:spacing w:after="0" w:line="201" w:lineRule="exact"/>
              <w:rPr>
                <w:sz w:val="20"/>
                <w:szCs w:val="20"/>
                <w:color w:val="auto"/>
              </w:rPr>
            </w:pPr>
            <w:r>
              <w:rPr>
                <w:rFonts w:ascii="Arial" w:cs="Arial" w:eastAsia="Arial" w:hAnsi="Arial"/>
                <w:sz w:val="18"/>
                <w:szCs w:val="18"/>
                <w:color w:val="auto"/>
                <w:w w:val="89"/>
              </w:rPr>
              <w:t>Agreement and Release, dated as of September 25, 2013, by and between the Registrant and Kirk Johnson, Ph.D. (incorporated by</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reference to Exhibit 10.1 to the Registrant’s Current Report on Form 8-K filed September 26, 2013).</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Equity Distribution Agreement between the Registrant and Macquarie Capital (USA) Inc., dated October 16, 2013 (incorporated by reference to</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Exhibit 10.1 to the Registrant’s Current Report on From 8-K filed October 16, 2013).</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Notice of Stock Option Grant and Stock Option Agreement for awards pursuant to the 2013 Equity Incentive Plan.</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Executive Officer pursuant to Section 302 of the Sarbanes-Oxley Act of 2002 for the period ended September 30, 2013.</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 2013.</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6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102" w:lineRule="exact"/>
        <w:rPr>
          <w:sz w:val="20"/>
          <w:szCs w:val="20"/>
          <w:color w:val="auto"/>
        </w:rPr>
      </w:pPr>
    </w:p>
    <w:p>
      <w:pPr>
        <w:ind w:left="1180" w:right="60" w:hanging="1172"/>
        <w:spacing w:after="0" w:line="306"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September 30, 2013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MediciNova,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2013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Optionholder an option to purchase the number of shares of the Company’s Common Stock set forth below. This option is subject to all of the terms and conditions as set forth in this Stock Option Grant Notice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herein and the Plan, the terms of the Plan will control.</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701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40" w:type="dxa"/>
            <w:vAlign w:val="bottom"/>
          </w:tcPr>
          <w:p>
            <w:pPr>
              <w:spacing w:after="0"/>
              <w:rPr>
                <w:sz w:val="20"/>
                <w:szCs w:val="20"/>
                <w:color w:val="auto"/>
              </w:rPr>
            </w:pPr>
            <w:r>
              <w:rPr>
                <w:rFonts w:ascii="Arial" w:cs="Arial" w:eastAsia="Arial" w:hAnsi="Arial"/>
                <w:sz w:val="18"/>
                <w:szCs w:val="18"/>
                <w:b w:val="1"/>
                <w:bCs w:val="1"/>
                <w:color w:val="auto"/>
              </w:rPr>
              <w:t>Typeof Grant:</w:t>
            </w:r>
          </w:p>
        </w:tc>
        <w:tc>
          <w:tcPr>
            <w:tcW w:w="32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1"/>
                <w:szCs w:val="11"/>
                <w:color w:val="auto"/>
              </w:rPr>
              <w:t>1</w:t>
            </w:r>
          </w:p>
        </w:tc>
        <w:tc>
          <w:tcPr>
            <w:tcW w:w="6500" w:type="dxa"/>
            <w:vAlign w:val="bottom"/>
          </w:tcPr>
          <w:p>
            <w:pPr>
              <w:ind w:left="10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304"/>
        </w:trPr>
        <w:tc>
          <w:tcPr>
            <w:tcW w:w="1640" w:type="dxa"/>
            <w:vAlign w:val="bottom"/>
          </w:tcPr>
          <w:p>
            <w:pPr>
              <w:spacing w:after="0"/>
              <w:rPr>
                <w:sz w:val="20"/>
                <w:szCs w:val="20"/>
                <w:color w:val="auto"/>
              </w:rPr>
            </w:pPr>
            <w:r>
              <w:rPr>
                <w:rFonts w:ascii="Arial" w:cs="Arial" w:eastAsia="Arial" w:hAnsi="Arial"/>
                <w:sz w:val="18"/>
                <w:szCs w:val="18"/>
                <w:b w:val="1"/>
                <w:bCs w:val="1"/>
                <w:color w:val="auto"/>
              </w:rPr>
              <w:t>ExerciseSchedule</w:t>
            </w:r>
            <w:r>
              <w:rPr>
                <w:rFonts w:ascii="Arial" w:cs="Arial" w:eastAsia="Arial" w:hAnsi="Arial"/>
                <w:sz w:val="18"/>
                <w:szCs w:val="18"/>
                <w:color w:val="auto"/>
              </w:rPr>
              <w:t>:</w:t>
            </w:r>
          </w:p>
        </w:tc>
        <w:tc>
          <w:tcPr>
            <w:tcW w:w="3260" w:type="dxa"/>
            <w:vAlign w:val="bottom"/>
          </w:tcPr>
          <w:p>
            <w:pPr>
              <w:ind w:left="280"/>
              <w:spacing w:after="0"/>
              <w:rPr>
                <w:sz w:val="20"/>
                <w:szCs w:val="20"/>
                <w:color w:val="auto"/>
              </w:rPr>
            </w:pPr>
            <w:r>
              <w:rPr>
                <w:rFonts w:ascii="Arial" w:cs="Arial" w:eastAsia="Arial" w:hAnsi="Arial"/>
                <w:sz w:val="18"/>
                <w:szCs w:val="18"/>
                <w:color w:val="auto"/>
              </w:rPr>
              <w:t>Same as Vesting Schedule</w:t>
            </w:r>
          </w:p>
        </w:tc>
        <w:tc>
          <w:tcPr>
            <w:tcW w:w="6500" w:type="dxa"/>
            <w:vAlign w:val="bottom"/>
          </w:tcPr>
          <w:p>
            <w:pPr>
              <w:spacing w:after="0"/>
              <w:rPr>
                <w:sz w:val="24"/>
                <w:szCs w:val="24"/>
                <w:color w:val="auto"/>
              </w:rPr>
            </w:pPr>
          </w:p>
        </w:tc>
      </w:tr>
      <w:tr>
        <w:trPr>
          <w:trHeight w:val="318"/>
        </w:trPr>
        <w:tc>
          <w:tcPr>
            <w:tcW w:w="1640" w:type="dxa"/>
            <w:vAlign w:val="bottom"/>
          </w:tcPr>
          <w:p>
            <w:pPr>
              <w:spacing w:after="0"/>
              <w:rPr>
                <w:sz w:val="20"/>
                <w:szCs w:val="20"/>
                <w:color w:val="auto"/>
              </w:rPr>
            </w:pPr>
            <w:r>
              <w:rPr>
                <w:rFonts w:ascii="Arial" w:cs="Arial" w:eastAsia="Arial" w:hAnsi="Arial"/>
                <w:sz w:val="18"/>
                <w:szCs w:val="18"/>
                <w:b w:val="1"/>
                <w:bCs w:val="1"/>
                <w:color w:val="auto"/>
              </w:rPr>
              <w:t>VestingSchedule</w:t>
            </w:r>
            <w:r>
              <w:rPr>
                <w:rFonts w:ascii="Arial" w:cs="Arial" w:eastAsia="Arial" w:hAnsi="Arial"/>
                <w:sz w:val="18"/>
                <w:szCs w:val="18"/>
                <w:color w:val="auto"/>
              </w:rPr>
              <w:t>:</w:t>
            </w:r>
          </w:p>
        </w:tc>
        <w:tc>
          <w:tcPr>
            <w:tcW w:w="9760" w:type="dxa"/>
            <w:vAlign w:val="bottom"/>
            <w:gridSpan w:val="2"/>
          </w:tcPr>
          <w:p>
            <w:pPr>
              <w:ind w:left="280"/>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The shares vest in a series of forty-eight (48) successive equal monthly installments measured from the Vesting Commencement Date,</w:t>
            </w:r>
          </w:p>
        </w:tc>
      </w:tr>
      <w:tr>
        <w:trPr>
          <w:trHeight w:val="222"/>
        </w:trPr>
        <w:tc>
          <w:tcPr>
            <w:tcW w:w="1640" w:type="dxa"/>
            <w:vAlign w:val="bottom"/>
          </w:tcPr>
          <w:p>
            <w:pPr>
              <w:spacing w:after="0"/>
              <w:rPr>
                <w:sz w:val="19"/>
                <w:szCs w:val="19"/>
                <w:color w:val="auto"/>
              </w:rPr>
            </w:pPr>
          </w:p>
        </w:tc>
        <w:tc>
          <w:tcPr>
            <w:tcW w:w="9760" w:type="dxa"/>
            <w:vAlign w:val="bottom"/>
            <w:gridSpan w:val="2"/>
          </w:tcPr>
          <w:p>
            <w:pPr>
              <w:ind w:left="280"/>
              <w:spacing w:after="0"/>
              <w:rPr>
                <w:sz w:val="20"/>
                <w:szCs w:val="20"/>
                <w:color w:val="auto"/>
              </w:rPr>
            </w:pPr>
            <w:r>
              <w:rPr>
                <w:rFonts w:ascii="Arial" w:cs="Arial" w:eastAsia="Arial" w:hAnsi="Arial"/>
                <w:sz w:val="18"/>
                <w:szCs w:val="18"/>
                <w:color w:val="auto"/>
                <w:w w:val="88"/>
              </w:rPr>
              <w:t>subject to Optionholder’s Continuous Service as of each such date.] OR [Insert alternative vesting schedule and criteria, as applicable.]</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9760" w:type="dxa"/>
            <w:vAlign w:val="bottom"/>
            <w:gridSpan w:val="2"/>
          </w:tcPr>
          <w:p>
            <w:pPr>
              <w:ind w:left="28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bl>
    <w:p>
      <w:pPr>
        <w:spacing w:after="0" w:line="102" w:lineRule="exact"/>
        <w:rPr>
          <w:sz w:val="20"/>
          <w:szCs w:val="20"/>
          <w:color w:val="auto"/>
        </w:rPr>
      </w:pPr>
    </w:p>
    <w:p>
      <w:pPr>
        <w:ind w:left="2360" w:hanging="434"/>
        <w:spacing w:after="0"/>
        <w:tabs>
          <w:tab w:leader="none" w:pos="2360" w:val="left"/>
        </w:tabs>
        <w:numPr>
          <w:ilvl w:val="1"/>
          <w:numId w:val="10"/>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3" w:lineRule="exact"/>
        <w:rPr>
          <w:rFonts w:ascii="MS PGothic" w:cs="MS PGothic" w:eastAsia="MS PGothic" w:hAnsi="MS PGothic"/>
          <w:sz w:val="18"/>
          <w:szCs w:val="18"/>
          <w:color w:val="auto"/>
        </w:rPr>
      </w:pPr>
    </w:p>
    <w:p>
      <w:pPr>
        <w:ind w:left="2360" w:hanging="434"/>
        <w:spacing w:after="0"/>
        <w:tabs>
          <w:tab w:leader="none" w:pos="2360" w:val="left"/>
        </w:tabs>
        <w:numPr>
          <w:ilvl w:val="1"/>
          <w:numId w:val="10"/>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2360" w:hanging="434"/>
        <w:spacing w:after="0"/>
        <w:tabs>
          <w:tab w:leader="none" w:pos="2360" w:val="left"/>
        </w:tabs>
        <w:numPr>
          <w:ilvl w:val="1"/>
          <w:numId w:val="10"/>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9" w:lineRule="exact"/>
        <w:rPr>
          <w:rFonts w:ascii="MS PGothic" w:cs="MS PGothic" w:eastAsia="MS PGothic" w:hAnsi="MS PGothic"/>
          <w:sz w:val="18"/>
          <w:szCs w:val="18"/>
          <w:color w:val="auto"/>
        </w:rPr>
      </w:pPr>
    </w:p>
    <w:p>
      <w:pPr>
        <w:ind w:left="2360" w:right="660" w:hanging="434"/>
        <w:spacing w:after="0" w:line="252" w:lineRule="auto"/>
        <w:tabs>
          <w:tab w:leader="none" w:pos="2353" w:val="left"/>
        </w:tabs>
        <w:numPr>
          <w:ilvl w:val="1"/>
          <w:numId w:val="10"/>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11" w:lineRule="exact"/>
        <w:rPr>
          <w:rFonts w:ascii="MS PGothic" w:cs="MS PGothic" w:eastAsia="MS PGothic" w:hAnsi="MS PGothic"/>
          <w:sz w:val="18"/>
          <w:szCs w:val="18"/>
          <w:color w:val="auto"/>
        </w:rPr>
      </w:pPr>
    </w:p>
    <w:p>
      <w:pPr>
        <w:ind w:left="220" w:right="120" w:hanging="216"/>
        <w:spacing w:after="0" w:line="239" w:lineRule="auto"/>
        <w:rPr>
          <w:rFonts w:ascii="MS PGothic" w:cs="MS PGothic" w:eastAsia="MS PGothic" w:hAnsi="MS PGothic"/>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8" w:name="page29"/>
    <w:bookmarkEnd w:id="28"/>
    <w:p>
      <w:pPr>
        <w:ind w:right="180" w:firstLine="456"/>
        <w:spacing w:after="0" w:line="31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Additional Terms/Acknowledgements: </w:t>
      </w:r>
      <w:r>
        <w:rPr>
          <w:rFonts w:ascii="Arial" w:cs="Arial" w:eastAsia="Arial" w:hAnsi="Arial"/>
          <w:sz w:val="15"/>
          <w:szCs w:val="15"/>
          <w:color w:val="auto"/>
        </w:rPr>
        <w:t>Optionholder acknowledges receipt of, and understands and agrees to, this Grant Notice, the Option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Plan. Optionholder acknowledges and agrees that this Grant Notice and the Option Agreement may not be modified, amended or revised except as provided in the Plan. By accepting this option, Optionholder consents to receive such documents by electronic delivery and to participate in the Plan through an on-line or electronic system established and maintained by the Company or another third party designated by the Company. Optionholder further acknowledges that as of the Date of Grant, this Grant Notice, the Option Agreement, and the Plan set forth the entire understanding between Optionholder and the Company regarding the acquisition of stock in the Company and supersede all prior oral and written agreements, promises and/or representations on that subject with the exception of (i) options or other compensatory stock awards previously granted and delivered to Optionholder, and (ii) the following agreements only.</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177800</wp:posOffset>
            </wp:positionV>
            <wp:extent cx="3713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1348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14605</wp:posOffset>
            </wp:positionV>
            <wp:extent cx="3713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4"/>
        </w:trPr>
        <w:tc>
          <w:tcPr>
            <w:tcW w:w="5580" w:type="dxa"/>
            <w:vAlign w:val="bottom"/>
            <w:gridSpan w:val="2"/>
          </w:tcPr>
          <w:p>
            <w:pPr>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Borders>
              <w:top w:val="single" w:sz="8" w:color="auto"/>
              <w:bottom w:val="single" w:sz="8" w:color="auto"/>
            </w:tcBorders>
            <w:vMerge w:val="restart"/>
          </w:tcPr>
          <w:p>
            <w:pPr>
              <w:ind w:left="168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00" w:type="dxa"/>
            <w:vAlign w:val="bottom"/>
          </w:tcPr>
          <w:p>
            <w:pPr>
              <w:ind w:left="1760"/>
              <w:spacing w:after="0" w:line="203"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640" w:right="4740" w:hanging="5183"/>
        <w:spacing w:after="0" w:line="447"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2013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this Option Agreement (this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MediciNova,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2013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84"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will vest as provided in your Grant Notice. Vesting will cease upon the termination of your Continuous Service.</w:t>
      </w:r>
    </w:p>
    <w:p>
      <w:pPr>
        <w:spacing w:after="0" w:line="171" w:lineRule="exact"/>
        <w:rPr>
          <w:rFonts w:ascii="Arial" w:cs="Arial" w:eastAsia="Arial" w:hAnsi="Arial"/>
          <w:sz w:val="18"/>
          <w:szCs w:val="18"/>
          <w:b w:val="1"/>
          <w:bCs w:val="1"/>
          <w:color w:val="auto"/>
        </w:rPr>
      </w:pPr>
    </w:p>
    <w:p>
      <w:pPr>
        <w:ind w:right="100" w:firstLine="464"/>
        <w:spacing w:after="0" w:line="275" w:lineRule="auto"/>
        <w:tabs>
          <w:tab w:leader="none" w:pos="6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will be adjusted for Capitalization Adjustments.</w:t>
      </w:r>
    </w:p>
    <w:p>
      <w:pPr>
        <w:spacing w:after="0" w:line="119" w:lineRule="exact"/>
        <w:rPr>
          <w:rFonts w:ascii="Arial" w:cs="Arial" w:eastAsia="Arial" w:hAnsi="Arial"/>
          <w:sz w:val="18"/>
          <w:szCs w:val="18"/>
          <w:b w:val="1"/>
          <w:bCs w:val="1"/>
          <w:color w:val="auto"/>
        </w:rPr>
      </w:pPr>
    </w:p>
    <w:p>
      <w:pPr>
        <w:ind w:right="20" w:firstLine="464"/>
        <w:spacing w:after="0" w:line="262" w:lineRule="auto"/>
        <w:tabs>
          <w:tab w:leader="none" w:pos="6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an Employee eligible for overtime compensation under the Fair Labor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(6) months of Continuous Service measured from the Date of Grant.</w:t>
      </w:r>
    </w:p>
    <w:p>
      <w:pPr>
        <w:spacing w:after="0" w:line="132" w:lineRule="exact"/>
        <w:rPr>
          <w:rFonts w:ascii="Arial" w:cs="Arial" w:eastAsia="Arial" w:hAnsi="Arial"/>
          <w:sz w:val="18"/>
          <w:szCs w:val="18"/>
          <w:b w:val="1"/>
          <w:bCs w:val="1"/>
          <w:color w:val="auto"/>
        </w:rPr>
      </w:pPr>
    </w:p>
    <w:p>
      <w:pPr>
        <w:ind w:right="120" w:firstLine="464"/>
        <w:spacing w:after="0" w:line="262" w:lineRule="auto"/>
        <w:tabs>
          <w:tab w:leader="none" w:pos="6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pay the full amount of the exercise price for the shares you wish to exercise. You may pay the exercise price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by check, bank draft or money order payable to the Company or in any other manner </w:t>
      </w:r>
      <w:r>
        <w:rPr>
          <w:rFonts w:ascii="Arial" w:cs="Arial" w:eastAsia="Arial" w:hAnsi="Arial"/>
          <w:sz w:val="18"/>
          <w:szCs w:val="18"/>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57" w:lineRule="exact"/>
        <w:rPr>
          <w:rFonts w:ascii="Arial" w:cs="Arial" w:eastAsia="Arial" w:hAnsi="Arial"/>
          <w:sz w:val="18"/>
          <w:szCs w:val="18"/>
          <w:b w:val="1"/>
          <w:bCs w:val="1"/>
          <w:color w:val="auto"/>
        </w:rPr>
      </w:pPr>
    </w:p>
    <w:p>
      <w:pPr>
        <w:jc w:val="both"/>
        <w:ind w:left="460" w:right="100" w:firstLine="443"/>
        <w:spacing w:after="0" w:line="256" w:lineRule="auto"/>
        <w:tabs>
          <w:tab w:leader="none" w:pos="1147"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62" w:lineRule="exact"/>
        <w:rPr>
          <w:rFonts w:ascii="Arial" w:cs="Arial" w:eastAsia="Arial" w:hAnsi="Arial"/>
          <w:sz w:val="18"/>
          <w:szCs w:val="18"/>
          <w:b w:val="1"/>
          <w:bCs w:val="1"/>
          <w:color w:val="auto"/>
        </w:rPr>
      </w:pPr>
    </w:p>
    <w:p>
      <w:pPr>
        <w:ind w:left="460" w:firstLine="443"/>
        <w:spacing w:after="0" w:line="254" w:lineRule="auto"/>
        <w:tabs>
          <w:tab w:leader="none" w:pos="1156"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63" w:lineRule="exact"/>
        <w:rPr>
          <w:rFonts w:ascii="Arial" w:cs="Arial" w:eastAsia="Arial" w:hAnsi="Arial"/>
          <w:sz w:val="18"/>
          <w:szCs w:val="18"/>
          <w:b w:val="1"/>
          <w:bCs w:val="1"/>
          <w:color w:val="auto"/>
        </w:rPr>
      </w:pPr>
    </w:p>
    <w:p>
      <w:pPr>
        <w:ind w:left="460" w:right="100" w:firstLine="443"/>
        <w:spacing w:after="0" w:line="291" w:lineRule="auto"/>
        <w:tabs>
          <w:tab w:leader="none" w:pos="1137" w:val="left"/>
        </w:tabs>
        <w:numPr>
          <w:ilvl w:val="1"/>
          <w:numId w:val="11"/>
        </w:numPr>
        <w:rPr>
          <w:rFonts w:ascii="Arial" w:cs="Arial" w:eastAsia="Arial" w:hAnsi="Arial"/>
          <w:sz w:val="16"/>
          <w:szCs w:val="16"/>
          <w:b w:val="1"/>
          <w:bCs w:val="1"/>
          <w:color w:val="auto"/>
        </w:rPr>
      </w:pPr>
      <w:r>
        <w:rPr>
          <w:rFonts w:ascii="Arial" w:cs="Arial" w:eastAsia="Arial" w:hAnsi="Arial"/>
          <w:sz w:val="16"/>
          <w:szCs w:val="16"/>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 w:name="page31"/>
    <w:bookmarkEnd w:id="30"/>
    <w:p>
      <w:pPr>
        <w:ind w:left="640" w:hanging="176"/>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171" w:lineRule="exact"/>
        <w:rPr>
          <w:rFonts w:ascii="Arial" w:cs="Arial" w:eastAsia="Arial" w:hAnsi="Arial"/>
          <w:sz w:val="18"/>
          <w:szCs w:val="18"/>
          <w:b w:val="1"/>
          <w:bCs w:val="1"/>
          <w:color w:val="auto"/>
        </w:rPr>
      </w:pPr>
    </w:p>
    <w:p>
      <w:pPr>
        <w:ind w:right="120" w:firstLine="464"/>
        <w:spacing w:after="0" w:line="296" w:lineRule="auto"/>
        <w:tabs>
          <w:tab w:leader="none" w:pos="63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ECURITIES</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may you exercise your option unless the shares of Common Stock issuable upon such exercise are then</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under the Securities Act or, if not registered, the Company has determined that such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07" w:lineRule="exact"/>
        <w:rPr>
          <w:rFonts w:ascii="Arial" w:cs="Arial" w:eastAsia="Arial" w:hAnsi="Arial"/>
          <w:sz w:val="16"/>
          <w:szCs w:val="16"/>
          <w:b w:val="1"/>
          <w:bCs w:val="1"/>
          <w:color w:val="auto"/>
        </w:rPr>
      </w:pPr>
    </w:p>
    <w:p>
      <w:pPr>
        <w:ind w:firstLine="464"/>
        <w:spacing w:after="0" w:line="275" w:lineRule="auto"/>
        <w:tabs>
          <w:tab w:leader="none" w:pos="6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Date of Grant or after the expiration of the option’s term. The term of your option expires,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Section 5(h) of the Plan, upon the earliest of the following:</w:t>
      </w:r>
    </w:p>
    <w:p>
      <w:pPr>
        <w:spacing w:after="0" w:line="44" w:lineRule="exact"/>
        <w:rPr>
          <w:rFonts w:ascii="Arial" w:cs="Arial" w:eastAsia="Arial" w:hAnsi="Arial"/>
          <w:sz w:val="18"/>
          <w:szCs w:val="18"/>
          <w:b w:val="1"/>
          <w:bCs w:val="1"/>
          <w:color w:val="auto"/>
        </w:rPr>
      </w:pPr>
    </w:p>
    <w:p>
      <w:pPr>
        <w:ind w:left="1160" w:hanging="257"/>
        <w:spacing w:after="0"/>
        <w:tabs>
          <w:tab w:leader="none" w:pos="11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90" w:lineRule="exact"/>
        <w:rPr>
          <w:rFonts w:ascii="Arial" w:cs="Arial" w:eastAsia="Arial" w:hAnsi="Arial"/>
          <w:sz w:val="18"/>
          <w:szCs w:val="18"/>
          <w:b w:val="1"/>
          <w:bCs w:val="1"/>
          <w:color w:val="auto"/>
        </w:rPr>
      </w:pPr>
    </w:p>
    <w:p>
      <w:pPr>
        <w:ind w:left="460" w:right="140" w:firstLine="443"/>
        <w:spacing w:after="0" w:line="286" w:lineRule="auto"/>
        <w:tabs>
          <w:tab w:leader="none" w:pos="1156"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 xml:space="preserve">three (3) months after the termination of your Continuous Service for any reason other than Cause, your Disability or your death (except as otherwise provided in Section 7(d)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if during any part of such three (3) month period, the sale of any Common Stock received upon exercise of your option would violate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46" w:lineRule="exact"/>
        <w:rPr>
          <w:rFonts w:ascii="Arial" w:cs="Arial" w:eastAsia="Arial" w:hAnsi="Arial"/>
          <w:sz w:val="16"/>
          <w:szCs w:val="16"/>
          <w:b w:val="1"/>
          <w:bCs w:val="1"/>
          <w:color w:val="auto"/>
        </w:rPr>
      </w:pPr>
    </w:p>
    <w:p>
      <w:pPr>
        <w:ind w:left="1140" w:hanging="237"/>
        <w:spacing w:after="0"/>
        <w:tabs>
          <w:tab w:leader="none" w:pos="114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twelve (12) months after the termination of your Continuous Service due to your Disability (except as otherwise provided in Section 7(d)) below;</w:t>
      </w:r>
    </w:p>
    <w:p>
      <w:pPr>
        <w:spacing w:after="0" w:line="113" w:lineRule="exact"/>
        <w:rPr>
          <w:rFonts w:ascii="Arial" w:cs="Arial" w:eastAsia="Arial" w:hAnsi="Arial"/>
          <w:sz w:val="16"/>
          <w:szCs w:val="16"/>
          <w:b w:val="1"/>
          <w:bCs w:val="1"/>
          <w:color w:val="auto"/>
        </w:rPr>
      </w:pPr>
    </w:p>
    <w:p>
      <w:pPr>
        <w:ind w:left="460" w:right="100" w:firstLine="443"/>
        <w:spacing w:after="0" w:line="268" w:lineRule="auto"/>
        <w:tabs>
          <w:tab w:leader="none" w:pos="1156"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 for any reason other than Cause;</w:t>
      </w:r>
    </w:p>
    <w:p>
      <w:pPr>
        <w:spacing w:after="0" w:line="50" w:lineRule="exact"/>
        <w:rPr>
          <w:rFonts w:ascii="Arial" w:cs="Arial" w:eastAsia="Arial" w:hAnsi="Arial"/>
          <w:sz w:val="18"/>
          <w:szCs w:val="18"/>
          <w:b w:val="1"/>
          <w:bCs w:val="1"/>
          <w:color w:val="auto"/>
        </w:rPr>
      </w:pPr>
    </w:p>
    <w:p>
      <w:pPr>
        <w:ind w:left="1140" w:hanging="237"/>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90" w:lineRule="exact"/>
        <w:rPr>
          <w:rFonts w:ascii="Arial" w:cs="Arial" w:eastAsia="Arial" w:hAnsi="Arial"/>
          <w:sz w:val="18"/>
          <w:szCs w:val="18"/>
          <w:b w:val="1"/>
          <w:bCs w:val="1"/>
          <w:color w:val="auto"/>
        </w:rPr>
      </w:pPr>
    </w:p>
    <w:p>
      <w:pPr>
        <w:ind w:left="1120" w:hanging="217"/>
        <w:spacing w:after="0"/>
        <w:tabs>
          <w:tab w:leader="none" w:pos="11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14"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1160" w:hanging="257"/>
        <w:spacing w:after="0"/>
        <w:tabs>
          <w:tab w:leader="none" w:pos="1160" w:val="left"/>
        </w:tabs>
        <w:numPr>
          <w:ilvl w:val="1"/>
          <w:numId w:val="13"/>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w:t>
      </w:r>
    </w:p>
    <w:p>
      <w:pPr>
        <w:spacing w:after="0" w:line="38" w:lineRule="exact"/>
        <w:rPr>
          <w:rFonts w:ascii="Arial" w:cs="Arial" w:eastAsia="Arial" w:hAnsi="Arial"/>
          <w:sz w:val="16"/>
          <w:szCs w:val="16"/>
          <w:b w:val="1"/>
          <w:bCs w:val="1"/>
          <w:color w:val="auto"/>
        </w:rPr>
      </w:pPr>
    </w:p>
    <w:p>
      <w:pPr>
        <w:ind w:left="460" w:right="5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(i) delivering a Notice of Exercise (in a form designated by the Company) or completing such other documents and/or procedures designated by the Company for exercise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1" w:name="page32"/>
    <w:bookmarkEnd w:id="31"/>
    <w:p>
      <w:pPr>
        <w:ind w:left="42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51" w:lineRule="exact"/>
        <w:rPr>
          <w:sz w:val="20"/>
          <w:szCs w:val="20"/>
          <w:color w:val="auto"/>
        </w:rPr>
      </w:pPr>
    </w:p>
    <w:p>
      <w:pPr>
        <w:ind w:left="420" w:right="200" w:firstLine="443"/>
        <w:spacing w:after="0" w:line="256" w:lineRule="auto"/>
        <w:tabs>
          <w:tab w:leader="none" w:pos="1116"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62" w:lineRule="exact"/>
        <w:rPr>
          <w:rFonts w:ascii="Arial" w:cs="Arial" w:eastAsia="Arial" w:hAnsi="Arial"/>
          <w:sz w:val="18"/>
          <w:szCs w:val="18"/>
          <w:b w:val="1"/>
          <w:bCs w:val="1"/>
          <w:color w:val="auto"/>
        </w:rPr>
      </w:pPr>
    </w:p>
    <w:p>
      <w:pPr>
        <w:ind w:left="1100" w:hanging="237"/>
        <w:spacing w:after="0"/>
        <w:tabs>
          <w:tab w:leader="none" w:pos="110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If your option is an Incentive Stock Option, by exercising your option you agree that you will notify the Company in writing within fifteen</w:t>
      </w:r>
    </w:p>
    <w:p>
      <w:pPr>
        <w:spacing w:after="0" w:line="38" w:lineRule="exact"/>
        <w:rPr>
          <w:rFonts w:ascii="Arial" w:cs="Arial" w:eastAsia="Arial" w:hAnsi="Arial"/>
          <w:sz w:val="16"/>
          <w:szCs w:val="16"/>
          <w:b w:val="1"/>
          <w:bCs w:val="1"/>
          <w:color w:val="auto"/>
        </w:rPr>
      </w:pPr>
    </w:p>
    <w:p>
      <w:pPr>
        <w:ind w:left="420" w:right="180" w:firstLine="4"/>
        <w:spacing w:after="0" w:line="323" w:lineRule="auto"/>
        <w:tabs>
          <w:tab w:leader="none" w:pos="7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87" w:lineRule="exact"/>
        <w:rPr>
          <w:sz w:val="20"/>
          <w:szCs w:val="20"/>
          <w:color w:val="auto"/>
        </w:rPr>
      </w:pPr>
    </w:p>
    <w:p>
      <w:pPr>
        <w:ind w:left="-40" w:right="620" w:firstLine="464"/>
        <w:spacing w:after="0" w:line="275" w:lineRule="auto"/>
        <w:tabs>
          <w:tab w:leader="none" w:pos="58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Section 9, your option is not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is exercisable during your life only by you.</w:t>
      </w:r>
    </w:p>
    <w:p>
      <w:pPr>
        <w:spacing w:after="0" w:line="38" w:lineRule="exact"/>
        <w:rPr>
          <w:rFonts w:ascii="Arial" w:cs="Arial" w:eastAsia="Arial" w:hAnsi="Arial"/>
          <w:sz w:val="18"/>
          <w:szCs w:val="18"/>
          <w:b w:val="1"/>
          <w:bCs w:val="1"/>
          <w:color w:val="auto"/>
        </w:rPr>
      </w:pPr>
    </w:p>
    <w:p>
      <w:pPr>
        <w:jc w:val="both"/>
        <w:ind w:left="420" w:firstLine="443"/>
        <w:spacing w:after="0" w:line="262" w:lineRule="auto"/>
        <w:tabs>
          <w:tab w:leader="none" w:pos="1107"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Trusts. </w:t>
      </w:r>
      <w:r>
        <w:rPr>
          <w:rFonts w:ascii="Arial" w:cs="Arial" w:eastAsia="Arial" w:hAnsi="Arial"/>
          <w:sz w:val="18"/>
          <w:szCs w:val="18"/>
          <w:color w:val="auto"/>
        </w:rPr>
        <w:t>Upon receiving written permission from the Board or its duly authorized designee, you may transfer your option to a trust if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considered to be the sole beneficial owner (determined under Section 671 of the Code and applicable state law) while the option is held in the trust. You and the trustee must enter into transfer and other agreements required by the Company.</w:t>
      </w:r>
    </w:p>
    <w:p>
      <w:pPr>
        <w:spacing w:after="0" w:line="51" w:lineRule="exact"/>
        <w:rPr>
          <w:rFonts w:ascii="Arial" w:cs="Arial" w:eastAsia="Arial" w:hAnsi="Arial"/>
          <w:sz w:val="18"/>
          <w:szCs w:val="18"/>
          <w:b w:val="1"/>
          <w:bCs w:val="1"/>
          <w:color w:val="auto"/>
        </w:rPr>
      </w:pPr>
    </w:p>
    <w:p>
      <w:pPr>
        <w:ind w:left="420" w:right="80" w:firstLine="443"/>
        <w:spacing w:after="0" w:line="291" w:lineRule="auto"/>
        <w:tabs>
          <w:tab w:leader="none" w:pos="1117"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Upon receiving written permission from the Board or its duly authorized designee, and provided that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32" w:lineRule="exact"/>
        <w:rPr>
          <w:rFonts w:ascii="Arial" w:cs="Arial" w:eastAsia="Arial" w:hAnsi="Arial"/>
          <w:sz w:val="16"/>
          <w:szCs w:val="16"/>
          <w:b w:val="1"/>
          <w:bCs w:val="1"/>
          <w:color w:val="auto"/>
        </w:rPr>
      </w:pPr>
    </w:p>
    <w:p>
      <w:pPr>
        <w:ind w:left="420" w:right="40" w:firstLine="443"/>
        <w:spacing w:after="0" w:line="296" w:lineRule="auto"/>
        <w:tabs>
          <w:tab w:leader="none" w:pos="1097"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Upon receiving written permission from the Board or its duly authorized designee, you may, by delivering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07" w:lineRule="exact"/>
        <w:rPr>
          <w:rFonts w:ascii="Arial" w:cs="Arial" w:eastAsia="Arial" w:hAnsi="Arial"/>
          <w:sz w:val="16"/>
          <w:szCs w:val="16"/>
          <w:b w:val="1"/>
          <w:bCs w:val="1"/>
          <w:color w:val="auto"/>
        </w:rPr>
      </w:pPr>
    </w:p>
    <w:p>
      <w:pPr>
        <w:ind w:left="-40" w:right="220" w:firstLine="464"/>
        <w:spacing w:after="0" w:line="301" w:lineRule="auto"/>
        <w:tabs>
          <w:tab w:leader="none" w:pos="68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3"/>
          <w:szCs w:val="13"/>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an employment or service contract, and nothing in your option will be deemed to create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03" w:lineRule="exact"/>
        <w:rPr>
          <w:rFonts w:ascii="Arial" w:cs="Arial" w:eastAsia="Arial" w:hAnsi="Arial"/>
          <w:sz w:val="16"/>
          <w:szCs w:val="16"/>
          <w:b w:val="1"/>
          <w:bCs w:val="1"/>
          <w:color w:val="auto"/>
        </w:rPr>
      </w:pPr>
    </w:p>
    <w:p>
      <w:pPr>
        <w:ind w:left="680" w:hanging="256"/>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20" w:right="160" w:firstLine="443"/>
        <w:spacing w:after="0" w:line="306" w:lineRule="auto"/>
        <w:tabs>
          <w:tab w:leader="none" w:pos="1107"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32" w:name="page33"/>
    <w:bookmarkEnd w:id="32"/>
    <w:p>
      <w:pPr>
        <w:ind w:left="44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by the Company), any sums required to satisfy the federal, state, local and foreign tax withholding obligations of the Company or an Affiliate, if any, which arise in connection with the exercise of your option.</w:t>
      </w:r>
    </w:p>
    <w:p>
      <w:pPr>
        <w:spacing w:after="0" w:line="51" w:lineRule="exact"/>
        <w:rPr>
          <w:sz w:val="20"/>
          <w:szCs w:val="20"/>
          <w:color w:val="auto"/>
        </w:rPr>
      </w:pPr>
    </w:p>
    <w:p>
      <w:pPr>
        <w:ind w:left="440" w:firstLine="443"/>
        <w:spacing w:after="0" w:line="254" w:lineRule="auto"/>
        <w:tabs>
          <w:tab w:leader="none" w:pos="1136"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Any adverse consequences to you arising in connection with such share withholding procedure shall be your sole responsibility.</w:t>
      </w:r>
    </w:p>
    <w:p>
      <w:pPr>
        <w:spacing w:after="0" w:line="63" w:lineRule="exact"/>
        <w:rPr>
          <w:rFonts w:ascii="Arial" w:cs="Arial" w:eastAsia="Arial" w:hAnsi="Arial"/>
          <w:sz w:val="18"/>
          <w:szCs w:val="18"/>
          <w:b w:val="1"/>
          <w:bCs w:val="1"/>
          <w:color w:val="auto"/>
        </w:rPr>
      </w:pPr>
    </w:p>
    <w:p>
      <w:pPr>
        <w:jc w:val="both"/>
        <w:ind w:left="440" w:right="40" w:firstLine="443"/>
        <w:spacing w:after="0" w:line="335" w:lineRule="auto"/>
        <w:tabs>
          <w:tab w:leader="none" w:pos="1117" w:val="left"/>
        </w:tabs>
        <w:numPr>
          <w:ilvl w:val="1"/>
          <w:numId w:val="17"/>
        </w:numPr>
        <w:rPr>
          <w:rFonts w:ascii="Arial" w:cs="Arial" w:eastAsia="Arial" w:hAnsi="Arial"/>
          <w:sz w:val="15"/>
          <w:szCs w:val="15"/>
          <w:b w:val="1"/>
          <w:bCs w:val="1"/>
          <w:color w:val="auto"/>
        </w:rPr>
      </w:pPr>
      <w:r>
        <w:rPr>
          <w:rFonts w:ascii="Arial" w:cs="Arial" w:eastAsia="Arial" w:hAnsi="Arial"/>
          <w:sz w:val="15"/>
          <w:szCs w:val="15"/>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82" w:lineRule="exact"/>
        <w:rPr>
          <w:rFonts w:ascii="Arial" w:cs="Arial" w:eastAsia="Arial" w:hAnsi="Arial"/>
          <w:sz w:val="15"/>
          <w:szCs w:val="15"/>
          <w:b w:val="1"/>
          <w:bCs w:val="1"/>
          <w:color w:val="auto"/>
        </w:rPr>
      </w:pPr>
    </w:p>
    <w:p>
      <w:pPr>
        <w:ind w:left="-20" w:firstLine="464"/>
        <w:spacing w:after="0" w:line="296" w:lineRule="auto"/>
        <w:tabs>
          <w:tab w:leader="none" w:pos="7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AX</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6"/>
          <w:szCs w:val="16"/>
          <w:color w:val="auto"/>
        </w:rPr>
        <w:t>. You hereby agree that the Company does not have a duty to design or administer the Plan or its other compensation programs in</w:t>
      </w:r>
      <w:r>
        <w:rPr>
          <w:rFonts w:ascii="Arial" w:cs="Arial" w:eastAsia="Arial" w:hAnsi="Arial"/>
          <w:sz w:val="16"/>
          <w:szCs w:val="16"/>
          <w:b w:val="1"/>
          <w:bCs w:val="1"/>
          <w:color w:val="auto"/>
        </w:rPr>
        <w:t xml:space="preserve"> </w:t>
      </w:r>
      <w:r>
        <w:rPr>
          <w:rFonts w:ascii="Arial" w:cs="Arial" w:eastAsia="Arial" w:hAnsi="Arial"/>
          <w:sz w:val="16"/>
          <w:szCs w:val="16"/>
          <w:color w:val="auto"/>
        </w:rPr>
        <w:t>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07" w:lineRule="exact"/>
        <w:rPr>
          <w:rFonts w:ascii="Arial" w:cs="Arial" w:eastAsia="Arial" w:hAnsi="Arial"/>
          <w:sz w:val="16"/>
          <w:szCs w:val="16"/>
          <w:b w:val="1"/>
          <w:bCs w:val="1"/>
          <w:color w:val="auto"/>
        </w:rPr>
      </w:pPr>
    </w:p>
    <w:p>
      <w:pPr>
        <w:ind w:left="-20" w:firstLine="464"/>
        <w:spacing w:after="0" w:line="255" w:lineRule="auto"/>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provided for in your option or the Plan will be given in writing (including electronically) and will be deemed effectively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39" w:lineRule="exact"/>
        <w:rPr>
          <w:rFonts w:ascii="Arial" w:cs="Arial" w:eastAsia="Arial" w:hAnsi="Arial"/>
          <w:sz w:val="18"/>
          <w:szCs w:val="18"/>
          <w:b w:val="1"/>
          <w:bCs w:val="1"/>
          <w:color w:val="auto"/>
        </w:rPr>
      </w:pPr>
    </w:p>
    <w:p>
      <w:pPr>
        <w:ind w:left="-20" w:right="20" w:firstLine="464"/>
        <w:spacing w:after="0" w:line="255" w:lineRule="auto"/>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the provisions of which are hereby made a part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39" w:lineRule="exact"/>
        <w:rPr>
          <w:rFonts w:ascii="Arial" w:cs="Arial" w:eastAsia="Arial" w:hAnsi="Arial"/>
          <w:sz w:val="18"/>
          <w:szCs w:val="18"/>
          <w:b w:val="1"/>
          <w:bCs w:val="1"/>
          <w:color w:val="auto"/>
        </w:rPr>
      </w:pPr>
    </w:p>
    <w:p>
      <w:pPr>
        <w:ind w:left="-20" w:right="240" w:firstLine="464"/>
        <w:spacing w:after="0" w:line="310" w:lineRule="auto"/>
        <w:tabs>
          <w:tab w:leader="none" w:pos="7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color w:val="auto"/>
        </w:rPr>
        <w:t>. You hereby acknowledge receipt of and the right to receive a document providing the information required by Rule 428(b)(1)</w:t>
      </w:r>
      <w:r>
        <w:rPr>
          <w:rFonts w:ascii="Arial" w:cs="Arial" w:eastAsia="Arial" w:hAnsi="Arial"/>
          <w:sz w:val="16"/>
          <w:szCs w:val="16"/>
          <w:b w:val="1"/>
          <w:bCs w:val="1"/>
          <w:color w:val="auto"/>
        </w:rPr>
        <w:t xml:space="preserve"> </w:t>
      </w:r>
      <w:r>
        <w:rPr>
          <w:rFonts w:ascii="Arial" w:cs="Arial" w:eastAsia="Arial" w:hAnsi="Arial"/>
          <w:sz w:val="16"/>
          <w:szCs w:val="16"/>
          <w:color w:val="auto"/>
        </w:rPr>
        <w:t>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97" w:lineRule="exact"/>
        <w:rPr>
          <w:rFonts w:ascii="Arial" w:cs="Arial" w:eastAsia="Arial" w:hAnsi="Arial"/>
          <w:sz w:val="16"/>
          <w:szCs w:val="16"/>
          <w:b w:val="1"/>
          <w:bCs w:val="1"/>
          <w:color w:val="auto"/>
        </w:rPr>
      </w:pPr>
    </w:p>
    <w:p>
      <w:pPr>
        <w:ind w:left="-20" w:right="140" w:firstLine="464"/>
        <w:spacing w:after="0" w:line="262" w:lineRule="auto"/>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color w:val="auto"/>
        </w:rPr>
        <w:t>. The value of this option will not be included as compensation, earnings, salaries,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when calculating your benefits under any employee benefit plan sponsored by the Company or any Affiliate, except as such plan otherwise expressly provides.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expressly reserves its rights to amend, modify, or terminate any of the Company’s or any Affiliate’s employee benefit plans.</w:t>
      </w:r>
    </w:p>
    <w:p>
      <w:pPr>
        <w:spacing w:after="0" w:line="165" w:lineRule="exact"/>
        <w:rPr>
          <w:sz w:val="20"/>
          <w:szCs w:val="20"/>
          <w:color w:val="auto"/>
        </w:rPr>
      </w:pPr>
    </w:p>
    <w:p>
      <w:pPr>
        <w:jc w:val="both"/>
        <w:ind w:right="40" w:firstLine="464"/>
        <w:spacing w:after="0" w:line="258"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 You will not have voting or any other rights as a stockholder of the Company with respect to the shares to be issued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36" w:lineRule="exact"/>
        <w:rPr>
          <w:rFonts w:ascii="Arial" w:cs="Arial" w:eastAsia="Arial" w:hAnsi="Arial"/>
          <w:sz w:val="18"/>
          <w:szCs w:val="18"/>
          <w:b w:val="1"/>
          <w:bCs w:val="1"/>
          <w:color w:val="auto"/>
        </w:rPr>
      </w:pPr>
    </w:p>
    <w:p>
      <w:pPr>
        <w:jc w:val="both"/>
        <w:ind w:right="100" w:firstLine="464"/>
        <w:spacing w:after="0" w:line="258"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color w:val="auto"/>
        </w:rPr>
        <w:t>. If all or any part of this Option Agreement or the Plan is declared by any court or governmental authority to be unlawful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36" w:lineRule="exact"/>
        <w:rPr>
          <w:rFonts w:ascii="Arial" w:cs="Arial" w:eastAsia="Arial" w:hAnsi="Arial"/>
          <w:sz w:val="18"/>
          <w:szCs w:val="18"/>
          <w:b w:val="1"/>
          <w:bCs w:val="1"/>
          <w:color w:val="auto"/>
        </w:rPr>
      </w:pPr>
    </w:p>
    <w:p>
      <w:pPr>
        <w:ind w:left="720" w:hanging="256"/>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460" w:right="240" w:firstLine="443"/>
        <w:spacing w:after="0" w:line="268" w:lineRule="auto"/>
        <w:tabs>
          <w:tab w:leader="none" w:pos="1147"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50" w:lineRule="exact"/>
        <w:rPr>
          <w:rFonts w:ascii="Arial" w:cs="Arial" w:eastAsia="Arial" w:hAnsi="Arial"/>
          <w:sz w:val="18"/>
          <w:szCs w:val="18"/>
          <w:b w:val="1"/>
          <w:bCs w:val="1"/>
          <w:color w:val="auto"/>
        </w:rPr>
      </w:pPr>
    </w:p>
    <w:p>
      <w:pPr>
        <w:ind w:left="460" w:firstLine="443"/>
        <w:spacing w:after="0" w:line="268" w:lineRule="auto"/>
        <w:tabs>
          <w:tab w:leader="none" w:pos="1156"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option.</w:t>
      </w:r>
    </w:p>
    <w:p>
      <w:pPr>
        <w:spacing w:after="0" w:line="50" w:lineRule="exact"/>
        <w:rPr>
          <w:rFonts w:ascii="Arial" w:cs="Arial" w:eastAsia="Arial" w:hAnsi="Arial"/>
          <w:sz w:val="18"/>
          <w:szCs w:val="18"/>
          <w:b w:val="1"/>
          <w:bCs w:val="1"/>
          <w:color w:val="auto"/>
        </w:rPr>
      </w:pPr>
    </w:p>
    <w:p>
      <w:pPr>
        <w:ind w:left="460" w:right="240" w:firstLine="443"/>
        <w:spacing w:after="0" w:line="268" w:lineRule="auto"/>
        <w:tabs>
          <w:tab w:leader="none" w:pos="1137"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50" w:lineRule="exact"/>
        <w:rPr>
          <w:rFonts w:ascii="Arial" w:cs="Arial" w:eastAsia="Arial" w:hAnsi="Arial"/>
          <w:sz w:val="18"/>
          <w:szCs w:val="18"/>
          <w:b w:val="1"/>
          <w:bCs w:val="1"/>
          <w:color w:val="auto"/>
        </w:rPr>
      </w:pPr>
    </w:p>
    <w:p>
      <w:pPr>
        <w:ind w:left="460" w:right="400" w:firstLine="443"/>
        <w:spacing w:after="0" w:line="268" w:lineRule="auto"/>
        <w:tabs>
          <w:tab w:leader="none" w:pos="1156"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This Option Agreement will be subject to all applicable laws, rules, and regulations, and to such approvals by any governmental agencies or national securities exchanges as may be required.</w:t>
      </w:r>
    </w:p>
    <w:p>
      <w:pPr>
        <w:spacing w:after="0" w:line="50" w:lineRule="exact"/>
        <w:rPr>
          <w:rFonts w:ascii="Arial" w:cs="Arial" w:eastAsia="Arial" w:hAnsi="Arial"/>
          <w:sz w:val="18"/>
          <w:szCs w:val="18"/>
          <w:b w:val="1"/>
          <w:bCs w:val="1"/>
          <w:color w:val="auto"/>
        </w:rPr>
      </w:pPr>
    </w:p>
    <w:p>
      <w:pPr>
        <w:ind w:left="460" w:right="20" w:firstLine="443"/>
        <w:spacing w:after="0" w:line="259" w:lineRule="auto"/>
        <w:tabs>
          <w:tab w:leader="none" w:pos="1137"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302" w:lineRule="exact"/>
        <w:rPr>
          <w:rFonts w:ascii="Arial" w:cs="Arial" w:eastAsia="Arial" w:hAnsi="Arial"/>
          <w:sz w:val="18"/>
          <w:szCs w:val="18"/>
          <w:b w:val="1"/>
          <w:bCs w:val="1"/>
          <w:color w:val="auto"/>
        </w:rPr>
      </w:pPr>
    </w:p>
    <w:p>
      <w:pPr>
        <w:ind w:left="540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Option Agreement will be deemed to be signed by you upon the signing by</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you of the Stock Option Grant Notice to which it is attached.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EXERCISE</w:t>
      </w:r>
    </w:p>
    <w:p>
      <w:pPr>
        <w:sectPr>
          <w:pgSz w:w="11900" w:h="16838" w:orient="portrait"/>
          <w:cols w:equalWidth="0" w:num="1">
            <w:col w:w="11340"/>
          </w:cols>
          <w:pgMar w:left="240" w:top="274" w:right="3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4275 E</w:t>
      </w:r>
      <w:r>
        <w:rPr>
          <w:rFonts w:ascii="Arial" w:cs="Arial" w:eastAsia="Arial" w:hAnsi="Arial"/>
          <w:sz w:val="13"/>
          <w:szCs w:val="13"/>
          <w:b w:val="1"/>
          <w:bCs w:val="1"/>
          <w:color w:val="auto"/>
        </w:rPr>
        <w:t>XECUTIVE</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QUARE</w:t>
      </w:r>
      <w:r>
        <w:rPr>
          <w:rFonts w:ascii="Arial" w:cs="Arial" w:eastAsia="Arial" w:hAnsi="Arial"/>
          <w:sz w:val="16"/>
          <w:szCs w:val="16"/>
          <w:b w:val="1"/>
          <w:bCs w:val="1"/>
          <w:color w:val="auto"/>
        </w:rPr>
        <w:t>, S</w:t>
      </w:r>
      <w:r>
        <w:rPr>
          <w:rFonts w:ascii="Arial" w:cs="Arial" w:eastAsia="Arial" w:hAnsi="Arial"/>
          <w:sz w:val="13"/>
          <w:szCs w:val="13"/>
          <w:b w:val="1"/>
          <w:bCs w:val="1"/>
          <w:color w:val="auto"/>
        </w:rPr>
        <w:t>UITE</w:t>
      </w:r>
      <w:r>
        <w:rPr>
          <w:rFonts w:ascii="Arial" w:cs="Arial" w:eastAsia="Arial" w:hAnsi="Arial"/>
          <w:sz w:val="16"/>
          <w:szCs w:val="16"/>
          <w:b w:val="1"/>
          <w:bCs w:val="1"/>
          <w:color w:val="auto"/>
        </w:rPr>
        <w:t xml:space="preserve"> 650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A</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OLLA</w:t>
      </w:r>
      <w:r>
        <w:rPr>
          <w:rFonts w:ascii="Arial" w:cs="Arial" w:eastAsia="Arial" w:hAnsi="Arial"/>
          <w:sz w:val="18"/>
          <w:szCs w:val="18"/>
          <w:b w:val="1"/>
          <w:bCs w:val="1"/>
          <w:color w:val="auto"/>
        </w:rPr>
        <w:t>, CA 92037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25400</wp:posOffset>
            </wp:positionV>
            <wp:extent cx="2263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820" w:space="720"/>
            <w:col w:w="4800"/>
          </w:cols>
          <w:pgMar w:left="240" w:top="274" w:right="31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This constitutes notice to MediciNova,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75"/>
        </w:trPr>
        <w:tc>
          <w:tcPr>
            <w:tcW w:w="5400" w:type="dxa"/>
            <w:vAlign w:val="bottom"/>
            <w:gridSpan w:val="2"/>
          </w:tcPr>
          <w:p>
            <w:pPr>
              <w:spacing w:after="0"/>
              <w:rPr>
                <w:sz w:val="20"/>
                <w:szCs w:val="20"/>
                <w:color w:val="auto"/>
              </w:rPr>
            </w:pPr>
            <w:r>
              <w:rPr>
                <w:rFonts w:ascii="Arial" w:cs="Arial" w:eastAsia="Arial" w:hAnsi="Arial"/>
                <w:sz w:val="18"/>
                <w:szCs w:val="18"/>
                <w:color w:val="auto"/>
              </w:rPr>
              <w:t>Type of option (check one):</w:t>
            </w:r>
          </w:p>
        </w:tc>
        <w:tc>
          <w:tcPr>
            <w:tcW w:w="3920" w:type="dxa"/>
            <w:vAlign w:val="bottom"/>
            <w:gridSpan w:val="5"/>
          </w:tcPr>
          <w:p>
            <w:pPr>
              <w:ind w:left="188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180" w:type="dxa"/>
            <w:vAlign w:val="bottom"/>
            <w:gridSpan w:val="2"/>
          </w:tcPr>
          <w:p>
            <w:pPr>
              <w:spacing w:after="0" w:line="207" w:lineRule="exact"/>
              <w:rPr>
                <w:sz w:val="20"/>
                <w:szCs w:val="20"/>
                <w:color w:val="auto"/>
              </w:rPr>
            </w:pPr>
            <w:r>
              <w:rPr>
                <w:rFonts w:ascii="Arial" w:cs="Arial" w:eastAsia="Arial" w:hAnsi="Arial"/>
                <w:sz w:val="18"/>
                <w:szCs w:val="18"/>
                <w:color w:val="auto"/>
                <w:w w:val="92"/>
              </w:rPr>
              <w:t xml:space="preserve">Nonstatutory </w:t>
            </w:r>
            <w:r>
              <w:rPr>
                <w:rFonts w:ascii="MS PGothic" w:cs="MS PGothic" w:eastAsia="MS PGothic" w:hAnsi="MS PGothic"/>
                <w:sz w:val="18"/>
                <w:szCs w:val="18"/>
                <w:color w:val="auto"/>
                <w:w w:val="92"/>
              </w:rPr>
              <w:t>☐</w:t>
            </w:r>
          </w:p>
        </w:tc>
      </w:tr>
      <w:tr>
        <w:trPr>
          <w:trHeight w:val="225"/>
        </w:trPr>
        <w:tc>
          <w:tcPr>
            <w:tcW w:w="5400" w:type="dxa"/>
            <w:vAlign w:val="bottom"/>
            <w:gridSpan w:val="2"/>
          </w:tcPr>
          <w:p>
            <w:pPr>
              <w:spacing w:after="0"/>
              <w:rPr>
                <w:sz w:val="20"/>
                <w:szCs w:val="20"/>
                <w:color w:val="auto"/>
              </w:rPr>
            </w:pPr>
            <w:r>
              <w:rPr>
                <w:rFonts w:ascii="Arial" w:cs="Arial" w:eastAsia="Arial" w:hAnsi="Arial"/>
                <w:sz w:val="18"/>
                <w:szCs w:val="18"/>
                <w:color w:val="auto"/>
              </w:rPr>
              <w:t>Stock option dated:</w:t>
            </w: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5400" w:type="dxa"/>
            <w:vAlign w:val="bottom"/>
            <w:gridSpan w:val="2"/>
          </w:tcPr>
          <w:p>
            <w:pPr>
              <w:spacing w:after="0"/>
              <w:rPr>
                <w:sz w:val="20"/>
                <w:szCs w:val="20"/>
                <w:color w:val="auto"/>
              </w:rPr>
            </w:pPr>
            <w:r>
              <w:rPr>
                <w:rFonts w:ascii="Arial" w:cs="Arial" w:eastAsia="Arial" w:hAnsi="Arial"/>
                <w:sz w:val="18"/>
                <w:szCs w:val="18"/>
                <w:color w:val="auto"/>
              </w:rPr>
              <w:t>Number of Shares as to which option is exercised:</w:t>
            </w:r>
          </w:p>
        </w:tc>
        <w:tc>
          <w:tcPr>
            <w:tcW w:w="18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64"/>
        </w:trPr>
        <w:tc>
          <w:tcPr>
            <w:tcW w:w="5400" w:type="dxa"/>
            <w:vAlign w:val="bottom"/>
            <w:gridSpan w:val="2"/>
          </w:tcPr>
          <w:p>
            <w:pPr>
              <w:spacing w:after="0"/>
              <w:rPr>
                <w:sz w:val="20"/>
                <w:szCs w:val="20"/>
                <w:color w:val="auto"/>
              </w:rPr>
            </w:pPr>
            <w:r>
              <w:rPr>
                <w:rFonts w:ascii="Arial" w:cs="Arial" w:eastAsia="Arial" w:hAnsi="Arial"/>
                <w:sz w:val="18"/>
                <w:szCs w:val="18"/>
                <w:color w:val="auto"/>
              </w:rPr>
              <w:t>Certificates to be issued in name of:</w:t>
            </w:r>
          </w:p>
        </w:tc>
        <w:tc>
          <w:tcPr>
            <w:tcW w:w="18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64"/>
        </w:trPr>
        <w:tc>
          <w:tcPr>
            <w:tcW w:w="5400" w:type="dxa"/>
            <w:vAlign w:val="bottom"/>
            <w:gridSpan w:val="2"/>
          </w:tcPr>
          <w:p>
            <w:pPr>
              <w:spacing w:after="0"/>
              <w:rPr>
                <w:sz w:val="20"/>
                <w:szCs w:val="20"/>
                <w:color w:val="auto"/>
              </w:rPr>
            </w:pPr>
            <w:r>
              <w:rPr>
                <w:rFonts w:ascii="Arial" w:cs="Arial" w:eastAsia="Arial" w:hAnsi="Arial"/>
                <w:sz w:val="18"/>
                <w:szCs w:val="18"/>
                <w:color w:val="auto"/>
              </w:rPr>
              <w:t>Total exercise price:</w:t>
            </w:r>
          </w:p>
        </w:tc>
        <w:tc>
          <w:tcPr>
            <w:tcW w:w="1960" w:type="dxa"/>
            <w:vAlign w:val="bottom"/>
            <w:gridSpan w:val="2"/>
          </w:tcPr>
          <w:p>
            <w:pPr>
              <w:ind w:left="18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64"/>
        </w:trPr>
        <w:tc>
          <w:tcPr>
            <w:tcW w:w="5400" w:type="dxa"/>
            <w:vAlign w:val="bottom"/>
            <w:gridSpan w:val="2"/>
          </w:tcPr>
          <w:p>
            <w:pPr>
              <w:spacing w:after="0"/>
              <w:rPr>
                <w:sz w:val="20"/>
                <w:szCs w:val="20"/>
                <w:color w:val="auto"/>
              </w:rPr>
            </w:pPr>
            <w:r>
              <w:rPr>
                <w:rFonts w:ascii="Arial" w:cs="Arial" w:eastAsia="Arial" w:hAnsi="Arial"/>
                <w:sz w:val="18"/>
                <w:szCs w:val="18"/>
                <w:color w:val="auto"/>
              </w:rPr>
              <w:t>Cash payment delivered herewith:</w:t>
            </w:r>
          </w:p>
        </w:tc>
        <w:tc>
          <w:tcPr>
            <w:tcW w:w="1960" w:type="dxa"/>
            <w:vAlign w:val="bottom"/>
            <w:gridSpan w:val="2"/>
          </w:tcPr>
          <w:p>
            <w:pPr>
              <w:ind w:left="18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Value of</w:t>
            </w:r>
          </w:p>
        </w:tc>
        <w:tc>
          <w:tcPr>
            <w:tcW w:w="4520" w:type="dxa"/>
            <w:vAlign w:val="bottom"/>
          </w:tcPr>
          <w:p>
            <w:pPr>
              <w:ind w:left="280"/>
              <w:spacing w:after="0"/>
              <w:rPr>
                <w:sz w:val="20"/>
                <w:szCs w:val="20"/>
                <w:color w:val="auto"/>
              </w:rPr>
            </w:pPr>
            <w:r>
              <w:rPr>
                <w:rFonts w:ascii="Arial" w:cs="Arial" w:eastAsia="Arial" w:hAnsi="Arial"/>
                <w:sz w:val="18"/>
                <w:szCs w:val="18"/>
                <w:color w:val="auto"/>
              </w:rPr>
              <w:t>Shares delivered herewith</w:t>
            </w:r>
            <w:r>
              <w:rPr>
                <w:rFonts w:ascii="Arial" w:cs="Arial" w:eastAsia="Arial" w:hAnsi="Arial"/>
                <w:sz w:val="11"/>
                <w:szCs w:val="11"/>
                <w:color w:val="auto"/>
              </w:rPr>
              <w:t>1</w:t>
            </w:r>
            <w:r>
              <w:rPr>
                <w:rFonts w:ascii="Arial" w:cs="Arial" w:eastAsia="Arial" w:hAnsi="Arial"/>
                <w:sz w:val="18"/>
                <w:szCs w:val="18"/>
                <w:color w:val="auto"/>
              </w:rPr>
              <w:t>:</w:t>
            </w:r>
          </w:p>
        </w:tc>
        <w:tc>
          <w:tcPr>
            <w:tcW w:w="1960" w:type="dxa"/>
            <w:vAlign w:val="bottom"/>
            <w:gridSpan w:val="2"/>
          </w:tcPr>
          <w:p>
            <w:pPr>
              <w:ind w:left="18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Value of</w:t>
            </w:r>
          </w:p>
        </w:tc>
        <w:tc>
          <w:tcPr>
            <w:tcW w:w="4520" w:type="dxa"/>
            <w:vAlign w:val="bottom"/>
          </w:tcPr>
          <w:p>
            <w:pPr>
              <w:ind w:left="280"/>
              <w:spacing w:after="0"/>
              <w:rPr>
                <w:sz w:val="20"/>
                <w:szCs w:val="20"/>
                <w:color w:val="auto"/>
              </w:rPr>
            </w:pPr>
            <w:r>
              <w:rPr>
                <w:rFonts w:ascii="Arial" w:cs="Arial" w:eastAsia="Arial" w:hAnsi="Arial"/>
                <w:sz w:val="18"/>
                <w:szCs w:val="18"/>
                <w:color w:val="auto"/>
              </w:rPr>
              <w:t>Shares pursuant to net exercise</w:t>
            </w:r>
            <w:r>
              <w:rPr>
                <w:rFonts w:ascii="Arial" w:cs="Arial" w:eastAsia="Arial" w:hAnsi="Arial"/>
                <w:sz w:val="11"/>
                <w:szCs w:val="11"/>
                <w:color w:val="auto"/>
              </w:rPr>
              <w:t>2</w:t>
            </w:r>
            <w:r>
              <w:rPr>
                <w:rFonts w:ascii="Arial" w:cs="Arial" w:eastAsia="Arial" w:hAnsi="Arial"/>
                <w:sz w:val="18"/>
                <w:szCs w:val="18"/>
                <w:color w:val="auto"/>
              </w:rPr>
              <w:t>:</w:t>
            </w:r>
          </w:p>
        </w:tc>
        <w:tc>
          <w:tcPr>
            <w:tcW w:w="1960" w:type="dxa"/>
            <w:vAlign w:val="bottom"/>
            <w:gridSpan w:val="2"/>
          </w:tcPr>
          <w:p>
            <w:pPr>
              <w:ind w:left="18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64"/>
        </w:trPr>
        <w:tc>
          <w:tcPr>
            <w:tcW w:w="5400" w:type="dxa"/>
            <w:vAlign w:val="bottom"/>
            <w:gridSpan w:val="2"/>
          </w:tcPr>
          <w:p>
            <w:pPr>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1"/>
                <w:szCs w:val="11"/>
                <w:color w:val="auto"/>
              </w:rPr>
              <w:t>3</w:t>
            </w:r>
            <w:r>
              <w:rPr>
                <w:rFonts w:ascii="Arial" w:cs="Arial" w:eastAsia="Arial" w:hAnsi="Arial"/>
                <w:sz w:val="18"/>
                <w:szCs w:val="18"/>
                <w:color w:val="auto"/>
              </w:rPr>
              <w:t>):</w:t>
            </w:r>
          </w:p>
        </w:tc>
        <w:tc>
          <w:tcPr>
            <w:tcW w:w="1960" w:type="dxa"/>
            <w:vAlign w:val="bottom"/>
            <w:gridSpan w:val="2"/>
          </w:tcPr>
          <w:p>
            <w:pPr>
              <w:ind w:left="18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MediciNova, Inc. 2013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of 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200" w:hanging="212"/>
        <w:spacing w:after="0" w:line="229" w:lineRule="auto"/>
        <w:tabs>
          <w:tab w:leader="none" w:pos="2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Shares must meet the public trading requirements set forth in the option agreement.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pacing w:after="0" w:line="12" w:lineRule="exact"/>
        <w:rPr>
          <w:sz w:val="20"/>
          <w:szCs w:val="20"/>
          <w:color w:val="auto"/>
        </w:rPr>
      </w:pPr>
    </w:p>
    <w:p>
      <w:pPr>
        <w:ind w:left="220" w:right="380" w:hanging="212"/>
        <w:spacing w:after="0" w:line="219" w:lineRule="auto"/>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The option must be a Nonstatutory Stock Option, and MediciNova, Inc. must have established net exercise procedures at the time of exercise, in order to utilize this payment method.</w:t>
      </w:r>
    </w:p>
    <w:p>
      <w:pPr>
        <w:spacing w:after="0" w:line="12" w:lineRule="exact"/>
        <w:rPr>
          <w:sz w:val="20"/>
          <w:szCs w:val="20"/>
          <w:color w:val="auto"/>
        </w:rPr>
      </w:pPr>
    </w:p>
    <w:p>
      <w:pPr>
        <w:ind w:left="5640" w:right="5260" w:hanging="5632"/>
        <w:spacing w:after="0" w:line="322" w:lineRule="auto"/>
        <w:tabs>
          <w:tab w:leader="none" w:pos="216"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Shares must meet the public trading requirements set forth in the option agreement. 8.</w:t>
      </w:r>
    </w:p>
    <w:p>
      <w:pPr>
        <w:sectPr>
          <w:pgSz w:w="11900" w:h="16838" w:orient="portrait"/>
          <w:cols w:equalWidth="0" w:num="1">
            <w:col w:w="11340"/>
          </w:cols>
          <w:pgMar w:left="240" w:top="274" w:right="31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2013</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2013</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2013,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2013</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2013, as filed with the Securities and Exchange Commission on the date hereof (the “Report”), I, Michael Gennaro, as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2013</w:t>
      </w:r>
    </w:p>
    <w:p>
      <w:pPr>
        <w:spacing w:after="0" w:line="225" w:lineRule="exact"/>
        <w:rPr>
          <w:sz w:val="20"/>
          <w:szCs w:val="20"/>
          <w:color w:val="auto"/>
        </w:rPr>
      </w:pPr>
    </w:p>
    <w:p>
      <w:pPr>
        <w:ind w:left="690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1."/>
      <w:numFmt w:val="decimal"/>
      <w:start w:val="9"/>
    </w:lvl>
  </w:abstractNum>
  <w:abstractNum w:abstractNumId="5">
    <w:nsid w:val="6B68079A"/>
    <w:multiLevelType w:val="hybridMultilevel"/>
    <w:lvl w:ilvl="0">
      <w:lvlJc w:val="left"/>
      <w:lvlText w:val="%1."/>
      <w:numFmt w:val="decimal"/>
      <w:start w:val="10"/>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01"/>
    </w:lvl>
  </w:abstractNum>
  <w:abstractNum w:abstractNumId="8">
    <w:nsid w:val="519B500D"/>
    <w:multiLevelType w:val="hybridMultilevel"/>
    <w:lvl w:ilvl="0">
      <w:lvlJc w:val="left"/>
      <w:lvlText w:val="%1"/>
      <w:numFmt w:val="decimal"/>
      <w:start w:val="101"/>
    </w:lvl>
  </w:abstractNum>
  <w:abstractNum w:abstractNumId="9">
    <w:nsid w:val="431BD7B7"/>
    <w:multiLevelType w:val="hybridMultilevel"/>
    <w:lvl w:ilvl="0">
      <w:lvlJc w:val="left"/>
      <w:lvlText w:val="%1"/>
      <w:numFmt w:val="decimal"/>
      <w:start w:val="1"/>
    </w:lvl>
    <w:lvl w:ilvl="1">
      <w:lvlJc w:val="left"/>
      <w:lvlText w:val="☒"/>
      <w:numFmt w:val="bullet"/>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abstractNum>
  <w:abstractNum w:abstractNumId="11">
    <w:nsid w:val="7C83E458"/>
    <w:multiLevelType w:val="hybridMultilevel"/>
    <w:lvl w:ilvl="0">
      <w:lvlJc w:val="left"/>
      <w:lvlText w:val="%1."/>
      <w:numFmt w:val="decimal"/>
      <w:start w:val="5"/>
    </w:lvl>
    <w:lvl w:ilvl="1">
      <w:lvlJc w:val="left"/>
      <w:lvlText w:val="(%2)"/>
      <w:numFmt w:val="lowerLetter"/>
      <w:start w:val="1"/>
    </w:lvl>
  </w:abstractNum>
  <w:abstractNum w:abstractNumId="12">
    <w:nsid w:val="257130A3"/>
    <w:multiLevelType w:val="hybridMultilevel"/>
    <w:lvl w:ilvl="0">
      <w:lvlJc w:val="left"/>
      <w:lvlText w:val="%1."/>
      <w:numFmt w:val="decimal"/>
      <w:start w:val="8"/>
    </w:lvl>
    <w:lvl w:ilvl="1">
      <w:lvlJc w:val="left"/>
      <w:lvlText w:val="(%2)"/>
      <w:numFmt w:val="low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2"/>
    </w:lvl>
  </w:abstractNum>
  <w:abstractNum w:abstractNumId="14">
    <w:nsid w:val="436C6125"/>
    <w:multiLevelType w:val="hybridMultilevel"/>
    <w:lvl w:ilvl="0">
      <w:lvlJc w:val="left"/>
      <w:lvlText w:val="(%1)"/>
      <w:numFmt w:val="decimal"/>
      <w:start w:val="15"/>
    </w:lvl>
    <w:lvl w:ilvl="1">
      <w:lvlJc w:val="left"/>
      <w:lvlText w:val="%2"/>
      <w:numFmt w:val="lowerLetter"/>
      <w:start w:val="1"/>
    </w:lvl>
  </w:abstractNum>
  <w:abstractNum w:abstractNumId="15">
    <w:nsid w:val="628C895D"/>
    <w:multiLevelType w:val="hybridMultilevel"/>
    <w:lvl w:ilvl="0">
      <w:lvlJc w:val="left"/>
      <w:lvlText w:val="%1."/>
      <w:numFmt w:val="decimal"/>
      <w:start w:val="9"/>
    </w:lvl>
    <w:lvl w:ilvl="1">
      <w:lvlJc w:val="left"/>
      <w:lvlText w:val="(%2)"/>
      <w:numFmt w:val="lowerLetter"/>
      <w:start w:val="1"/>
    </w:lvl>
  </w:abstractNum>
  <w:abstractNum w:abstractNumId="16">
    <w:nsid w:val="333AB105"/>
    <w:multiLevelType w:val="hybridMultilevel"/>
    <w:lvl w:ilvl="0">
      <w:lvlJc w:val="left"/>
      <w:lvlText w:val="%1"/>
      <w:numFmt w:val="decimal"/>
      <w:start w:val="1"/>
    </w:lvl>
    <w:lvl w:ilvl="1">
      <w:lvlJc w:val="left"/>
      <w:lvlText w:val="(%2)"/>
      <w:numFmt w:val="lowerLetter"/>
      <w:start w:val="2"/>
    </w:lvl>
  </w:abstractNum>
  <w:abstractNum w:abstractNumId="17">
    <w:nsid w:val="721DA317"/>
    <w:multiLevelType w:val="hybridMultilevel"/>
    <w:lvl w:ilvl="0">
      <w:lvlJc w:val="left"/>
      <w:lvlText w:val="%1."/>
      <w:numFmt w:val="decimal"/>
      <w:start w:val="12"/>
    </w:lvl>
    <w:lvl w:ilvl="1">
      <w:lvlJc w:val="left"/>
      <w:lvlText w:val="%2"/>
      <w:numFmt w:val="lowerLetter"/>
      <w:start w:val="1"/>
    </w:lvl>
  </w:abstractNum>
  <w:abstractNum w:abstractNumId="18">
    <w:nsid w:val="2443A858"/>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3"/>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2019-12-07T05:33:09Z</dcterms:created>
  <dcterms:modified xsi:type="dcterms:W3CDTF">2019-12-07T05:33:09Z</dcterms:modified>
</cp:coreProperties>
</file>