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3720" w:space="520"/>
            <w:col w:w="712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sectPr>
          <w:pgSz w:w="11900" w:h="16838" w:orient="portrait"/>
          <w:cols w:equalWidth="0" w:num="2">
            <w:col w:w="9100" w:space="180"/>
            <w:col w:w="208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November 8, 2010, the registrant had 12,436,381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80" w:type="dxa"/>
            <w:vAlign w:val="bottom"/>
            <w:gridSpan w:val="9"/>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808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LEGAL PROCEEDINGS</w:t>
              </w:r>
            </w:hyperlink>
          </w:p>
        </w:tc>
        <w:tc>
          <w:tcPr>
            <w:tcW w:w="74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3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REMOVED AND RESERVED</w:t>
              </w:r>
            </w:hyperlink>
          </w:p>
        </w:tc>
        <w:tc>
          <w:tcPr>
            <w:tcW w:w="702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26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742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10"/>
          </w:tcPr>
          <w:p>
            <w:pPr>
              <w:ind w:left="4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60" w:type="dxa"/>
            <w:vAlign w:val="bottom"/>
          </w:tcPr>
          <w:p>
            <w:pPr>
              <w:jc w:val="center"/>
              <w:ind w:left="123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60" w:type="dxa"/>
            <w:vAlign w:val="bottom"/>
          </w:tcPr>
          <w:p>
            <w:pPr>
              <w:jc w:val="center"/>
              <w:ind w:left="123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60" w:type="dxa"/>
            <w:vAlign w:val="bottom"/>
          </w:tcPr>
          <w:p>
            <w:pPr>
              <w:jc w:val="center"/>
              <w:ind w:left="125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60" w:type="dxa"/>
            <w:vAlign w:val="bottom"/>
          </w:tcPr>
          <w:p>
            <w:pPr>
              <w:jc w:val="center"/>
              <w:ind w:left="125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31,163,034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19,241,581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Investment securities-current (Note 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840,000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24,254,987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ARS put-current (Note 3)</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2,557,007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Restricted cash (Note 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28,374,673</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investment (Note 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636,405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Restricted letter of credit (Note 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500,418</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766,685</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869,649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80" w:type="dxa"/>
            <w:vAlign w:val="bottom"/>
            <w:gridSpan w:val="3"/>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62,281,215</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46,923,224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cash (Note 2)</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30,045,965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Restricted investment (Note 2)</w:t>
            </w:r>
          </w:p>
        </w:tc>
        <w:tc>
          <w:tcPr>
            <w:tcW w:w="8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letter of credit (Note 2)</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In-process research and development (Note 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Goodwill (Note 2)</w:t>
            </w:r>
          </w:p>
        </w:tc>
        <w:tc>
          <w:tcPr>
            <w:tcW w:w="8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9,368,205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9,142,205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76,175</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 (Note 3)</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2,085,425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Other assets (Note 4)</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146,353</w:t>
            </w:r>
          </w:p>
        </w:tc>
        <w:tc>
          <w:tcPr>
            <w:tcW w:w="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76,671,948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94,326,907</w:t>
            </w: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08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Current liabilities:</w:t>
            </w:r>
          </w:p>
        </w:tc>
        <w:tc>
          <w:tcPr>
            <w:tcW w:w="8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578,882</w:t>
            </w:r>
          </w:p>
        </w:tc>
        <w:tc>
          <w:tcPr>
            <w:tcW w:w="6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1,300,271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Convertible Notes (Note 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28,280,769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ARS loan payable (Note 3)</w:t>
            </w:r>
          </w:p>
        </w:tc>
        <w:tc>
          <w:tcPr>
            <w:tcW w:w="8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 (Notes 3, 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3,543,047</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Escrow holdback (Note 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268,418</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1,094,045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1,213,028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1,276,036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261,301</w:t>
            </w:r>
          </w:p>
        </w:tc>
        <w:tc>
          <w:tcPr>
            <w:tcW w:w="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1,146,960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34,145,445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22,422,797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Management transition plan liability (Note 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636,405</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 (Note 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1,956,000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Convertible notes (Note 2)</w:t>
            </w:r>
          </w:p>
        </w:tc>
        <w:tc>
          <w:tcPr>
            <w:tcW w:w="8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29,258,137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 (Notes 3, 4)</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10,716,165</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2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w:t>
            </w:r>
          </w:p>
        </w:tc>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47,454,015</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54,313,433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9)</w:t>
            </w: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908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2"/>
              </w:rPr>
              <w:t>Preferred stock, $0.01 par value; 500,000 shares authorized at September 30, 2010 and December 31, 2009; no shares outstanding at September 30,</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2010 and December 31, 2009</w:t>
            </w: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7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6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3"/>
              </w:rPr>
              <w:t>Common stock, $0.001 par value; 30,000,000 shares authorized at September 30, 2010 and December 31, 2009; 12,469,214 and 12,172,510 shares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640"/>
              <w:spacing w:after="0" w:line="149" w:lineRule="exact"/>
              <w:rPr>
                <w:sz w:val="20"/>
                <w:szCs w:val="20"/>
                <w:color w:val="auto"/>
              </w:rPr>
            </w:pPr>
            <w:r>
              <w:rPr>
                <w:rFonts w:ascii="Arial" w:cs="Arial" w:eastAsia="Arial" w:hAnsi="Arial"/>
                <w:sz w:val="14"/>
                <w:szCs w:val="14"/>
                <w:color w:val="auto"/>
                <w:w w:val="93"/>
              </w:rPr>
              <w:t>issued at September 30, 2010 and December 31, 2009, respectively, and 12,425,479 and 12,122,217 shares outstanding at September 30, 2010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and December 31, 2009, respectively</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12,469</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293,006,831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288,652,712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(56,404)</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 at cost; 43,735 shares at September 30, 2010 and 50,293 shares at December 31, 2009</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(1,197,935)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(1,235,395)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Deficit accumulated during the development stage</w:t>
            </w:r>
          </w:p>
        </w:tc>
        <w:tc>
          <w:tcPr>
            <w:tcW w:w="80" w:type="dxa"/>
            <w:vAlign w:val="bottom"/>
          </w:tcPr>
          <w:p>
            <w:pPr>
              <w:spacing w:after="0"/>
              <w:rPr>
                <w:sz w:val="13"/>
                <w:szCs w:val="13"/>
                <w:color w:val="auto"/>
              </w:rPr>
            </w:pP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87"/>
              </w:rPr>
              <w:t>(262,547,028)</w:t>
            </w: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(247,351,099)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29,217,933</w:t>
            </w: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40,013,474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80" w:type="dxa"/>
            <w:vAlign w:val="bottom"/>
            <w:gridSpan w:val="3"/>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76,671,948</w:t>
            </w:r>
          </w:p>
        </w:tc>
        <w:tc>
          <w:tcPr>
            <w:tcW w:w="6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94,326,907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6"/>
          </w:tcPr>
          <w:p>
            <w:pPr>
              <w:jc w:val="right"/>
              <w:ind w:right="102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2440" w:type="dxa"/>
            <w:vAlign w:val="bottom"/>
            <w:gridSpan w:val="5"/>
          </w:tcPr>
          <w:p>
            <w:pPr>
              <w:jc w:val="right"/>
              <w:ind w:right="98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2,177,204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2,379,588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7,431,178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8,226,305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151,977,045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1,971,083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2,563,772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6,105,319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95,132,317</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4,148,287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4,943,360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13,536,497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15,153,154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248,367,783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(4,148,287)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(4,943,360)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(13,536,497)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(15,153,154)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(246,809,556)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(Impairment charge)/gain, net, on investment securities</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(869,767)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72,967</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(813,225)</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213,792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(1,762,960)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(52,939)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(127,570)</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(1,109,725)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151,425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395,623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660,595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19,015,159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(46,396)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(5,700,619)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(4,795,087)</w:t>
            </w: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(15,195,929)</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(14,453,314)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(231,183,906)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Series C redeemable convertible 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(5,700,619)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(4,795,087)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(15,195,929)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(14,453,314)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(262,547,028)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5"/>
              </w:rPr>
              <w:t>Shares used to compute basic and diluted net loss per common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12,453,569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12,119,511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12,387,979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12,088,029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3"/>
              </w:rPr>
              <w:t>2000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to September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312"/>
              <w:spacing w:after="0" w:line="129" w:lineRule="exact"/>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(15,195,929)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(14,453,314)</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(231,183,906)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1,600,960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1,884,535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47,908,558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89,643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169,847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1,884,941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premium/discount on investment securities, convertible notes and debt discount and issuance costs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395,993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(2,080,432)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813,225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(213,793)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1,762,964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Loss on disposal of assets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11,058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102,964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(174,652)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(729,736)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1280"/>
              <w:spacing w:after="0" w:line="149" w:lineRule="exact"/>
              <w:rPr>
                <w:sz w:val="20"/>
                <w:szCs w:val="20"/>
                <w:color w:val="auto"/>
              </w:rPr>
            </w:pPr>
            <w:r>
              <w:rPr>
                <w:rFonts w:ascii="Arial" w:cs="Arial" w:eastAsia="Arial" w:hAnsi="Arial"/>
                <w:sz w:val="14"/>
                <w:szCs w:val="14"/>
                <w:color w:val="auto"/>
              </w:rPr>
              <w:t>Accounts payable, accrued expenses, income taxes payable and deferred rent</w:t>
            </w:r>
          </w:p>
        </w:tc>
        <w:tc>
          <w:tcPr>
            <w:tcW w:w="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(775,889)</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507,503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1,529,201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(885,659)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(271,817)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(45,787)</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Escrow holdback liability</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(140,119)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1280"/>
              <w:spacing w:after="0" w:line="149" w:lineRule="exact"/>
              <w:rPr>
                <w:sz w:val="20"/>
                <w:szCs w:val="20"/>
                <w:color w:val="auto"/>
              </w:rPr>
            </w:pPr>
            <w:r>
              <w:rPr>
                <w:rFonts w:ascii="Arial" w:cs="Arial" w:eastAsia="Arial" w:hAnsi="Arial"/>
                <w:sz w:val="14"/>
                <w:szCs w:val="14"/>
                <w:color w:val="auto"/>
              </w:rPr>
              <w:t>Management transition plan liability</w:t>
            </w:r>
          </w:p>
        </w:tc>
        <w:tc>
          <w:tcPr>
            <w:tcW w:w="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(40,094)</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(40,094)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(14,078,666)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(12,540,633)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(180,919,968)</w:t>
            </w:r>
          </w:p>
        </w:tc>
        <w:tc>
          <w:tcPr>
            <w:tcW w:w="0" w:type="dxa"/>
            <w:vAlign w:val="bottom"/>
          </w:tcPr>
          <w:p>
            <w:pPr>
              <w:spacing w:after="0"/>
              <w:rPr>
                <w:sz w:val="1"/>
                <w:szCs w:val="1"/>
                <w:color w:val="auto"/>
              </w:rPr>
            </w:pPr>
          </w:p>
        </w:tc>
      </w:tr>
      <w:tr>
        <w:trPr>
          <w:trHeight w:val="156"/>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(226,000)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(2,597,749)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27,244,194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846,846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377,050,489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(14,299)</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(2,267,243)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1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27,003,895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830,366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(4,763,424)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00"/>
              <w:spacing w:after="0" w:line="149" w:lineRule="exact"/>
              <w:rPr>
                <w:sz w:val="20"/>
                <w:szCs w:val="20"/>
                <w:color w:val="auto"/>
              </w:rPr>
            </w:pPr>
            <w:r>
              <w:rPr>
                <w:rFonts w:ascii="Arial" w:cs="Arial" w:eastAsia="Arial" w:hAnsi="Arial"/>
                <w:sz w:val="14"/>
                <w:szCs w:val="14"/>
                <w:color w:val="auto"/>
              </w:rPr>
              <w:t>Net proceeds from debt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14,670,000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135,395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325,195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121,432,318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1,758,854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1,758,854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80,216,971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200"/>
              <w:spacing w:after="0" w:line="149" w:lineRule="exact"/>
              <w:rPr>
                <w:sz w:val="20"/>
                <w:szCs w:val="20"/>
                <w:color w:val="auto"/>
              </w:rPr>
            </w:pPr>
            <w:r>
              <w:rPr>
                <w:rFonts w:ascii="Arial" w:cs="Arial" w:eastAsia="Arial" w:hAnsi="Arial"/>
                <w:sz w:val="14"/>
                <w:szCs w:val="14"/>
                <w:color w:val="auto"/>
              </w:rPr>
              <w:t>(Repayments of) proceeds from ARS loan, net</w:t>
            </w:r>
          </w:p>
        </w:tc>
        <w:tc>
          <w:tcPr>
            <w:tcW w:w="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(17,605,485)</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17,650,538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37,460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81,967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(1,231,717)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financing activities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4"/>
              </w:rPr>
              <w:t>(1,003,776)</w:t>
            </w: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18,057,700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216,846,426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11,921,453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6,347,433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31,163,034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19,241,581</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19,297,284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31,163,034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25,644,717</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31,163,034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financing and operating activities: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IPO</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43,515,677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Restricted assets, cash unrestricted upon conversion of convertible notes</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2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1,758,854</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1,758,854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Escrow holdback, issuance of additional convertible notes upon release of escrow funds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(685,917)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(685,917)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Income taxes paid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2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6,581</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49,338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Interest paid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841,303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171,060</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1,076,667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prepared the accompanying unaudited consolidated financial statements in accordance with accounting principles generally accepted in the United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for interim financial information. Accordingly, they do not include all of the information and disclosures required by generally accepted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for complete financial statements. In the opinion of management, all adjustments (consisting of normal recurring adjustments) considered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for a fair presentation of the financial position, results of operations and cash flow for the interim period presented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three and nine months ended September 30, 2010 are not necessarily indicative of the results that may be expected for the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or for any other period. For further information, see the financial statements and disclosures thereto for the year ended December 31, 2009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as filed with the Securities and Exchange Commission on March 24,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August 17, 2009, Absolute Merger, Inc., a wholly-owned subsidiary of MediciNova, Inc. was incorporated under the General Corporation Law of the State of Delaware for the purpose of facilitating the Merger (the “Merger”) with Avigen, Inc. (“Avigen”). On December 18, 2009, Absolute Merger, Inc. merged with and into Avigen, with Avigen continuing as the surviving entity and wholly-owned subsidiary of ours.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Uncertainties</w:t>
      </w:r>
    </w:p>
    <w:p>
      <w:pPr>
        <w:spacing w:after="0" w:line="90" w:lineRule="exact"/>
        <w:rPr>
          <w:sz w:val="20"/>
          <w:szCs w:val="20"/>
          <w:color w:val="auto"/>
        </w:rPr>
      </w:pPr>
    </w:p>
    <w:p>
      <w:pPr>
        <w:jc w:val="both"/>
        <w:ind w:right="440" w:firstLine="456"/>
        <w:spacing w:after="0" w:line="335" w:lineRule="auto"/>
        <w:rPr>
          <w:sz w:val="20"/>
          <w:szCs w:val="20"/>
          <w:color w:val="auto"/>
        </w:rPr>
      </w:pPr>
      <w:r>
        <w:rPr>
          <w:rFonts w:ascii="Arial" w:cs="Arial" w:eastAsia="Arial" w:hAnsi="Arial"/>
          <w:sz w:val="15"/>
          <w:szCs w:val="15"/>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We have not experienced any losses in such accounts and management believes that we are not exposed to any significant credit risk with respect to such cash and cash equivalents.</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10, 2010, we entered into a loan and security agreement, or Loan Agreement, with Oxford Finance Corporation or, the Lender, under which we borrowed $15.0 million. 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 percent. See Note 4, Long-term Debt, for further information on the loan.</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sustained operating losses since inception and expect such losses to continue over the next several years. Management plans to continue financing the operations with equity issuances, debt arrangements or a combination thereof. We expect current working capital to be sufficient to fund our operations inclusive of planned research and development activities, inclusive of debt repayment in the event of default, through at least September 30, 2011. If adequate funds are not available, we may be required to delay, reduce the scope of or eliminate one or more of our research or development programs or implement a reduction in workforce.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Certain amounts in the consolidated statements of operations for the three and nine month periods ended September 30, 2009 and the consolidated statement of cash flows for the nine months ended September 30, 2009 and the period from September 26, 2000 (inception) to September 30, 2010 have been reclassified to conform the presentation of interest expense, other expense and other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2010, the Financial Accounting Standards Board, or FASB, issued Accounting Standards Update, or ASU, No. 2010-12, which indicates that the Securities and Exchange Commission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We have performed an initial review of the two acts, and we do not believe that either will have a material impact on our consolidated results of operations or financial condition. Our belief is based on the fact that: we are a development stage biopharmaceutical whose lead drug candidates are in Phase II of development and we have no other revenue generating products; therefore the pharmaceutical industry fee should not be applicable to us, nor would we be impacted by the drug subsidy changes; we have less than 25 employees so the fee for health plans will have minimal impact to our operating expenses; we do not have “high-cost” coverage health plans, nor do we offer retiree medical benefits; thus, the fees and the changes related to these would not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impact our operating expenses, and,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for which we submitted an application on July 16, 2010. In October 2010, we were notified that our application for a grant payment under the investment tax credit for qualified therapeutic discovery was not approved by the Department of Health and Human Services.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Early adoption is permitted. Adoption of this standard did not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December 18, 2009 we acquired 100% of the outstanding shares of Avigen, a biopharmaceutical company that had focused on identifying and developing differentiated products to treat patients with serious disorders, whose potential product candidate is AV411, a glial attenuator and ibudilast small molecule therapeutic, for CNS disorders. Under the terms of the Merger, Avigen shareholders, at their election, received an amount per share either in cash, convertible notes issued by us or a combination thereof, upon closing. Of the 29,852,115 shares of Avigen common stock outstanding, approximately 17% of Avigen shareholders elected to receive cash at closing in the amount of approximately $1.19 per share with an additional $0.04 per share expected to be paid in two increments on or about June 30, 2010 and after November 30, 2010 subject to certain adjustments, and rights under contingent payment rights issued as part of the merger consideration, while the remaining 83% elected to receive convertible notes issued by us. The amount to be paid in the two installments was adjusted to approximately $0.044 per share at June 30, 2010, based on a reconciliation of expenses. The primary reasons for the Avigen acquisition were to combine the ibudilast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December 31, 2009 acquisition related balances with their respective balances at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2"/>
              </w:rPr>
              <w:t>Value of Notes</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Converted and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5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Fractional Share</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Other Expense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Payout</w:t>
            </w:r>
          </w:p>
        </w:tc>
        <w:tc>
          <w:tcPr>
            <w:tcW w:w="6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Interest Earned</w:t>
            </w:r>
          </w:p>
        </w:tc>
        <w:tc>
          <w:tcPr>
            <w:tcW w:w="8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(Accretion)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Activity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Value at</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12/31/09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1/1/10-9/30/10(9)</w:t>
            </w:r>
          </w:p>
        </w:tc>
        <w:tc>
          <w:tcPr>
            <w:tcW w:w="52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1/1/10-9/30/10(10)</w:t>
            </w:r>
          </w:p>
        </w:tc>
        <w:tc>
          <w:tcPr>
            <w:tcW w:w="520" w:type="dxa"/>
            <w:vAlign w:val="bottom"/>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1/1/10-9/30/10(11)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1/1/10-9/30/10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9/30/10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Restricted cash(1)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226,000(6)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30,045,965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(1,759,294)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(140,119)(13)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28,374,673</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Restricted investment(2)</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vMerge w:val="continue"/>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676,499</w:t>
            </w:r>
          </w:p>
        </w:tc>
        <w:tc>
          <w:tcPr>
            <w:tcW w:w="320" w:type="dxa"/>
            <w:vAlign w:val="bottom"/>
            <w:gridSpan w:val="2"/>
          </w:tcPr>
          <w:p>
            <w:pPr>
              <w:ind w:left="24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35</w:t>
            </w:r>
          </w:p>
        </w:tc>
        <w:tc>
          <w:tcPr>
            <w:tcW w:w="52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(40,129)(12)</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636,405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letter of credit(3)</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500,042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376</w:t>
            </w:r>
          </w:p>
        </w:tc>
        <w:tc>
          <w:tcPr>
            <w:tcW w:w="5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ind w:left="76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ind w:left="500"/>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500,418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IPR&amp;D(4)</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vMerge w:val="continue"/>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4,800,000</w:t>
            </w:r>
          </w:p>
        </w:tc>
        <w:tc>
          <w:tcPr>
            <w:tcW w:w="320" w:type="dxa"/>
            <w:vAlign w:val="bottom"/>
            <w:gridSpan w:val="2"/>
          </w:tcPr>
          <w:p>
            <w:pPr>
              <w:ind w:left="24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5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Goodwill(5)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9,142,205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ind w:left="76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226,000(6)</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9,368,205</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Escrow holdback(6)</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gridSpan w:val="2"/>
          </w:tcPr>
          <w:p>
            <w:pPr>
              <w:ind w:left="240"/>
              <w:spacing w:after="0" w:line="132"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line="132" w:lineRule="exact"/>
              <w:rPr>
                <w:sz w:val="20"/>
                <w:szCs w:val="20"/>
                <w:color w:val="auto"/>
              </w:rPr>
            </w:pPr>
            <w:r>
              <w:rPr>
                <w:rFonts w:ascii="Arial" w:cs="Arial" w:eastAsia="Arial" w:hAnsi="Arial"/>
                <w:sz w:val="14"/>
                <w:szCs w:val="14"/>
                <w:color w:val="auto"/>
              </w:rPr>
              <w:t>140,119(13)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4"/>
              </w:rPr>
              <w:t>(1,094,045)</w:t>
            </w:r>
          </w:p>
        </w:tc>
        <w:tc>
          <w:tcPr>
            <w:tcW w:w="32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(409)</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ind w:left="760"/>
              <w:spacing w:after="0" w:line="15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685,917(14)</w:t>
            </w:r>
          </w:p>
        </w:tc>
        <w:tc>
          <w:tcPr>
            <w:tcW w:w="3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(268,418)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Management transition plan liability(2)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(676,499)</w:t>
            </w:r>
          </w:p>
        </w:tc>
        <w:tc>
          <w:tcPr>
            <w:tcW w:w="32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40,129(12)</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(636,405)</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Deferred tax liability(7)</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vMerge w:val="continue"/>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w w:val="94"/>
              </w:rPr>
              <w:t>(1,956,000)</w:t>
            </w:r>
          </w:p>
        </w:tc>
        <w:tc>
          <w:tcPr>
            <w:tcW w:w="320" w:type="dxa"/>
            <w:vAlign w:val="bottom"/>
            <w:gridSpan w:val="2"/>
          </w:tcPr>
          <w:p>
            <w:pPr>
              <w:ind w:left="240"/>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5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ind w:left="76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4"/>
              </w:rPr>
              <w:t>(1,956,000)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Convertible notes(8)</w:t>
            </w:r>
          </w:p>
        </w:tc>
        <w:tc>
          <w:tcPr>
            <w:tcW w:w="5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94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w w:val="85"/>
              </w:rPr>
              <w:t>(29,258,137)</w:t>
            </w:r>
          </w:p>
        </w:tc>
        <w:tc>
          <w:tcPr>
            <w:tcW w:w="32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1,759,294</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rPr>
              <w:t>(2,088)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4"/>
                <w:szCs w:val="14"/>
                <w:color w:val="auto"/>
              </w:rPr>
              <w:t>(93,921)</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(685,917)(14)</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5"/>
              </w:rPr>
              <w:t>(28,280,769)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line="26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Restricted cash consists of cash held in a separate trust account, managed by a third-party, in connection with the $32.4 million of cash funded by Avigen and the $3.0 million of cash paid by us, or the First Payment Consideration, less the $6.0 million paid out to Avigen shareholders who elected a cash payout at the merger closing date and the Second Payment Consideration described in (6) below.</w:t>
      </w:r>
    </w:p>
    <w:p>
      <w:pPr>
        <w:ind w:left="340" w:right="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investment consists of cash held in an irrevocable grantor trust, or rabbi trust, which is intended to fund benefit obligations under the Avigen, Inc. Management Transition Plan, or MTP. These funds represent reserves for benefits eligible to terminated employees as defined by the MTP. Accordingly, we booked the associated MTP liability. Upon termination of the trust, these funds are to be paid to the former Avigen stockholders on a pro rata basis.</w:t>
      </w:r>
    </w:p>
    <w:p>
      <w:pPr>
        <w:ind w:left="340" w:right="1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letter of credit consists of cash provided as a credit guarantee and security for an irrevocable letter of credit related to Avigen’s original lease of office space which expires November 30, 2010. Any funds remaining after the letter of credit expires will revert to the escrow holdback account described below.</w:t>
      </w:r>
    </w:p>
    <w:p>
      <w:pPr>
        <w:ind w:left="340" w:right="1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In-process research and development (“IPR&amp;D”) represents an estimate of fair value of in-process technology related to Avigen’s AV411 program, which at the merger closing date, had not received U.S. Food and Drug Administration (“FDA”) approval for any indication. As such, pursuant to ASC 805, amortization of the IPR&amp;D will not occur until it reaches market feasibility. The annual test date for IPR&amp;D impairment is December 31. During the nine months ended September 30, 2010 and through the date of this report, there were no triggering events, market conditions or other factors that would indicate possible or actual impairment of IPR&amp;D.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included in the purchase price of Avigen the fair value of the aggregate merger consideration, which included both the convertible notes associated with the First Payment Consideration described in</w:t>
      </w:r>
    </w:p>
    <w:p>
      <w:pPr>
        <w:spacing w:after="0" w:line="10" w:lineRule="exact"/>
        <w:rPr>
          <w:rFonts w:ascii="Arial" w:cs="Arial" w:eastAsia="Arial" w:hAnsi="Arial"/>
          <w:sz w:val="12"/>
          <w:szCs w:val="12"/>
          <w:color w:val="auto"/>
        </w:rPr>
      </w:pPr>
    </w:p>
    <w:p>
      <w:pPr>
        <w:jc w:val="both"/>
        <w:ind w:left="340" w:right="100"/>
        <w:spacing w:after="0" w:line="258" w:lineRule="auto"/>
        <w:rPr>
          <w:rFonts w:ascii="Arial" w:cs="Arial" w:eastAsia="Arial" w:hAnsi="Arial"/>
          <w:sz w:val="12"/>
          <w:szCs w:val="12"/>
          <w:color w:val="auto"/>
        </w:rPr>
      </w:pPr>
      <w:r>
        <w:rPr>
          <w:rFonts w:ascii="Arial" w:cs="Arial" w:eastAsia="Arial" w:hAnsi="Arial"/>
          <w:sz w:val="12"/>
          <w:szCs w:val="12"/>
          <w:color w:val="auto"/>
        </w:rPr>
        <w:t>(1) above and the Second Payment Consideration described in (6) below, the $3.0 million cash paid by us and the conversion feature on the convertible notes. As such, we originally recorded $9.1 million of goodwill related to the excess purchase price over the assigned values of the net assets acquired. See Second Payment Consideration reconciliation discussion, described in (6) below, for the increase in goodwill to $9.4 million. The goodwill was primarily a direct result of the fair value of the conversion feature of the convertible notes. The annual test date for goodwill impairment is December 31.</w:t>
      </w:r>
    </w:p>
    <w:p>
      <w:pPr>
        <w:ind w:left="340" w:right="100"/>
        <w:spacing w:after="0" w:line="221" w:lineRule="auto"/>
        <w:rPr>
          <w:rFonts w:ascii="Arial" w:cs="Arial" w:eastAsia="Arial" w:hAnsi="Arial"/>
          <w:sz w:val="12"/>
          <w:szCs w:val="12"/>
          <w:color w:val="auto"/>
        </w:rPr>
      </w:pPr>
      <w:r>
        <w:rPr>
          <w:rFonts w:ascii="Arial" w:cs="Arial" w:eastAsia="Arial" w:hAnsi="Arial"/>
          <w:sz w:val="14"/>
          <w:szCs w:val="14"/>
          <w:color w:val="auto"/>
        </w:rPr>
        <w:t>During the nine months ended September 30, 2010 and through the date of this report, there were no triggering events, market conditions or other factors that would indicate possible or actual impairment of goodwill.</w:t>
      </w:r>
    </w:p>
    <w:p>
      <w:pPr>
        <w:ind w:left="340" w:right="6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At the closing of the merger, we and Avigen funded $1,500,000 in a combination of cash and a letter of credit in a separate escrow account, or Second Payment Consideration, pursuant to an escrow agreement. The Second Payment Consideration is considered the “escrow holdback.” We and Avigen identified certain additional liabilities of approximately $400,000 prior to closing of the Merger. As such, in accordance with the procedures set forth in the escrow agreement, $400,000 was released from the escrow account in satisfaction of these additional liabilities. At acquisition date, we recorded the escrow holdback in our consolidated balance sheet at fair value. Upon reconciliation of the escrow holdback, we recorded an increased goodwill by $226,000. We deemed this amount inconsequential to the overall financial statements and we accounted for this change prospectively. In addition, the $226,000 was deposited into restricted cash.</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deferred tax liability represents the book to tax basis difference related to IPR&amp;D acquired through the acquisition of Avigen.</w:t>
      </w:r>
    </w:p>
    <w:p>
      <w:pPr>
        <w:ind w:left="340" w:right="60" w:hanging="332"/>
        <w:spacing w:after="0" w:line="225"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the closing of the merger, we and American Stock Transfer &amp; Trust Company, LLC, as trustee, entered into an indenture governing the terms of the convertible notes. Under the terms of a separate trust agreement, $29.4 million, which represents the initial principal amount of the convertible notes, or 83% of the First Payment Consideration, was deposited with a trust agent for the benefit of the holders and us (the amount of such deposit together with interest accrued and capitalized thereon, the Property). See (11) below which discusses the discount on the convertible notes. At the election of the respective convertible note holders, the convertible notes can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227" w:lineRule="auto"/>
        <w:rPr>
          <w:sz w:val="20"/>
          <w:szCs w:val="20"/>
          <w:color w:val="auto"/>
        </w:rPr>
      </w:pPr>
      <w:r>
        <w:rPr>
          <w:rFonts w:ascii="Arial" w:cs="Arial" w:eastAsia="Arial" w:hAnsi="Arial"/>
          <w:sz w:val="14"/>
          <w:szCs w:val="14"/>
          <w:color w:val="auto"/>
        </w:rPr>
        <w:t>converted into our common stock at the conversion price of $6.80 per share. Upon maturity of the convertible notes on June 18, 2011, the 18-month anniversary of the closing of the merger, we will use the Property to pay the principal amount of, and accrued interest on, the remaining convertible notes. For the three months and nine months ended September 30, 2010, $711 and $2,088, respectively, was the amount of interest capitalized on the convertible notes.</w:t>
      </w:r>
    </w:p>
    <w:p>
      <w:pPr>
        <w:spacing w:after="0" w:line="1" w:lineRule="exact"/>
        <w:rPr>
          <w:sz w:val="20"/>
          <w:szCs w:val="20"/>
          <w:color w:val="auto"/>
        </w:rPr>
      </w:pPr>
    </w:p>
    <w:p>
      <w:pPr>
        <w:ind w:left="340" w:right="18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three months and nine months ended September 30, 2010, 1,274 and 258,655, respectively, shares of our common stock were issued in connection with the conversion of convertible notes to our common stock at a conversion price of $6.80, with any fractional shares being paid out of restricted cash. The $8,663 and approximately $1.8 million of proceeds received during the three and nine months ended September 30, 2010, respectively, as a result of the convertible notes conversions into our common stock were deposited into a money market account and recorded as cash and cash equivalents in our consolidated balance sheet at September 30, 2010.</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earned on the restricted cash, investment and letter of credit balances is added to the principal of the respective liability accounts.</w:t>
      </w:r>
    </w:p>
    <w:p>
      <w:pPr>
        <w:ind w:left="340" w:right="1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At December 31, 2009, the fair value of the convertible notes was less than their face value. As a result, over the term of the convertible notes (18 months) we will accrete the discount on the convertible notes with the offset being charged to other expense.</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reduction in restricted investments and MTP liability relate to the payout of eligible benefits to terminated employees.</w:t>
      </w: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Pursuant to the first payment release out of the escrow holdback account in July 2010, we paid $140,119 which represents the cash paid to Avigen shareholders who elected a cash payment.</w:t>
      </w:r>
    </w:p>
    <w:p>
      <w:pPr>
        <w:spacing w:after="0" w:line="10" w:lineRule="exact"/>
        <w:rPr>
          <w:rFonts w:ascii="Arial" w:cs="Arial" w:eastAsia="Arial" w:hAnsi="Arial"/>
          <w:sz w:val="12"/>
          <w:szCs w:val="12"/>
          <w:color w:val="auto"/>
        </w:rPr>
      </w:pPr>
    </w:p>
    <w:p>
      <w:pPr>
        <w:ind w:left="340" w:right="180" w:hanging="332"/>
        <w:spacing w:after="0" w:line="23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Pursuant to the first payment release out of the escrow holdback account in July 2010, we issued $685,917 in principal of additional convertible notes to Avigen shareholders who elected for convertible notes in lieu of a cash payment.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Statements—Note 2, Avigen Transaction, in our Annual Report on Form 10-K for further information on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defined in the authoritative guidance for fair value measurements and disclosures under ASC 820 (formerly SFAS No. 157),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0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2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September 30, 2010, cash and cash equivalents (instruments with maturities of three months or less at the date of purchase) were $31.2 million and primarily invested in money market accounts. At September 30, 2010, restricted cash, restricted investments and restricted letter of credit were $29.5 million and primarily invested in money market funds. We measure our cash equivalents, restricted letter of credit, restricted cash and restricted investments (each current assets) on a recurring basis and the fair value of these assets is based on Level 1 criteria in which their carrying amount is a reasonable estimate of their fair value based on daily quoted market prices.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August 2008, UBS, the brokerage firm through which we purchased the majority of our investment securities, all of which were auction rate securities, or ARS, entered into a settlement with the SEC, the New York Attorney General and other state agencies, or UBS ARS Rights Offer. Under the settlement, we received the right to sell to UBS the ARS held in accounts with UBS at par value at any time during the period beginning June 30, 2010 and ending July 2, 2012. The right to sell the ARS back to UBS is considered an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investments. At September 30, 2010, we no longer held any investment securities originally purchased by UBS and we no longer held the ARS Put. In July 2010, the UBS ARS and the ARS Put were redeemed at par value by UBS and the associated ARS Loan was repaid.</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At September 30, 2010, we reclassified our long-term investments which consisted of ARS that principally represented interests in insurance notes and portfolios of securities (primarily commercial paper) to current investments because we no longer had the intent to hold these securities for more than a year. In addition, the fair market value of these investment securities were no longer determined on a Level 3 basis, but rather on a Level 2 basis based on indicative liquidation quotes in an inactive market.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September 30, 2010, our total ARS portfolio of $0.8 million at fair value ($2.2 million at par value) consisted entirely of private placement investment securities. None of the underlying collateral of these securities consisted of subprime mortgages or collateralized debt obligations. These securities had been designated as trading investment securities at December 31, 2008; therefore, any additional increase or decrease in the fair value of our investment securities is recorded as either a gain or an impairment charge, respectively, in our consolidated statement of operations. For the three and nine months ended September 30, 2010, we recorded a net impairment charge on our investment securities of approximately $0.9 million and $0.8 million, respectively, to reduce the carrying value of our investment securities portfolio. The table below reconciles fair value of our ARS trading investment securities and the ARS Put at December 31, 2009 with fair value at September 30, 2010: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Transfers (out)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Level 3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long-term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asset/in to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Level 2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Sales/</w:t>
            </w:r>
          </w:p>
        </w:tc>
        <w:tc>
          <w:tcPr>
            <w:tcW w:w="13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4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current asset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Redemptions</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Charge</w:t>
            </w:r>
          </w:p>
        </w:tc>
        <w:tc>
          <w:tcPr>
            <w:tcW w:w="100" w:type="dxa"/>
            <w:vAlign w:val="bottom"/>
          </w:tcPr>
          <w:p>
            <w:pPr>
              <w:spacing w:after="0"/>
              <w:rPr>
                <w:sz w:val="12"/>
                <w:szCs w:val="12"/>
                <w:color w:val="auto"/>
              </w:rPr>
            </w:pPr>
          </w:p>
        </w:tc>
        <w:tc>
          <w:tcPr>
            <w:tcW w:w="70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Gain</w:t>
            </w:r>
          </w:p>
        </w:tc>
        <w:tc>
          <w:tcPr>
            <w:tcW w:w="4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12/31/09</w:t>
            </w:r>
          </w:p>
        </w:tc>
        <w:tc>
          <w:tcPr>
            <w:tcW w:w="4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1/1/10-9/30/10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1/1/10-9/30/10</w:t>
            </w:r>
          </w:p>
        </w:tc>
        <w:tc>
          <w:tcPr>
            <w:tcW w:w="4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1/1/10-9/30/10</w:t>
            </w:r>
          </w:p>
        </w:tc>
        <w:tc>
          <w:tcPr>
            <w:tcW w:w="4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1/1/10-9/30/10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9/30/10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securities-current asset(1)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24,254,987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(26,950,000)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(542,255)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3,237,268</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840,000</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Investment securities-long-term asset(2)</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gridSpan w:val="2"/>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2,085,425</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(294,194)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(956,111)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4,880</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ARS Put-current asset(3)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2,557,007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(2,785,978)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Aggregated fair value of the investment securities- current asset was previously determined on a Level 3 basis based on a discounted cash flow model, which employed liquidity discounts and included assumptions regarding future cash flows and the likelihood of the redemption or refinancing of such ARS. At September 30, 2010, we no longer held investment securities- current asset associated with the UBS ARS Rights Offer. We initiated the redemption of these ARS on June 30, 2010, with settlement occurring on July 1, 2010. At September 30, 2010, we reclassified the long-term private placement investment securities to current assets. See discussion below on their fair market valuation.</w:t>
      </w:r>
    </w:p>
    <w:p>
      <w:pPr>
        <w:spacing w:after="0" w:line="2"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Aggregated fair value of the long-term private placement investment securities was previously determined on a Level 3 basis based on a discounted cash flow model, which employed liquidity discounts and included assumptions regarding future cash flows and the likelihood of the redemption or refinancing of such ARS. At September 30, 2010, we had determined that we no longer had the intent to hold these investment securities for more than a year. At September 30, 2010, fair value of these securities was based on quotes received from investment brokers assuming liquidation of these assets in a short time frame (within a month). We believe the liquidation value of these investment securities fairly approximated their fair value as we recorded a gain of approximately $28,000 upon sale of these investment securities in October 2010.</w:t>
      </w:r>
    </w:p>
    <w:p>
      <w:pPr>
        <w:spacing w:after="0" w:line="4" w:lineRule="exact"/>
        <w:rPr>
          <w:rFonts w:ascii="Arial" w:cs="Arial" w:eastAsia="Arial" w:hAnsi="Arial"/>
          <w:sz w:val="16"/>
          <w:szCs w:val="16"/>
          <w:color w:val="auto"/>
        </w:rPr>
      </w:pPr>
    </w:p>
    <w:p>
      <w:pPr>
        <w:ind w:left="460" w:right="20" w:hanging="452"/>
        <w:spacing w:after="0" w:line="29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our UBS ARS and the ARS Put. Fair value of the ARS Put, was previously determined on a Level 3 basis based on a discounted cash flow model, which employed a liquidity discount taking into consideration UBS’s cost of capital. At September 30, 2010, we no longer held the ARS Put as it was redeemed by UBS on July 1, 2010.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non-recurring basis classified by the fair value measurements and disclosures valuation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4"/>
              </w:rPr>
              <w:t>As of September 30, 2010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2580" w:type="dxa"/>
            <w:vAlign w:val="bottom"/>
            <w:tcBorders>
              <w:bottom w:val="single" w:sz="8" w:color="auto"/>
            </w:tcBorders>
            <w:gridSpan w:val="7"/>
          </w:tcPr>
          <w:p>
            <w:pPr>
              <w:jc w:val="right"/>
              <w:ind w:right="275"/>
              <w:spacing w:after="0" w:line="142" w:lineRule="exact"/>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Escrow holdback (1, 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268,418</w:t>
            </w:r>
          </w:p>
        </w:tc>
        <w:tc>
          <w:tcPr>
            <w:tcW w:w="86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 (4)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3,543,047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Convertible notes (1, 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28,280,769</w:t>
            </w:r>
          </w:p>
        </w:tc>
        <w:tc>
          <w:tcPr>
            <w:tcW w:w="440" w:type="dxa"/>
            <w:vAlign w:val="bottom"/>
          </w:tcPr>
          <w:p>
            <w:pPr>
              <w:spacing w:after="0"/>
              <w:rPr>
                <w:sz w:val="19"/>
                <w:szCs w:val="19"/>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28,280,769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32,092,234</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32,092,234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debt, less current portion (4)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10,716,165</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10,716,165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Total non-current liability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10,716,165</w:t>
            </w:r>
          </w:p>
        </w:tc>
        <w:tc>
          <w:tcPr>
            <w:tcW w:w="86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10,716,165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 convertible notes and escrow holdback and their related conversion feature was based on a binomial option pricing model (“BOPM”). Assumptions used in the BOPM included the maturity date of the convertible notes and the escrow holdback, the time between nodes, volatility, face value of the convertible notes and the escrow holdback at the merger closing date and the risk-free rate. The maturity date utilized was 1.5 years based on the maturity of the notes in June 2011. As our projected period was 1.5 years we used the average of the one and two year U.S. Treasury bonds as of the closing date and we based volatility on the historical volatility of publicly-traded comparable companies to Avigen and our stock price volatility. See Notes to Consolidated Financial Statements- Note 2, Avigen Transaction in our Annual Report on Form 10-K for further information on the BOPM.</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we recorded the convertible notes as a liability upon merger closing on December 18, 2009, following ASC 805, the fair value of the conversion feature was accounted for within equity and will not be re-measured during interim periods and subsequent settlements (conversions to our stock) will be accounted for in equity. See Note 2, Avigen Transaction, above for information on the activity impacting the convertible notes liability during the nine months ended September 30, 2010.</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we recorded the escrow holdback as a liability upon merger closing on December 18, 2009, following ASC 805, the fair value of the conversion feature was accounted for within equity and will not be re-measured during interim periods and subsequent settlements (conversions to our stock) for those who elected convertible notes will be accounted for in equity. See Note 2, Avigen Transaction, above for information on the activity impacting the escrow holdback liability during the nine months ended September 30, 2010.</w:t>
      </w:r>
    </w:p>
    <w:p>
      <w:pPr>
        <w:spacing w:after="0" w:line="2"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value of the long-term debt- current portion and non-current portion- approximates fair value. See Note 4, Long-term Debt, below for further information regarding the valuation of the long-term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10, 2010, we entered the Loan Agreement with Lender, under which we borrowed $15.0 million.</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obligations under the Loan Agreement are secured by a first priority security interest in substantially all of our assets, other than our intellectual property. We also have agreed not to pledge or otherwise encumber our intellectual property assets. Our obligations under the Loan Agreement are guaranteed on a senior secured basis by Avigen.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also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 A failure to meet the Loan Agreement requirements by March 31, 2011, would result in an immediate requirement for Loan repayment (as well as an increase in interest rate). As of September 30, 2010, we were in compliance with the Loan Agreement covenants.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 percent. The effective interest rate on the debt financing is calculated to be 18.14 percent and for the three and nine month period ended September 30, 2010, we recorded total interest expense on this loan of approximately $659,000 and $1.0 million, respectively.</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paid the Lender a facility fee of $150,000 and we have paid outside third parties approximately $180,000 in connection with procuring the loan. We also will pay the Lender a deferred interest payment equal to $450,000, payable on September 30, 2011, provided that a pro rata portion of such deferred interest payment shall be paid upon any prepayment of the loan. In addition, if we prepay all or a portion of the loan prior to maturity, we will pay the Lender a prepayment penalty of three percent of the total amount prepaid if the prepayment occurs prior to May 10, 2011, two percent of the total amount prepaid if the prepayment occurs between May 11, 2011 and May 10, 2012 and one percent of the total amount prepaid if the prepayment occurs on or after May 10, 2012.</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connection with the Loan Agreement, we issued to the Lender a warrant to purchase up to 198,020 shares of our common stock. This warrant is exercisable, in whole or in part, immediately,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accounted for the interest on the long-term debt using the effective interest method wherein we treated the debt issuance costs paid directly to the lender (financing fees) and the relative fair value of the warrants issued to the lender as a discount on the debt (or a contra liability) and we treated the debt issuance costs paid to third parties (primarily legal fees) as an other asset in our consolidated balance sheet. The amortization of the debt discount is recorded as interest expense and the amortization of the debt issuance costs paid to third parties is recorded as other expense in our consolidated statement of operations. The table below summarizes the long-term debt activity recorded during the nine months ended September 30, 2010: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Amount</w:t>
            </w: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Expense)</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Carrying Value</w:t>
            </w:r>
          </w:p>
        </w:tc>
      </w:t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5/10/10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5/10/10-9/30/10</w:t>
            </w:r>
          </w:p>
        </w:tc>
        <w:tc>
          <w:tcPr>
            <w:tcW w:w="64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5/10/10-9/30/10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9/30/2010</w:t>
            </w:r>
          </w:p>
        </w:tc>
        <w:tc>
          <w:tcPr>
            <w:tcW w:w="100" w:type="dxa"/>
            <w:vAlign w:val="bottom"/>
          </w:tcPr>
          <w:p>
            <w:pPr>
              <w:spacing w:after="0"/>
              <w:rPr>
                <w:sz w:val="14"/>
                <w:szCs w:val="14"/>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Debt issuance costs paid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180,000</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(33,647)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146,353</w:t>
            </w: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(15,000,000)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(15,000,000)</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interest charge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(79,766)</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(79,766)</w:t>
            </w: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(15,000,000)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(79,766)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(15,079,766)</w:t>
            </w: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Relative fair value of warrants issued to lender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859,209</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(160,615)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698,594</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issuance costs paid to lender</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(28,040)</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121,960</w:t>
            </w: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1,009,209</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(188,655)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820,554</w:t>
            </w: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relative fair value of the warrants issued to the lender was calculated using a Black-Scholes valuation model. The risk-free interest rate assumption used is 2.86 percent and is based upon observed risk-free interest rates appropriate for the expected term of the warrants. The expected volatility assumption used is 76 percent and is consistent with the volatility of our common stock based on the historical volatility of our stock since listing on the Nasdaq Global Market in December 2006. We have not paid any dividends on our common stock since our inception, and we do not anticipate paying any dividends on our common stock in the foreseeable future. Therefore, the dividend yield assumption used is zero. The expected term assumption used is seven years, which is the contractual life of the warrants. The fair value of the warrants using Black-Scholes is calculated to be $4.34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nine months ended September 30, 2010 and September 30, 2009, respectively, 309,100 and 387,000 of potentially dilutive securities were excluded from determining diluted earnings per share because of their anti-dilutive effect.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comprehensive loss includes unrealized losses on marketable securities and currency translation. The table below sets forth the components of our accumulated other comprehensive loss at: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(64,914)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(29,744)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Currency translation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2"/>
              </w:rPr>
              <w:t>(30,214)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(56,404)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(59,958)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of September 30, 2010 and 2009, our comprehensive loss was $15,187,419 and $14,483,528,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Payments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September 30, 2010 and 2009, share-based compensation expense related to stock options of approximately $0.4 million and $0.5 million, respectively, was recorded as a component of general and administrative expense, and approximately $0.1 million and $0.1 million, respectively, was recorded as research and development expense. For the nine months ended September 30, 2010 and 2009, share-based compensation expense related to stock options of approximately $1.3 million and $1.4 million, respectively, was recorded as a component of general and administrative expense, and approximately $0.3 million and $0.5 million, respectively, was recorded as research and development expense.</w:t>
      </w:r>
    </w:p>
    <w:p>
      <w:pPr>
        <w:spacing w:after="0" w:line="11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During the three months ended September 30, 2010, stock options to purchase 19,420 shares of common stock were exercised for approximately $62,000. During the nine months ended September 30, 2010, stock options to purchase 38,049 shares of common stock were exercised for approximately $135,000. As of September 30, 2010, there was $2.5 million of unamortized compensation cost related to unvested stock option awards, which is expected to be recognized over a remaining weighted-average vesting period of 1.2 years.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exercise price of stock options to purchase 525,000 shares of common stock granted during the nine months ended September 30, 2010 was equal to market value on the date of grant and the share-based compensation expense for such stock options is reflected in operating results for the three months and nine months ended September 30, 2010.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w w:val="89"/>
              </w:rPr>
              <w:t>Three Months Ended</w:t>
            </w:r>
          </w:p>
        </w:tc>
        <w:tc>
          <w:tcPr>
            <w:tcW w:w="980" w:type="dxa"/>
            <w:vAlign w:val="bottom"/>
          </w:tcPr>
          <w:p>
            <w:pPr>
              <w:spacing w:after="0"/>
              <w:rPr>
                <w:sz w:val="14"/>
                <w:szCs w:val="14"/>
                <w:color w:val="auto"/>
              </w:rPr>
            </w:pPr>
          </w:p>
        </w:tc>
        <w:tc>
          <w:tcPr>
            <w:tcW w:w="23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Three Months Ended</w:t>
            </w:r>
          </w:p>
        </w:tc>
        <w:tc>
          <w:tcPr>
            <w:tcW w:w="224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7"/>
              </w:rPr>
              <w:t>Nine Months Ended</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322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September 30, 2010 (1)</w:t>
            </w:r>
          </w:p>
        </w:tc>
        <w:tc>
          <w:tcPr>
            <w:tcW w:w="98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 2009</w:t>
            </w:r>
          </w:p>
        </w:tc>
        <w:tc>
          <w:tcPr>
            <w:tcW w:w="10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2010</w:t>
            </w:r>
          </w:p>
        </w:tc>
        <w:tc>
          <w:tcPr>
            <w:tcW w:w="10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2009</w:t>
            </w:r>
          </w:p>
        </w:tc>
        <w:tc>
          <w:tcPr>
            <w:tcW w:w="200" w:type="dxa"/>
            <w:vAlign w:val="bottom"/>
          </w:tcPr>
          <w:p>
            <w:pPr>
              <w:spacing w:after="0"/>
              <w:rPr>
                <w:sz w:val="14"/>
                <w:szCs w:val="14"/>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2.46%</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r>
        <w:trPr>
          <w:trHeight w:val="208"/>
        </w:trPr>
        <w:tc>
          <w:tcPr>
            <w:tcW w:w="3220" w:type="dxa"/>
            <w:vAlign w:val="bottom"/>
          </w:tcPr>
          <w:p>
            <w:pPr>
              <w:spacing w:after="0"/>
              <w:rPr>
                <w:sz w:val="20"/>
                <w:szCs w:val="20"/>
                <w:color w:val="auto"/>
              </w:rPr>
            </w:pPr>
            <w:r>
              <w:rPr>
                <w:rFonts w:ascii="Arial" w:cs="Arial" w:eastAsia="Arial" w:hAnsi="Arial"/>
                <w:sz w:val="18"/>
                <w:szCs w:val="18"/>
                <w:color w:val="auto"/>
              </w:rPr>
              <w:t>Expected volatility of common</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220" w:type="dxa"/>
            <w:vAlign w:val="bottom"/>
          </w:tcPr>
          <w:p>
            <w:pPr>
              <w:ind w:left="220"/>
              <w:spacing w:after="0"/>
              <w:rPr>
                <w:sz w:val="20"/>
                <w:szCs w:val="20"/>
                <w:color w:val="auto"/>
              </w:rPr>
            </w:pPr>
            <w:r>
              <w:rPr>
                <w:rFonts w:ascii="Arial" w:cs="Arial" w:eastAsia="Arial" w:hAnsi="Arial"/>
                <w:sz w:val="18"/>
                <w:szCs w:val="18"/>
                <w:color w:val="auto"/>
              </w:rPr>
              <w:t>stock</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3280" w:type="dxa"/>
            <w:vAlign w:val="bottom"/>
            <w:gridSpan w:val="3"/>
          </w:tcPr>
          <w:p>
            <w:pPr>
              <w:jc w:val="right"/>
              <w:ind w:right="920"/>
              <w:spacing w:after="0"/>
              <w:rPr>
                <w:sz w:val="20"/>
                <w:szCs w:val="20"/>
                <w:color w:val="auto"/>
              </w:rPr>
            </w:pPr>
            <w:r>
              <w:rPr>
                <w:rFonts w:ascii="Arial" w:cs="Arial" w:eastAsia="Arial" w:hAnsi="Arial"/>
                <w:sz w:val="18"/>
                <w:szCs w:val="18"/>
                <w:color w:val="auto"/>
              </w:rPr>
              <w:t>73.00%</w:t>
            </w:r>
          </w:p>
        </w:tc>
        <w:tc>
          <w:tcPr>
            <w:tcW w:w="2240" w:type="dxa"/>
            <w:vAlign w:val="bottom"/>
            <w:gridSpan w:val="2"/>
          </w:tcPr>
          <w:p>
            <w:pPr>
              <w:jc w:val="right"/>
              <w:ind w:right="940"/>
              <w:spacing w:after="0"/>
              <w:rPr>
                <w:sz w:val="20"/>
                <w:szCs w:val="20"/>
                <w:color w:val="auto"/>
              </w:rPr>
            </w:pPr>
            <w:r>
              <w:rPr>
                <w:rFonts w:ascii="Arial" w:cs="Arial" w:eastAsia="Arial" w:hAnsi="Arial"/>
                <w:sz w:val="18"/>
                <w:szCs w:val="18"/>
                <w:color w:val="auto"/>
              </w:rPr>
              <w:t>76.50%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70.00%</w:t>
            </w:r>
          </w:p>
        </w:tc>
      </w:tr>
      <w:tr>
        <w:trPr>
          <w:trHeight w:val="21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0.00%</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3280" w:type="dxa"/>
            <w:vAlign w:val="bottom"/>
            <w:gridSpan w:val="3"/>
          </w:tcPr>
          <w:p>
            <w:pPr>
              <w:jc w:val="right"/>
              <w:ind w:right="1080"/>
              <w:spacing w:after="0"/>
              <w:rPr>
                <w:sz w:val="20"/>
                <w:szCs w:val="20"/>
                <w:color w:val="auto"/>
              </w:rPr>
            </w:pPr>
            <w:r>
              <w:rPr>
                <w:rFonts w:ascii="Arial" w:cs="Arial" w:eastAsia="Arial" w:hAnsi="Arial"/>
                <w:sz w:val="18"/>
                <w:szCs w:val="18"/>
                <w:color w:val="auto"/>
              </w:rPr>
              <w:t>4.09</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4.40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stock options were granted in the three months ended September 30, 2010.</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outstanding stock options. The expected volatility of our common stock is based on the historical volatility of our stock since listing on the Nasdaq Global Market in December 2006. We have not paid any dividends on our common stock since our inception, and we do not anticipate paying any dividends on our common stock in the foreseeable future. The expected term of employee stock options is based on the simplified method for “plain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vanilla options” as provided by the authoritative guidance on stock compensation, as we concluded that our historical stock option exercise experience does not provide a reasonable basis for us to estimate the expected term.</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and nine month periods ended September 30, 2010 was based on stock option awards ultimately expected to vest, such expense should be reduced for estimated forfeitures. The authoritative guidance for compensation under ASC 718 (formerly SFAS No. 123R) requires forfeitures to be estimated at the time of grant and revised, if necessary, in subsequent periods if actual forfeitures differ from those estimates. We have very few employees and our stock options vest monthly; therefore, we did not estimate any forfeitures during the nine months ended September 30, 2010, and we will adjust our stock-based compensation expense should any forfeitures occur. The weighted-average fair value of each stock option granted during the nine month period ended September 30, 2010, estimated as of the grant date using the Black-Scholes option valuation model, was $4.02 per stock option, whereas the weighted-average fair value of each stock option granted during the three and nine month periods ended September 30, 2009 was $2.68, per stock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(formerly SFAS No. 109), a deferred liability is determined based on the difference between the financial statement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September 30, 2010 and we have not recorded any uncertain income tax benefits at September 30, 2010.</w:t>
      </w:r>
    </w:p>
    <w:p>
      <w:pPr>
        <w:spacing w:after="0" w:line="207" w:lineRule="exact"/>
        <w:rPr>
          <w:sz w:val="20"/>
          <w:szCs w:val="20"/>
          <w:color w:val="auto"/>
        </w:rPr>
      </w:pPr>
    </w:p>
    <w:p>
      <w:pPr>
        <w:ind w:right="8680" w:firstLine="8"/>
        <w:spacing w:after="0" w:line="391" w:lineRule="auto"/>
        <w:tabs>
          <w:tab w:leader="none" w:pos="17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On June 24, 2010, a final order and judgment approving final settlement of $140,000 was received. The final settlement was paid by Avigen’s insurance carrier on July 2, 2010.</w:t>
      </w:r>
    </w:p>
    <w:p>
      <w:pPr>
        <w:spacing w:after="0" w:line="191" w:lineRule="exact"/>
        <w:rPr>
          <w:sz w:val="20"/>
          <w:szCs w:val="20"/>
          <w:color w:val="auto"/>
        </w:rPr>
      </w:pPr>
    </w:p>
    <w:p>
      <w:pPr>
        <w:ind w:right="9500" w:firstLine="8"/>
        <w:spacing w:after="0" w:line="347" w:lineRule="auto"/>
        <w:tabs>
          <w:tab w:leader="none" w:pos="26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summary of the changes in stock options outstanding under the 2000 Plan and 2004 Plan during the nine months ended September 30, 2010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2,055,576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525,000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(38,049)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(206,033)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2,336,494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stock options exercised during the nine months ended September 30, 2010 was approximately $39,000. The aggregate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intrinsic value of stock options outstanding at September 30, 2010 and exercisable at September 30, 2010 was approximately $1,118,000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$498,000, respectively. Of the total stock options outstanding as of September 30, 2010, options to purchase 1,538,804 shares of common stock are exercisable,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a weighted average exercise price of $9.78 per share and a weighted average contractual life of 6.4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The following assumptions were used to value the September 30, 2010 employee stock purchases: a risk-free interest rate of 1.38%, expected volatility of 76%, expected term of six months and a dividend rate of 0%. For the three months ended and nine months ended September 30, 2010, 2,072 shares of common stock and 6,558 shares of common stock, respectively, were issued under the ESPP and 259,127 shares of common stock are available for future issuance.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The trustee will in turn release to us the respective amount of restricted cash to cover the stock issuance. We will then invest the unrestricted cash into either a money market fund or a money market account. Any fractional shares (after aggregating all convertible notes being converted by a holder on such date) will be rounded down and we will deliver cash for the current market value of the fractional share. For the three months and nine months ended September 30, 2010, approximately $9,000 and $1.8 million, respectively, of convertible notes were converted into our common stock.</w:t>
      </w:r>
    </w:p>
    <w:p>
      <w:pPr>
        <w:spacing w:after="0" w:line="193" w:lineRule="exact"/>
        <w:rPr>
          <w:sz w:val="20"/>
          <w:szCs w:val="20"/>
          <w:color w:val="auto"/>
        </w:rPr>
      </w:pPr>
    </w:p>
    <w:p>
      <w:pPr>
        <w:ind w:right="9640" w:firstLine="8"/>
        <w:spacing w:after="0" w:line="417" w:lineRule="auto"/>
        <w:tabs>
          <w:tab w:leader="none" w:pos="254"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Investment Securities</w:t>
      </w:r>
    </w:p>
    <w:p>
      <w:pPr>
        <w:spacing w:after="0" w:line="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October 2010, we sold all of our remaining investment securities- current assets and received total proceeds of approximately $868,000 which were invested in cash equivalents. We also recorded a gain on the sale of approximately $28,000 associated with the sale of these investment securities.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2009 included in our Annual Report on Form 10-K filed with the Securities and Exchange Commission, or SEC, on March 24, 2010. Past operating results are not necessarily indicative of results that may occur in future periods.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9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development stage company. We have incurred significant net losses since our inception. At September 30, 2010, from inception, our accumulated deficit was approximately $262.5 million, including $47.9 million of non-cash stock-based compensation charges related to employee stock-based compensation and founders’ warrants. We expect to continue to incur losses as we continue to develop MN-221 for the treatment of acute exacerbations of asthma and Chronic Obstructive Pulmonary Disease, or COPD, exacerbations. We expect current working capital to be sufficient to fund our operations and planned research and development activities through the next fiscal year. We are actively pursuing potential partners to facilitate the advancement of our clinical development programs to potential commercialization.</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MS, bronchial asthma, interstitial cystitis, solid tumor cancers, Generalized Anxiety Disorders/insomnia, preterm labor and urinary incontinence, and two product development programs which have been in preclinical development for the treatment of thrombotic disorders.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December 2009 we acquired Avigen Inc., or Avigen, a biopharmaceutical company that focused on identifying and developing differentiated products to treat patients with serious disorders, whose potential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product candidate was AV411, a macrophage migration inhibitory factor and a glial attenuator, for CNS disorders, such as neuropathic pain, opioid withdrawal and methamphetamine addiction. Avigen’s AV411 and our MN-166 are both ibudilast, an orally available, small molecule therapeutic. With the acquisition of AV411, through the third quarter of 2010, we continue to integrate the two ibudilast-based product development programs into a combined development program.</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hanging="446"/>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 initiated a Phase II clinical trial in the first quarter of 2009 to evaluate the safety and efficacy of MN-221 in patients with severe, acute exacerbations of asthma treated in the emergency room, or ER, which is on-going and for which we continue to note an overall slow enrollment rate, however, we experienced higher enrollment rates in the third quarter of 2010 as a result of asthma season, facilitated by the protocol amendment which reduced the patient’s length of stay in the ER, and (ii) initiated a Phase 1b clinical trial in the fourth quarter of 2009 to evaluate the safety of MN-221 at planned escalating doses in patients with stable, moderate to severe COPD, in which we announced preliminary positive results in the first quarter of 2010.</w:t>
      </w:r>
    </w:p>
    <w:p>
      <w:pPr>
        <w:spacing w:after="0" w:line="39"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MN-166/AV411 for which we continue the process of integrating the two programs into a combined ibudilast-based product development program to pursue discussions with potential partners to secure a strategic collaboration. For MN-166 for the treatment of MS, we completed a Phase II clinical trial in Eastern Europe in the second quarter of 2008 and we completed a monkey toxicity preclinical study in second quarter of 2010. For AV411 for other CNS disorders, we have an on-going Phase 1b/2a opioid withdrawal clinical trial being funded by the National Institute on Drug Abuse, or NIDA, which is expected to be completed by the end of 2010 and we have on-going collaborative studies with NIDA for methamphetamine addiction. In addition, in the third quarter of 2010, an investigator site received approval from the U.S. Food and Drug Administration, or FDA, to proceed with a Phase 1b trial of ibudilast as a potential new pharmacotherapy for methamphetamine addiction. This trial is being funded primarily by NIDA.</w:t>
      </w:r>
    </w:p>
    <w:p>
      <w:pPr>
        <w:spacing w:after="0" w:line="33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Upon completion of proof-of-concept Phase II clinical trials, we intend to make a determination as to whether we will continue to pursue development independently in select markets, or establish a strategic collaboration to support further clinical development, as we currently intend with MN-221 and MN-166/AV411. In addition, we continue to limit development activities for the balance of our existing product candidates. For each of these remaining product candidates, we plan to conduct development activities only to the extent deemed necessary to maintain our license rights or maximize its value while pursuing a variety of initiatives to monetize such product candidate on appropriate terms. See “Research and Development”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MN-001 for the treatment of IC,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1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 on June 18, 2011, the 18-month anniversary of the closing of the merger. Holders of these convertible notes may convert their notes into our common stock at an initial conversion price of $6.80 per share. At the maturity of the convertible notes, the remaining holders would be paid out the same per share amount as the Avigen shareholders that elected to receive cash at the merger closing, plus accrued interest. As part of the merger consideration, the former Avigen shareholders also are entitled to receive approximately $0.04 per share expected to be paid in two increments on or about June 30, 2010 and after November 30, 2010, subject to certain adjustments, and rights under contingent payment rights issued as part of the merger consideration. The amount to be paid in the two installments was adjusted to approximately $0.044 per share at June 30, 2010, based on a reconciliation of expenses. Under the first installment paid out in the third quarter of 2010, we paid a total of $140,119 to Avigen shareholders who elected payment in cash and we issued an additional principal amount of $685,917 in convertible notes to Avigen shareholders who elected payment in convertible notes in lieu of a cash payment.</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The acquisition method of accounting for acquired businesses requires, among other things, that most assets acquired and liabilities assumed be recognized at their fair values as of the acquisition date and that the fair value of acquired in-process research and development (IPR&amp;D) be recorded on the balance sheet. Also, transaction costs are expensed as incurred. As a result of the Avigen transaction we recorded $4.8 million of IPR&amp;D related to Avigen’s AV411 asset and we originally recorded $9.1 million of goodwill related to the excess purchase price over the assigned values of the net assets acquired. At June 30, 2010, with the reconciliation of expenses performed with regard to the two payments discussed above, goodwill was adjusted by $0.2 million to $9.4 million to reflect the increase in liabilities assumed. The goodwill was primarily a result of the conversion feature related to the convertible notes issued pursuant to the merger agreement. Our annual test date for IPR&amp;D and goodwill impairment is December 31. We operate as one reporting segment and during the nine months ended September 30, 2010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May 10, 2010, we entered into a loan and security agreement, or the Loan Agreement, with Oxford Finance Corporation, or Lender under which we borrowed $15.0 million. The financing will be used to satisfy working capital needs, including the continued clinical development of MN-221.</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percent. The effective interest rate on the loan was 18.14% when taking into consideration the deferred interest payment, the relative fair value of the warrants issued in connection with the loan and the fees associated with procuring the loan. Pursuant to the Loan Agreement, we also issued to Lender a warrant to acquire up to 198,020 shares of our common stock, par value $0.001 per share, at an exercise price of $6.06 per share. Based on a Black Scholes model, the relative fair value of the warrant was approximately $859,000.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paid Lender a facility fee of $150,000 and we paid outside third parties fees of approximately $180,000. We also will pay Lender a deferred interest payment equal to $450,000, payable on September 30, 2011, provided that a pro rata portion of such deferred interest payment shall be paid upon any prepayment of the loan. In addition, if we prepay all or a portion of the loan prior to maturity, we will pay Lender a prepayment penalty of three percent of the total amount prepaid if the prepayment occurs prior to May 10, 2011, two percent of the total amount prepaid if the prepayment occurs between May 11, 2011 and May 10, 2012 and one percent of the total amount prepaid if the prepayment occurs on or after May 10, 2012.</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accounted for the interest on the long-term debt under the effective interest method wherein we treated the debt issuance costs paid directly to Lender and the fair value of the warrants issued to Lender as a discount on the debt (or a contra liability) and we treated the debt issuance costs paid to third parties as an asset. The related amortization of the debt discount is recorded as interest expense and the amortization of the debt issuance costs paid to third parties is recorded as other expense in our consolidated statement of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also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 A failure to meet the Loan Agreement requirements by March 31, 2011, would result in an immediate requirement for Loan repayment (as well as an increase in interest rate). As of September 30, 2010, we were in compliance with the Loan Agreement covenants.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Control-Material Weakness</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required by SEC rules, we carried out the required quarterly evaluation, under the supervision and with the participation of our management, including our principal executive officer and our principal financial and accounting officer, of the effectiveness of our disclosure controls and procedures as of September 30, 2010, the end of the period covered by this Report. Based on this evaluation and due to the material weakness described below, our Chief Executive Officer and our Chief Financial Officer have concluded that our disclosure controls and procedures were not effective as of September 30,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preparing the financial statements as of September 30, 2010, that are included in this Report, management identified control overrides and policy deviations by one of our senior executive officers. These actions, collectively, represent a material weakness in our internal control over financial reporting. This material weakness was reported by management to our Audit Committee and remedial actions have taken place subsequent to September 30, 2010.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(See ITEM 4, CONTROLS AND PROCEDURES for further information on the identified material weakness and the remedial actions implemented.)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intellection property expenses,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550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Disease/Indication</w:t>
            </w:r>
          </w:p>
        </w:tc>
        <w:tc>
          <w:tcPr>
            <w:tcW w:w="16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50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2010</w:t>
            </w:r>
          </w:p>
        </w:tc>
        <w:tc>
          <w:tcPr>
            <w:tcW w:w="110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3"/>
                <w:szCs w:val="13"/>
                <w:color w:val="auto"/>
              </w:rPr>
            </w:pPr>
          </w:p>
        </w:tc>
        <w:tc>
          <w:tcPr>
            <w:tcW w:w="720" w:type="dxa"/>
            <w:vAlign w:val="bottom"/>
            <w:gridSpan w:val="2"/>
          </w:tcPr>
          <w:p>
            <w:pPr>
              <w:jc w:val="right"/>
              <w:ind w:right="42"/>
              <w:spacing w:after="0" w:line="155"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3"/>
                <w:szCs w:val="13"/>
                <w:color w:val="auto"/>
              </w:rPr>
            </w:pPr>
          </w:p>
        </w:tc>
        <w:tc>
          <w:tcPr>
            <w:tcW w:w="720" w:type="dxa"/>
            <w:vAlign w:val="bottom"/>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44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Acute exacerbations of asthma/ COPD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$ 1,656</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$5,673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MN-166</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Multiple sclerosis/other CNS disorders</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140</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615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Bronchial asthma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MN-001</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Interstitial cystitis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Solid tumors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MN-305</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Generalized Anxiety Disorder/insomnia</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Preterm labor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MN-246</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Urinary incontinence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Thrombotic disorders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MN-462</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Thrombotic disorders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2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6"/>
          </w:tcPr>
          <w:p>
            <w:pPr>
              <w:spacing w:after="0"/>
              <w:rPr>
                <w:sz w:val="20"/>
                <w:szCs w:val="20"/>
                <w:color w:val="auto"/>
              </w:rPr>
            </w:pPr>
            <w:r>
              <w:rPr>
                <w:rFonts w:ascii="Arial" w:cs="Arial" w:eastAsia="Arial" w:hAnsi="Arial"/>
                <w:sz w:val="18"/>
                <w:szCs w:val="18"/>
                <w:color w:val="auto"/>
              </w:rPr>
              <w:t>Total research and development</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2,177</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$ 2,380</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In the third quarter of 2009, we determined to expand the product development program for MN-221 to evaluate MN-221 for the treatment of COPD exacerbations. In the second quarter of 2008 we completed the Phase II clinical trial of MN-166 ibudilast for the treatment of MS and in December 2009, through the Avigen acquisition, we acquired AV411 ibudilast for the treatment of other CNS disorders. Through the third quarter of 2010, we continue to work on combing the two ibudilast-based development programs and we are pursuing discussions with potential partners to secure a strategic collaboration. As such, we do not plan to undertake any further significant clinical development of MN-166/AV411 until such time that we secure a strategic collaboration to advance the combined ibudilast-based development program. We anticipate that our research and development expenses will increase with respect to MN-221 over the next two quarters as we strive to complete the current clinical trial, MN-221 CL-007, which is set in the ER. In addition, with respect to MN-166/AV411, in future periods, we will limit expenditures on this product candidate to those development activities deemed necessary, if any, to maximize its value for purposes of securing a partner for clinical development.</w:t>
      </w:r>
    </w:p>
    <w:p>
      <w:pPr>
        <w:spacing w:after="0" w:line="12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MN-221-CL-007 continues to experience an overall slower than expected enrollment rate. However, during asthma season in the third quarter of 2010, we have experienced higher enrollment rates in the ER, in part due to the protocol amendment that shortened the length of time the patient needed to stay in the ER, as well as gave the ER physician control over the standard-of-care that was given to the patient during the treatment period. While we anticipate enrolling the last patient in this study in the first quarter of 2011, due to the risks inherent in the clinical development process and given that this study is set in the ER, we are unable to estimate with certainty the costs that we will incur in the continued development of such product candidate and that we will complete this study as expected.</w:t>
      </w:r>
    </w:p>
    <w:p>
      <w:pPr>
        <w:spacing w:after="0" w:line="144"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remain low for the remainder of our existing product candidates in future periods.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2008, UBS, the brokerage firm through which we purchased the majority of our investment securities, all of which were auction rate securities, or ARS, entered into a settlement with the SEC, the New York Attorney General and other state agencies. Under the settlement, we received the right to sell to UBS the ARS held in accounts with UBS at par value at any time during the period beginning June 30, 2010 and ending July 2, 2012. The right to sell the ARS back to UBS is considered an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December 31, 2008, we designated our investment securities portfolio as trading investment securities; therefore, any additional increase or decrease in the fair value of our investment securities is recorded as either a gain or an impairment charge, respectively, in our consolidated statement of operations.</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September 30, 2010, our investment securities consisted of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insurance notes and portfolios of securities (primarily commercial paper).</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At September 30, 2010, we no longer held any investment securities originally purchased by UBS and we no longer held the ARS Put. In July 2010 the UBS ARS and the ARS Put were redeemed by UBS and the associated ARS Loan was repaid, which resulted in a net gain of approximately $138,000 being recorded in our consolidated statement of operations related to the redemption of the UBS ARS and ARS Put.</w:t>
      </w:r>
    </w:p>
    <w:p>
      <w:pPr>
        <w:spacing w:after="0" w:line="107"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At September 30, 2010, we reclassified our long-term investment securities to current investment securities because we no longer had the intent to hold these securities for more than a year. In addition, the fair market value of these investment securities were no longer determined on a Level 3 basis based on a discounted cash flow model employing liquidity discounts, but rather on a Level 2 basis based on indicative liquidation quotes in an inactive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Loss/(Gain)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that completed in 2008 was conducted in Eastern Europe and the on-going Phase II clinical trial in MN-221 for the treatment of acute exacerbations of asthma has a small number of clinical sites located in Canada, Australia and New Zealand in which certain of the invoices are denominated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Canadian dollar, the Australian dollar and the New Zealand dollar, respectively. In addition, we have certain investor relation invoices denominated in Japanese Yen and we have certain manufacturing invoices denominated in British Pounds. At this time, we have not established a hedging program to mitigate our foreign exchange exposure. Foreign exchange gain/loss is based on the difference between the exchange rate at the settlement date and the exchange rate at the balance sheet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consists of accretion related to the convertible notes and the amortization of debt issuance costs paid to third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Interest expense consists of interest charged on our ARS Loan, interest charged on our long-term debt based on the effective interest method and amortization of debt discount.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2009, as filed with the SEC on March 24,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April 2010, the Financial Accounting Standards Board, or FASB, issued Accounting Standards Update, or ASU, No. 2010-12, which indicates that the Securities and Exchange Commission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We have performed an initial review of the two acts, and we do not believe that either will have a material impact on our consolidated results of operations or financial condition. Our belief is based on the fact that: we are a development stage biopharmaceutical whose lead drug candidates are in Phase II of development and we have no other revenue generating products; therefore the pharmaceutical industry fee should not be applicable to us, nor would we be impacted by the drug subsidy changes; we have less than 25 employees so the fee for health plans will have minimal impact to our operating expenses; we do not have “high-cost” coverage health plans, nor do we offer retiree medical benefits; thus, the fees and the changes related to these would not impact our operating expenses, and,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for which we submitted an application on July 16, 2010. In October 2010, we were notified that our application for a grant payment under the investment tax credit for qualified therapeutic discovery was not approved by the Department of Health and Human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Adoption of this standard did not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2010 and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September 30, 2010 or September 30,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Research and development expenses for the three months ended September 30, 2010 were $2.2 million, a decrease of $0.2 million when compared to $2.4 million for the three months ended September 30, 2009. This decrease in research and development expenses was primarily due to a decrease of $0.2 million in unallocated R&amp;D costs as a result of a decrease in intellectual property, or IP, legal expenses related to the overall review of our patent portfolio.</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General and administrative expenses were $2.0 million for the three months ended September 30, 2010, a decrease of $0.6 million when compared to $2.6 million for the three months ended September 30, 2009. This decrease in general and administrative expenses was a result of a $0.3 million decrease in professional fees incurred due to the completion of the Avigen transaction in 2009, a decrease of $0.2 million due to the absence of bonus accruals in 2010 as planned corporate performance targets have not yet been achieved and a decrease of $0.1 million in other expenses.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Net impairment charge on investment securities for the three months ended September 30, 2010 was $870,000, as compared to a net gain on investment securities of $73,000 for the three months ended September 30, 2009. The net impairment charge in the current quarter was a result of writing down the fair market value of our investment securities to liquidation value as we intend to sell these securities in the immediate future, offset by the gain recorded on the redemption of the UBS ARS and ARS Put. In the third quarter of 2009, all investment securities had been valued based on a discounted cash flow model employing liquidity discounts, which resulted in a net gain.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Foreign exchange gain for the three months ended September 30, 2010 was $3,000, as compared to a foreign exchange loss of $12,000 for the three months ended September 30, 2009. The foreign exchange gain in the current quarter was a result of the revaluation of Japanese yen-denominated liabilities, whereas in the third quarter of 2009, the revaluation of the euro-denominated liability resulted in a foreign exchange loss.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expense for the three months ended September 30, 2010 was $53,000, as compared to $0 for the three months ended September 30, 2009. Other expense relates to accretion on the convertible notes and amortization of debt issuance costs paid to third parties. We did not have the convertible notes or long-term debt at September 30,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expense for the three months ended September 30, 2010 was $659,000, as compared to $64,000 for the three months ended September 30, 2009. The increase in interest expense was due to the interest charged on the long-term debt using the effective interest method, offset by a decrease in the amount of interest charged on the ARS Loan as the ARS Loan was repaid during the third quarter of 2010. In 2009 interest expense was only comprised of interest charged on the ARS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income for the three months ended September 30, 2010 was $33,000, as compared to $151,000 for the three months ended September 30, 2009. The decrease is due to a decrease in interest income due to a lower yield earned on invested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2010 and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nine months ended September 30, 2010 or September 30,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Research and development expenses for the nine months ended September 30, 2010 were $7.4 million, a decrease of $0.8 million when compared to $8.2 million for the nine months ended September 30, 2009. This decrease in research and development expenses was due to a decrease of $0.2 million in spending on our prioritized asset MN-221 for the treatment of acute exacerbations of asthma due to fewer active clinical sites in our on-going MN-221-CL-007 clinical trial in the nine months ended September 30, 2010 compared to prior year due to sites awaiting IRB approval for the protocol amendment and a decrease of $0.6 million primarily in unallocated R&amp;D expenses due to a reduction in personnel costs and a reduction in IP legal costs related to the overall review of our patent portfolio.</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General and administrative expenses were $6.1 million for the nine months ended September 30, 2010, a decrease of $0.8 million when compared to $6.9 million for the nine months ended September 30, 2009. This decrease in general and administrative expenses was the result of a $0.5 million decrease in professional fees incurred due to the completion of the Avigen transaction in 2009, a decrease of $0.2 million due to the absence of bonus accruals in 2010 as planned corporate performance targets have not yet been achieved and a decrease of $0.1 million in other expenses.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Net impairment charge on investment securities for the nine months ended September 30, 2010 was $813,000, as compared to a net gain on investment securities of $214,000 for the nine months ended September 30, 2009. The net impairment charge was a result of writing down the fair market value of our investment securities still held to liquidation value as we intend to sell these securities in the immediate future,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offset by the gain recorded on the redemption of the UBS ARS and ARS Put. In 2009, all investment securities had been valued based on a discounted cash flow model employing liquidity discounts, which resulted in a net gain.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exchange gain for the nine months ended September 30, 2010 was $1,000, as compared to a foreign exchange loss of $2,000 for the nine months ended September 30, 2009. The foreign exchange gain in was a result of the revaluation of Japanese yen-denominated liabilities, whereas in 2009, the revaluation of the euro-denominated liability resulted in a foreign exchange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expense for the nine months ended September 30, 2010 was $128,000, as compared to $0 for the nine months ended September 30, 2009. Other expense relates to accretion on the convertible notes and amortization of debt issuance costs paid to third parties. We did not have the convertible notes or long-term debt at September 30,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Interest expense for the nine months ended September 30, 2010 was $1.1 million, as compared to $172,000 for the nine months ended September 30, 2009. The increase in interest expense was due to the interest charged on the long-term debt using the effective interest method, offset by a decrease in the amount of interest charged on the ARS Loan as the ARS Loan was repaid in July 2010. In 2009 interest expense was only comprised of interest charged on the ARS Loan.</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income for the nine months ended September 30, 2010 was $396,000, as compared to $661,000 for the nine months ended September 30, 2009. The decrease is due to a decrease in interest income due to a lower yield earned on invested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Since our inception, we have primarily financed our operations through the private placement of our equity securities, the public sale of our common stock, long-term debt, the conversion of convertible notes to our common stock and the exercise of founders’ warrants, net of treasury stock repurchases. In October 2010, we liquidated our remaining investment securities portfolio and received total proceeds of approximately $868,000 which were invested in cash equivalents. In addition, we have an active Form S-3 shelf filing which could be utilized to raise capital through additional equity transactions.</w:t>
      </w:r>
    </w:p>
    <w:p>
      <w:pPr>
        <w:spacing w:after="0" w:line="11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At September 30, 2010, we had $31.2 million in cash and cash equivalents, as compared to $19.2 million as of December 31, 2009, which increase of $12.0 million was primarily a result of the redemption of our UBS ARS and ARS Put and our $15.0 million debt financing, offset by cash used in operations.</w:t>
      </w:r>
    </w:p>
    <w:p>
      <w:pPr>
        <w:spacing w:after="0" w:line="85"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Net cash used in operating activities increased to $14.1 million for the nine months ended September 30, 2010 from $12.5 million for the nine months ended September 30, 2009. The increase was primarily a result of the payment of legal and contract research organization, or CRO, invoices and compensation expenses. Net cash provided by investing activities increased to $27.0 million for the nine months ended September 30, 2010, as compared to $830,000 of net cash provided by investing activities for the nine months ended September 30, 2009. The increase was primarily due to the redemption of our UBS ARS at par value and the sale of one of our private placement securities at less than par value. Net cash used by financing activities was $1.0 million for the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nine months ended September 30, 2010, compared to net cash provided by financing activities of $18.1 million for the nine months ended September 30, 2009. The decrease was primarily due to the repayment of the ARS Loan which was put into service in the first quarter of 2009, offset by proceeds received from the long-term debt and the conversion of convertible notes.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consumed substantial amounts of capital since our inception. We do not have any material commitments for capital expenditures and our current cash, cash equivalents and investment securities are our principal sources of liquidity as we cannot be assured of future conversion of the convertible notes into our common stock. Our clinical studies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If we do not receive complete and accurate information from the CRO or third parties on a timely basis or correctly estimate the outcome of contract negotiations or activity levels, we may have to record adjustments, which could potentially impact R&amp;D expense in subsequent periods. Our liquidity analysis is based on enrolling 200 patients in our on-going Phase II clinical trial (MN-221-CL-007) by the first quarter of 2011. Our liquidity may be impacted pursuant to the on-going review regarding certain of our clinical trial practices and pursuant to further evaluation of our internal controls infractions. Based on our forecasted expenditures to complete the MN-221-CL-007 clinical trial and our current level of general and administrative spending, we believe that our existing cash, cash equivalents and investment securities, as of September 30, 2010, will be sufficient to fund our anticipated operating requirements and debt repayment in the event of default, at a minimum, through September 30, 2011.</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anticipate that we will require additional funding in the future to fund our operations and further our research and development activities related to our prioritized assets. 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whether debt or equity in nature,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relinquish some or even all rights to product candidates and implement a reduction in workforce. Failure to obtain adequate financing also may adversely affect our ability to operate as a going concern.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however, will reduce our interest income, while increases in interest rates over time will increase our interest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relationship among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As required by SEC rules, we carried out the required quarterly evaluation, under the supervision and with the participation of our management, including our principal executive officer and our principal financial and accounting officer, of the effectiveness of our disclosure controls and procedures as of September 30, 2010, the end of the period covered by this Report. Based on this evaluation and due to the material weakness described below, our Chief Executive Officer and our Chief Financial Officer have concluded that our disclosure controls and procedures were not effective as of September 30, 2010.</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Because of inherent limitations, a system of internal control over financial reporting may not prevent or detect misstatements. Also, projections of any evaluation of effectiveness to future periods are subject to the risk that controls may become inadequate due to change in conditions, or that the degree of compliance with the policies or procedures may deteriorate. 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preparing the financial statements as of September 30, 2010, that are included in this Form 10-Q, management identified control overrides and policy deviations by one of our senior executive officers. These actions resulted from the following deficiencies in internal control over financial reporting, which collectively represent a material weakness in our internal control over financial reporting. This material weakness was reported by management to our Audit Committee.</w:t>
      </w:r>
    </w:p>
    <w:p>
      <w:pPr>
        <w:spacing w:after="0" w:line="39" w:lineRule="exact"/>
        <w:rPr>
          <w:sz w:val="20"/>
          <w:szCs w:val="20"/>
          <w:color w:val="auto"/>
        </w:rPr>
      </w:pPr>
    </w:p>
    <w:p>
      <w:pPr>
        <w:ind w:left="900" w:right="2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senior executive officer lacked a sufficient control awareness related to compliance with the Company’s Code of Conduct, contract review and approval policies, and certain human resources policies and procedures for employee terminations.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did not design adequate human resources policies and procedures related to ensuring compliance with our Code of Conduct.</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date of this Quarterly Report on Form 10-Q, we have not completed remediation of this material weakness and as a result, our principal executive officer and our principal financial and accounting officer have concluded that a material weakness continues to exist as of the end of the period covered by this Quarterly Report on Form 10-Q. We do not believe the material weakness had any effect on the accuracy of our financial statements for the current and prior reporting periods. However, there can be no assurance that significant deficiencies or additional material weaknesses will not transpire even with certain remedial actions in place by December 31, 2010, the date as of which we will next report on the effectiveness of our internal control over financial reporting.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management team is committed to achieving and maintaining a strong control environment and an overall tone within the organization that empowers all employees to act with the highest standards of ethical conduct. In addition, management remains committed to the process of developing and implementing improved corporate governance and compliance initiatives. Our Board and management team have been actively working on remediation efforts to address the material weakness and enhance our internal controls as follows:</w:t>
      </w:r>
    </w:p>
    <w:p>
      <w:pPr>
        <w:spacing w:after="0" w:line="62" w:lineRule="exact"/>
        <w:rPr>
          <w:sz w:val="20"/>
          <w:szCs w:val="20"/>
          <w:color w:val="auto"/>
        </w:rPr>
      </w:pPr>
    </w:p>
    <w:p>
      <w:pPr>
        <w:ind w:left="900" w:right="6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revised our contract review and approval policy to require the signature of two executive officers, one of whom must be the Chief Financial Officer or his designee;</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assigned additional responsibility to the Compensation Committee, including requirements that the Compensation Committee approve (1) any salary increases/adjustments greater than 10%, (2) any promotion or hiring into any position at the level of Vice President or above, (3) the salary of any individual promoted or hired for any position at the level of Vice President or above and (4) the granting to any employee of benefits or other perquisites not generally available to all employees;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Board changed the reporting lines of our Vice President of Clinical Development and our Manager of Human Resources and Administration; and</w:t>
      </w:r>
    </w:p>
    <w:p>
      <w:pPr>
        <w:spacing w:after="0" w:line="113" w:lineRule="exact"/>
        <w:rPr>
          <w:rFonts w:ascii="Arial" w:cs="Arial" w:eastAsia="Arial" w:hAnsi="Arial"/>
          <w:sz w:val="16"/>
          <w:szCs w:val="16"/>
          <w:color w:val="auto"/>
        </w:rPr>
      </w:pPr>
    </w:p>
    <w:p>
      <w:pPr>
        <w:ind w:left="900" w:right="14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Due to the appearance of a possible conflict of interest, the Board granted a waiver under our Code of Conduct to a senior executive officer and one of our other employees with respect to any joint real estate and banking transactions to which they are party as of November 13, 2010.</w:t>
      </w:r>
    </w:p>
    <w:p>
      <w:pPr>
        <w:spacing w:after="0" w:line="8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Subsequent to September 30, 2010, our Board has also formed a Strategic and Operational Review Committee comprised of certain members of our Board and our senior management team that has been tasked with reviewing all key strategic and operational matters. Our Board and our senior management team may engage additional third-party specialists to further review our identified material weakness and identify any other enhancements to our internal controls that may prevent future significant deficiencies and/or material weaknesses.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Except as described above, during the quarter ended September 30, 2010, there have not been any changes to our internal control over financial reporting that have materially affected, or are reasonably likely to materially affect, the Company’s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On June 24, 2010, the final order and judgment approving final settlement of $140,000 for fees and expenses was received. The petition for the $2,500 incentive award was denied. Avigen’s insurance carrier paid the $140,000 balance due to The Pennsylvania Avenue Funds on July 2, 2010.</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three months and nine months ended September 30, 2010, we had a net loss of $5.7 million and $15.2 million, respectively, and our accumulated deficit was approximately $262.5 million. If we are successful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ibudilast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fund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2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clinical development programs for MN-221 and MN-166/AV411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II clinical trial for MN-221 in Canada, Australia and New Zealand. Through the acquisition of Avigen, we have assumed responsibility for AV411 clinical trials including one active IND for neuropathic pain and cross-reference and drug product support of the NIDA-funded opioid withdrawal investigator-initiated IND with Columbia University drug addiction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clinical researchers. In the third quarter of 2010, a NIDA-funded investigator-initiated IND with University of California Los Angeles was given approval by the FDA to proceed with an initial trial of our neurological drug candidate, ibudilast (MN-166/AV411), as a potential new pharmacotherapy for methamphetamine addiction. The study will be led by established clinical research investigators in the treatment of drug addiction.</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through the third quarter of 2010 we continue to experience an overall slower than anticipated enrollment of patients for our ongoing Phase II clinical trial evaluating the safety and efficacy of MN-221 in patients with severe, acute exacerbations of asthma for various reasons such as the length of time required to stay in ER during the treatment period.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consumed substantial amounts of capital since our inception. From our inception to September 30, 2010, we had an accumulated deficit of $262.5 million. Our cash, cash equivalents and investment securities- current totaled approximately $32.0 million at September 30, 2010. We intend to manage our product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development programs such that our existing cash, cash equivalents and investment securities as of September 30, 2010 will be sufficient to meet our operating requirements and debt repayment, in the event of default, through at least September 30, 2011. We have based this estimate on assumptions that may prove to be wrong, and we could spend our available financial resources faster than we currently anticipate. Our future capital requirements will depend on many factors, including:</w:t>
      </w:r>
    </w:p>
    <w:p>
      <w:pPr>
        <w:spacing w:after="0" w:line="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it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assure you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loan and security agreement with Lender requires interest payments and, beginning in March 2011, principal repayments, and the agreement contains various covenants that may restrict our business and financing activities.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10, 2010, we entered into the Loan Agreement with Lender governing the terms of our $15.0 million senior secured credit facility. We are required to pay interest on borrowings on a monthly basis through and including February 1, 2011. Beginning March 1, 2011 through maturity of the loan on August 1, 2013, we will be required to make payments of outstanding principal and interest in 30 equal monthly installments.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also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 These restrictions may limit our operational flexibility and our financing activities. Based on our current business plan, we may need to raise additional equity or other financing to fund our future cash requirements. However, due to the restrictive nature of these covenants, we may find it difficult to obtain additional financing on acceptable terms, if at all.</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failure to comply with the covenants contained in the Loan Agreement or failure to make interest and principal payments could result in an event of default. Such default would increase the rate of interest payable under the Loan Agreement and the lenders would be able to accelerate the maturity of our outstanding obligations. If our obligations were accelerated, we cannot assure you that we would be able to repay the amounts then outstanding, in which case the lenders could begin foreclosure proceedings against our pledged assets. Any such acceleration or resulting foreclosure proceedings would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2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its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 date, we have entered into an agreement with Hospira Worldwide, Inc. for the development and supply of finished product of MN-221 for the treatment of acute exacerbations of asthma utilizing Hospira’s proprietary ADD-Vantage drug delivery system that we intend to use in clinical trials and the commercial market. In addition to Hospira’s proprietary drug delivery system, we anticipate entering into a commercial supply agreement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 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4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recalls or withdrawals, delays or failures in product testing or delivery, cost overruns or other problems that could harm our business, financial condition and results of operations.</w:t>
      </w:r>
    </w:p>
    <w:p>
      <w:pPr>
        <w:spacing w:after="0" w:line="21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3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ind w:right="100" w:firstLine="456"/>
        <w:spacing w:after="0" w:line="306"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w:t>
      </w:r>
    </w:p>
    <w:p>
      <w:pPr>
        <w:spacing w:after="0" w:line="2" w:lineRule="exact"/>
        <w:rPr>
          <w:sz w:val="20"/>
          <w:szCs w:val="20"/>
          <w:color w:val="auto"/>
        </w:rPr>
      </w:pPr>
    </w:p>
    <w:p>
      <w:pPr>
        <w:ind w:right="860" w:firstLine="8"/>
        <w:spacing w:after="0" w:line="261" w:lineRule="auto"/>
        <w:tabs>
          <w:tab w:leader="none" w:pos="2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or other material breach of the agreement, (iii) death or permanent disability and (iv) three months’ written notice. Following termination of employment, these individuals may engage in other businesses that may compete with us.</w:t>
      </w:r>
    </w:p>
    <w:p>
      <w:pPr>
        <w:spacing w:after="0" w:line="13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the Anti-Kickback Statute and the False Claims Act, as amended. These laws may impact any proposed sales, marketing and education programs as well as other aspects of our operations.</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as amended,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 More recently, the President signed into law the Patient Protection and Affordable Care Act, which imposes numerous provisions over a four-year period. We have begun to assess the impact of this Act, but, at this early stage the likely impact cannot be ascertained with any degree of certainty.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November 11, 2010, we had 23 full-time employees. Our management, personnel, systems and facilities currently in place may not be adequate to support any future growth of our employee base.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3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w:t>
      </w:r>
    </w:p>
    <w:p>
      <w:pPr>
        <w:spacing w:after="0" w:line="113"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ensures that its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84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As a smaller reporting company, our report regarding internal control over financial reporting for the year ended December 31, 2009 was not subject to attestation by our registered public accounting firm pursuant to temporary SEC rules. We are not subject to attestation on our report regarding internal control over financial reporting for the year ended December 31, 2010 for SEC reporting; however, it is required for OSE reporting.</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 and any failure to effectively remediate the material weakness identified as of September 30, 2010 could result in material misstatements in our financial statements.</w:t>
      </w:r>
    </w:p>
    <w:p>
      <w:pPr>
        <w:spacing w:after="0" w:line="5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As required by SEC rules, we carried out the required quarterly evaluation, under the supervision and with the participation of our management, including our principal executive officer and our principal financial and accounting officer, of the effectiveness of our disclosure controls and procedures as of September 30, 2010, the end of the period covered by this Report. Based on this evaluation and due to the material weakness described below, our Chief Executive Officer and our Chief Financial Officer have concluded that our disclosure controls and procedures were not effective as of September 30, 2010.</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Because of inherent limitations, a system of internal control over financial reporting may not prevent or detect misstatements. Also, projections of any evaluation of effectiveness to future periods are subject to the risk that controls may become inadequate due to change in conditions, or that the degree of compliance with the policies or procedures may deteriorate. 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preparing the financial statements as of September 30, 2010, that are included in this Form 10-Q, management identified control overrides and policy deviations by one of our senior executive officers. These actions resulted from the following deficiencies in internal control over financial reporting, which collectively represent a material weakness in our internal control over financial reporting. This material weakness was reported by management to our Audit Committee.</w:t>
      </w:r>
    </w:p>
    <w:p>
      <w:pPr>
        <w:spacing w:after="0" w:line="39" w:lineRule="exact"/>
        <w:rPr>
          <w:sz w:val="20"/>
          <w:szCs w:val="20"/>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senior executive officer lacked a sufficient control awareness related to compliance with the Company’s Code of Conduct, contract review and approval policies, and certain human resources policies and procedures for employee terminations.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did not design adequate human resources policies and procedures related to ensuring compliance with our Code of Conduct.</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of the date of this Quarterly Report on Form 10-Q, we have not completed remediation of this material weakness and as a result, our principal executive officer and our principal financial and accounting officer have concluded that a material weakness continues to exist as of the end of the period covered by this Quarterly Report on Form 10-Q. We do not believe the material weakness had any effect on the accuracy of our financial statements for the current and prior reporting periods. However, there can be no assurance that significant deficiencies or additional material weaknesses will not transpire even with certain remedial actions in place by December 31, 2010, the date as of which we will next report on the effectiveness of our internal control over financial reporting.</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management team is committed to achieving and maintaining a strong control environment and an overall tone within the organization that empowers all employees to act with the highest standards of ethical conduct. In addition, management remains committed to the process of developing and implementing improved corporate governance and compliance initiatives. Our Board and management team have been actively working on remediation efforts to address the material weakness and enhance our internal controls as follows:</w:t>
      </w:r>
    </w:p>
    <w:p>
      <w:pPr>
        <w:spacing w:after="0" w:line="62" w:lineRule="exact"/>
        <w:rPr>
          <w:sz w:val="20"/>
          <w:szCs w:val="20"/>
          <w:color w:val="auto"/>
        </w:rPr>
      </w:pPr>
    </w:p>
    <w:p>
      <w:pPr>
        <w:ind w:left="900" w:right="6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revised our contract review and approval policy to require the signature of two executive officers, one of whom must be the Chief Financial Officer or his designee;</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assigned additional responsibility to the Compensation Committee, including requirements that the Compensation Committee approve (1) any salary increases/adjustments greater than 10%, (2) any promotion or hiring into any position at the level of Vice President or above, (3) the salary of any individual promoted or hired for any position at the level of Vice President or above and (4) the granting to any employee of benefits or other perquisites not generally available to all employees;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Board changed the reporting lines of our Vice President of Clinical Development and our Manager of Human Resources and Administration; and</w:t>
      </w:r>
    </w:p>
    <w:p>
      <w:pPr>
        <w:spacing w:after="0" w:line="113" w:lineRule="exact"/>
        <w:rPr>
          <w:rFonts w:ascii="Arial" w:cs="Arial" w:eastAsia="Arial" w:hAnsi="Arial"/>
          <w:sz w:val="16"/>
          <w:szCs w:val="16"/>
          <w:color w:val="auto"/>
        </w:rPr>
      </w:pPr>
    </w:p>
    <w:p>
      <w:pPr>
        <w:ind w:left="900" w:right="1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Due to the appearance of a possible conflict of interest, the Board granted a waiver under our Code of Conduct to a senior executive officer and one of our other employees with respect to any joint real estate and banking transactions to which they are party as of November 13, 2010.</w:t>
      </w:r>
    </w:p>
    <w:p>
      <w:pPr>
        <w:spacing w:after="0" w:line="8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Subsequent to September 30, 2010, our Board has also formed a Strategic and Operational Review Committee comprised of certain members of our Board and our senior management team that has been tasked with reviewing all key strategic and operational matters. Our Board and our senior management team may engage additional third-party specialists to further review our identified material weakness and identify any other enhancements to our internal controls that may prevent future significant deficiencies and/or material weaknesses.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these remedial measures are insufficient to address the material weakness, or significant deficiencies or additional material weaknesses in our internal control are discovered or occur in the future, we may fail to meet our future reporting obligations on a timely basis, our consolidated financial statements may contain material misstatements, we could be required to restate our prior period financial results, our operating results may be harmed, we may be subject to class action litigation and, our common stock could be delisted from Nasdaq.</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confidential or proprietary information, we may incur liability and the further development of our product candidates may be delayed.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II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ibudilast-based development program. We cannot assure you that we will be able to secure such a strategic collaboration or otherwise further advance, or recognize value from, a combined MN-166/AV411 clinical development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303" w:lineRule="auto"/>
        <w:rPr>
          <w:sz w:val="20"/>
          <w:szCs w:val="20"/>
          <w:color w:val="auto"/>
        </w:rPr>
      </w:pPr>
      <w:r>
        <w:rPr>
          <w:rFonts w:ascii="Arial" w:cs="Arial" w:eastAsia="Arial" w:hAnsi="Arial"/>
          <w:sz w:val="15"/>
          <w:szCs w:val="15"/>
          <w:color w:val="auto"/>
        </w:rPr>
        <w:t>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0" w:lineRule="exact"/>
        <w:rPr>
          <w:sz w:val="20"/>
          <w:szCs w:val="20"/>
          <w:color w:val="auto"/>
        </w:rPr>
      </w:pPr>
    </w:p>
    <w:p>
      <w:pPr>
        <w:ind w:left="900" w:right="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Hercules Market of the Osaka Securities Exchange in Japan, trading volume in our securities has been light and an active trading market may not develop for our common stock. In September 2010, our average trading volume was approximately 2,300 shares per day on the Nasdaq and approximately 7,000 shares per day on the Hercules Market of the Osaka Stock Exchange.</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September 30, 2010,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3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1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2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5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14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014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140" w:type="dxa"/>
            <w:vAlign w:val="bottom"/>
            <w:gridSpan w:val="3"/>
          </w:tcPr>
          <w:p>
            <w:pPr>
              <w:ind w:left="80"/>
              <w:spacing w:after="0"/>
              <w:rPr>
                <w:sz w:val="20"/>
                <w:szCs w:val="20"/>
                <w:color w:val="auto"/>
              </w:rPr>
            </w:pPr>
            <w:r>
              <w:rPr>
                <w:rFonts w:ascii="Arial" w:cs="Arial" w:eastAsia="Arial" w:hAnsi="Arial"/>
                <w:sz w:val="18"/>
                <w:szCs w:val="18"/>
                <w:b w:val="1"/>
                <w:bCs w:val="1"/>
                <w:color w:val="auto"/>
              </w:rPr>
              <w:t>(REMOVED AND RESERVED).</w:t>
            </w: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14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1"/>
              </w:rPr>
              <w:t>Certification</w:t>
            </w:r>
          </w:p>
        </w:tc>
        <w:tc>
          <w:tcPr>
            <w:tcW w:w="9100" w:type="dxa"/>
            <w:vAlign w:val="bottom"/>
          </w:tcPr>
          <w:p>
            <w:pPr>
              <w:ind w:left="240"/>
              <w:spacing w:after="0" w:line="201" w:lineRule="exact"/>
              <w:rPr>
                <w:sz w:val="20"/>
                <w:szCs w:val="20"/>
                <w:color w:val="auto"/>
              </w:rPr>
            </w:pPr>
            <w:r>
              <w:rPr>
                <w:rFonts w:ascii="Arial" w:cs="Arial" w:eastAsia="Arial" w:hAnsi="Arial"/>
                <w:sz w:val="18"/>
                <w:szCs w:val="18"/>
                <w:color w:val="auto"/>
                <w:w w:val="88"/>
              </w:rPr>
              <w:t>of the Chief Executive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2010.</w:t>
            </w:r>
          </w:p>
        </w:tc>
        <w:tc>
          <w:tcPr>
            <w:tcW w:w="91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2010.</w:t>
            </w:r>
          </w:p>
        </w:tc>
        <w:tc>
          <w:tcPr>
            <w:tcW w:w="910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r>
        <w:trPr>
          <w:trHeight w:val="365"/>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40" w:type="dxa"/>
            <w:vAlign w:val="bottom"/>
            <w:gridSpan w:val="3"/>
          </w:tcPr>
          <w:p>
            <w:pPr>
              <w:ind w:left="466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5480" w:val="left"/>
          <w:tab w:leader="none" w:pos="7840" w:val="left"/>
          <w:tab w:leader="none" w:pos="8180" w:val="left"/>
        </w:tabs>
        <w:rPr>
          <w:sz w:val="20"/>
          <w:szCs w:val="20"/>
          <w:color w:val="auto"/>
        </w:rPr>
      </w:pPr>
      <w:r>
        <w:rPr>
          <w:rFonts w:ascii="Arial" w:cs="Arial" w:eastAsia="Arial" w:hAnsi="Arial"/>
          <w:sz w:val="18"/>
          <w:szCs w:val="18"/>
          <w:color w:val="auto"/>
        </w:rPr>
        <w:t>Date: 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 M.D., Ph.D.</w:t>
      </w:r>
    </w:p>
    <w:p>
      <w:pPr>
        <w:jc w:val="center"/>
        <w:ind w:left="59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550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Shintaro Asako</w:t>
      </w:r>
    </w:p>
    <w:p>
      <w:pPr>
        <w:jc w:val="center"/>
        <w:ind w:left="59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80"/>
          </w:cols>
          <w:pgMar w:left="240" w:top="459" w:right="8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00" w:type="dxa"/>
            <w:vAlign w:val="bottom"/>
          </w:tcPr>
          <w:p>
            <w:pPr>
              <w:jc w:val="center"/>
              <w:ind w:right="1572"/>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80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1"/>
              </w:rPr>
              <w:t>Certification</w:t>
            </w:r>
          </w:p>
        </w:tc>
        <w:tc>
          <w:tcPr>
            <w:tcW w:w="9100" w:type="dxa"/>
            <w:vAlign w:val="bottom"/>
          </w:tcPr>
          <w:p>
            <w:pPr>
              <w:ind w:left="240"/>
              <w:spacing w:after="0" w:line="201" w:lineRule="exact"/>
              <w:rPr>
                <w:sz w:val="20"/>
                <w:szCs w:val="20"/>
                <w:color w:val="auto"/>
              </w:rPr>
            </w:pPr>
            <w:r>
              <w:rPr>
                <w:rFonts w:ascii="Arial" w:cs="Arial" w:eastAsia="Arial" w:hAnsi="Arial"/>
                <w:sz w:val="18"/>
                <w:szCs w:val="18"/>
                <w:color w:val="auto"/>
                <w:w w:val="88"/>
              </w:rPr>
              <w:t>of the Chief Executive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2010.</w:t>
            </w:r>
          </w:p>
        </w:tc>
        <w:tc>
          <w:tcPr>
            <w:tcW w:w="91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2010.</w:t>
            </w:r>
          </w:p>
        </w:tc>
        <w:tc>
          <w:tcPr>
            <w:tcW w:w="910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r>
        <w:trPr>
          <w:trHeight w:val="365"/>
        </w:trPr>
        <w:tc>
          <w:tcPr>
            <w:tcW w:w="500" w:type="dxa"/>
            <w:vAlign w:val="bottom"/>
          </w:tcPr>
          <w:p>
            <w:pPr>
              <w:spacing w:after="0"/>
              <w:rPr>
                <w:sz w:val="24"/>
                <w:szCs w:val="24"/>
                <w:color w:val="auto"/>
              </w:rPr>
            </w:pPr>
          </w:p>
        </w:tc>
        <w:tc>
          <w:tcPr>
            <w:tcW w:w="10600" w:type="dxa"/>
            <w:vAlign w:val="bottom"/>
            <w:gridSpan w:val="3"/>
          </w:tcPr>
          <w:p>
            <w:pPr>
              <w:jc w:val="right"/>
              <w:ind w:right="5212"/>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100"/>
          </w:cols>
          <w:pgMar w:left="240" w:top="459" w:right="5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2010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15, 2010</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2010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15, 2010</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Shintaro Asako</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3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15, 2010</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3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2010,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15, 2010</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Shintaro Asako</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9"/>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1."/>
      <w:numFmt w:val="decimal"/>
      <w:start w:val="1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lowerRoman"/>
      <w:start w:val="2"/>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2019-12-10T22:23:16Z</dcterms:created>
  <dcterms:modified xsi:type="dcterms:W3CDTF">2019-12-10T22:23:16Z</dcterms:modified>
</cp:coreProperties>
</file>