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460" w:right="4000" w:hanging="452"/>
        <w:spacing w:after="0" w:line="24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2012</w:t>
      </w:r>
    </w:p>
    <w:p>
      <w:pPr>
        <w:spacing w:after="0" w:line="199" w:lineRule="exact"/>
        <w:rPr>
          <w:sz w:val="24"/>
          <w:szCs w:val="24"/>
          <w:color w:val="auto"/>
        </w:rPr>
      </w:pPr>
    </w:p>
    <w:p>
      <w:pPr>
        <w:ind w:left="460" w:right="3980" w:hanging="452"/>
        <w:spacing w:after="0" w:line="269"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0" w:right="239" w:bottom="1440" w:gutter="0" w:footer="0" w:header="0"/>
        </w:sectPr>
      </w:pPr>
    </w:p>
    <w:p>
      <w:pPr>
        <w:spacing w:after="0" w:line="27" w:lineRule="exact"/>
        <w:rPr>
          <w:sz w:val="24"/>
          <w:szCs w:val="24"/>
          <w:color w:val="auto"/>
        </w:rPr>
      </w:pPr>
    </w:p>
    <w:p>
      <w:pPr>
        <w:ind w:left="344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194" w:lineRule="exact"/>
        <w:rPr>
          <w:sz w:val="24"/>
          <w:szCs w:val="24"/>
          <w:color w:val="auto"/>
        </w:rPr>
      </w:pPr>
    </w:p>
    <w:p>
      <w:pPr>
        <w:sectPr>
          <w:pgSz w:w="11900" w:h="16838" w:orient="portrait"/>
          <w:cols w:equalWidth="0" w:num="2">
            <w:col w:w="6680" w:space="540"/>
            <w:col w:w="420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15"/>
          <w:szCs w:val="15"/>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139700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MEDICINOVA,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480" w:type="dxa"/>
        <w:tblCellMar>
          <w:top w:w="0" w:type="dxa"/>
          <w:left w:w="0" w:type="dxa"/>
          <w:bottom w:w="0" w:type="dxa"/>
          <w:right w:w="0" w:type="dxa"/>
        </w:tblCellMar>
      </w:tblPr>
      <w:tr>
        <w:trPr>
          <w:trHeight w:val="218"/>
        </w:trPr>
        <w:tc>
          <w:tcPr>
            <w:tcW w:w="6240" w:type="dxa"/>
            <w:vAlign w:val="bottom"/>
          </w:tcPr>
          <w:p>
            <w:pPr>
              <w:jc w:val="center"/>
              <w:ind w:right="3342"/>
              <w:spacing w:after="0"/>
              <w:rPr>
                <w:sz w:val="20"/>
                <w:szCs w:val="20"/>
                <w:color w:val="auto"/>
              </w:rPr>
            </w:pPr>
            <w:r>
              <w:rPr>
                <w:rFonts w:ascii="Arial" w:cs="Arial" w:eastAsia="Arial" w:hAnsi="Arial"/>
                <w:sz w:val="18"/>
                <w:szCs w:val="18"/>
                <w:b w:val="1"/>
                <w:bCs w:val="1"/>
                <w:color w:val="auto"/>
                <w:w w:val="88"/>
              </w:rPr>
              <w:t>Delaware</w:t>
            </w: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40" w:type="dxa"/>
            <w:vAlign w:val="bottom"/>
          </w:tcPr>
          <w:p>
            <w:pPr>
              <w:jc w:val="center"/>
              <w:ind w:right="334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460" w:type="dxa"/>
            <w:vAlign w:val="bottom"/>
          </w:tcPr>
          <w:p>
            <w:pPr>
              <w:jc w:val="center"/>
              <w:ind w:left="32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240" w:type="dxa"/>
            <w:vAlign w:val="bottom"/>
          </w:tcPr>
          <w:p>
            <w:pPr>
              <w:jc w:val="center"/>
              <w:ind w:right="3342"/>
              <w:spacing w:after="0"/>
              <w:rPr>
                <w:sz w:val="20"/>
                <w:szCs w:val="20"/>
                <w:color w:val="auto"/>
              </w:rPr>
            </w:pPr>
            <w:r>
              <w:rPr>
                <w:rFonts w:ascii="Arial" w:cs="Arial" w:eastAsia="Arial" w:hAnsi="Arial"/>
                <w:sz w:val="14"/>
                <w:szCs w:val="14"/>
                <w:b w:val="1"/>
                <w:bCs w:val="1"/>
                <w:color w:val="auto"/>
                <w:w w:val="89"/>
              </w:rPr>
              <w:t>Incorporation or Organization)</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6240" w:type="dxa"/>
            <w:vAlign w:val="bottom"/>
          </w:tcPr>
          <w:p>
            <w:pPr>
              <w:jc w:val="center"/>
              <w:ind w:right="3342"/>
              <w:spacing w:after="0"/>
              <w:rPr>
                <w:sz w:val="20"/>
                <w:szCs w:val="20"/>
                <w:color w:val="auto"/>
              </w:rPr>
            </w:pPr>
            <w:r>
              <w:rPr>
                <w:rFonts w:ascii="Arial" w:cs="Arial" w:eastAsia="Arial" w:hAnsi="Arial"/>
                <w:sz w:val="18"/>
                <w:szCs w:val="18"/>
                <w:b w:val="1"/>
                <w:bCs w:val="1"/>
                <w:color w:val="auto"/>
                <w:w w:val="89"/>
              </w:rPr>
              <w:t>4350 La Jolla Village Drive, Suite 950</w:t>
            </w:r>
          </w:p>
        </w:tc>
        <w:tc>
          <w:tcPr>
            <w:tcW w:w="1460" w:type="dxa"/>
            <w:vAlign w:val="bottom"/>
          </w:tcPr>
          <w:p>
            <w:pPr>
              <w:spacing w:after="0"/>
              <w:rPr>
                <w:sz w:val="24"/>
                <w:szCs w:val="24"/>
                <w:color w:val="auto"/>
              </w:rPr>
            </w:pPr>
          </w:p>
        </w:tc>
      </w:tr>
      <w:tr>
        <w:trPr>
          <w:trHeight w:val="231"/>
        </w:trPr>
        <w:tc>
          <w:tcPr>
            <w:tcW w:w="6240" w:type="dxa"/>
            <w:vAlign w:val="bottom"/>
          </w:tcPr>
          <w:p>
            <w:pPr>
              <w:jc w:val="center"/>
              <w:ind w:right="3342"/>
              <w:spacing w:after="0"/>
              <w:rPr>
                <w:sz w:val="20"/>
                <w:szCs w:val="20"/>
                <w:color w:val="auto"/>
              </w:rPr>
            </w:pPr>
            <w:r>
              <w:rPr>
                <w:rFonts w:ascii="Arial" w:cs="Arial" w:eastAsia="Arial" w:hAnsi="Arial"/>
                <w:sz w:val="18"/>
                <w:szCs w:val="18"/>
                <w:b w:val="1"/>
                <w:bCs w:val="1"/>
                <w:color w:val="auto"/>
                <w:w w:val="88"/>
              </w:rPr>
              <w:t>San Diego, CA</w:t>
            </w:r>
          </w:p>
        </w:tc>
        <w:tc>
          <w:tcPr>
            <w:tcW w:w="1460" w:type="dxa"/>
            <w:vAlign w:val="bottom"/>
          </w:tcPr>
          <w:p>
            <w:pPr>
              <w:jc w:val="right"/>
              <w:ind w:right="224"/>
              <w:spacing w:after="0"/>
              <w:rPr>
                <w:sz w:val="20"/>
                <w:szCs w:val="20"/>
                <w:color w:val="auto"/>
              </w:rPr>
            </w:pPr>
            <w:r>
              <w:rPr>
                <w:rFonts w:ascii="Arial" w:cs="Arial" w:eastAsia="Arial" w:hAnsi="Arial"/>
                <w:sz w:val="18"/>
                <w:szCs w:val="18"/>
                <w:b w:val="1"/>
                <w:bCs w:val="1"/>
                <w:color w:val="auto"/>
              </w:rPr>
              <w:t>92122</w:t>
            </w:r>
          </w:p>
        </w:tc>
      </w:tr>
      <w:tr>
        <w:trPr>
          <w:trHeight w:val="174"/>
        </w:trPr>
        <w:tc>
          <w:tcPr>
            <w:tcW w:w="6240" w:type="dxa"/>
            <w:vAlign w:val="bottom"/>
          </w:tcPr>
          <w:p>
            <w:pPr>
              <w:jc w:val="center"/>
              <w:ind w:right="334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1460" w:type="dxa"/>
            <w:vAlign w:val="bottom"/>
          </w:tcPr>
          <w:p>
            <w:pPr>
              <w:jc w:val="center"/>
              <w:ind w:left="324"/>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240" w:type="dxa"/>
            <w:vAlign w:val="bottom"/>
          </w:tcPr>
          <w:p>
            <w:pPr>
              <w:jc w:val="right"/>
              <w:ind w:right="1382"/>
              <w:spacing w:after="0"/>
              <w:rPr>
                <w:sz w:val="20"/>
                <w:szCs w:val="20"/>
                <w:color w:val="auto"/>
              </w:rPr>
            </w:pPr>
            <w:r>
              <w:rPr>
                <w:rFonts w:ascii="Arial" w:cs="Arial" w:eastAsia="Arial" w:hAnsi="Arial"/>
                <w:sz w:val="18"/>
                <w:szCs w:val="18"/>
                <w:b w:val="1"/>
                <w:bCs w:val="1"/>
                <w:color w:val="auto"/>
              </w:rPr>
              <w:t>(858) 373-1500</w:t>
            </w:r>
          </w:p>
        </w:tc>
        <w:tc>
          <w:tcPr>
            <w:tcW w:w="1460" w:type="dxa"/>
            <w:vAlign w:val="bottom"/>
          </w:tcPr>
          <w:p>
            <w:pPr>
              <w:spacing w:after="0"/>
              <w:rPr>
                <w:sz w:val="24"/>
                <w:szCs w:val="24"/>
                <w:color w:val="auto"/>
              </w:rPr>
            </w:pPr>
          </w:p>
        </w:tc>
      </w:tr>
      <w:tr>
        <w:trPr>
          <w:trHeight w:val="174"/>
        </w:trPr>
        <w:tc>
          <w:tcPr>
            <w:tcW w:w="6240" w:type="dxa"/>
            <w:vAlign w:val="bottom"/>
          </w:tcPr>
          <w:p>
            <w:pPr>
              <w:jc w:val="center"/>
              <w:ind w:left="2142"/>
              <w:spacing w:after="0"/>
              <w:rPr>
                <w:sz w:val="20"/>
                <w:szCs w:val="20"/>
                <w:color w:val="auto"/>
              </w:rPr>
            </w:pPr>
            <w:r>
              <w:rPr>
                <w:rFonts w:ascii="Arial" w:cs="Arial" w:eastAsia="Arial" w:hAnsi="Arial"/>
                <w:sz w:val="14"/>
                <w:szCs w:val="14"/>
                <w:b w:val="1"/>
                <w:bCs w:val="1"/>
                <w:color w:val="auto"/>
                <w:w w:val="87"/>
              </w:rPr>
              <w:t>(Registrant’s Telephone Number, Including Area Code)</w:t>
            </w:r>
          </w:p>
        </w:tc>
        <w:tc>
          <w:tcPr>
            <w:tcW w:w="146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94615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5" w:lineRule="exact"/>
        <w:rPr>
          <w:sz w:val="24"/>
          <w:szCs w:val="24"/>
          <w:color w:val="auto"/>
        </w:rPr>
      </w:pPr>
    </w:p>
    <w:p>
      <w:pPr>
        <w:ind w:right="2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jc w:val="both"/>
        <w:ind w:right="6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3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definition of “accelerated filer”, “large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w w:val="97"/>
              </w:rPr>
              <w:t>Large accelerated filer</w:t>
            </w:r>
          </w:p>
        </w:tc>
        <w:tc>
          <w:tcPr>
            <w:tcW w:w="6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2500" w:type="dxa"/>
            <w:vAlign w:val="bottom"/>
          </w:tcPr>
          <w:p>
            <w:pPr>
              <w:ind w:left="340"/>
              <w:spacing w:after="0"/>
              <w:rPr>
                <w:sz w:val="20"/>
                <w:szCs w:val="20"/>
                <w:color w:val="auto"/>
              </w:rPr>
            </w:pPr>
            <w:r>
              <w:rPr>
                <w:rFonts w:ascii="Arial" w:cs="Arial" w:eastAsia="Arial" w:hAnsi="Arial"/>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760" w:type="dxa"/>
            <w:vAlign w:val="bottom"/>
          </w:tcPr>
          <w:p>
            <w:pPr>
              <w:spacing w:after="0"/>
              <w:rPr>
                <w:sz w:val="20"/>
                <w:szCs w:val="20"/>
                <w:color w:val="auto"/>
              </w:rPr>
            </w:pPr>
            <w:r>
              <w:rPr>
                <w:rFonts w:ascii="Arial" w:cs="Arial" w:eastAsia="Arial" w:hAnsi="Arial"/>
                <w:sz w:val="18"/>
                <w:szCs w:val="18"/>
                <w:color w:val="auto"/>
              </w:rPr>
              <w:t>Non-accelerated filer</w:t>
            </w:r>
          </w:p>
        </w:tc>
        <w:tc>
          <w:tcPr>
            <w:tcW w:w="6760" w:type="dxa"/>
            <w:vAlign w:val="bottom"/>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500" w:type="dxa"/>
            <w:vAlign w:val="bottom"/>
          </w:tcPr>
          <w:p>
            <w:pPr>
              <w:ind w:left="340"/>
              <w:spacing w:after="0"/>
              <w:rPr>
                <w:sz w:val="20"/>
                <w:szCs w:val="20"/>
                <w:color w:val="auto"/>
              </w:rPr>
            </w:pPr>
            <w:r>
              <w:rPr>
                <w:rFonts w:ascii="Arial" w:cs="Arial" w:eastAsia="Arial" w:hAnsi="Arial"/>
                <w:sz w:val="18"/>
                <w:szCs w:val="18"/>
                <w:color w:val="auto"/>
                <w:w w:val="99"/>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89"/>
              </w:rPr>
              <w:t>Indicate by check mark whether the registrant is a shell company (as defined in Rule 12b-2 of the Exchange Act).</w:t>
            </w:r>
          </w:p>
        </w:tc>
        <w:tc>
          <w:tcPr>
            <w:tcW w:w="250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58"/>
        </w:trPr>
        <w:tc>
          <w:tcPr>
            <w:tcW w:w="8520" w:type="dxa"/>
            <w:vAlign w:val="bottom"/>
            <w:gridSpan w:val="2"/>
          </w:tcPr>
          <w:p>
            <w:pPr>
              <w:ind w:left="460"/>
              <w:spacing w:after="0"/>
              <w:rPr>
                <w:sz w:val="20"/>
                <w:szCs w:val="20"/>
                <w:color w:val="auto"/>
              </w:rPr>
            </w:pPr>
            <w:r>
              <w:rPr>
                <w:rFonts w:ascii="Arial" w:cs="Arial" w:eastAsia="Arial" w:hAnsi="Arial"/>
                <w:sz w:val="18"/>
                <w:szCs w:val="18"/>
                <w:color w:val="auto"/>
                <w:w w:val="92"/>
              </w:rPr>
              <w:t>As of August 8, 2012, the registrant had 16,163,565 shares of Common Stock ($0.001 par value) outstanding.</w:t>
            </w:r>
          </w:p>
        </w:tc>
        <w:tc>
          <w:tcPr>
            <w:tcW w:w="25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24"/>
        </w:trPr>
        <w:tc>
          <w:tcPr>
            <w:tcW w:w="1760" w:type="dxa"/>
            <w:vAlign w:val="bottom"/>
            <w:tcBorders>
              <w:bottom w:val="single" w:sz="8" w:color="auto"/>
            </w:tcBorders>
          </w:tcPr>
          <w:p>
            <w:pPr>
              <w:spacing w:after="0"/>
              <w:rPr>
                <w:sz w:val="10"/>
                <w:szCs w:val="10"/>
                <w:color w:val="auto"/>
              </w:rPr>
            </w:pPr>
          </w:p>
        </w:tc>
        <w:tc>
          <w:tcPr>
            <w:tcW w:w="676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r>
      <w:tr>
        <w:trPr>
          <w:trHeight w:val="21"/>
        </w:trPr>
        <w:tc>
          <w:tcPr>
            <w:tcW w:w="176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 development stage company)</w:t>
      </w:r>
    </w:p>
    <w:p>
      <w:pPr>
        <w:spacing w:after="0" w:line="5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2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PART I. </w:t>
            </w:r>
            <w:hyperlink w:anchor="page3">
              <w:r>
                <w:rPr>
                  <w:rFonts w:ascii="Arial" w:cs="Arial" w:eastAsia="Arial" w:hAnsi="Arial"/>
                  <w:sz w:val="18"/>
                  <w:szCs w:val="18"/>
                  <w:color w:val="0000EE"/>
                </w:rPr>
                <w:t>FINANCIAL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Borders>
              <w:right w:val="single" w:sz="8" w:color="0000EE"/>
            </w:tcBorders>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0020" w:type="dxa"/>
            <w:vAlign w:val="bottom"/>
            <w:gridSpan w:val="14"/>
          </w:tcPr>
          <w:p>
            <w:pPr>
              <w:ind w:left="440"/>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CONSOLIDATED FINANCIAL STATEMENTS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020" w:type="dxa"/>
            <w:vAlign w:val="bottom"/>
            <w:gridSpan w:val="14"/>
          </w:tcPr>
          <w:p>
            <w:pPr>
              <w:ind w:left="440"/>
              <w:spacing w:after="0" w:line="196" w:lineRule="exact"/>
              <w:rPr>
                <w:rFonts w:ascii="Arial" w:cs="Arial" w:eastAsia="Arial" w:hAnsi="Arial"/>
                <w:sz w:val="18"/>
                <w:szCs w:val="18"/>
                <w:color w:val="auto"/>
                <w:w w:val="96"/>
              </w:rPr>
            </w:pPr>
            <w:r>
              <w:rPr>
                <w:rFonts w:ascii="Arial" w:cs="Arial" w:eastAsia="Arial" w:hAnsi="Arial"/>
                <w:sz w:val="18"/>
                <w:szCs w:val="18"/>
                <w:color w:val="auto"/>
                <w:w w:val="96"/>
              </w:rPr>
              <w:t xml:space="preserve">ITEM 2.   </w:t>
            </w:r>
            <w:hyperlink w:anchor="page12">
              <w:r>
                <w:rPr>
                  <w:rFonts w:ascii="Arial" w:cs="Arial" w:eastAsia="Arial" w:hAnsi="Arial"/>
                  <w:sz w:val="18"/>
                  <w:szCs w:val="18"/>
                  <w:color w:val="0000EE"/>
                  <w:w w:val="96"/>
                </w:rPr>
                <w:t>MANAGEMENT’S DISCUSSION AND ANALYSIS OF FINANCIAL CONDITION AND RESULTS OF OPERATIONS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440" w:type="dxa"/>
            <w:vAlign w:val="bottom"/>
            <w:gridSpan w:val="2"/>
            <w:shd w:val="clear" w:color="auto" w:fill="0000EE"/>
          </w:tcPr>
          <w:p>
            <w:pPr>
              <w:spacing w:after="0" w:line="20" w:lineRule="exact"/>
              <w:rPr>
                <w:sz w:val="1"/>
                <w:szCs w:val="1"/>
                <w:color w:val="auto"/>
              </w:rPr>
            </w:pPr>
          </w:p>
        </w:tc>
        <w:tc>
          <w:tcPr>
            <w:tcW w:w="28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2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3.</w:t>
            </w:r>
          </w:p>
        </w:tc>
        <w:tc>
          <w:tcPr>
            <w:tcW w:w="8780" w:type="dxa"/>
            <w:vAlign w:val="bottom"/>
            <w:gridSpan w:val="1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QUANTITATIVE AND QUALITATIVE DISCLOSURES ABOUT MARKET RISK</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240" w:type="dxa"/>
            <w:vAlign w:val="bottom"/>
            <w:gridSpan w:val="4"/>
          </w:tcPr>
          <w:p>
            <w:pPr>
              <w:ind w:left="440"/>
              <w:spacing w:after="0" w:line="196" w:lineRule="exact"/>
              <w:rPr>
                <w:sz w:val="20"/>
                <w:szCs w:val="20"/>
                <w:color w:val="auto"/>
              </w:rPr>
            </w:pPr>
            <w:r>
              <w:rPr>
                <w:rFonts w:ascii="Arial" w:cs="Arial" w:eastAsia="Arial" w:hAnsi="Arial"/>
                <w:sz w:val="18"/>
                <w:szCs w:val="18"/>
                <w:color w:val="auto"/>
              </w:rPr>
              <w:t>ITEM 4.</w:t>
            </w:r>
          </w:p>
        </w:tc>
        <w:tc>
          <w:tcPr>
            <w:tcW w:w="25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CONTROLS AND PROCEDURES</w:t>
              </w:r>
            </w:hyperlink>
          </w:p>
        </w:tc>
        <w:tc>
          <w:tcPr>
            <w:tcW w:w="3440" w:type="dxa"/>
            <w:vAlign w:val="bottom"/>
            <w:tcBorders>
              <w:top w:val="single" w:sz="8" w:color="0000EE"/>
            </w:tcBorders>
            <w:gridSpan w:val="2"/>
          </w:tcPr>
          <w:p>
            <w:pPr>
              <w:spacing w:after="0"/>
              <w:rPr>
                <w:sz w:val="17"/>
                <w:szCs w:val="17"/>
                <w:color w:val="auto"/>
              </w:rPr>
            </w:pPr>
          </w:p>
        </w:tc>
        <w:tc>
          <w:tcPr>
            <w:tcW w:w="2820" w:type="dxa"/>
            <w:vAlign w:val="bottom"/>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304"/>
        </w:trPr>
        <w:tc>
          <w:tcPr>
            <w:tcW w:w="10020" w:type="dxa"/>
            <w:vAlign w:val="bottom"/>
            <w:gridSpan w:val="14"/>
          </w:tcPr>
          <w:p>
            <w:pPr>
              <w:spacing w:after="0"/>
              <w:rPr>
                <w:rFonts w:ascii="Arial" w:cs="Arial" w:eastAsia="Arial" w:hAnsi="Arial"/>
                <w:sz w:val="18"/>
                <w:szCs w:val="18"/>
                <w:color w:val="auto"/>
              </w:rPr>
            </w:pPr>
            <w:r>
              <w:rPr>
                <w:rFonts w:ascii="Arial" w:cs="Arial" w:eastAsia="Arial" w:hAnsi="Arial"/>
                <w:sz w:val="18"/>
                <w:szCs w:val="18"/>
                <w:color w:val="auto"/>
              </w:rPr>
              <w:t xml:space="preserve">PART II. </w:t>
            </w:r>
            <w:hyperlink w:anchor="page21">
              <w:r>
                <w:rPr>
                  <w:rFonts w:ascii="Arial" w:cs="Arial" w:eastAsia="Arial" w:hAnsi="Arial"/>
                  <w:sz w:val="18"/>
                  <w:szCs w:val="18"/>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6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04"/>
        </w:trPr>
        <w:tc>
          <w:tcPr>
            <w:tcW w:w="1240" w:type="dxa"/>
            <w:vAlign w:val="bottom"/>
            <w:gridSpan w:val="4"/>
          </w:tcPr>
          <w:p>
            <w:pPr>
              <w:ind w:left="440"/>
              <w:spacing w:after="0"/>
              <w:rPr>
                <w:sz w:val="20"/>
                <w:szCs w:val="20"/>
                <w:color w:val="auto"/>
              </w:rPr>
            </w:pPr>
            <w:r>
              <w:rPr>
                <w:rFonts w:ascii="Arial" w:cs="Arial" w:eastAsia="Arial" w:hAnsi="Arial"/>
                <w:sz w:val="18"/>
                <w:szCs w:val="18"/>
                <w:color w:val="auto"/>
              </w:rPr>
              <w:t>ITEM 1.</w:t>
            </w:r>
          </w:p>
        </w:tc>
        <w:tc>
          <w:tcPr>
            <w:tcW w:w="8780" w:type="dxa"/>
            <w:vAlign w:val="bottom"/>
            <w:gridSpan w:val="10"/>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698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96"/>
        </w:trPr>
        <w:tc>
          <w:tcPr>
            <w:tcW w:w="10020" w:type="dxa"/>
            <w:vAlign w:val="bottom"/>
            <w:gridSpan w:val="14"/>
          </w:tcPr>
          <w:p>
            <w:pPr>
              <w:ind w:left="44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ITEM 1A. </w:t>
            </w:r>
            <w:hyperlink w:anchor="page21">
              <w:r>
                <w:rPr>
                  <w:rFonts w:ascii="Arial" w:cs="Arial" w:eastAsia="Arial" w:hAnsi="Arial"/>
                  <w:sz w:val="18"/>
                  <w:szCs w:val="18"/>
                  <w:color w:val="0000EE"/>
                </w:rPr>
                <w:t>RISK FACTORS</w:t>
              </w:r>
            </w:hyperlink>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1220" w:type="dxa"/>
            <w:vAlign w:val="bottom"/>
            <w:gridSpan w:val="3"/>
          </w:tcPr>
          <w:p>
            <w:pPr>
              <w:ind w:left="440"/>
              <w:spacing w:after="0" w:line="196" w:lineRule="exact"/>
              <w:rPr>
                <w:sz w:val="20"/>
                <w:szCs w:val="20"/>
                <w:color w:val="auto"/>
              </w:rPr>
            </w:pPr>
            <w:r>
              <w:rPr>
                <w:rFonts w:ascii="Arial" w:cs="Arial" w:eastAsia="Arial" w:hAnsi="Arial"/>
                <w:sz w:val="18"/>
                <w:szCs w:val="18"/>
                <w:color w:val="auto"/>
              </w:rPr>
              <w:t>ITEM 6.</w:t>
            </w:r>
          </w:p>
        </w:tc>
        <w:tc>
          <w:tcPr>
            <w:tcW w:w="20" w:type="dxa"/>
            <w:vAlign w:val="bottom"/>
            <w:tcBorders>
              <w:top w:val="single" w:sz="8" w:color="0000EE"/>
            </w:tcBorders>
          </w:tcPr>
          <w:p>
            <w:pPr>
              <w:spacing w:after="0"/>
              <w:rPr>
                <w:sz w:val="17"/>
                <w:szCs w:val="17"/>
                <w:color w:val="auto"/>
              </w:rPr>
            </w:pPr>
          </w:p>
        </w:tc>
        <w:tc>
          <w:tcPr>
            <w:tcW w:w="7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21">
              <w:r>
                <w:rPr>
                  <w:rFonts w:ascii="Arial" w:cs="Arial" w:eastAsia="Arial" w:hAnsi="Arial"/>
                  <w:sz w:val="18"/>
                  <w:szCs w:val="18"/>
                  <w:color w:val="0000EE"/>
                  <w:w w:val="92"/>
                </w:rPr>
                <w:t>EXHIBITS</w:t>
              </w:r>
            </w:hyperlink>
          </w:p>
        </w:tc>
        <w:tc>
          <w:tcPr>
            <w:tcW w:w="420" w:type="dxa"/>
            <w:vAlign w:val="bottom"/>
            <w:tcBorders>
              <w:top w:val="single" w:sz="8" w:color="0000EE"/>
            </w:tcBorders>
          </w:tcPr>
          <w:p>
            <w:pPr>
              <w:spacing w:after="0"/>
              <w:rPr>
                <w:sz w:val="17"/>
                <w:szCs w:val="17"/>
                <w:color w:val="auto"/>
              </w:rPr>
            </w:pPr>
          </w:p>
        </w:tc>
        <w:tc>
          <w:tcPr>
            <w:tcW w:w="7580" w:type="dxa"/>
            <w:vAlign w:val="bottom"/>
            <w:gridSpan w:val="7"/>
          </w:tcPr>
          <w:p>
            <w:pPr>
              <w:spacing w:after="0"/>
              <w:rPr>
                <w:sz w:val="17"/>
                <w:szCs w:val="17"/>
                <w:color w:val="auto"/>
              </w:rPr>
            </w:pPr>
          </w:p>
        </w:tc>
        <w:tc>
          <w:tcPr>
            <w:tcW w:w="13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304"/>
        </w:trPr>
        <w:tc>
          <w:tcPr>
            <w:tcW w:w="10020" w:type="dxa"/>
            <w:vAlign w:val="bottom"/>
            <w:gridSpan w:val="14"/>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SIGNATURES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83"/>
        </w:trPr>
        <w:tc>
          <w:tcPr>
            <w:tcW w:w="6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60" w:type="dxa"/>
            <w:vAlign w:val="bottom"/>
            <w:gridSpan w:val="9"/>
          </w:tcPr>
          <w:p>
            <w:pPr>
              <w:jc w:val="right"/>
              <w:ind w:right="1440"/>
              <w:spacing w:after="0"/>
              <w:rPr>
                <w:sz w:val="20"/>
                <w:szCs w:val="20"/>
                <w:color w:val="auto"/>
              </w:rPr>
            </w:pPr>
            <w:r>
              <w:rPr>
                <w:rFonts w:ascii="Arial" w:cs="Arial" w:eastAsia="Arial" w:hAnsi="Arial"/>
                <w:sz w:val="18"/>
                <w:szCs w:val="18"/>
                <w:color w:val="auto"/>
              </w:rPr>
              <w:t>2</w:t>
            </w:r>
          </w:p>
        </w:tc>
        <w:tc>
          <w:tcPr>
            <w:tcW w:w="28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tcPr>
          <w:p>
            <w:pPr>
              <w:jc w:val="center"/>
              <w:ind w:left="1972"/>
              <w:spacing w:after="0"/>
              <w:rPr>
                <w:sz w:val="20"/>
                <w:szCs w:val="20"/>
                <w:color w:val="auto"/>
              </w:rPr>
            </w:pPr>
            <w:r>
              <w:rPr>
                <w:rFonts w:ascii="Arial" w:cs="Arial" w:eastAsia="Arial" w:hAnsi="Arial"/>
                <w:sz w:val="18"/>
                <w:szCs w:val="18"/>
                <w:b w:val="1"/>
                <w:bCs w:val="1"/>
                <w:color w:val="auto"/>
                <w:w w:val="99"/>
              </w:rPr>
              <w:t>PART I. FINANCIAL INFORMATION</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040" w:type="dxa"/>
            <w:vAlign w:val="bottom"/>
          </w:tcPr>
          <w:p>
            <w:pPr>
              <w:ind w:left="380"/>
              <w:spacing w:after="0"/>
              <w:rPr>
                <w:sz w:val="20"/>
                <w:szCs w:val="20"/>
                <w:color w:val="auto"/>
              </w:rPr>
            </w:pPr>
            <w:r>
              <w:rPr>
                <w:rFonts w:ascii="Arial" w:cs="Arial" w:eastAsia="Arial" w:hAnsi="Arial"/>
                <w:sz w:val="18"/>
                <w:szCs w:val="18"/>
                <w:b w:val="1"/>
                <w:bCs w:val="1"/>
                <w:color w:val="auto"/>
              </w:rPr>
              <w:t>CONSOLIDATED FINANCIAL STATEMENTS.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tcPr>
          <w:p>
            <w:pPr>
              <w:jc w:val="center"/>
              <w:ind w:left="1972"/>
              <w:spacing w:after="0"/>
              <w:rPr>
                <w:sz w:val="20"/>
                <w:szCs w:val="20"/>
                <w:color w:val="auto"/>
              </w:rPr>
            </w:pPr>
            <w:r>
              <w:rPr>
                <w:rFonts w:ascii="Arial" w:cs="Arial" w:eastAsia="Arial" w:hAnsi="Arial"/>
                <w:sz w:val="18"/>
                <w:szCs w:val="18"/>
                <w:b w:val="1"/>
                <w:bCs w:val="1"/>
                <w:color w:val="auto"/>
              </w:rPr>
              <w:t>MEDICINOVA, INC.</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tcPr>
          <w:p>
            <w:pPr>
              <w:jc w:val="center"/>
              <w:ind w:left="1992"/>
              <w:spacing w:after="0"/>
              <w:rPr>
                <w:sz w:val="20"/>
                <w:szCs w:val="20"/>
                <w:color w:val="auto"/>
              </w:rPr>
            </w:pPr>
            <w:r>
              <w:rPr>
                <w:rFonts w:ascii="Arial" w:cs="Arial" w:eastAsia="Arial" w:hAnsi="Arial"/>
                <w:sz w:val="18"/>
                <w:szCs w:val="18"/>
                <w:b w:val="1"/>
                <w:bCs w:val="1"/>
                <w:color w:val="auto"/>
                <w:w w:val="86"/>
              </w:rPr>
              <w:t>(a development stage company)</w:t>
            </w: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tcPr>
          <w:p>
            <w:pPr>
              <w:jc w:val="center"/>
              <w:ind w:left="1992"/>
              <w:spacing w:after="0"/>
              <w:rPr>
                <w:sz w:val="20"/>
                <w:szCs w:val="20"/>
                <w:color w:val="auto"/>
              </w:rPr>
            </w:pPr>
            <w:r>
              <w:rPr>
                <w:rFonts w:ascii="Arial" w:cs="Arial" w:eastAsia="Arial" w:hAnsi="Arial"/>
                <w:sz w:val="18"/>
                <w:szCs w:val="18"/>
                <w:b w:val="1"/>
                <w:bCs w:val="1"/>
                <w:color w:val="auto"/>
                <w:w w:val="96"/>
              </w:rPr>
              <w:t>CONSOLIDATED BALANCE SHEETS</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June 30,</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89"/>
              </w:rPr>
              <w:t>(Unaudited)</w:t>
            </w: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7,258,530</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15,093,124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634,428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614,540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7,892,958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15,707,664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9,600,241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9,600,241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679,399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62,209</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23,034,807</w:t>
            </w:r>
          </w:p>
        </w:tc>
        <w:tc>
          <w:tcPr>
            <w:tcW w:w="30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30,787,330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440,107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718,882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742,950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1,515,815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Accrued compensation and related expenses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209,317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599,087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Current deferred revenue</w:t>
            </w: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1,815,203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863,510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3,207,577</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1,956,000</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1,956,000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deferred revenue</w:t>
            </w: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1,636,490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7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5,163,577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7,289,784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680" w:type="dxa"/>
            <w:vAlign w:val="bottom"/>
            <w:gridSpan w:val="2"/>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w w:val="92"/>
              </w:rPr>
              <w:t>Preferred stock, $0.01 par value; 3,000,000 and 500,000 shares authorized at June 30, 2012 and December 31,</w:t>
            </w: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2011, respectively; 220,000 shares issued at June 30, 2012 and December 31, 2011</w:t>
            </w: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9"/>
              </w:rPr>
              <w:t>Common stock, $0.001 par value; 100,000,000 and 30,000,000 shares authorized at June 30, 2012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 respectively; 16,187,615 and 16,127,615 shares issued at June 30, 2012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w w:val="93"/>
              </w:rPr>
              <w:t>December 31, 2011, respectively, and 16,163,565 and 16,088,015 shares outstanding at June 30, 2012 and</w:t>
            </w: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2011, respectively</w:t>
            </w: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16,188</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310,497,442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309,998,251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(61,728)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tcPr>
          <w:p>
            <w:pPr>
              <w:ind w:left="420"/>
              <w:spacing w:after="0"/>
              <w:rPr>
                <w:sz w:val="20"/>
                <w:szCs w:val="20"/>
                <w:color w:val="auto"/>
              </w:rPr>
            </w:pPr>
            <w:r>
              <w:rPr>
                <w:rFonts w:ascii="Arial" w:cs="Arial" w:eastAsia="Arial" w:hAnsi="Arial"/>
                <w:sz w:val="18"/>
                <w:szCs w:val="18"/>
                <w:color w:val="auto"/>
              </w:rPr>
              <w:t>Treasury stock, at cost; 24,050 shares at June 30, 2012 and 39,600 shares at December 31, 2011</w:t>
            </w:r>
          </w:p>
        </w:tc>
        <w:tc>
          <w:tcPr>
            <w:tcW w:w="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(1,161,816)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(1,189,705)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Deficit accumulated during the development stage</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(291,421,056)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(285,272,483)</w:t>
            </w:r>
          </w:p>
        </w:tc>
        <w:tc>
          <w:tcPr>
            <w:tcW w:w="0" w:type="dxa"/>
            <w:vAlign w:val="bottom"/>
          </w:tcPr>
          <w:p>
            <w:pPr>
              <w:spacing w:after="0"/>
              <w:rPr>
                <w:sz w:val="1"/>
                <w:szCs w:val="1"/>
                <w:color w:val="auto"/>
              </w:rPr>
            </w:pPr>
          </w:p>
        </w:tc>
      </w:tr>
      <w:tr>
        <w:trPr>
          <w:trHeight w:val="230"/>
        </w:trPr>
        <w:tc>
          <w:tcPr>
            <w:tcW w:w="8700" w:type="dxa"/>
            <w:vAlign w:val="bottom"/>
            <w:gridSpan w:val="3"/>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17,871,230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23,497,546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23,034,807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30,787,330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20" w:type="dxa"/>
            <w:vAlign w:val="bottom"/>
            <w:gridSpan w:val="6"/>
          </w:tcPr>
          <w:p>
            <w:pPr>
              <w:jc w:val="right"/>
              <w:ind w:right="1020"/>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54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2012</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684,797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2,243,024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1,258,421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1,483,939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2,040,060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3,362,400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4,663,958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165,403,963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1,297,888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1,682,246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3,483,860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4,034,722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109,006,384</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2,781,827</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3,722,306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6,846,260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8,698,680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275,668,768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(2,288,204)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(3,722,306)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(6,161,463)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(8,698,680)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(273,425,744)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Impairment charge on investment securities</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(31,494)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(83,869)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(943,745)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(1,596,132)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(3,605,818)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41,603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19,138,329</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(2,281,350)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(4,681,348)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(6,148,573)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(10,337,078)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(259,993,117)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(64,817)</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2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(2,281,350)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(4,681,348)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(6,148,573)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(10,337,078)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(260,057,934)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3"/>
              </w:rPr>
              <w:t>Accretion to redemption value of redeemable convertible preferred stock</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(98,445)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w w:val="94"/>
              </w:rPr>
              <w:t>Deemed dividend resulting from beneficial conversion feature on Series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 redeemable convertible preferred stock</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ind w:left="6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(31,264,677)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(2,281,350)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(4,681,348)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(6,148,573)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(10,337,078)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(291,421,056)</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(0.31)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(0.38)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w w:val="96"/>
              </w:rPr>
              <w:t>Shares used to compute basic and diluted net loss per common share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16,143,125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15,319,273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16,115,570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13,941,172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5420" w:type="dxa"/>
            <w:vAlign w:val="bottom"/>
            <w:gridSpan w:val="2"/>
          </w:tcPr>
          <w:p>
            <w:pPr>
              <w:spacing w:after="0"/>
              <w:rPr>
                <w:sz w:val="20"/>
                <w:szCs w:val="20"/>
                <w:color w:val="auto"/>
              </w:rPr>
            </w:pPr>
            <w:r>
              <w:rPr>
                <w:rFonts w:ascii="Arial" w:cs="Arial" w:eastAsia="Arial" w:hAnsi="Arial"/>
                <w:sz w:val="18"/>
                <w:szCs w:val="18"/>
                <w:color w:val="auto"/>
              </w:rPr>
              <w:t>Net loss applicable to common stockholders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(2,281,350)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w w:val="91"/>
              </w:rPr>
              <w:t>(4,681,348)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(6,148,573)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(10,337,078)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(291,421,056)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loss, net of tax:</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1,905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(5,343)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(61,728)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(2,279,445)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1"/>
              </w:rPr>
              <w:t>(4,679,034)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(6,153,456)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(10,342,421)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(291,482,784)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Period from</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September 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60" w:type="dxa"/>
            <w:vAlign w:val="bottom"/>
            <w:gridSpan w:val="5"/>
          </w:tcPr>
          <w:p>
            <w:pPr>
              <w:jc w:val="right"/>
              <w:ind w:right="1040"/>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14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2000 (inception)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jc w:val="center"/>
              <w:ind w:right="200"/>
              <w:spacing w:after="0" w:line="136" w:lineRule="exact"/>
              <w:rPr>
                <w:sz w:val="20"/>
                <w:szCs w:val="20"/>
                <w:color w:val="auto"/>
              </w:rPr>
            </w:pPr>
            <w:r>
              <w:rPr>
                <w:rFonts w:ascii="Arial" w:cs="Arial" w:eastAsia="Arial" w:hAnsi="Arial"/>
                <w:sz w:val="14"/>
                <w:szCs w:val="14"/>
                <w:b w:val="1"/>
                <w:bCs w:val="1"/>
                <w:color w:val="auto"/>
                <w:w w:val="84"/>
              </w:rPr>
              <w:t>to June 30,</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2012</w:t>
            </w:r>
          </w:p>
        </w:tc>
        <w:tc>
          <w:tcPr>
            <w:tcW w:w="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2011</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Net loss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(6,148,573)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(10,337,078)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(260,057,934)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Non-cash stock-based compensation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361,521</w:t>
            </w: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333,110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50,042,802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(684,797)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1,815,203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16,552</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1,961,976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Amortization of premium/discount on investment securities, convertible debt, debt discount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5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and issuance costs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752,125</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(1,099,365)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Impairment charge, net on investment securities and ARS Put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1,735,212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Loss on disposal of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860"/>
              <w:spacing w:after="0"/>
              <w:rPr>
                <w:sz w:val="20"/>
                <w:szCs w:val="20"/>
                <w:color w:val="auto"/>
              </w:rPr>
            </w:pPr>
            <w:r>
              <w:rPr>
                <w:rFonts w:ascii="Arial" w:cs="Arial" w:eastAsia="Arial" w:hAnsi="Arial"/>
                <w:sz w:val="18"/>
                <w:szCs w:val="18"/>
                <w:color w:val="auto"/>
              </w:rPr>
              <w:t>Impairment of sublease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35,259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(19,888)</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(597,479)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Accounts payable, income tax payable, accrued expenses and deferred rent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(405,921)</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(228,529)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1280"/>
              <w:spacing w:after="0"/>
              <w:rPr>
                <w:sz w:val="20"/>
                <w:szCs w:val="20"/>
                <w:color w:val="auto"/>
              </w:rPr>
            </w:pPr>
            <w:r>
              <w:rPr>
                <w:rFonts w:ascii="Arial" w:cs="Arial" w:eastAsia="Arial" w:hAnsi="Arial"/>
                <w:sz w:val="18"/>
                <w:szCs w:val="18"/>
                <w:color w:val="auto"/>
              </w:rPr>
              <w:t>Accrued compensation and related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(389,771)</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85,274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113,176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Restricted 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5,982</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5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w w:val="91"/>
              </w:rPr>
              <w:t>(7,270,877)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(9,384,326)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(205,118,910)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Cash paid for acquired business, net of acquired 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(2,829,785)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Purchases of investment securities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(377,205,766)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Maturities or sales of investment securities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377,918,240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(49,336)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(2,326,926)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Investment in joint venture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(680,000)</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property and equipment</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256,845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(729,336)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(4,867,392)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Proceeds from issuance of common stock and units, net of issuance costs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137,730</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7,973,634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131,316,352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85,572,825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Proceeds from ARS loan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17,605,485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proceeds from debt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Proceeds from conversion of convertible notes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76,473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1,881,253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treasury stock, net of employee stock purchases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27,889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(1,195,598)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ind w:left="420"/>
              <w:spacing w:after="0"/>
              <w:rPr>
                <w:sz w:val="20"/>
                <w:szCs w:val="20"/>
                <w:color w:val="auto"/>
              </w:rPr>
            </w:pPr>
            <w:r>
              <w:rPr>
                <w:rFonts w:ascii="Arial" w:cs="Arial" w:eastAsia="Arial" w:hAnsi="Arial"/>
                <w:sz w:val="18"/>
                <w:szCs w:val="18"/>
                <w:color w:val="auto"/>
              </w:rPr>
              <w:t>Repayments of debt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(15,000,000)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 of ARS loan</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(17,605,485)</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165,619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(6,945,888)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217,244,832</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1"/>
              </w:rPr>
              <w:t>(7,834,594)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(16,330,214)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7,258,530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15,093,124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28,252,204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7"/>
              </w:rPr>
              <w:t>7,258,530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11,921,990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7,258,530</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investing and financing activities: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5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2,882,258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Conversion of convertible preferred stock into common stock upon initial public offering</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43,515,677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Restricted assets, cash unrestricted upon conversion of convertible notes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76,473</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1,881,815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5,468</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63,784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Interest paid</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1,088,926</w:t>
            </w:r>
          </w:p>
        </w:tc>
        <w:tc>
          <w:tcPr>
            <w:tcW w:w="2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2,487,343</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420"/>
          </w:cols>
          <w:pgMar w:left="240" w:top="45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MEDICINOVA,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development stage company)</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ind w:right="8960" w:firstLine="8"/>
        <w:spacing w:after="0" w:line="347" w:lineRule="auto"/>
        <w:tabs>
          <w:tab w:leader="none" w:pos="17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Interim Financial Information </w:t>
      </w:r>
      <w:r>
        <w:rPr>
          <w:rFonts w:ascii="Arial" w:cs="Arial" w:eastAsia="Arial" w:hAnsi="Arial"/>
          <w:sz w:val="18"/>
          <w:szCs w:val="18"/>
          <w:b w:val="1"/>
          <w:bCs w:val="1"/>
          <w:i w:val="1"/>
          <w:iCs w:val="1"/>
          <w:color w:val="auto"/>
        </w:rPr>
        <w:t>The Company</w:t>
      </w:r>
    </w:p>
    <w:p>
      <w:pPr>
        <w:spacing w:after="0" w:line="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were incorporated in the state of Delaware in September 2000. 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have prepared the accompanying unaudited consolidated financial statements in accordance with accounting principles generally accepted in the U.S. for interim financial information. Accordingly, they do not include all of the information and disclosures required by generally accepted accounting principles for complete financial statements. In the opinion of management, all adjustments of a normal recurring nature necessary for the fair presentation of our financial position, results of operations and cash flow for the interim periods presented have been included. Operating results for the three and six months ended June 30, 2012 are not necessarily indicative of the results that may be expected for the year ending December 31, 2012 or for any other period. For further information, see the financial statements and disclosures thereto for the year ended December 31, 2011 in our Annual Report on Form 10-K as filed with the Securities and Exchange Commission on March 29, 2012.</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90"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MediciNova, Inc. and its wholly-owned subsidiaries. MediciNova, Inc. and its subsidiaries are collectively referred to herein as “we,” “our” or “us.”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On December 13, 2006, MediciNova (Europe) Limited, a wholly-owned subsidiary of MediciNova, Inc., was incorporated under the laws of England and Wales and established for the purpose of facilitating the clinical development of the Company’s product candidates for the European marketplace. MediciNova (Europe) Limited’s functional currency is the U.S. dollar, the reporting currency of its parent.</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January 4, 2007, MediciNova Japan, Inc., a wholly-owned subsidiary of MediciNova, Inc., was incorporated under the laws of Japan and established to strengthen business development and investor and public relations activities in Japan and other Asian countries. MediciNova Japan, Inc.’s functional currency is the Japanese yen.</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August 17, 2009, Absolute Merger, Inc., a wholly-owned subsidiary of MediciNova, Inc. was incorporated under the General Corporation Law of the State of Delaware for the purpose of facilitating the acquisition with Avigen, Inc. (“Avigen”).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intercompany transactions and investments in our subsidiaries have been eliminated in consolidation.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The preparation of consolidated financial statements in conformity with U.S. generally accepted accounting principles requires management to make estimates and assumptions that affect the amounts reported in the financial statements and accompanying notes. Actual results may differ from these estimates.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and Deferred Revenue</w:t>
      </w:r>
    </w:p>
    <w:p>
      <w:pPr>
        <w:spacing w:after="0" w:line="17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October 2011, we entered into an agreement with Kissei Pharmaceutical Co., Ltd., or Kissei, to perform research and development services relating to MN-221 in exchange for a non-refundable upfront payment of $2.5 million. Under the terms of the agreement, we are responsible for all costs to be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 In the three and six months ended June 30, 2012 we recorded revenue relating to this agreement of $0.5 million and $0.7 million, respectively. The amount received from Kissei, net of the amount recorded as revenue, is recorded on the balance sheet at June 30, 2012 as current deferred revenue.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and Credit Risk</w:t>
      </w:r>
    </w:p>
    <w:p>
      <w:pPr>
        <w:spacing w:after="0" w:line="90"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We maintain cash balances at various financial institutions and such balances commonly exceed the $250,000 insured amount by the Federal Deposit Insurance Corporation. We also maintain money market funds at various financial institutions which are not federally insured, although they are invested primarily in U.S. government securities.</w:t>
      </w:r>
    </w:p>
    <w:p>
      <w:pPr>
        <w:spacing w:after="0" w:line="14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We have not experienced any losses in such accounts and management believes that we do not have significant credit risk with respect to such cash and cash equivalents. We have sustained operating losses since inception and expect such losses to continue over the next several years. Management plans to continue financing operations with equity issuances, debt arrangements, or a combination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In June 2011, the Financial Accounting Standards Board, or FASB, issued Accounting Standards Update, or ASU, No. 2011-05, </w:t>
      </w:r>
      <w:r>
        <w:rPr>
          <w:rFonts w:ascii="Arial" w:cs="Arial" w:eastAsia="Arial" w:hAnsi="Arial"/>
          <w:sz w:val="16"/>
          <w:szCs w:val="16"/>
          <w:i w:val="1"/>
          <w:iCs w:val="1"/>
          <w:color w:val="auto"/>
        </w:rPr>
        <w:t>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Comprehensive Income</w:t>
      </w:r>
      <w:r>
        <w:rPr>
          <w:rFonts w:ascii="Arial" w:cs="Arial" w:eastAsia="Arial" w:hAnsi="Arial"/>
          <w:sz w:val="16"/>
          <w:szCs w:val="16"/>
          <w:color w:val="auto"/>
        </w:rPr>
        <w:t>. The guidance requires an entity to present items of net income and other comprehensive income, or OCI, and total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either in a single continuous statement of comprehensive income or two separate but continuous statements. We will no longer be allowed to present OCI in the statement of stockholders’ equity. Earnings per share would continue to be based on net income. Although existing guidance related to items that must be presented in OCI has not changed, companies will be required to display reclassification adjustments for each component of OCI in both net income and OCI. Also, companies will need to present the components of other comprehensive income in their interim and annual financial statements. This guidance is required to be implemented retrospectively during interim and annual periods beginning after December 15, 2011. The adoption of this update did not have a material impact on our consolidated financial statements.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In May 2011, the FASB issued ASU 2011-04, </w:t>
      </w:r>
      <w:r>
        <w:rPr>
          <w:rFonts w:ascii="Arial" w:cs="Arial" w:eastAsia="Arial" w:hAnsi="Arial"/>
          <w:sz w:val="18"/>
          <w:szCs w:val="18"/>
          <w:i w:val="1"/>
          <w:iCs w:val="1"/>
          <w:color w:val="auto"/>
        </w:rPr>
        <w:t>Amendments to Achieve Common Fair Value Measurements and Disclosures Requirements in U.S. GAAP</w:t>
      </w:r>
      <w:r>
        <w:rPr>
          <w:rFonts w:ascii="Arial" w:cs="Arial" w:eastAsia="Arial" w:hAnsi="Arial"/>
          <w:sz w:val="18"/>
          <w:szCs w:val="18"/>
          <w:color w:val="auto"/>
        </w:rPr>
        <w:t xml:space="preserve"> </w:t>
      </w:r>
      <w:r>
        <w:rPr>
          <w:rFonts w:ascii="Arial" w:cs="Arial" w:eastAsia="Arial" w:hAnsi="Arial"/>
          <w:sz w:val="18"/>
          <w:szCs w:val="18"/>
          <w:i w:val="1"/>
          <w:iCs w:val="1"/>
          <w:color w:val="auto"/>
        </w:rPr>
        <w:t>and IFRSs</w:t>
      </w:r>
      <w:r>
        <w:rPr>
          <w:rFonts w:ascii="Arial" w:cs="Arial" w:eastAsia="Arial" w:hAnsi="Arial"/>
          <w:sz w:val="18"/>
          <w:szCs w:val="18"/>
          <w:color w:val="auto"/>
        </w:rPr>
        <w:t>, which clarified and amended the wording used to describe many of the requirements for measuring fair value and for disclosing information about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The FASB also clarified the intent of existing fair value measurement requirements. The new and revised disclosures are required to be implemented prospectively during interim and annual periods beginning after December 15, 2011. The adoption of this update did not have a material impact on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Avigen Transaction</w:t>
      </w:r>
    </w:p>
    <w:p>
      <w:pPr>
        <w:spacing w:after="0" w:line="177"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On December 18, 2009, we acquired 100% of the outstanding shares of Avigen, a biopharmaceutical company whose potential product candidate was a therapeutic for Central Nervous System, or CNS, disorders. Under the terms of the acquisition, we issued $29.4 million in secured convertible notes that matured on June 18, 2011. Holders of the notes could convert their notes into our common stock at an initial conversion price of $6.80 per share. At the maturity of the convertible notes, the remaining holders would be paid the same per share amount as the Avigen shareholders that elected to receive cash at the acquisition closing, plus accrued interest. As part of the acquisition consideration, the former Avigen shareholders were also entitled to receive approximately $0.04 per share, which was paid in two increments in 2010, and rights under contingent payment rights issued as part of the acquisition consideration. The amount paid in the two installments was net of a reconciliation of Avigen expenses and a letter of credit after expiry. Under the first and second installments, we paid $140,119 and $73,449, respectively, to Avigen shareholders who elected payment in cash and we issued an additional principal amount of $685,917 and $359,551, respectively, in convertible notes to Avigen shareholders who elected payment in convertible notes in lieu of a cash payment. We have included Avigen’s business operations in our consolidated financial statements since the acquisition date and we have accounted for the acquisition under the acquisition method of accounting.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Joint Venture</w:t>
      </w:r>
    </w:p>
    <w:p>
      <w:pPr>
        <w:spacing w:after="0" w:line="1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We entered into an agreement to form a joint venture company with Zhejiang Medicine Co., Ltd. and Beijing Make-Friend Medicine Technology Co., Ltd. effective September 27, 2011. The joint venture agreement provides for the joint venture company, Zhejiang Sunmy Bio-Medical Co., Ltd. (“Zhejiang Sunmy”), to develop and commercialize MN-221 in China. A sublicense, which will require the consent of the licensor, will be required for us to license MN-221 to Zhejiang Sunmy. In accordance with the joint venture agreement, in March 2012 we paid $680,000 for a 30% interest in Zhejiang Sunmy. The other parties to the joint venture agreement provided funding for their combined 70% interest and are responsible for future funding of Zhejiang Sunmy’s activities. We have not entered into the sublicense of MN-221 with Zhejiang Sunmy as of the date of this report. Zhejiang Sunmy is a variable interest entity for which we are not the primary beneficiary as we do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56" w:lineRule="auto"/>
        <w:rPr>
          <w:sz w:val="20"/>
          <w:szCs w:val="20"/>
          <w:color w:val="auto"/>
        </w:rPr>
      </w:pPr>
      <w:r>
        <w:rPr>
          <w:rFonts w:ascii="Arial" w:cs="Arial" w:eastAsia="Arial" w:hAnsi="Arial"/>
          <w:sz w:val="18"/>
          <w:szCs w:val="18"/>
          <w:color w:val="auto"/>
        </w:rPr>
        <w:t>not have a majority of the board seats and we will not have power to direct or significantly influence the actions of the entity. We therefore account for the activities of Zhejiang Sunmy under the equity method whereby we absorb any loss or income generated by Zhejiang Sunmy according to our percentage ownership. At June 30, 2012 we reflect a long-term asset on our consolidated balance sheet which represents our investment in Zhejiang Sunmy, net of our portion of any generated loss or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defined in the authoritative guidance for fair value measurements and disclosures under ASC 820, fair value is based on the price that would be received to sell an asset or would be paid to transfer a liability in an orderly transaction between market participants at the measurement date. To increase the comparability and consistency of fair value measurements, ASC 820 prescribes a fair value hierarchy that prioritizes observable and unobservable inputs used to measure fair value into three broad levels which are described below:</w:t>
      </w:r>
    </w:p>
    <w:p>
      <w:pPr>
        <w:spacing w:after="0" w:line="184" w:lineRule="exact"/>
        <w:rPr>
          <w:sz w:val="20"/>
          <w:szCs w:val="20"/>
          <w:color w:val="auto"/>
        </w:rPr>
      </w:pPr>
    </w:p>
    <w:p>
      <w:pPr>
        <w:ind w:left="440"/>
        <w:spacing w:after="0"/>
        <w:tabs>
          <w:tab w:leader="none" w:pos="124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5"/>
          <w:szCs w:val="15"/>
          <w:color w:val="auto"/>
        </w:rPr>
        <w:t>Inputs are quoted prices (unadjusted) in active markets for identical assets or liabilities at the measurement date.</w:t>
      </w:r>
    </w:p>
    <w:p>
      <w:pPr>
        <w:spacing w:after="0" w:line="171" w:lineRule="exact"/>
        <w:rPr>
          <w:sz w:val="20"/>
          <w:szCs w:val="20"/>
          <w:color w:val="auto"/>
        </w:rPr>
      </w:pPr>
    </w:p>
    <w:p>
      <w:pPr>
        <w:ind w:left="1260" w:right="460" w:hanging="816"/>
        <w:spacing w:after="0" w:line="268" w:lineRule="auto"/>
        <w:tabs>
          <w:tab w:leader="none" w:pos="1240" w:val="left"/>
        </w:tabs>
        <w:rPr>
          <w:sz w:val="20"/>
          <w:szCs w:val="20"/>
          <w:color w:val="auto"/>
        </w:rPr>
      </w:pPr>
      <w:r>
        <w:rPr>
          <w:rFonts w:ascii="Arial" w:cs="Arial" w:eastAsia="Arial" w:hAnsi="Arial"/>
          <w:sz w:val="18"/>
          <w:szCs w:val="18"/>
          <w:color w:val="auto"/>
        </w:rPr>
        <w:t>Level 2:</w:t>
        <w:tab/>
        <w:t>Inputs are quoted prices for similar items in active markets or inputs are quoted prices for identical or similar items in markets that are not active.</w:t>
      </w:r>
    </w:p>
    <w:p>
      <w:pPr>
        <w:spacing w:after="0" w:line="132" w:lineRule="exact"/>
        <w:rPr>
          <w:sz w:val="20"/>
          <w:szCs w:val="20"/>
          <w:color w:val="auto"/>
        </w:rPr>
      </w:pPr>
    </w:p>
    <w:p>
      <w:pPr>
        <w:ind w:left="1260" w:right="440" w:hanging="816"/>
        <w:spacing w:after="0" w:line="332" w:lineRule="auto"/>
        <w:tabs>
          <w:tab w:leader="none" w:pos="12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6"/>
          <w:szCs w:val="16"/>
          <w:color w:val="auto"/>
        </w:rPr>
        <w:t>Inputs are unobservable due to little or no market data availability and inputs are usually developed by management or a third-party which reflect those inputs that a market participant would use. The fair value hierarchy gives the lowest priority to Level 3 inputs.</w:t>
      </w:r>
    </w:p>
    <w:p>
      <w:pPr>
        <w:spacing w:after="0" w:line="85"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At June 30, 2012, cash equivalents (instruments with maturities of three months or less at the date of purchase) were $1.7 million and primarily invested in money market accounts. The fair value of our cash equivalents is based on Level 1 criteria in which their carrying amount is a reasonable estimate of their fair value based on daily quoted market prices. At June 30, 2012 we did not hold financial instruments measured at fair value on a non-recurring basis.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Debt</w:t>
      </w:r>
    </w:p>
    <w:p>
      <w:pPr>
        <w:spacing w:after="0" w:line="96" w:lineRule="exact"/>
        <w:rPr>
          <w:sz w:val="20"/>
          <w:szCs w:val="20"/>
          <w:color w:val="auto"/>
        </w:rPr>
      </w:pPr>
    </w:p>
    <w:p>
      <w:pPr>
        <w:ind w:right="240" w:firstLine="456"/>
        <w:spacing w:after="0" w:line="323" w:lineRule="auto"/>
        <w:rPr>
          <w:sz w:val="20"/>
          <w:szCs w:val="20"/>
          <w:color w:val="auto"/>
        </w:rPr>
      </w:pPr>
      <w:r>
        <w:rPr>
          <w:rFonts w:ascii="Arial" w:cs="Arial" w:eastAsia="Arial" w:hAnsi="Arial"/>
          <w:sz w:val="15"/>
          <w:szCs w:val="15"/>
          <w:color w:val="auto"/>
        </w:rPr>
        <w:t>In May 2010, we entered into a loan and security agreement, or the Loan Agreement, with Oxford Finance Corporation, or Oxford, under which we borrowed $15.0 million at a stated interest rate of 12.87 percent. Our obligations under the Loan Agreement were secured by a first priority security interest on substantially all of our assets, other than our intellectual property, and we also agreed not to pledge or otherwise encumber our intellectual property assets. Our obligations under the Loan Agreement were guaranteed on a senior secured basis by Avigen. The Loan Agreement also contained certain restrictive covenants.</w:t>
      </w:r>
    </w:p>
    <w:p>
      <w:pPr>
        <w:spacing w:after="0" w:line="98"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Pursuant to the Loan Agreement, we issued to Oxford a warrant to purchase up to 198,020 shares of our common stock, par value $0.001 per share. The warrant is exercisable, immediately, in whole or in part, has a per share exercise price of $6.06 and may be exercised on a cashless basis. The warrant will terminate on the earlier of May 10, 2017 or the closing date of a merger or consolidation transaction in which we are not the surviving entity. In addition, the warrant and debt instrument are immediately separable and were issued separately. We accounted for the warrant as a component of stockholders’ equity as the agreement requires settlement in shares and under no provision of the agreement are we required to settle the warrant in cash.</w:t>
      </w:r>
    </w:p>
    <w:p>
      <w:pPr>
        <w:spacing w:after="0" w:line="116" w:lineRule="exact"/>
        <w:rPr>
          <w:sz w:val="20"/>
          <w:szCs w:val="20"/>
          <w:color w:val="auto"/>
        </w:rPr>
      </w:pPr>
    </w:p>
    <w:p>
      <w:pPr>
        <w:ind w:right="200" w:firstLine="456"/>
        <w:spacing w:after="0" w:line="323" w:lineRule="auto"/>
        <w:rPr>
          <w:sz w:val="20"/>
          <w:szCs w:val="20"/>
          <w:color w:val="auto"/>
        </w:rPr>
      </w:pPr>
      <w:r>
        <w:rPr>
          <w:rFonts w:ascii="Arial" w:cs="Arial" w:eastAsia="Arial" w:hAnsi="Arial"/>
          <w:sz w:val="15"/>
          <w:szCs w:val="15"/>
          <w:color w:val="auto"/>
        </w:rPr>
        <w:t>We accounted for the interest on the debt using the effective interest method wherein we treated the debt issuance costs paid directly to Oxford and the relative fair value of the warrants issued to Oxford as a discount on the debt (or a contra liability) and we treated the debt issuance costs paid to third parties (primarily legal fees) as an other asset in our consolidated balance sheet. The amortization of the debt discount was recorded as interest expense and the amortization of the debt issuance costs paid to third parties was recorded as other expense in our consolidated statements of operations and comprehensive loss.</w:t>
      </w:r>
    </w:p>
    <w:p>
      <w:pPr>
        <w:spacing w:after="0" w:line="9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agreed to waive the early payment penalty of $0.4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Loss Per Share</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Net loss per common share is presented as basic and diluted net loss per common share. Basic net loss per common share is calculated by dividing the net loss attributable to common stockholders by the weighted average number of common shares outstanding for the period, without consideration for common stock equivalents. Diluted net loss per common share 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computed by dividing the net loss attributable to common stockholders by the weighted average number of common stock equivalents outstanding for the period determined using the treasury-stock method. For purposes of this calculation, convertible preferred stock, stock options and warrants are considered to be common stock equivalents and are only included in the calculation of diluted net loss per common share when their effect is dilutive. For the three and six months ended June 30, 2012, 2,205,692 and 2,200,000 of potentially dilutive securities, respectively, and for the three and six months ended June 30, 2011, 29,401 and 73,989 of potentially dilutive securities, respectively, were excluded from determining diluted net loss per common share because of their anti-dilutive effect.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Accumulated Other Comprehensive Loss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table below sets forth the changes to our accumulated other comprehensive loss for the six months ended June 30, 2012 and June 30, 2011:</w:t>
      </w:r>
    </w:p>
    <w:p>
      <w:pPr>
        <w:spacing w:after="0" w:line="21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880" w:type="dxa"/>
            <w:vAlign w:val="bottom"/>
            <w:gridSpan w:val="4"/>
          </w:tcPr>
          <w:p>
            <w:pPr>
              <w:ind w:left="1300"/>
              <w:spacing w:after="0"/>
              <w:rPr>
                <w:sz w:val="20"/>
                <w:szCs w:val="20"/>
                <w:color w:val="auto"/>
              </w:rPr>
            </w:pPr>
            <w:r>
              <w:rPr>
                <w:rFonts w:ascii="Arial" w:cs="Arial" w:eastAsia="Arial" w:hAnsi="Arial"/>
                <w:sz w:val="14"/>
                <w:szCs w:val="14"/>
                <w:b w:val="1"/>
                <w:bCs w:val="1"/>
                <w:color w:val="auto"/>
              </w:rPr>
              <w:t>For the six months</w:t>
            </w:r>
          </w:p>
        </w:tc>
        <w:tc>
          <w:tcPr>
            <w:tcW w:w="1640" w:type="dxa"/>
            <w:vAlign w:val="bottom"/>
            <w:gridSpan w:val="4"/>
          </w:tcPr>
          <w:p>
            <w:pPr>
              <w:ind w:left="440"/>
              <w:spacing w:after="0"/>
              <w:rPr>
                <w:sz w:val="20"/>
                <w:szCs w:val="20"/>
                <w:color w:val="auto"/>
              </w:rPr>
            </w:pPr>
            <w:r>
              <w:rPr>
                <w:rFonts w:ascii="Arial" w:cs="Arial" w:eastAsia="Arial" w:hAnsi="Arial"/>
                <w:sz w:val="14"/>
                <w:szCs w:val="14"/>
                <w:b w:val="1"/>
                <w:bCs w:val="1"/>
                <w:color w:val="auto"/>
                <w:w w:val="94"/>
              </w:rPr>
              <w:t>For the 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82"/>
              </w:rPr>
              <w:t>ended June 30,</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84"/>
              </w:rPr>
              <w:t>ended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2012</w:t>
            </w:r>
          </w:p>
        </w:tc>
        <w:tc>
          <w:tcPr>
            <w:tcW w:w="5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0"/>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Beginning balance</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(56,845)</w:t>
            </w: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440"/>
              <w:spacing w:after="0"/>
              <w:rPr>
                <w:sz w:val="20"/>
                <w:szCs w:val="20"/>
                <w:color w:val="auto"/>
              </w:rPr>
            </w:pPr>
            <w:r>
              <w:rPr>
                <w:rFonts w:ascii="Arial" w:cs="Arial" w:eastAsia="Arial" w:hAnsi="Arial"/>
                <w:sz w:val="18"/>
                <w:szCs w:val="18"/>
                <w:color w:val="auto"/>
              </w:rPr>
              <w:t>(4,883)</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40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(61,728)</w:t>
            </w: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9600" w:firstLine="8"/>
        <w:spacing w:after="0" w:line="473" w:lineRule="auto"/>
        <w:tabs>
          <w:tab w:leader="none" w:pos="176"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Balance Sheet Details </w:t>
      </w:r>
      <w:r>
        <w:rPr>
          <w:rFonts w:ascii="Arial" w:cs="Arial" w:eastAsia="Arial" w:hAnsi="Arial"/>
          <w:sz w:val="15"/>
          <w:szCs w:val="15"/>
          <w:b w:val="1"/>
          <w:bCs w:val="1"/>
          <w:i w:val="1"/>
          <w:iCs w:val="1"/>
          <w:color w:val="auto"/>
        </w:rPr>
        <w:t>Accrued Expenses</w:t>
      </w:r>
    </w:p>
    <w:p>
      <w:pPr>
        <w:spacing w:after="0" w:line="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A substantial portion of our ongoing research and development activities are performed under agreements with external service providers, including clinical research organizations, which conduct many of our research and development activities. A portion of our ongoing general and administrative activities relate to legal, financial and consulting services. We accrue for costs incurred as the services are provided. Accrued expenses consist of the following:</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4"/>
                <w:szCs w:val="14"/>
                <w:b w:val="1"/>
                <w:bCs w:val="1"/>
                <w:color w:val="auto"/>
                <w:w w:val="96"/>
              </w:rPr>
              <w:t>June 30,</w:t>
            </w:r>
          </w:p>
        </w:tc>
        <w:tc>
          <w:tcPr>
            <w:tcW w:w="1400" w:type="dxa"/>
            <w:vAlign w:val="bottom"/>
            <w:gridSpan w:val="4"/>
          </w:tcPr>
          <w:p>
            <w:pPr>
              <w:ind w:left="500"/>
              <w:spacing w:after="0"/>
              <w:rPr>
                <w:sz w:val="20"/>
                <w:szCs w:val="20"/>
                <w:color w:val="auto"/>
              </w:rPr>
            </w:pPr>
            <w:r>
              <w:rPr>
                <w:rFonts w:ascii="Arial" w:cs="Arial" w:eastAsia="Arial" w:hAnsi="Arial"/>
                <w:sz w:val="14"/>
                <w:szCs w:val="14"/>
                <w:b w:val="1"/>
                <w:bCs w:val="1"/>
                <w:color w:val="auto"/>
                <w:w w:val="96"/>
              </w:rPr>
              <w:t>December 31,</w:t>
            </w:r>
          </w:p>
        </w:tc>
      </w:tr>
      <w:tr>
        <w:trPr>
          <w:trHeight w:val="161"/>
        </w:trPr>
        <w:tc>
          <w:tcPr>
            <w:tcW w:w="4760" w:type="dxa"/>
            <w:vAlign w:val="bottom"/>
          </w:tcPr>
          <w:p>
            <w:pPr>
              <w:spacing w:after="0"/>
              <w:rPr>
                <w:sz w:val="14"/>
                <w:szCs w:val="14"/>
                <w:color w:val="auto"/>
              </w:rPr>
            </w:pPr>
          </w:p>
        </w:tc>
        <w:tc>
          <w:tcPr>
            <w:tcW w:w="2520" w:type="dxa"/>
            <w:vAlign w:val="bottom"/>
            <w:gridSpan w:val="2"/>
          </w:tcPr>
          <w:p>
            <w:pPr>
              <w:jc w:val="right"/>
              <w:ind w:right="137"/>
              <w:spacing w:after="0"/>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210"/>
        </w:trPr>
        <w:tc>
          <w:tcPr>
            <w:tcW w:w="47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Research and development costs</w:t>
            </w:r>
          </w:p>
        </w:tc>
        <w:tc>
          <w:tcPr>
            <w:tcW w:w="1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$408,381</w:t>
            </w: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Professional services fees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130,755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100,823</w:t>
            </w:r>
          </w:p>
        </w:tc>
        <w:tc>
          <w:tcPr>
            <w:tcW w:w="100" w:type="dxa"/>
            <w:vAlign w:val="bottom"/>
          </w:tcPr>
          <w:p>
            <w:pPr>
              <w:spacing w:after="0"/>
              <w:rPr>
                <w:sz w:val="18"/>
                <w:szCs w:val="18"/>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Joint venture capital contribution payable</w:t>
            </w:r>
          </w:p>
        </w:tc>
        <w:tc>
          <w:tcPr>
            <w:tcW w:w="18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w:t>
            </w:r>
          </w:p>
        </w:tc>
        <w:tc>
          <w:tcPr>
            <w:tcW w:w="100" w:type="dxa"/>
            <w:vAlign w:val="bottom"/>
            <w:shd w:val="clear" w:color="auto" w:fill="CCEEFF"/>
          </w:tcPr>
          <w:p>
            <w:pPr>
              <w:spacing w:after="0"/>
              <w:rPr>
                <w:sz w:val="18"/>
                <w:szCs w:val="18"/>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Other</w:t>
            </w:r>
          </w:p>
        </w:tc>
        <w:tc>
          <w:tcPr>
            <w:tcW w:w="184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203,814</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149,200</w:t>
            </w:r>
          </w:p>
        </w:tc>
        <w:tc>
          <w:tcPr>
            <w:tcW w:w="100" w:type="dxa"/>
            <w:vAlign w:val="bottom"/>
          </w:tcPr>
          <w:p>
            <w:pPr>
              <w:spacing w:after="0"/>
              <w:rPr>
                <w:sz w:val="19"/>
                <w:szCs w:val="19"/>
                <w:color w:val="auto"/>
              </w:rPr>
            </w:pPr>
          </w:p>
        </w:tc>
      </w:tr>
      <w:tr>
        <w:trPr>
          <w:trHeight w:val="216"/>
        </w:trPr>
        <w:tc>
          <w:tcPr>
            <w:tcW w:w="476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742,950</w:t>
            </w:r>
          </w:p>
        </w:tc>
        <w:tc>
          <w:tcPr>
            <w:tcW w:w="580" w:type="dxa"/>
            <w:vAlign w:val="bottom"/>
            <w:gridSpan w:val="2"/>
            <w:shd w:val="clear" w:color="auto" w:fill="CCEEFF"/>
          </w:tcPr>
          <w:p>
            <w:pPr>
              <w:ind w:left="50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1,515,815</w:t>
            </w:r>
          </w:p>
        </w:tc>
        <w:tc>
          <w:tcPr>
            <w:tcW w:w="100" w:type="dxa"/>
            <w:vAlign w:val="bottom"/>
            <w:shd w:val="clear" w:color="auto" w:fill="CCEEFF"/>
          </w:tcPr>
          <w:p>
            <w:pPr>
              <w:spacing w:after="0"/>
              <w:rPr>
                <w:sz w:val="18"/>
                <w:szCs w:val="18"/>
                <w:color w:val="auto"/>
              </w:rPr>
            </w:pPr>
          </w:p>
        </w:tc>
      </w:tr>
      <w:tr>
        <w:trPr>
          <w:trHeight w:val="20"/>
        </w:trPr>
        <w:tc>
          <w:tcPr>
            <w:tcW w:w="47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For the three months ended June 30, 2012 and 2011, stock-based compensation expense (or credit) related to stock options and the employee stock purchase plan (or ESPP), was approximately $(566,000) and $158,000, respectively, and was recorded as a component of general and administrative expense (approximately $(432,000) and $115,000, respectively) and research and development expense (approximately $(134,000) and $43,000, respectively). For the six months ended June 30, 2012 and 2011, stock-based compensation expense related to stock options and the employee stock purchase plan (or ESPP), was approximately $362,000 and $333,000, respectively, and was recorded as a component of general and administrative expense (approximately $214,000 and $245,000, respectively) and research and development expense (approximately $148,000 and $88,000, respectively).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three months ended June 30, 2012 and 2011, 60,000 and 29,998 stock options were exercised, respectively, from which proceeds of approximately $138,000 and $66,000, respectively were received. During the six months ended June 30, 2012 and 2011, 60,000 and 31,915 stock options were exercised, respectively, from which proceeds of approximately $138,000 and $74,200, respectively, were received. As of June 30, 2012, there was $1.3 million of unamortized compensation expense related to unvested stock option awards which is expected to be recognized over a remaining weighted-average vesting period of 2.58 years.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three and six months ended June 30, 2012, options to purchase 15,000 shares of common stock were granted. During the three and six months ended June 30, 2011, options to purchase 4,000 shares of common stock were granted. The exercise price of the options granted was equal to market value on the date of grant.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share-based compensation expense recognized in the accompanying consolidated statements of operations and comprehensive loss included expense related to stock option awards ultimately expected to vest, such expense should be reduced for estimated forfeitures. The authoritative guidance for compensation expense requires forfeitures to be estimated at the time of grant and revised, if necessary, in subsequent periods if actual forfeitures differ from those estimates. As we have a small number of employees, we did not estimate any forfeitures during 2011, or during the six months ended June 30, 2012. We will adjust our stock-based compensation expense should any forfeitures occur.</w:t>
      </w:r>
    </w:p>
    <w:p>
      <w:pPr>
        <w:spacing w:after="0" w:line="11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MediciNova, Inc. 2007 ESPP permits full-time employees to purchase our common stock through payroll deductions (not to exceed 15% of each employee’s compensation) at the lower of 85% of fair market value at the beginning or the end of each six-month ESPP offering period. For the three and six months ended June 30, 2012, the number of shares of common stock issued under the ESPP were 15,550, and for the three and six months ended June 30, 2011, the number of shares of common stock issued under the ESPP were 1,826. Shares of common stock available for future issuance at June 30, 2012 and 2011 were 269,442 and 272,301, respectively.</w:t>
      </w:r>
    </w:p>
    <w:p>
      <w:pPr>
        <w:spacing w:after="0" w:line="143"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Company uses the Black-Scholes option valuation model for determining the estimated fair value and the stock-based compensation for stock-based awards to employees. The following table provides the assumptions used in the Black-Scholes option-pricing model for the three and six months ended June 30, 2012 and 2011. The ESPP assumptions for the three months ended June 30, 2012 and 2011 are actual amounts, and for the six months ended June 30, 2012 and 2011 are weighted average amounts.</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Three Months Ended</w:t>
            </w:r>
          </w:p>
        </w:tc>
        <w:tc>
          <w:tcPr>
            <w:tcW w:w="15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Three Months Ended</w:t>
            </w:r>
          </w:p>
        </w:tc>
        <w:tc>
          <w:tcPr>
            <w:tcW w:w="13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5"/>
              </w:rPr>
              <w:t>Six Months Ended</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Six Months Ended</w:t>
            </w:r>
          </w:p>
        </w:tc>
      </w:tr>
      <w:tr>
        <w:trPr>
          <w:trHeight w:val="161"/>
        </w:trPr>
        <w:tc>
          <w:tcPr>
            <w:tcW w:w="4900" w:type="dxa"/>
            <w:vAlign w:val="bottom"/>
          </w:tcPr>
          <w:p>
            <w:pPr>
              <w:spacing w:after="0"/>
              <w:rPr>
                <w:sz w:val="14"/>
                <w:szCs w:val="14"/>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2012</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June 30, 2011</w:t>
            </w: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June 30, 2012</w:t>
            </w:r>
          </w:p>
        </w:tc>
        <w:tc>
          <w:tcPr>
            <w:tcW w:w="12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June 30, 2011</w:t>
            </w:r>
          </w:p>
        </w:tc>
      </w:tr>
      <w:tr>
        <w:trPr>
          <w:trHeight w:val="196"/>
        </w:trPr>
        <w:tc>
          <w:tcPr>
            <w:tcW w:w="49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Stock Options assumptions:</w:t>
            </w: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0.51%</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1.84%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0.51%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1.84%</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 of common stock</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78.58%</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76.84%</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78.58%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0.16%</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0.14%</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74.34%</w:t>
            </w: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78.0%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76.11%</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78.0%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r>
      <w:tr>
        <w:trPr>
          <w:trHeight w:val="222"/>
        </w:trPr>
        <w:tc>
          <w:tcPr>
            <w:tcW w:w="49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9"/>
                <w:szCs w:val="19"/>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0.5</w:t>
            </w:r>
          </w:p>
        </w:tc>
        <w:tc>
          <w:tcPr>
            <w:tcW w:w="106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9"/>
                <w:szCs w:val="19"/>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96"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color w:val="auto"/>
        </w:rPr>
        <w:t>In accordance with the authoritative guidance for income taxes under ASC 740, a deferred tax asset or liability is determined based on the difference between the financial statements and the tax basis of assets and liabilities as measured by the enacted tax rates, which will be in effect when these differences reverse. We provide a valuation allowance against net deferred assets unless, based upon the available evidence, it is more likely than not that the deferred tax assets will be realized.</w:t>
      </w:r>
    </w:p>
    <w:p>
      <w:pPr>
        <w:spacing w:after="0" w:line="143"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Our practice is to recognize interest and/or penalties related to income tax matters in income tax expense. We have had no accrued interest or penalties since implementation of guidance on accounting for uncertainty in income taxes.</w:t>
      </w:r>
    </w:p>
    <w:p>
      <w:pPr>
        <w:spacing w:after="0" w:line="207" w:lineRule="exact"/>
        <w:rPr>
          <w:sz w:val="20"/>
          <w:szCs w:val="20"/>
          <w:color w:val="auto"/>
        </w:rPr>
      </w:pPr>
    </w:p>
    <w:p>
      <w:pPr>
        <w:ind w:right="8680" w:firstLine="8"/>
        <w:spacing w:after="0" w:line="391" w:lineRule="auto"/>
        <w:tabs>
          <w:tab w:leader="none" w:pos="254"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Commitments and Contingencies </w:t>
      </w:r>
      <w:r>
        <w:rPr>
          <w:rFonts w:ascii="Arial" w:cs="Arial" w:eastAsia="Arial" w:hAnsi="Arial"/>
          <w:sz w:val="16"/>
          <w:szCs w:val="16"/>
          <w:b w:val="1"/>
          <w:bCs w:val="1"/>
          <w:i w:val="1"/>
          <w:iCs w:val="1"/>
          <w:color w:val="auto"/>
        </w:rPr>
        <w:t>Legal Proceedings</w:t>
      </w:r>
    </w:p>
    <w:p>
      <w:pPr>
        <w:spacing w:after="0" w:line="1" w:lineRule="exact"/>
        <w:rPr>
          <w:sz w:val="20"/>
          <w:szCs w:val="20"/>
          <w:color w:val="auto"/>
        </w:rPr>
      </w:pPr>
    </w:p>
    <w:p>
      <w:pPr>
        <w:ind w:right="60" w:firstLine="456"/>
        <w:spacing w:after="0" w:line="318" w:lineRule="auto"/>
        <w:rPr>
          <w:sz w:val="20"/>
          <w:szCs w:val="20"/>
          <w:color w:val="auto"/>
        </w:rPr>
      </w:pPr>
      <w:r>
        <w:rPr>
          <w:rFonts w:ascii="Arial" w:cs="Arial" w:eastAsia="Arial" w:hAnsi="Arial"/>
          <w:sz w:val="15"/>
          <w:szCs w:val="15"/>
          <w:color w:val="auto"/>
        </w:rPr>
        <w:t>On March 3, 2011, we received a letter in which certain allegations were made from a former employee who had been terminated in January 2011 pursuant to a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Discovery is currently ongoing and an arbitration date has not yet been scheduled. We have engaged legal counsel in this matter, and based on our current assessment, we do not expect its outcome to have a material adverse effect on our business, financial condition or results of operations.</w:t>
      </w:r>
    </w:p>
    <w:p>
      <w:pPr>
        <w:spacing w:after="0" w:line="10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Our assessment of the likely impact of our pending litigation may change over time. An adverse result in any of these matters may occur which could harm our business and result in a material liability.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9560" w:firstLine="8"/>
        <w:spacing w:after="0" w:line="347" w:lineRule="auto"/>
        <w:tabs>
          <w:tab w:leader="none" w:pos="263"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Options</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grant stock options to our employees, officers, directors and consultants under the MediciNova, Inc. Amended and Restated 2004 Stock Incentive Plan.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stock options outstanding during the six months ended June 31, 2012 is as follows:</w:t>
      </w:r>
    </w:p>
    <w:p>
      <w:pPr>
        <w:spacing w:after="0" w:line="18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7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Stock</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760" w:type="dxa"/>
            <w:vAlign w:val="bottom"/>
          </w:tcPr>
          <w:p>
            <w:pPr>
              <w:jc w:val="right"/>
              <w:ind w:right="77"/>
              <w:spacing w:after="0"/>
              <w:rPr>
                <w:sz w:val="20"/>
                <w:szCs w:val="20"/>
                <w:color w:val="auto"/>
              </w:rPr>
            </w:pPr>
            <w:r>
              <w:rPr>
                <w:rFonts w:ascii="Arial" w:cs="Arial" w:eastAsia="Arial" w:hAnsi="Arial"/>
                <w:sz w:val="14"/>
                <w:szCs w:val="14"/>
                <w:b w:val="1"/>
                <w:bCs w:val="1"/>
                <w:color w:val="auto"/>
              </w:rPr>
              <w:t>Options</w:t>
            </w:r>
          </w:p>
        </w:tc>
        <w:tc>
          <w:tcPr>
            <w:tcW w:w="15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at December 31, 2011</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3,092,671</w:t>
            </w:r>
          </w:p>
        </w:tc>
        <w:tc>
          <w:tcPr>
            <w:tcW w:w="6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tcPr>
          <w:p>
            <w:pPr>
              <w:jc w:val="right"/>
              <w:spacing w:after="0"/>
              <w:rPr>
                <w:sz w:val="20"/>
                <w:szCs w:val="20"/>
                <w:color w:val="auto"/>
              </w:rPr>
            </w:pPr>
            <w:r>
              <w:rPr>
                <w:rFonts w:ascii="Arial" w:cs="Arial" w:eastAsia="Arial" w:hAnsi="Arial"/>
                <w:sz w:val="18"/>
                <w:szCs w:val="18"/>
                <w:color w:val="auto"/>
              </w:rPr>
              <w:t>15,000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Cancelled</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289,757</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30, 2012</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2,757,914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Exercisable at June 30, 2012</w:t>
            </w:r>
          </w:p>
        </w:tc>
        <w:tc>
          <w:tcPr>
            <w:tcW w:w="760" w:type="dxa"/>
            <w:vAlign w:val="bottom"/>
            <w:tcBorders>
              <w:bottom w:val="single" w:sz="8" w:color="auto"/>
            </w:tcBorders>
          </w:tcPr>
          <w:p>
            <w:pPr>
              <w:spacing w:after="0" w:line="20" w:lineRule="exact"/>
              <w:rPr>
                <w:sz w:val="1"/>
                <w:szCs w:val="1"/>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360" w:type="dxa"/>
            <w:vAlign w:val="bottom"/>
            <w:gridSpan w:val="2"/>
            <w:vMerge w:val="continue"/>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2,110,719</w:t>
            </w:r>
          </w:p>
        </w:tc>
        <w:tc>
          <w:tcPr>
            <w:tcW w:w="74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There was no aggregate intrinsic value of stock options outstanding and options exercisable at June 30, 2012. The weighted average contractual life of options outstanding at June 30, 2012 was 7.0 years and the weighted average contractual life of exercisable options at June 30, 2012 was 6.4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Notes</w:t>
      </w:r>
    </w:p>
    <w:p>
      <w:pPr>
        <w:spacing w:after="0" w:line="9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At the closing of the Avigen acquisition, we and American Stock Transfer &amp; Trust Company, LLC, as trustee, entered into an agreement whereby $29.4 million, which represented the initial principal amount of secured convertible notes we issued under the terms of the Avigen acquisition, was deposited with a trust agent for the benefit of the holders and us.</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Prior to the maturity of the convertible notes on June 18, 2011, holders of the convertible notes could submit irrevocable conversion notices instructing the trustee to convert such convertible notes into shares of our common stock at an initial conversion price of $6.80 per share. Following each conversion date we would issue the number of whole shares of common stock issuable upon conversion and the trustee would in turn release to us the respective amount of restricted cash to cover the stock issuance. $1.9 million of the convertible notes were converted to 276,655 shares of our common stock. All remaining convertible notes expired on June 18, 2011 and the principal was repaid in full.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On March 23,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provisions which may require cash settlement.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or Series B Preferred,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owns less than three percent of our outstanding voting stock. Each share of the Series B Preferred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6" w:lineRule="exact"/>
        <w:rPr>
          <w:sz w:val="20"/>
          <w:szCs w:val="20"/>
          <w:color w:val="auto"/>
        </w:rPr>
      </w:pPr>
    </w:p>
    <w:p>
      <w:pPr>
        <w:jc w:val="both"/>
        <w:ind w:right="180" w:firstLine="456"/>
        <w:spacing w:after="0" w:line="298"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2011 included in our Annual Report on Form 10-K filed with the Securities and Exchange Commission, or SEC, on March 29, 2012. Past operating results are not necessarily indicative of results that may occur in future periods.</w:t>
      </w:r>
    </w:p>
    <w:p>
      <w:pPr>
        <w:spacing w:after="0" w:line="11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and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We are a development stage biopharmaceutical company focused on acquiring and developing novel, small molecule therapeutics for the treatment of serious diseases with unmet medical needs with a specific focus on the U.S. market. Through strategic alliances, primarily with Japanese pharmaceutical companies, we hold rights to a diversified portfolio of clinical and preclinical product candidates, which we believe provide significant commercial opportunity for the Company. We were incorporated in Delaware in September 2000.</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sustained operating losses since our inception. At June 30, 2012, our accumulated deficit from inception was $291.4 million, including $50.0 million of non-cash stock-based compensation expenses related to stock-based awards to employees. We expect to incur substantial operating losses for at least the next several years as we continue to invest in certain of our existing product development programs, primarily MN-221 for the treatment of acute exacerbations of asthma and chronic obstructive pulmonary disease, or COPD, exacerbations, and, over the long-term, if we are successful in expanding our research and product development programs and/or acquiring or in-licensing products, technologies or businesses that are complementary to our own. While there can be no assurances given, we believe that our working capital at June 30, 2012, will be sufficient to fund our operating requirements through at least March 31, 2013, assuming that we operate our business in accordance with our current operating plan and do not commence any new clinical trials. This belief is based on assumptions that could prove to be wrong, and we could utilize our available capital resources sooner than we currently expect. If adequate funds are not available, we may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23"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We have acquired licenses to eight compounds for the development of ten product candidates, which include clinical development for the treatment of acute exacerbations of asthma, multiple sclerosis (MS) and other central nervous system (CNS) disorders, bronchial asthma, interstitial cystitis (IC), solid tumor cancers, generalized anxiety disorders/insomnia, preterm labor and urinary incontinence. Two of such compounds have been in preclinical development for the treatment of thrombotic disorders. In addition, we have expanded our development program for MN-221 for the treatment of COPD exacerbations.</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entered into an agreement to form a joint venture company with Zhejiang Medicine Co., Ltd. and Beijing Make-Friend Medicine Technology Co., Ltd. effective September 27, 2011. The joint venture agreement provides for the joint venture company, Zhejiang Sunmy, to develop and commercialize MN-221 in China. A sublicense , which will require the consent of the licensor, will be required for us to license MN-221 to Zhejiang Sunmy. In accordance with the joint venture agreement, in March 2012, we paid $680,000 for a 30% interest in Zhejiang Sunmy. The other parties to the joint venture agreement provided funding for their combined 70% interest and are responsible for future funding for Zhejiang Sunmy’s activities. We have not entered into the sublicense of MN-221 with Zhejiang Sunmy as of the date of this report. There is no assurance the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sublicense will be executed and there is no assurance that Zhejiang Sunmy will be able to proceed with the development of MN-221 in China. Zhejiang Sunmy is considered a variable interest entity for which we are not the primary beneficiary as we will not have a majority of the board seats and we will not have any power to direct or significantly influence the actions of Zhejiang Sunmy. We absorb any loss and income generated by Zhejiang Sunmy according to our percentage ownership.</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present, we are focusing our resources on the following prioritized product development programs:</w:t>
      </w:r>
    </w:p>
    <w:p>
      <w:pPr>
        <w:spacing w:after="0" w:line="90" w:lineRule="exact"/>
        <w:rPr>
          <w:sz w:val="20"/>
          <w:szCs w:val="20"/>
          <w:color w:val="auto"/>
        </w:rPr>
      </w:pPr>
    </w:p>
    <w:p>
      <w:pPr>
        <w:ind w:left="900" w:hanging="446"/>
        <w:spacing w:after="0" w:line="286"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MN-221 for the treatment of acute exacerbations of asthma and COPD exacerbations, for which we initiated a Phase 2 clinical trial (MN-221-CL-007) in the first quarter of 2009 to evaluate the safety and efficacy of MN-221 in patients with acute exacerbations of asthma treated in the emergency room. On March 21, 2012, we announced completion of the 176 patient enrollment of the Phase 2 MN-221-CL-007 clinical trial and on May 23, 2012, we announced that preliminary trial results did not statistically meet the primary endpoint, improvement in FEV1 (Forced Expiratory Volume in One Second) compared to placebo. However, MN-221 showed a significant benefit over placebo for FEV1, and the trial also demonstrated both a reduction in hospital admissions with MN-221 added to standard drug treatments, and a significant improvement in clinical symptoms with MN-221 treated patients. Additionally, the safety profile of MN-221 continues to be positive as no safety/tolerability issues of clinical significance were observed. Given the positive MN-221 efficacy and safety data displayed, our current goal is to advance the development of the MN-221 program, and we have announced that an End-of-Phase 2 meeting pertaining to the development of MN-221 for the treatment of acute exacerbations of asthma has been scheduled with the U.S, Food and Drug Administration in the fourth quarter of 2012. In 2010 we completed MN-221 COPD development, which included a Phase 1b clinical trial in patients with stable, moderate to severe COPD. In the first quarter of 2012 we initiated an additional Phase 1b/2a COPD clinical trial (MN-221–CL-012) that has commenced enrollment and has an anticipated trial completion in the third quarter of 2012.</w:t>
      </w:r>
    </w:p>
    <w:p>
      <w:pPr>
        <w:spacing w:after="0" w:line="39" w:lineRule="exact"/>
        <w:rPr>
          <w:rFonts w:ascii="Arial" w:cs="Arial" w:eastAsia="Arial" w:hAnsi="Arial"/>
          <w:sz w:val="16"/>
          <w:szCs w:val="16"/>
          <w:color w:val="auto"/>
        </w:rPr>
      </w:pPr>
    </w:p>
    <w:p>
      <w:pPr>
        <w:ind w:left="900" w:right="100" w:hanging="446"/>
        <w:spacing w:after="0" w:line="28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MN-166, an ibudilast-based product development, for which we continue to pursue discussions with potential partners and other strategic collaborations. An MN-166 Phase 2 clinical trial in MS was completed in Eastern Europe in 2008 wherein positive safety and neuroprotective efficacy indicators were obtained, thus, directing next stage development towards a Phase 2b progressive MS indication. Limited animal safety and product manufacturing and stability development has been completed. In the area of drug addiction, a Phase 1b/2a opioid withdrawal clinical trial funded by the National Institute on Drug Abuse, or NIDA, was completed at the end of 2010. A Phase 1b NIDA-funded clinical trial in methamphetamine-dependent volunteers with expert investigators at UCLA initiated in the fourth quarter of 2010 and is currently enrolling patients. In addition, a headache and pain specialist in Australia initiated an investigator sponsored Phase 2 clinical trial of ibudilast as a potential new pharmacotherapy for medication overuse headache that is expected to complete enrollment at the end of 2012. We intend to enter into additional strategic alliances to support further clinical development of MN-166.</w:t>
      </w:r>
    </w:p>
    <w:p>
      <w:pPr>
        <w:spacing w:after="0" w:line="12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Upon completion of proof-of-concept Phase 2 clinical trials, we intend to enter into strategic alliances with leading pharmaceutical or biotech companies to support further clinical development, and plan to maintain certain commercialization rights in selected markets. As a result of the outcome of the Phase 2b trial of MN-221 for the treatment of acute exacerbations of asthma, we may seek to raise addition capital and/or enter into a collaboration and conduct a Phase 3 development program. We may also pursue potential partners and potential acquirers of license rights to our programs in markets outside the U.S. In addition, we continue to limit activities for the balance of our existing product development programs in order to focus on our prioritized product development programs. For our remaining product development programs, we plan to conduct development activities only to the extent deemed necessary to maintain our license rights or maximize value while pursuing a variety of initiatives to monetize such programs.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eight non-prioritized product development programs consist of the following:</w:t>
      </w:r>
    </w:p>
    <w:p>
      <w:pPr>
        <w:spacing w:after="0" w:line="90" w:lineRule="exact"/>
        <w:rPr>
          <w:sz w:val="20"/>
          <w:szCs w:val="20"/>
          <w:color w:val="auto"/>
        </w:rPr>
      </w:pPr>
    </w:p>
    <w:p>
      <w:pPr>
        <w:ind w:left="900" w:right="16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MN-001 for the treatment of bronchial asthma, for which we initiated a Phase 3 clinical program in the fourth quarter of 2006 that we subsequently terminated in the second quarter of 2007, and for which we developed prototypes of once-per-day oral dosing formulations;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MN-001 for the treatment of interstitial cystitis, for which we completed a Phase 2 clinical trial in the first quarter of 2007;</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MN-029 for the treatment of solid tumors, for which we completed one Phase 1 clinical trial in the second quarter of 2006 and one Phase I clinical trial in the fourth quarter of 2007;</w:t>
      </w:r>
    </w:p>
    <w:p>
      <w:pPr>
        <w:spacing w:after="0" w:line="50" w:lineRule="exact"/>
        <w:rPr>
          <w:rFonts w:ascii="Arial" w:cs="Arial" w:eastAsia="Arial" w:hAnsi="Arial"/>
          <w:sz w:val="18"/>
          <w:szCs w:val="18"/>
          <w:color w:val="auto"/>
        </w:rPr>
      </w:pPr>
    </w:p>
    <w:p>
      <w:pPr>
        <w:ind w:left="900" w:right="140" w:hanging="446"/>
        <w:spacing w:after="0" w:line="332"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color w:val="auto"/>
        </w:rPr>
        <w:t>MN-305 for the treatment of generalized anxiety disorder/insomnia, for which we completed a Phase 2 clinical trial for the treatment of generalized anxiety disorder in the second quarter of 2006 and a Phase 2 clinical trial for the treatment of insomnia in the fourth quarter of 2007;</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MN-221 for the treatment of preterm labor, for which we completed a Phase 1 clinical trial to investigate the pharmacokinetic profile of MN-221 in healthy pregnant women not in labor in the second quarter of 2007;</w:t>
      </w:r>
    </w:p>
    <w:p>
      <w:pPr>
        <w:spacing w:after="0" w:line="5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MN-246 for the treatment of urinary incontinence, for which we completed a Phase 1 clinical trial in the fourth quarter of 2006 and a Phase 1 food effects study in the first quarter of 2007;</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MN-447 for the treatment of thrombotic disorders, which remains in preclinical development;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MN-462 for the treatment of thrombotic disorders, which remains in preclinical development.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Avigen Transaction</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December 18, 2009, we acquired Avigen, a biopharmaceutical company whose potential product candidate was a therapeutic for central nervous system (“CNS”) disorders. Under the terms of the acquisition, we issued $29.4 million in secured convertible notes that matured on June 18, 2011. Holders of the notes could convert their notes into our common stock at an initial conversion price of $6.80 per share. At the maturity of the convertible notes, the remaining holders would be paid the same per share amount as the Avigen shareholders that elected to receive cash at the acquisition closing, plus accrued interest. As part of the acquisition consideration, the former Avigen shareholders were also entitled to receive approximately $0.04 per share, which was paid in two increments in 2010, and rights under contingent payment rights issued as part of the acquisition consideration.</w:t>
      </w:r>
    </w:p>
    <w:p>
      <w:pPr>
        <w:spacing w:after="0" w:line="12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consolidated financial statements include Avigen’s operations following the completion of the acquisition. We recorded $4.8 million of IPR&amp;D related to Avigen’s AV411 asset and we recorded $9.6 million of goodwill related to the excess purchase price over the assigned values of the net assets acquired. The goodwill was primarily a result of the conversion feature related to the convertible notes issued pursuant to the acquisition agreement. Our annual test date for IPR&amp;D and goodwill impairment is December 31. We operate as one reporting segment and during the six months ended June 30, 2012 and through the date of this report, there were no triggering events, market conditions or other factors such as adverse clinical trial results that would indicate possible or actual impairment of IPR&amp;D or goodwill.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May 2010 we entered into the Loan Agreement with Oxford under which we borrowed $15.0 million at a stated annual interest rate of 12.87 percent. The financing was used to satisfy working capital needs, including the continued clinical development of MN-221. Pursuant to the Loan Agreement, we issued to Oxford a warrant to purchase up to 198,020 shares of our common stock, par value $0.001 per share, at an exercise price of $6.06 per share. We accounted for the warrant as a component of stockholders’ equity as the agreement requires settlement in shares and under no provision of the agreement are we required to settle the warrant in cash.</w:t>
      </w:r>
    </w:p>
    <w:p>
      <w:pPr>
        <w:spacing w:after="0" w:line="143"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We accounted for the interest on the debt under the effective interest method wherein we treated the debt issuance costs paid directly to Oxford and the relative fair value of the warrants issued to Oxford as a discount on the debt, and we treated the debt issuance costs paid to third parties as an asset. The amortization of the debt discount was recorded as interest expense and the amortization of the debt issuance costs paid to third parties was recorded as other expense in our consolidated statements of operations and comprehensive loss.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On April 1, 2011, we entered into an agreement with Oxford, under which we made an early repayment of the loan in-full and wherein Oxford waived the prepayment penalty of $0.4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Reduction-in-Force</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January 2011, we had a reduction-in-force to reduce costs. We believe that we remain adequately staffed given our research and development focus and utilization of external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Firm Commitment Underwritten Public Offering</w:t>
      </w:r>
    </w:p>
    <w:p>
      <w:pPr>
        <w:spacing w:after="0" w:line="90"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On March 23, 2011, we completed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 The warrants are exercisable immediately upon issuance, have a five-year term and an exercise price of $3.56 per share. The warrants are indexed to our stock and do not permit net-cash settlement. On March 29, 2011, we received net proceeds of $7.7 million, after underwriter discount and underwriter expenses and no warrants exercised. In accordance with the authoritative guidance, the warrants were classified as equity instruments as they contain no provision which may require cash settlement.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Amendments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On July 6, 2011, we entered into a fifth amendment (the “Fifth Lease Amendment”) of our lease agreement (the “Lease”), with 4350 La Jolla Village LLC (the “Landlord”). The Fifth Lease Amendment amended the Lease of our headquarters located at 4350 La Jolla Village Drive, Suite 950, San Diego, California, 92122, and extended the Lease term, with respect to 5,089 square feet, from August 31, 2011 to May 31, 2012. The Fifth Lease Amendment provided that we will</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pay the Landlord a monthly base rent of $12,468 for the premises during the nine-month extension period. On March 19, 2012, we entered into a sixth amendment of the Lease (the “Sixth Lease Amendment”), which extends the lease term through February 28, 2013, and provides that we will pay the Landlord a monthly base rent of $12,672 for the premises during the term of the Sixth Lease Amendment.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Stock Purchase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for $7.5 million (i) an aggregate of 800,000 shares of our common stock, par value $0.001 per share, at a price of $2.50 per share, which approximated the fair value of our common stock at the time of the transaction, and (ii) 220,000 shares of our Series B Convertible Preferred Stock, par value $0.01 per share, at a price of $25.00 per share, which approximated the fair value of our preferred stock on an as converted basis at the time of the transaction. The purchase agreement contains customary representations, warranties and covenants and a standstill agreement from Kissei that terminates if Kissei beneficially owned less than three percent of our outstanding voting stock. Each share of the Series B Preferred Stock is convertible into 10 shares of common stock. The Series B Preferred ranks pari passu (on an as-if-converted-to-common-stock basis) with the common stock in liquidation and dividend rights. The holders of the Series B Preferred do not have voting rights, and the consent of a majority of the outstanding Series B Preferred is required for certain actions of the Company.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Services Agreement</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October 2011, we entered into an agreement with Kissei to perform research and development services relating to MN-221 in exchange for a non-refundable upfront payment of $2.5 million. Under the terms of the agreement, we are responsible for all costs to be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consolidated financial statements, which have been prepared in accordance with principles generally accepted in the U.S. The preparation of the consolidated financial statements requires us to make estimates and assumptions that affect the reported amounts of assets, liabilities, revenues and expenses and the related disclosure of contingent liabilities. We review our estimates on an ongoing basis, including those related to our significant accruals. We base our estimates on historical experience and on various other assumptions that we believe to be reasonable under the circumstances, the results of which form the basis for making judgments about the carrying values of assets and liabilities. Actual results may differ from these estimates.</w:t>
      </w:r>
    </w:p>
    <w:p>
      <w:pPr>
        <w:spacing w:after="0" w:line="12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significant accounting policies and estimates are the same as those noted in our Annual Report on Form 10-K for the year ended December 31, 2011, as filed with the SEC on March 29,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Cost of Revenues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the three and six months ended June 30, 2012, we recorded revenue relating to the Kissei services agreement of $0.5 million and $0.7 million, respectively, based on the development services we performed during that period. All expenses incurred during the six months ended June 30, 2012, related to these development services have been recorded as research and development expenses. In addition to the revenue recorded in the six months ended June 30, 2012, our revenues to date have been from development services revenues under service agreements pursuant to which we billed consulting fees and our pass-through clinical contract costs. The primary costs associated with these revenues were the clinical contract costs we incurred and passed-through to our customers.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research and development expenses consist primarily of the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and development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costs of compensation and other expenses for research and development personnel, supplies, facility costs and depreciation. Research and development costs are expensed as incurred based on certain contractual factors such as estimates of work performed, milestones achieved, patient enrollment and experience with similar contracts. As actual costs become known, accruals are adjusted. To date, our accrued research and development expenses have not differed significantly from the actual expenses incurred.</w:t>
      </w:r>
    </w:p>
    <w:p>
      <w:pPr>
        <w:spacing w:after="0" w:line="14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summarizes our research and development expenses for the periods indicated for each of our product development programs. To the extent that costs, including personnel costs, are not tracked to a specific product development program, such costs are included in the “Unallocated” category (in thousands):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5"/>
              </w:rPr>
              <w:t>Three months ended</w:t>
            </w:r>
          </w:p>
        </w:tc>
        <w:tc>
          <w:tcPr>
            <w:tcW w:w="14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4"/>
              </w:rPr>
              <w:t>Six months ended</w:t>
            </w:r>
          </w:p>
        </w:tc>
      </w:tr>
      <w:tr>
        <w:trPr>
          <w:trHeight w:val="161"/>
        </w:trPr>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Product</w:t>
            </w:r>
          </w:p>
        </w:tc>
        <w:tc>
          <w:tcPr>
            <w:tcW w:w="5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85"/>
              </w:rPr>
              <w:t>June 30,</w:t>
            </w:r>
          </w:p>
        </w:tc>
        <w:tc>
          <w:tcPr>
            <w:tcW w:w="148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85"/>
              </w:rPr>
              <w:t>June 30,</w:t>
            </w:r>
          </w:p>
        </w:tc>
      </w:tr>
      <w:tr>
        <w:trPr>
          <w:trHeight w:val="149"/>
        </w:trPr>
        <w:tc>
          <w:tcPr>
            <w:tcW w:w="640" w:type="dxa"/>
            <w:vAlign w:val="bottom"/>
            <w:tcBorders>
              <w:bottom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1"/>
              </w:rPr>
              <w:t>Candidate</w:t>
            </w:r>
          </w:p>
        </w:tc>
        <w:tc>
          <w:tcPr>
            <w:tcW w:w="360" w:type="dxa"/>
            <w:vAlign w:val="bottom"/>
          </w:tcPr>
          <w:p>
            <w:pPr>
              <w:spacing w:after="0"/>
              <w:rPr>
                <w:sz w:val="12"/>
                <w:szCs w:val="12"/>
                <w:color w:val="auto"/>
              </w:rPr>
            </w:pPr>
          </w:p>
        </w:tc>
        <w:tc>
          <w:tcPr>
            <w:tcW w:w="6240" w:type="dxa"/>
            <w:vAlign w:val="bottom"/>
            <w:gridSpan w:val="2"/>
          </w:tcPr>
          <w:p>
            <w:pPr>
              <w:ind w:left="2080"/>
              <w:spacing w:after="0" w:line="129" w:lineRule="exact"/>
              <w:rPr>
                <w:sz w:val="20"/>
                <w:szCs w:val="20"/>
                <w:color w:val="auto"/>
              </w:rPr>
            </w:pPr>
            <w:r>
              <w:rPr>
                <w:rFonts w:ascii="Arial" w:cs="Arial" w:eastAsia="Arial" w:hAnsi="Arial"/>
                <w:sz w:val="14"/>
                <w:szCs w:val="14"/>
                <w:b w:val="1"/>
                <w:bCs w:val="1"/>
                <w:color w:val="auto"/>
              </w:rPr>
              <w:t>Product Development Program</w:t>
            </w:r>
          </w:p>
        </w:tc>
        <w:tc>
          <w:tcPr>
            <w:tcW w:w="20" w:type="dxa"/>
            <w:vAlign w:val="bottom"/>
          </w:tcPr>
          <w:p>
            <w:pPr>
              <w:spacing w:after="0"/>
              <w:rPr>
                <w:sz w:val="12"/>
                <w:szCs w:val="12"/>
                <w:color w:val="auto"/>
              </w:rPr>
            </w:pPr>
          </w:p>
        </w:tc>
        <w:tc>
          <w:tcPr>
            <w:tcW w:w="480" w:type="dxa"/>
            <w:vAlign w:val="bottom"/>
            <w:tcBorders>
              <w:top w:val="single" w:sz="8" w:color="auto"/>
            </w:tcBorders>
          </w:tcPr>
          <w:p>
            <w:pPr>
              <w:jc w:val="right"/>
              <w:ind w:right="19"/>
              <w:spacing w:after="0" w:line="129"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2"/>
          </w:tcPr>
          <w:p>
            <w:pPr>
              <w:jc w:val="right"/>
              <w:ind w:right="52"/>
              <w:spacing w:after="0" w:line="129" w:lineRule="exact"/>
              <w:rPr>
                <w:sz w:val="20"/>
                <w:szCs w:val="20"/>
                <w:color w:val="auto"/>
              </w:rPr>
            </w:pPr>
            <w:r>
              <w:rPr>
                <w:rFonts w:ascii="Arial" w:cs="Arial" w:eastAsia="Arial" w:hAnsi="Arial"/>
                <w:sz w:val="14"/>
                <w:szCs w:val="14"/>
                <w:b w:val="1"/>
                <w:bCs w:val="1"/>
                <w:color w:val="auto"/>
              </w:rPr>
              <w:t>2011</w:t>
            </w:r>
          </w:p>
        </w:tc>
        <w:tc>
          <w:tcPr>
            <w:tcW w:w="360" w:type="dxa"/>
            <w:vAlign w:val="bottom"/>
          </w:tcPr>
          <w:p>
            <w:pPr>
              <w:spacing w:after="0"/>
              <w:rPr>
                <w:sz w:val="12"/>
                <w:szCs w:val="12"/>
                <w:color w:val="auto"/>
              </w:rPr>
            </w:pPr>
          </w:p>
        </w:tc>
        <w:tc>
          <w:tcPr>
            <w:tcW w:w="500" w:type="dxa"/>
            <w:vAlign w:val="bottom"/>
            <w:tcBorders>
              <w:top w:val="single" w:sz="8" w:color="auto"/>
            </w:tcBorders>
          </w:tcPr>
          <w:p>
            <w:pPr>
              <w:jc w:val="right"/>
              <w:ind w:right="16"/>
              <w:spacing w:after="0" w:line="129" w:lineRule="exact"/>
              <w:rPr>
                <w:sz w:val="20"/>
                <w:szCs w:val="20"/>
                <w:color w:val="auto"/>
              </w:rPr>
            </w:pPr>
            <w:r>
              <w:rPr>
                <w:rFonts w:ascii="Arial" w:cs="Arial" w:eastAsia="Arial" w:hAnsi="Arial"/>
                <w:sz w:val="14"/>
                <w:szCs w:val="14"/>
                <w:b w:val="1"/>
                <w:bCs w:val="1"/>
                <w:color w:val="auto"/>
              </w:rPr>
              <w:t>2012</w:t>
            </w:r>
          </w:p>
        </w:tc>
        <w:tc>
          <w:tcPr>
            <w:tcW w:w="880" w:type="dxa"/>
            <w:vAlign w:val="bottom"/>
            <w:tcBorders>
              <w:top w:val="single" w:sz="8" w:color="auto"/>
            </w:tcBorders>
            <w:gridSpan w:val="2"/>
          </w:tcPr>
          <w:p>
            <w:pPr>
              <w:jc w:val="right"/>
              <w:ind w:right="32"/>
              <w:spacing w:after="0" w:line="129"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03"/>
        </w:trPr>
        <w:tc>
          <w:tcPr>
            <w:tcW w:w="10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MN-221</w:t>
            </w:r>
          </w:p>
        </w:tc>
        <w:tc>
          <w:tcPr>
            <w:tcW w:w="59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Acute exacerbations of asthma/COPD</w:t>
            </w: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3"/>
              </w:rPr>
              <w:t>$1,267</w:t>
            </w: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$ 1,487</w:t>
            </w:r>
          </w:p>
        </w:tc>
        <w:tc>
          <w:tcPr>
            <w:tcW w:w="3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$2,512</w:t>
            </w: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$3,432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MN-166</w:t>
            </w:r>
          </w:p>
        </w:tc>
        <w:tc>
          <w:tcPr>
            <w:tcW w:w="6240" w:type="dxa"/>
            <w:vAlign w:val="bottom"/>
            <w:gridSpan w:val="2"/>
          </w:tcPr>
          <w:p>
            <w:pPr>
              <w:spacing w:after="0"/>
              <w:rPr>
                <w:sz w:val="20"/>
                <w:szCs w:val="20"/>
                <w:color w:val="auto"/>
              </w:rPr>
            </w:pPr>
            <w:r>
              <w:rPr>
                <w:rFonts w:ascii="Arial" w:cs="Arial" w:eastAsia="Arial" w:hAnsi="Arial"/>
                <w:sz w:val="18"/>
                <w:szCs w:val="18"/>
                <w:color w:val="auto"/>
              </w:rPr>
              <w:t>Multiple sclerosis/other CNS disorders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153</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238</w:t>
            </w:r>
          </w:p>
        </w:tc>
        <w:tc>
          <w:tcPr>
            <w:tcW w:w="500" w:type="dxa"/>
            <w:vAlign w:val="bottom"/>
          </w:tcPr>
          <w:p>
            <w:pPr>
              <w:jc w:val="right"/>
              <w:spacing w:after="0"/>
              <w:rPr>
                <w:sz w:val="20"/>
                <w:szCs w:val="20"/>
                <w:color w:val="auto"/>
              </w:rPr>
            </w:pPr>
            <w:r>
              <w:rPr>
                <w:rFonts w:ascii="Arial" w:cs="Arial" w:eastAsia="Arial" w:hAnsi="Arial"/>
                <w:sz w:val="18"/>
                <w:szCs w:val="18"/>
                <w:color w:val="auto"/>
              </w:rPr>
              <w:t>317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MN-001</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Bronchial asthma</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MN-001</w:t>
            </w:r>
          </w:p>
        </w:tc>
        <w:tc>
          <w:tcPr>
            <w:tcW w:w="6240" w:type="dxa"/>
            <w:vAlign w:val="bottom"/>
            <w:gridSpan w:val="2"/>
          </w:tcPr>
          <w:p>
            <w:pPr>
              <w:spacing w:after="0"/>
              <w:rPr>
                <w:sz w:val="20"/>
                <w:szCs w:val="20"/>
                <w:color w:val="auto"/>
              </w:rPr>
            </w:pPr>
            <w:r>
              <w:rPr>
                <w:rFonts w:ascii="Arial" w:cs="Arial" w:eastAsia="Arial" w:hAnsi="Arial"/>
                <w:sz w:val="18"/>
                <w:szCs w:val="18"/>
                <w:color w:val="auto"/>
              </w:rPr>
              <w:t>Interstitial cystitis</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MN-029</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tumors</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MN-305</w:t>
            </w:r>
          </w:p>
        </w:tc>
        <w:tc>
          <w:tcPr>
            <w:tcW w:w="6240" w:type="dxa"/>
            <w:vAlign w:val="bottom"/>
            <w:gridSpan w:val="2"/>
          </w:tcPr>
          <w:p>
            <w:pPr>
              <w:spacing w:after="0"/>
              <w:rPr>
                <w:sz w:val="20"/>
                <w:szCs w:val="20"/>
                <w:color w:val="auto"/>
              </w:rPr>
            </w:pPr>
            <w:r>
              <w:rPr>
                <w:rFonts w:ascii="Arial" w:cs="Arial" w:eastAsia="Arial" w:hAnsi="Arial"/>
                <w:sz w:val="18"/>
                <w:szCs w:val="18"/>
                <w:color w:val="auto"/>
              </w:rPr>
              <w:t>Generalized Anxiety Disorder/insomnia</w:t>
            </w:r>
          </w:p>
        </w:tc>
        <w:tc>
          <w:tcPr>
            <w:tcW w:w="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MN-221</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Preterm labor</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MN-246</w:t>
            </w:r>
          </w:p>
        </w:tc>
        <w:tc>
          <w:tcPr>
            <w:tcW w:w="6240" w:type="dxa"/>
            <w:vAlign w:val="bottom"/>
            <w:gridSpan w:val="2"/>
          </w:tcPr>
          <w:p>
            <w:pPr>
              <w:spacing w:after="0"/>
              <w:rPr>
                <w:sz w:val="20"/>
                <w:szCs w:val="20"/>
                <w:color w:val="auto"/>
              </w:rPr>
            </w:pPr>
            <w:r>
              <w:rPr>
                <w:rFonts w:ascii="Arial" w:cs="Arial" w:eastAsia="Arial" w:hAnsi="Arial"/>
                <w:sz w:val="18"/>
                <w:szCs w:val="18"/>
                <w:color w:val="auto"/>
              </w:rPr>
              <w:t>Urinary incontinence</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MN-447</w:t>
            </w: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Thrombotic disorders</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MN-462</w:t>
            </w:r>
          </w:p>
        </w:tc>
        <w:tc>
          <w:tcPr>
            <w:tcW w:w="6240" w:type="dxa"/>
            <w:vAlign w:val="bottom"/>
            <w:gridSpan w:val="2"/>
          </w:tcPr>
          <w:p>
            <w:pPr>
              <w:spacing w:after="0"/>
              <w:rPr>
                <w:sz w:val="20"/>
                <w:szCs w:val="20"/>
                <w:color w:val="auto"/>
              </w:rPr>
            </w:pPr>
            <w:r>
              <w:rPr>
                <w:rFonts w:ascii="Arial" w:cs="Arial" w:eastAsia="Arial" w:hAnsi="Arial"/>
                <w:sz w:val="18"/>
                <w:szCs w:val="18"/>
                <w:color w:val="auto"/>
              </w:rPr>
              <w:t>Thrombotic disorders</w:t>
            </w:r>
          </w:p>
        </w:tc>
        <w:tc>
          <w:tcPr>
            <w:tcW w:w="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r>
      <w:tr>
        <w:trPr>
          <w:trHeight w:val="216"/>
        </w:trPr>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Unallocated</w:t>
            </w:r>
          </w:p>
        </w:tc>
        <w:tc>
          <w:tcPr>
            <w:tcW w:w="5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3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8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00" w:type="dxa"/>
            <w:vAlign w:val="bottom"/>
            <w:shd w:val="clear" w:color="auto" w:fill="CCEEFF"/>
          </w:tcPr>
          <w:p>
            <w:pPr>
              <w:spacing w:after="0"/>
              <w:rPr>
                <w:sz w:val="18"/>
                <w:szCs w:val="18"/>
                <w:color w:val="auto"/>
              </w:rPr>
            </w:pPr>
          </w:p>
        </w:tc>
      </w:tr>
      <w:tr>
        <w:trPr>
          <w:trHeight w:val="222"/>
        </w:trPr>
        <w:tc>
          <w:tcPr>
            <w:tcW w:w="7240" w:type="dxa"/>
            <w:vAlign w:val="bottom"/>
            <w:gridSpan w:val="4"/>
          </w:tcPr>
          <w:p>
            <w:pPr>
              <w:spacing w:after="0"/>
              <w:rPr>
                <w:sz w:val="20"/>
                <w:szCs w:val="20"/>
                <w:color w:val="auto"/>
              </w:rPr>
            </w:pPr>
            <w:r>
              <w:rPr>
                <w:rFonts w:ascii="Arial" w:cs="Arial" w:eastAsia="Arial" w:hAnsi="Arial"/>
                <w:sz w:val="18"/>
                <w:szCs w:val="18"/>
                <w:color w:val="auto"/>
              </w:rPr>
              <w:t>Total research and development</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1,484</w:t>
            </w:r>
          </w:p>
        </w:tc>
        <w:tc>
          <w:tcPr>
            <w:tcW w:w="1260" w:type="dxa"/>
            <w:vAlign w:val="bottom"/>
            <w:gridSpan w:val="3"/>
          </w:tcPr>
          <w:p>
            <w:pPr>
              <w:jc w:val="right"/>
              <w:ind w:right="360"/>
              <w:spacing w:after="0"/>
              <w:rPr>
                <w:sz w:val="20"/>
                <w:szCs w:val="20"/>
                <w:color w:val="auto"/>
              </w:rPr>
            </w:pPr>
            <w:r>
              <w:rPr>
                <w:rFonts w:ascii="Arial" w:cs="Arial" w:eastAsia="Arial" w:hAnsi="Arial"/>
                <w:sz w:val="18"/>
                <w:szCs w:val="18"/>
                <w:color w:val="auto"/>
              </w:rPr>
              <w:t>$ 2,040</w:t>
            </w: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3,362</w:t>
            </w:r>
          </w:p>
        </w:tc>
        <w:tc>
          <w:tcPr>
            <w:tcW w:w="8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4,664</w:t>
            </w:r>
          </w:p>
        </w:tc>
        <w:tc>
          <w:tcPr>
            <w:tcW w:w="100" w:type="dxa"/>
            <w:vAlign w:val="bottom"/>
          </w:tcPr>
          <w:p>
            <w:pPr>
              <w:spacing w:after="0"/>
              <w:rPr>
                <w:sz w:val="19"/>
                <w:szCs w:val="19"/>
                <w:color w:val="auto"/>
              </w:rPr>
            </w:pPr>
          </w:p>
        </w:tc>
      </w:tr>
      <w:tr>
        <w:trPr>
          <w:trHeight w:val="20"/>
        </w:trPr>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Since 2007 we have focused our resources on the development of our two prioritized product development programs, MN-221 for the treatment of acute exacerbations of asthma, and MN-166 for the treatment of MS. In the third quarter of 2009, we initiated an expansion of the development program for MN-221 to evaluate MN-221 for the treatment of COPD exacerbations. On March 21, 2012, we announced completion of the 176 patient enrollment of the Phase 2 MN-221-CL-007 clinical trial and on May 23, 2012, we announced preliminary trial results. In the second quarter of 2008 we completed the Phase 2 clinical trial of MN-166 for the treatment of MS. We continue to pursue discussions with potential partners, including government funding agencies, to secure a strategic collaboration. As such, we do not plan to undertake any further significant clinical development of MN-166 until such time that we secure a strategic collaboration to advance the combined ibudilast-based development program. We expect our research and development expenses to increase in connection with clinical trials primarily related to MN-221 for the treatment of acute exacerbations of asthma and COPD exacerbations, and any other development activities that it may initiate.</w:t>
      </w:r>
    </w:p>
    <w:p>
      <w:pPr>
        <w:spacing w:after="0" w:line="120"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We will continue to limit our expenditures on the remainder of our existing product candidates to only those activities deemed necessary to maintain our license rights or maximize the value of such product candidates while pursuing a variety of initiatives to monetize such product development. As a result, we expect that research and development expenses will remain low for the remainder of our existing product candidates in the foreseeable future.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w:t>
      </w:r>
    </w:p>
    <w:p>
      <w:pPr>
        <w:spacing w:after="0" w:line="96"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general and administrative expenses may increase in future periods if we are required to expand our infrastructure based on the success of our current prioritized product development programs and in raising capital to support those and other product development programs or otherwise in connection with increased business development activities related to partnering, out-licensing or product disposition.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Other expense consists of accretion related to the convertible notes, amortization of debt issuance costs paid to third parties and net foreign exchange gains and losses related to vendor invoices denominated in foreign currencies to the extent that there are differences between the exchange rate at the transaction date and the exchange rate at the invoice settlement date, or the balance sheet date if the transaction had not yet been settled.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Interest expense consists of interest charged on our long-term debt based on the effective interest method and amortization of debt discount. In the first half of 2012, we held no debt and had no interest expense.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income consists of interest earned on our cash, cash equivalents and investments.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2012 and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640" w:firstLine="456"/>
        <w:spacing w:after="0" w:line="370" w:lineRule="auto"/>
        <w:rPr>
          <w:sz w:val="20"/>
          <w:szCs w:val="20"/>
          <w:color w:val="auto"/>
        </w:rPr>
      </w:pPr>
      <w:r>
        <w:rPr>
          <w:rFonts w:ascii="Arial" w:cs="Arial" w:eastAsia="Arial" w:hAnsi="Arial"/>
          <w:sz w:val="15"/>
          <w:szCs w:val="15"/>
          <w:color w:val="auto"/>
        </w:rPr>
        <w:t>Revenue for the three months ended June 30, 2012 was $0.5 million. There was no revenue for the three months ended June 30, 2011. The revenue recorded in the second quarter of 2012 related to the development services we performed under the Kissei services agreement during that period.</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Research and development expenses for the three months ended June 30, 2012 were $1.5 million, a decrease of $0.5 million when compared to $2.0 million for the three months ended June 30, 2011. This decrease in research and development expenses primarily related to a decrease of $0.3 million in spending on our prioritized asset MN-221 for the treatment of acute exacerbations of asthma and COPD due primarily to the completion of the CL-007 clinical trial in March, 2012 and a $0.2 million decrease in stock based compensation.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General and administrative expenses for the three months ended June 30, 2012 were $1.3 million, a decrease of $0.4 million when compared to $1.7 million for the three months ended June 30, 2011. This decrease in general and administrative expenses was due primarily to a $0.5 million decrease in stock-based compensation expense, partially offset by an increase in compensation expense related to employee bonuses.</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Other expense for the three months ended June 30, 2012 was $81, as compared to approximately $31,000 for the three months ended June 30, 2011. In the second quarter of 2011, other expense primarily consisted of accretion related to convertible notes and amortization of debt issuance costs paid to third parties. We held no debt or convertible notes in the second quarter of 2012.</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ind w:right="20" w:firstLine="456"/>
        <w:spacing w:after="0" w:line="370" w:lineRule="auto"/>
        <w:rPr>
          <w:sz w:val="20"/>
          <w:szCs w:val="20"/>
          <w:color w:val="auto"/>
        </w:rPr>
      </w:pPr>
      <w:r>
        <w:rPr>
          <w:rFonts w:ascii="Arial" w:cs="Arial" w:eastAsia="Arial" w:hAnsi="Arial"/>
          <w:sz w:val="15"/>
          <w:szCs w:val="15"/>
          <w:color w:val="auto"/>
        </w:rPr>
        <w:t>Interest expense for the three months ended June 30, 2011 was $0.9 million, consisting of interest on our debt under the effective interest method and write-off of debt related costs pursuant to the early repayment of our debt with Oxford. In the second quarter of 2012, we held no debt and had no interest expense.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Other income for the three months ended June 30, 2012 was approximately $7,000, as compared to approximately $16,000 for the three months ended June 30, 2011. The decrease is due to a decrease in interest income on lower cash equivalents.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2012 and 2011</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90"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Revenue for the six months ended June 30, 2012 was $0.7 million. There was no revenue for the six months ended June 30, 2011. The revenue recorded in the first half of 2012 related to the development services we performed under the Kissei services agreement during that period.</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Research and Development</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Research and development expenses for the six months ended June 30, 2012 were $3.4 million, a decrease of $1.3 million when compared to $4.7 million for the six months ended June 30, 2011. This decrease in research and development expenses primarily related to a decrease of $2.1 million in spending on our prioritized asset MN-221 for the treatment of acute exacerbations of asthma and COPD due primarily to the completion of the CL-007 clinical trial in March 2012, and $0.2 million decrease in compensation expense related to employee bonuses, salaries and occupancy, partially offset by an increase in spending of $1.0 million for our Phase 1b/2a COPD clinical trial (MN-221–CL-012).</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 and Administrative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General and administrative expenses for the six months ended June 30, 2012 were $3.5 million, a decrease of $0.5 million when compared to $4.0 million for the six months ended June 30, 2011. This decrease in general and administrative expenses was due primarily to $0.5 million decrease in compensation expense related to employee bonuses, salaries, and severance.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Expense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Other expense for the six months ended June 30, 2012 was approximately $5,000, as compared to approximately $84,000 for the six months ended June 30, 2011. In the first half of 2011, other expense primarily consisted of accretion related to convertible notes and amortization of debt issuance costs paid to third parties. In the first half of 2012, other expense consisted of net foreign exchange losses related to vendor invoices denominated in foreign currencies. We held no debt or convertible notes in the first half of 2012.</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Expense</w:t>
      </w:r>
    </w:p>
    <w:p>
      <w:pPr>
        <w:spacing w:after="0" w:line="90" w:lineRule="exact"/>
        <w:rPr>
          <w:sz w:val="20"/>
          <w:szCs w:val="20"/>
          <w:color w:val="auto"/>
        </w:rPr>
      </w:pPr>
    </w:p>
    <w:p>
      <w:pPr>
        <w:jc w:val="both"/>
        <w:ind w:right="400" w:firstLine="456"/>
        <w:spacing w:after="0" w:line="370" w:lineRule="auto"/>
        <w:rPr>
          <w:sz w:val="20"/>
          <w:szCs w:val="20"/>
          <w:color w:val="auto"/>
        </w:rPr>
      </w:pPr>
      <w:r>
        <w:rPr>
          <w:rFonts w:ascii="Arial" w:cs="Arial" w:eastAsia="Arial" w:hAnsi="Arial"/>
          <w:sz w:val="15"/>
          <w:szCs w:val="15"/>
          <w:color w:val="auto"/>
        </w:rPr>
        <w:t>Interest expense for the six months ended June 30, 2011 was $1.6 million and consisted of interest on our debt under the effective interest method and write-off of debt related costs pursuant to the early repayment of our debt with Oxford. In the first half of 2012, we held no debt and had no interest expense.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Income</w:t>
      </w:r>
    </w:p>
    <w:p>
      <w:pPr>
        <w:spacing w:after="0" w:line="9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Other income for the six months ended June 30, 2012 was approximately $18,000, as compared to approximately $42,000 for the six months ended June 30, 2011. The decrease is due to a decrease in interest income on lower cash equivalents.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incurred losses of $2.3 million and $6.1 million for the three and six months ended June 30, 2012, and we have incurred losses of $17.7 million, $20.2 million and $20.4 million for the years ended December 31, 2011, 2010, and 2009, respectively. We have an accumulated deficit of $291.4 million as of June 30, 2012. Additionally, we have used net cash of $7.3 million, $13.3 million, $17.7 million and $17.0 million to fund our operating activities for the six months ended June 30, 2012 and for the years ended December 31, 2011, 2010, and 2009, respectively</w:t>
      </w:r>
      <w:r>
        <w:rPr>
          <w:rFonts w:ascii="Arial" w:cs="Arial" w:eastAsia="Arial" w:hAnsi="Arial"/>
          <w:sz w:val="16"/>
          <w:szCs w:val="16"/>
          <w:b w:val="1"/>
          <w:bCs w:val="1"/>
          <w:color w:val="auto"/>
        </w:rPr>
        <w:t>.</w:t>
      </w:r>
      <w:r>
        <w:rPr>
          <w:rFonts w:ascii="Arial" w:cs="Arial" w:eastAsia="Arial" w:hAnsi="Arial"/>
          <w:sz w:val="16"/>
          <w:szCs w:val="16"/>
          <w:color w:val="auto"/>
        </w:rPr>
        <w:t xml:space="preserve"> Our operating losses to date have been funded primarily through the private placement of our equity securities, the public sale of our common stock, long-term debt, development agreements with partners and the exercise of founders’ warrants, net of treasury stock repurchases.</w:t>
      </w:r>
    </w:p>
    <w:p>
      <w:pPr>
        <w:spacing w:after="0" w:line="120"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On March 23, 2011, we announced a firm-commitment underwritten public offering of 2,750,000 units at a price to the public of $3.00 per unit for gross proceeds of $8.25 million. Each unit consists of one share of common stock, and a warrant to purchase one share of common stock. The shares of common stock and warrants are immediately separable and were issued separately. On March 24, 2011, the underwriter exercised 50,666 units of its 412,500 unit overallotment.</w:t>
      </w:r>
    </w:p>
    <w:p>
      <w:pPr>
        <w:spacing w:after="0" w:line="8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October 2011, pursuant to a stock purchase agreement by and between us and Kissei, Kissei purchased (i) an aggregate of 800,000 shares of our common stock, par value $0.001 per share, at a price of $2.50 per share, and (ii) 220,000 shares of our Series B Convertible Preferred Stock, par value $0.01 per share, at a price of $25.00 per share. In October we received gross proceeds of $7.5 million related to this purchase agreement.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October 2011, we entered into an agreement with Kissei to perform research and development services relating to MN-221 in exchange for a non-refundable upfront payment of $2.5 million. We are responsible for all costs incurred in the performance of these services which are expected to be completed in 2012 and 2013. We assessed the deliverables in accordance with the authoritative guidance and concluded the existence of one deliverable, which was research and development services. As such, we will recognize as revenue the $2.5 million payment as the research and development services are performed. In the three and six months ended June 30, 2012 we recorded revenue relating to this agreement of $0.5 million and $ 0.7 million, respectively. The amount received from Kissei net of the amount recorded as revenue is included on the balance sheet at June 30, 2012 as deferred revenue.</w:t>
      </w:r>
    </w:p>
    <w:p>
      <w:pPr>
        <w:spacing w:after="0" w:line="12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current cash and cash equivalents are our principal sources of liquidity. We expect to utilize our cash and cash equivalents to fund our operations, including research and development of our product development candidates and clinical trials. It is our belief that we will have sufficient cash to fund our operations through at least March 31, 2013, assuming that we operate our business in accordance with our current operating plan and do not commence any new clinical trials. This belief is based on assumptions that could prove to be wrong, and we could utilize our available capital resources sooner than we currently expect. We have had, and will continue to have, an ongoing need to raise additional cash from outside sources to fund our operations including the activities required to bring future products to market. We have an established history of raising capital through equity and debt and management plans to continue financing operations with equity issuances, debt arrangements, or a combination thereof. If adequate funds are not available, we might be required to delay, reduce the scope of or terminate one or more of our product development programs and/or implement other operating cost reductions, any of which could result in the termination of license rights related to any of our product candidates.</w:t>
      </w:r>
    </w:p>
    <w:p>
      <w:pPr>
        <w:spacing w:after="0" w:line="12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Because of the numerous risks and uncertainties associated with development and commercialization of our products, we are unable to estimate the exact amount of our working capital requirements. Our future funding requirements will depend on many factors, including, but not limited to:</w:t>
      </w:r>
    </w:p>
    <w:p>
      <w:pPr>
        <w:spacing w:after="0" w:line="4"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progress in, and the costs of, future planned clinical trials and other research and development activities;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scope, prioritization and number of our product development programs;</w:t>
      </w:r>
    </w:p>
    <w:p>
      <w:pPr>
        <w:spacing w:after="0" w:line="90"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obligations under our license agreements, pursuant to which we may be required to make future milestone payments upon the achievement of various milestones related to clinical, regulatory or commercial events;</w:t>
      </w:r>
    </w:p>
    <w:p>
      <w:pPr>
        <w:spacing w:after="0" w:line="5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establish and maintain strategic collaborations, including licensing and other arrangements, and to complete acquisitions of additional product candidates;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securing manufacturing arrangements for clinical or commercial production of our product candidates;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expanding our management, personnel, systems and facilities;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any litigation;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the operations or wind-down of any business we may acquire;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involved in filing, prosecuting, enforcing and defending patent claims and other intellectual property rights; and</w:t>
      </w:r>
    </w:p>
    <w:p>
      <w:pPr>
        <w:spacing w:after="0" w:line="9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establishing or contracting for sales and marketing capabilities and commercialization activities if we obtain regulatory approval to market our product candidates.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Cash and cash equivalents as of June 30, 2012 were $7.3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2012.</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43"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LEGAL PROCEEDINGS.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March 3, 2011, we received a letter in which certain allegations were made from a former employee who had been terminated in January 2011 pursuant to a planned reduction-in-force. On July 8, 2011, the former employee filed a lawsuit in the Superior Court of the State of California, County of San Diego, asserting certain claims related to the Company’s work environment and the employee’s termination, and on December 12, 2011, the court granted our motion to compel arbitration. Discovery is currently ongoing and an arbitration date has not yet been scheduled. We have engaged legal counsel in this matter. Based on our current assessment, we do not expect its outcome to have a material adverse effect on our business, financial condition and results of operations.</w:t>
      </w:r>
    </w:p>
    <w:p>
      <w:pPr>
        <w:spacing w:after="0" w:line="116"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may become involved in various disputes and legal proceedings which arise in the ordinary course of business. While it is not possible to accurately predict or determine the outcome of these matters, an adverse result in any of these matters may occur which could harm our business.</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2011,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2011 other than the addition of the following risk factor:</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unsuccessful with our End-of-Phase 2 meeting with the FDA pertaining to the development of MN-221 for the treatment of acute exacerbations of asthma, we may be unable to develop and commercialize this product candidate.</w:t>
      </w:r>
    </w:p>
    <w:p>
      <w:pPr>
        <w:spacing w:after="0" w:line="5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May 23, 2012 we announced that preliminary trial results of the 176 patient enrollment of the Phase 2 MN-221-CL-007 clinical trial did not statistically meet the primary endpoint, improvement in FEV1 (Forced Expiratory Volume in One Second) compared to placebo. However, given the positive MN-221 efficacy and safety data displayed in this trial and other clinical trials of MN-221, we have scheduled an End-of-Phase 2 meeting with the FDA pertaining to the development of MN-221 for the treatment of acute exacerbations of asthma. An unsuccessful End-of-Phase 2 meeting with the FDA could significantly delay or materially and adversely impact our future development of MN-221, including the development and costs and timing for future trials and/or materially and adversely impact our ability to raise the capital necessary to advance development and fund our ongoing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3"/>
          </w:tcPr>
          <w:p>
            <w:pPr>
              <w:ind w:left="200"/>
              <w:spacing w:after="0"/>
              <w:rPr>
                <w:sz w:val="20"/>
                <w:szCs w:val="20"/>
                <w:color w:val="auto"/>
              </w:rPr>
            </w:pPr>
            <w:r>
              <w:rPr>
                <w:rFonts w:ascii="Arial" w:cs="Arial" w:eastAsia="Arial" w:hAnsi="Arial"/>
                <w:sz w:val="18"/>
                <w:szCs w:val="18"/>
                <w:b w:val="1"/>
                <w:bCs w:val="1"/>
                <w:color w:val="auto"/>
              </w:rPr>
              <w:t>EXHIBITS.</w:t>
            </w:r>
          </w:p>
        </w:tc>
      </w:tr>
      <w:tr>
        <w:trPr>
          <w:trHeight w:val="340"/>
        </w:trPr>
        <w:tc>
          <w:tcPr>
            <w:tcW w:w="60" w:type="dxa"/>
            <w:vAlign w:val="bottom"/>
          </w:tcPr>
          <w:p>
            <w:pPr>
              <w:spacing w:after="0"/>
              <w:rPr>
                <w:sz w:val="24"/>
                <w:szCs w:val="2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Exhibit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60" w:type="dxa"/>
            <w:vAlign w:val="bottom"/>
          </w:tcPr>
          <w:p>
            <w:pPr>
              <w:spacing w:after="0"/>
              <w:rPr>
                <w:sz w:val="24"/>
                <w:szCs w:val="24"/>
                <w:color w:val="auto"/>
              </w:rPr>
            </w:pPr>
          </w:p>
        </w:tc>
      </w:tr>
      <w:tr>
        <w:trPr>
          <w:trHeight w:val="161"/>
        </w:trPr>
        <w:tc>
          <w:tcPr>
            <w:tcW w:w="6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10380" w:type="dxa"/>
            <w:vAlign w:val="bottom"/>
            <w:gridSpan w:val="3"/>
          </w:tcPr>
          <w:p>
            <w:pPr>
              <w:ind w:left="4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2.1(3)</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7"/>
              </w:rPr>
              <w:t>Agreement</w:t>
            </w:r>
          </w:p>
        </w:tc>
        <w:tc>
          <w:tcPr>
            <w:tcW w:w="9260" w:type="dxa"/>
            <w:vAlign w:val="bottom"/>
          </w:tcPr>
          <w:p>
            <w:pPr>
              <w:ind w:left="120"/>
              <w:spacing w:after="0" w:line="201" w:lineRule="exact"/>
              <w:rPr>
                <w:sz w:val="20"/>
                <w:szCs w:val="20"/>
                <w:color w:val="auto"/>
              </w:rPr>
            </w:pPr>
            <w:r>
              <w:rPr>
                <w:rFonts w:ascii="Arial" w:cs="Arial" w:eastAsia="Arial" w:hAnsi="Arial"/>
                <w:sz w:val="18"/>
                <w:szCs w:val="18"/>
                <w:color w:val="auto"/>
                <w:w w:val="90"/>
              </w:rPr>
              <w:t>and Plan of Merger dated as of August 20, 2009 by and among Registrant, Absolute Merger, Inc. and Avigen, Inc. (attached as</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Annex A to the joint proxy statement/prospectus).</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4"/>
                <w:szCs w:val="24"/>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Restated Certificate of Incorporation of the Registrant, as amended.</w:t>
            </w:r>
          </w:p>
        </w:tc>
      </w:tr>
      <w:tr>
        <w:trPr>
          <w:trHeight w:val="324"/>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3.2(1)</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Amended and Restated Bylaws of the Registrant.</w:t>
            </w:r>
          </w:p>
        </w:tc>
      </w:tr>
      <w:tr>
        <w:trPr>
          <w:trHeight w:val="324"/>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3.3(5)</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r>
      <w:tr>
        <w:trPr>
          <w:trHeight w:val="324"/>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4.1(2)</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Specimen of Common Stock Certificate.</w:t>
            </w:r>
          </w:p>
        </w:tc>
      </w:tr>
      <w:tr>
        <w:trPr>
          <w:trHeight w:val="318"/>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4.2(1)</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90"/>
              </w:rPr>
              <w:t>Amended and Restated Registration Rights Agreement by and among the Registrant, its founders and the investors named therein, dated</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September 2, 2004.</w:t>
            </w:r>
          </w:p>
        </w:tc>
      </w:tr>
      <w:tr>
        <w:trPr>
          <w:trHeight w:val="318"/>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4.3(3)</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88"/>
              </w:rPr>
              <w:t>Form of Indenture by and between Registrant and American Stock Transfer and Trust Company, LLC (attached as Annex C to the joint proxy</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statement/prospectus).</w:t>
            </w:r>
          </w:p>
        </w:tc>
      </w:tr>
      <w:tr>
        <w:trPr>
          <w:trHeight w:val="324"/>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4.4(3)</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Form of Convertible Note (included in Exhibit 4.3).</w:t>
            </w:r>
          </w:p>
        </w:tc>
      </w:tr>
      <w:tr>
        <w:trPr>
          <w:trHeight w:val="324"/>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4.5(4)</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Warrant dated May 10, 2010 issued to Oxford Finance Corporation.</w:t>
            </w:r>
          </w:p>
        </w:tc>
      </w:tr>
      <w:tr>
        <w:trPr>
          <w:trHeight w:val="324"/>
        </w:trPr>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4.6(6)</w:t>
            </w: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31.1</w:t>
            </w:r>
          </w:p>
        </w:tc>
        <w:tc>
          <w:tcPr>
            <w:tcW w:w="280" w:type="dxa"/>
            <w:vAlign w:val="bottom"/>
          </w:tcPr>
          <w:p>
            <w:pPr>
              <w:spacing w:after="0"/>
              <w:rPr>
                <w:sz w:val="24"/>
                <w:szCs w:val="24"/>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89"/>
              </w:rPr>
              <w:t>Certification of the Chief Executive Officer pursuant to Section 302 of the Sarbanes-Oxley Act of 2002 for the period ended March 31, 2012.</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24"/>
                <w:szCs w:val="24"/>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w w:val="90"/>
              </w:rPr>
              <w:t>Certification of the Chief Financial Officer pursuant to Section 302 of the Sarbanes-Oxley Act of 2002 for the period ended March 31, 2012.</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32.1</w:t>
            </w:r>
          </w:p>
        </w:tc>
        <w:tc>
          <w:tcPr>
            <w:tcW w:w="280" w:type="dxa"/>
            <w:vAlign w:val="bottom"/>
          </w:tcPr>
          <w:p>
            <w:pPr>
              <w:spacing w:after="0"/>
              <w:rPr>
                <w:sz w:val="24"/>
                <w:szCs w:val="24"/>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32.2</w:t>
            </w:r>
          </w:p>
        </w:tc>
        <w:tc>
          <w:tcPr>
            <w:tcW w:w="280" w:type="dxa"/>
            <w:vAlign w:val="bottom"/>
          </w:tcPr>
          <w:p>
            <w:pPr>
              <w:spacing w:after="0"/>
              <w:rPr>
                <w:sz w:val="24"/>
                <w:szCs w:val="24"/>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24"/>
        </w:trPr>
        <w:tc>
          <w:tcPr>
            <w:tcW w:w="560" w:type="dxa"/>
            <w:vAlign w:val="bottom"/>
            <w:gridSpan w:val="2"/>
          </w:tcPr>
          <w:p>
            <w:pPr>
              <w:jc w:val="right"/>
              <w:ind w:right="6"/>
              <w:spacing w:after="0"/>
              <w:rPr>
                <w:sz w:val="20"/>
                <w:szCs w:val="20"/>
                <w:color w:val="auto"/>
              </w:rPr>
            </w:pPr>
            <w:r>
              <w:rPr>
                <w:rFonts w:ascii="Arial" w:cs="Arial" w:eastAsia="Arial" w:hAnsi="Arial"/>
                <w:sz w:val="18"/>
                <w:szCs w:val="18"/>
                <w:color w:val="auto"/>
                <w:w w:val="93"/>
              </w:rPr>
              <w:t>101(*)</w:t>
            </w:r>
          </w:p>
        </w:tc>
        <w:tc>
          <w:tcPr>
            <w:tcW w:w="280" w:type="dxa"/>
            <w:vAlign w:val="bottom"/>
          </w:tcPr>
          <w:p>
            <w:pPr>
              <w:spacing w:after="0"/>
              <w:rPr>
                <w:sz w:val="24"/>
                <w:szCs w:val="24"/>
                <w:color w:val="auto"/>
              </w:rPr>
            </w:pPr>
          </w:p>
        </w:tc>
        <w:tc>
          <w:tcPr>
            <w:tcW w:w="10380" w:type="dxa"/>
            <w:vAlign w:val="bottom"/>
            <w:gridSpan w:val="3"/>
          </w:tcPr>
          <w:p>
            <w:pPr>
              <w:ind w:left="420"/>
              <w:spacing w:after="0"/>
              <w:rPr>
                <w:sz w:val="20"/>
                <w:szCs w:val="20"/>
                <w:color w:val="auto"/>
              </w:rPr>
            </w:pPr>
            <w:r>
              <w:rPr>
                <w:rFonts w:ascii="Arial" w:cs="Arial" w:eastAsia="Arial" w:hAnsi="Arial"/>
                <w:sz w:val="18"/>
                <w:szCs w:val="18"/>
                <w:color w:val="auto"/>
              </w:rPr>
              <w:t>The following financial statements from the MediciNova, Inc. Quarterly Report on Form 10-Q for the quarter</w:t>
            </w:r>
          </w:p>
        </w:tc>
      </w:tr>
    </w:tbl>
    <w:p>
      <w:pPr>
        <w:spacing w:after="0" w:line="142" w:lineRule="exact"/>
        <w:rPr>
          <w:sz w:val="20"/>
          <w:szCs w:val="20"/>
          <w:color w:val="auto"/>
        </w:rPr>
      </w:pPr>
    </w:p>
    <w:p>
      <w:pPr>
        <w:sectPr>
          <w:pgSz w:w="11900" w:h="16838" w:orient="portrait"/>
          <w:cols w:equalWidth="0" w:num="1">
            <w:col w:w="11400"/>
          </w:cols>
          <w:pgMar w:left="240" w:top="459" w:right="259" w:bottom="1440" w:gutter="0" w:footer="0" w:header="0"/>
        </w:sectPr>
      </w:pPr>
    </w:p>
    <w:p>
      <w:pPr>
        <w:jc w:val="center"/>
        <w:ind w:right="-19"/>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00"/>
          </w:cols>
          <w:pgMar w:left="240" w:top="459" w:right="25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jc w:val="both"/>
        <w:ind w:left="1380" w:right="420"/>
        <w:spacing w:after="0" w:line="254" w:lineRule="auto"/>
        <w:rPr>
          <w:sz w:val="20"/>
          <w:szCs w:val="20"/>
          <w:color w:val="auto"/>
        </w:rPr>
      </w:pPr>
      <w:r>
        <w:rPr>
          <w:rFonts w:ascii="Arial" w:cs="Arial" w:eastAsia="Arial" w:hAnsi="Arial"/>
          <w:sz w:val="18"/>
          <w:szCs w:val="18"/>
          <w:color w:val="auto"/>
        </w:rPr>
        <w:t>ended June 30, 2012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sz w:val="20"/>
          <w:szCs w:val="20"/>
          <w:color w:val="auto"/>
        </w:rPr>
      </w:pPr>
    </w:p>
    <w:p>
      <w:pPr>
        <w:ind w:left="460" w:hanging="452"/>
        <w:spacing w:after="0" w:line="255"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20"/>
          </w:cols>
          <w:pgMar w:left="240" w:top="459" w:right="3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b w:val="1"/>
          <w:bCs w:val="1"/>
          <w:color w:val="auto"/>
        </w:rPr>
        <w:t>MEDICINOVA, INC.</w:t>
      </w:r>
    </w:p>
    <w:p>
      <w:pPr>
        <w:spacing w:after="0" w:line="231" w:lineRule="exact"/>
        <w:rPr>
          <w:sz w:val="20"/>
          <w:szCs w:val="20"/>
          <w:color w:val="auto"/>
        </w:rPr>
      </w:pPr>
    </w:p>
    <w:p>
      <w:pPr>
        <w:spacing w:after="0"/>
        <w:tabs>
          <w:tab w:leader="none" w:pos="5480" w:val="left"/>
          <w:tab w:leader="none" w:pos="8040" w:val="left"/>
          <w:tab w:leader="none" w:pos="8380" w:val="left"/>
        </w:tabs>
        <w:rPr>
          <w:sz w:val="20"/>
          <w:szCs w:val="20"/>
          <w:color w:val="auto"/>
        </w:rPr>
      </w:pPr>
      <w:r>
        <w:rPr>
          <w:rFonts w:ascii="Arial" w:cs="Arial" w:eastAsia="Arial" w:hAnsi="Arial"/>
          <w:sz w:val="18"/>
          <w:szCs w:val="18"/>
          <w:color w:val="auto"/>
        </w:rPr>
        <w:t>Date: August 9,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10795</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3" w:lineRule="exact"/>
        <w:rPr>
          <w:sz w:val="20"/>
          <w:szCs w:val="20"/>
          <w:color w:val="auto"/>
        </w:rPr>
      </w:pPr>
    </w:p>
    <w:p>
      <w:pPr>
        <w:jc w:val="center"/>
        <w:ind w:left="6060"/>
        <w:spacing w:after="0"/>
        <w:rPr>
          <w:sz w:val="20"/>
          <w:szCs w:val="20"/>
          <w:color w:val="auto"/>
        </w:rPr>
      </w:pPr>
      <w:r>
        <w:rPr>
          <w:rFonts w:ascii="Arial" w:cs="Arial" w:eastAsia="Arial" w:hAnsi="Arial"/>
          <w:sz w:val="14"/>
          <w:szCs w:val="14"/>
          <w:b w:val="1"/>
          <w:bCs w:val="1"/>
          <w:color w:val="auto"/>
        </w:rPr>
        <w:t>Yuichi Iwaki, M.D., Ph.D.</w:t>
      </w:r>
    </w:p>
    <w:p>
      <w:pPr>
        <w:jc w:val="center"/>
        <w:ind w:left="60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060"/>
        <w:spacing w:after="0" w:line="221" w:lineRule="auto"/>
        <w:rPr>
          <w:sz w:val="20"/>
          <w:szCs w:val="20"/>
          <w:color w:val="auto"/>
        </w:rPr>
      </w:pPr>
      <w:r>
        <w:rPr>
          <w:rFonts w:ascii="Arial" w:cs="Arial" w:eastAsia="Arial" w:hAnsi="Arial"/>
          <w:sz w:val="14"/>
          <w:szCs w:val="14"/>
          <w:b w:val="1"/>
          <w:bCs w:val="1"/>
          <w:color w:val="auto"/>
        </w:rPr>
        <w:t>(on behalf of the registrant and</w:t>
      </w:r>
    </w:p>
    <w:p>
      <w:pPr>
        <w:jc w:val="center"/>
        <w:ind w:left="6060"/>
        <w:spacing w:after="0"/>
        <w:rPr>
          <w:sz w:val="20"/>
          <w:szCs w:val="20"/>
          <w:color w:val="auto"/>
        </w:rPr>
      </w:pPr>
      <w:r>
        <w:rPr>
          <w:rFonts w:ascii="Arial" w:cs="Arial" w:eastAsia="Arial" w:hAnsi="Arial"/>
          <w:sz w:val="14"/>
          <w:szCs w:val="14"/>
          <w:b w:val="1"/>
          <w:bCs w:val="1"/>
          <w:color w:val="auto"/>
        </w:rPr>
        <w:t>as the registrant’s Principal Executive Officer)</w:t>
      </w:r>
    </w:p>
    <w:p>
      <w:pPr>
        <w:sectPr>
          <w:pgSz w:w="11900" w:h="16838" w:orient="portrait"/>
          <w:cols w:equalWidth="0" w:num="1">
            <w:col w:w="10780"/>
          </w:cols>
          <w:pgMar w:left="240" w:top="459" w:right="879" w:bottom="1440" w:gutter="0" w:footer="0" w:header="0"/>
        </w:sectPr>
      </w:pPr>
    </w:p>
    <w:p>
      <w:pPr>
        <w:spacing w:after="0" w:line="23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ind w:right="8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jc w:val="center"/>
        <w:ind w:right="700"/>
        <w:spacing w:after="0"/>
        <w:tabs>
          <w:tab w:leader="none" w:pos="160" w:val="left"/>
        </w:tabs>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-851535</wp:posOffset>
            </wp:positionH>
            <wp:positionV relativeFrom="paragraph">
              <wp:posOffset>10795</wp:posOffset>
            </wp:positionV>
            <wp:extent cx="3404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2" w:lineRule="exact"/>
        <w:rPr>
          <w:sz w:val="20"/>
          <w:szCs w:val="20"/>
          <w:color w:val="auto"/>
        </w:rPr>
      </w:pPr>
    </w:p>
    <w:p>
      <w:pPr>
        <w:jc w:val="center"/>
        <w:ind w:right="720"/>
        <w:spacing w:after="0"/>
        <w:rPr>
          <w:sz w:val="20"/>
          <w:szCs w:val="20"/>
          <w:color w:val="auto"/>
        </w:rPr>
      </w:pPr>
      <w:r>
        <w:rPr>
          <w:rFonts w:ascii="Arial" w:cs="Arial" w:eastAsia="Arial" w:hAnsi="Arial"/>
          <w:sz w:val="14"/>
          <w:szCs w:val="14"/>
          <w:b w:val="1"/>
          <w:bCs w:val="1"/>
          <w:color w:val="auto"/>
        </w:rPr>
        <w:t>Michael Gennaro</w:t>
      </w:r>
    </w:p>
    <w:p>
      <w:pPr>
        <w:jc w:val="center"/>
        <w:ind w:right="72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right="720"/>
        <w:spacing w:after="0" w:line="222" w:lineRule="auto"/>
        <w:rPr>
          <w:sz w:val="20"/>
          <w:szCs w:val="20"/>
          <w:color w:val="auto"/>
        </w:rPr>
      </w:pPr>
      <w:r>
        <w:rPr>
          <w:rFonts w:ascii="Arial" w:cs="Arial" w:eastAsia="Arial" w:hAnsi="Arial"/>
          <w:sz w:val="14"/>
          <w:szCs w:val="14"/>
          <w:b w:val="1"/>
          <w:bCs w:val="1"/>
          <w:color w:val="auto"/>
        </w:rPr>
        <w:t>(on behalf of the registrant and</w:t>
      </w:r>
    </w:p>
    <w:p>
      <w:pPr>
        <w:jc w:val="center"/>
        <w:ind w:right="720"/>
        <w:spacing w:after="0"/>
        <w:rPr>
          <w:sz w:val="20"/>
          <w:szCs w:val="20"/>
          <w:color w:val="auto"/>
        </w:rPr>
      </w:pPr>
      <w:r>
        <w:rPr>
          <w:rFonts w:ascii="Arial" w:cs="Arial" w:eastAsia="Arial" w:hAnsi="Arial"/>
          <w:sz w:val="12"/>
          <w:szCs w:val="12"/>
          <w:b w:val="1"/>
          <w:bCs w:val="1"/>
          <w:color w:val="auto"/>
        </w:rPr>
        <w:t>as the registrant’s Principal Financial Officer)</w:t>
      </w:r>
    </w:p>
    <w:p>
      <w:pPr>
        <w:sectPr>
          <w:pgSz w:w="11900" w:h="16838" w:orient="portrait"/>
          <w:cols w:equalWidth="0" w:num="2">
            <w:col w:w="6680" w:space="720"/>
            <w:col w:w="3380"/>
          </w:cols>
          <w:pgMar w:left="240" w:top="459" w:right="8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0" w:type="dxa"/>
            <w:vAlign w:val="bottom"/>
          </w:tcPr>
          <w:p>
            <w:pPr>
              <w:ind w:left="2880"/>
              <w:spacing w:after="0"/>
              <w:rPr>
                <w:sz w:val="20"/>
                <w:szCs w:val="20"/>
                <w:color w:val="auto"/>
              </w:rPr>
            </w:pPr>
            <w:r>
              <w:rPr>
                <w:rFonts w:ascii="Arial" w:cs="Arial" w:eastAsia="Arial" w:hAnsi="Arial"/>
                <w:sz w:val="18"/>
                <w:szCs w:val="18"/>
                <w:b w:val="1"/>
                <w:bCs w:val="1"/>
                <w:color w:val="auto"/>
              </w:rPr>
              <w:t>INDEX TO EXHIBITS</w:t>
            </w:r>
          </w:p>
        </w:tc>
      </w:tr>
      <w:tr>
        <w:trPr>
          <w:trHeight w:val="340"/>
        </w:trPr>
        <w:tc>
          <w:tcPr>
            <w:tcW w:w="60" w:type="dxa"/>
            <w:vAlign w:val="bottom"/>
          </w:tcPr>
          <w:p>
            <w:pPr>
              <w:spacing w:after="0"/>
              <w:rPr>
                <w:sz w:val="24"/>
                <w:szCs w:val="2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Exhibit</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0" w:type="dxa"/>
            <w:vAlign w:val="bottom"/>
          </w:tcPr>
          <w:p>
            <w:pPr>
              <w:spacing w:after="0"/>
              <w:rPr>
                <w:sz w:val="24"/>
                <w:szCs w:val="24"/>
                <w:color w:val="auto"/>
              </w:rPr>
            </w:pPr>
          </w:p>
        </w:tc>
      </w:tr>
      <w:tr>
        <w:trPr>
          <w:trHeight w:val="161"/>
        </w:trPr>
        <w:tc>
          <w:tcPr>
            <w:tcW w:w="6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Number</w:t>
            </w:r>
          </w:p>
        </w:tc>
        <w:tc>
          <w:tcPr>
            <w:tcW w:w="10420" w:type="dxa"/>
            <w:vAlign w:val="bottom"/>
            <w:gridSpan w:val="3"/>
          </w:tcPr>
          <w:p>
            <w:pPr>
              <w:ind w:left="320"/>
              <w:spacing w:after="0"/>
              <w:rPr>
                <w:sz w:val="20"/>
                <w:szCs w:val="20"/>
                <w:color w:val="auto"/>
              </w:rPr>
            </w:pPr>
            <w:r>
              <w:rPr>
                <w:rFonts w:ascii="Arial" w:cs="Arial" w:eastAsia="Arial" w:hAnsi="Arial"/>
                <w:sz w:val="14"/>
                <w:szCs w:val="14"/>
                <w:b w:val="1"/>
                <w:bCs w:val="1"/>
                <w:color w:val="auto"/>
              </w:rPr>
              <w:t>Description</w:t>
            </w:r>
          </w:p>
        </w:tc>
      </w:tr>
      <w:tr>
        <w:trPr>
          <w:trHeight w:val="201"/>
        </w:trPr>
        <w:tc>
          <w:tcPr>
            <w:tcW w:w="60" w:type="dxa"/>
            <w:vAlign w:val="bottom"/>
          </w:tcPr>
          <w:p>
            <w:pPr>
              <w:spacing w:after="0"/>
              <w:rPr>
                <w:sz w:val="17"/>
                <w:szCs w:val="17"/>
                <w:color w:val="auto"/>
              </w:rPr>
            </w:pPr>
          </w:p>
        </w:tc>
        <w:tc>
          <w:tcPr>
            <w:tcW w:w="5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2.1(3)</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7"/>
              </w:rPr>
              <w:t>Agreement</w:t>
            </w:r>
          </w:p>
        </w:tc>
        <w:tc>
          <w:tcPr>
            <w:tcW w:w="9400" w:type="dxa"/>
            <w:vAlign w:val="bottom"/>
          </w:tcPr>
          <w:p>
            <w:pPr>
              <w:ind w:left="120"/>
              <w:spacing w:after="0" w:line="201" w:lineRule="exact"/>
              <w:rPr>
                <w:sz w:val="20"/>
                <w:szCs w:val="20"/>
                <w:color w:val="auto"/>
              </w:rPr>
            </w:pPr>
            <w:r>
              <w:rPr>
                <w:rFonts w:ascii="Arial" w:cs="Arial" w:eastAsia="Arial" w:hAnsi="Arial"/>
                <w:sz w:val="18"/>
                <w:szCs w:val="18"/>
                <w:color w:val="auto"/>
                <w:w w:val="91"/>
              </w:rPr>
              <w:t>and Plan of Merger dated as of August 20, 2009 by and among Registrant, Absolute Merger, Inc. and Avigen, Inc. (attached as</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Annex A to the joint proxy statement/prospectus).</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the Registrant, as amended.</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3.2(1)</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the Registrant.</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3.3(5)</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Certificate of Designation, Preferences and Rights of the Series B Convertible Preferred Stock.</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4.1(2)</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Specimen of Common Stock Certificate.</w:t>
            </w:r>
          </w:p>
        </w:tc>
      </w:tr>
      <w:tr>
        <w:trPr>
          <w:trHeight w:val="318"/>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4.2(1)</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2"/>
              </w:rPr>
              <w:t>Amended and Restated Registration Rights Agreement by and among the Registrant, its founders and the investors named therein, dated</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September 2, 2004.</w:t>
            </w:r>
          </w:p>
        </w:tc>
      </w:tr>
      <w:tr>
        <w:trPr>
          <w:trHeight w:val="318"/>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4.3(3)</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89"/>
              </w:rPr>
              <w:t>Form of Indenture by and between Registrant and American Stock Transfer and Trust Company, LLC (attached as Annex C to the joint proxy</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statement/prospectus).</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4.4(3)</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Form of Convertible Note (included in Exhibit 4.3).</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4.5(4)</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Warrant dated May 10, 2010 issued to Oxford Finance Corporation.</w:t>
            </w:r>
          </w:p>
        </w:tc>
      </w:tr>
      <w:tr>
        <w:trPr>
          <w:trHeight w:val="324"/>
        </w:trPr>
        <w:tc>
          <w:tcPr>
            <w:tcW w:w="940" w:type="dxa"/>
            <w:vAlign w:val="bottom"/>
            <w:gridSpan w:val="3"/>
          </w:tcPr>
          <w:p>
            <w:pPr>
              <w:jc w:val="right"/>
              <w:ind w:right="340"/>
              <w:spacing w:after="0"/>
              <w:rPr>
                <w:sz w:val="20"/>
                <w:szCs w:val="20"/>
                <w:color w:val="auto"/>
              </w:rPr>
            </w:pPr>
            <w:r>
              <w:rPr>
                <w:rFonts w:ascii="Arial" w:cs="Arial" w:eastAsia="Arial" w:hAnsi="Arial"/>
                <w:sz w:val="18"/>
                <w:szCs w:val="18"/>
                <w:color w:val="auto"/>
              </w:rPr>
              <w:t>4.6(6)</w:t>
            </w: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Form of Warrant to Purchase Common Stock.</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31.1</w:t>
            </w:r>
          </w:p>
        </w:tc>
        <w:tc>
          <w:tcPr>
            <w:tcW w:w="38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0"/>
              </w:rPr>
              <w:t>Certification of the Chief Executive Officer pursuant to Section 302 of the Sarbanes-Oxley Act of 2002 for the period ended March 31, 2012.</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31.2</w:t>
            </w:r>
          </w:p>
        </w:tc>
        <w:tc>
          <w:tcPr>
            <w:tcW w:w="38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1"/>
              </w:rPr>
              <w:t>Certification of the Chief Financial Officer pursuant to Section 302 of the Sarbanes-Oxley Act of 2002 for the period ended March 31, 2012.</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32.1</w:t>
            </w:r>
          </w:p>
        </w:tc>
        <w:tc>
          <w:tcPr>
            <w:tcW w:w="38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Executive Officer pursuant to 18 U.S.C. Section 1350 (Section 906 of the Sarbanes-Oxley Act of 2002).</w:t>
            </w:r>
          </w:p>
        </w:tc>
      </w:tr>
      <w:tr>
        <w:trPr>
          <w:trHeight w:val="324"/>
        </w:trPr>
        <w:tc>
          <w:tcPr>
            <w:tcW w:w="560" w:type="dxa"/>
            <w:vAlign w:val="bottom"/>
            <w:gridSpan w:val="2"/>
          </w:tcPr>
          <w:p>
            <w:pPr>
              <w:jc w:val="right"/>
              <w:ind w:right="86"/>
              <w:spacing w:after="0"/>
              <w:rPr>
                <w:sz w:val="20"/>
                <w:szCs w:val="20"/>
                <w:color w:val="auto"/>
              </w:rPr>
            </w:pPr>
            <w:r>
              <w:rPr>
                <w:rFonts w:ascii="Arial" w:cs="Arial" w:eastAsia="Arial" w:hAnsi="Arial"/>
                <w:sz w:val="18"/>
                <w:szCs w:val="18"/>
                <w:color w:val="auto"/>
              </w:rPr>
              <w:t>32.2</w:t>
            </w:r>
          </w:p>
        </w:tc>
        <w:tc>
          <w:tcPr>
            <w:tcW w:w="38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Certification of Chief Financial Officer pursuant to 18 U.S.C. Section 1350 (Section 906 of the Sarbanes-Oxley Act of 2002).</w:t>
            </w:r>
          </w:p>
        </w:tc>
      </w:tr>
      <w:tr>
        <w:trPr>
          <w:trHeight w:val="318"/>
        </w:trPr>
        <w:tc>
          <w:tcPr>
            <w:tcW w:w="560" w:type="dxa"/>
            <w:vAlign w:val="bottom"/>
            <w:gridSpan w:val="2"/>
          </w:tcPr>
          <w:p>
            <w:pPr>
              <w:jc w:val="right"/>
              <w:ind w:right="6"/>
              <w:spacing w:after="0"/>
              <w:rPr>
                <w:sz w:val="20"/>
                <w:szCs w:val="20"/>
                <w:color w:val="auto"/>
              </w:rPr>
            </w:pPr>
            <w:r>
              <w:rPr>
                <w:rFonts w:ascii="Arial" w:cs="Arial" w:eastAsia="Arial" w:hAnsi="Arial"/>
                <w:sz w:val="18"/>
                <w:szCs w:val="18"/>
                <w:color w:val="auto"/>
                <w:w w:val="93"/>
              </w:rPr>
              <w:t>101(*)</w:t>
            </w:r>
          </w:p>
        </w:tc>
        <w:tc>
          <w:tcPr>
            <w:tcW w:w="380" w:type="dxa"/>
            <w:vAlign w:val="bottom"/>
          </w:tcPr>
          <w:p>
            <w:pPr>
              <w:spacing w:after="0"/>
              <w:rPr>
                <w:sz w:val="24"/>
                <w:szCs w:val="24"/>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89"/>
              </w:rPr>
              <w:t>The following financial statements from the MediciNova, Inc. Quarterly Report on Form 10-Q for the quarter ended June 30, 2012 formatted in</w:t>
            </w: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w w:val="96"/>
              </w:rPr>
              <w:t>Extensible Business Reporting Language (XBRL): (i) Consolidated Balance Sheets; (ii) Consolidated Statements of Operations and</w:t>
            </w:r>
          </w:p>
        </w:tc>
      </w:tr>
      <w:tr>
        <w:trPr>
          <w:trHeight w:val="222"/>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20" w:type="dxa"/>
            <w:vAlign w:val="bottom"/>
            <w:gridSpan w:val="3"/>
          </w:tcPr>
          <w:p>
            <w:pPr>
              <w:ind w:left="320"/>
              <w:spacing w:after="0"/>
              <w:rPr>
                <w:sz w:val="20"/>
                <w:szCs w:val="20"/>
                <w:color w:val="auto"/>
              </w:rPr>
            </w:pPr>
            <w:r>
              <w:rPr>
                <w:rFonts w:ascii="Arial" w:cs="Arial" w:eastAsia="Arial" w:hAnsi="Arial"/>
                <w:sz w:val="18"/>
                <w:szCs w:val="18"/>
                <w:color w:val="auto"/>
              </w:rPr>
              <w:t>Comprehensive Loss; (iii) Consolidated Statements of Cash Flows; and (iv) the notes to the consolidated financial statements.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S-1 filed October 1, 2004 and incorporated herein by reference.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10-K filed February 15, 2007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Registration Statement on Form S-4 initially filed September 17, 2009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May 14, 2010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September 27, 2011 and incorporated herein by reference.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Filed with the Registrant’s Current Report on Form 8-K filed March 24, 2011 and incorporated herein by reference.</w:t>
      </w:r>
    </w:p>
    <w:p>
      <w:pPr>
        <w:spacing w:after="0" w:line="9" w:lineRule="exact"/>
        <w:rPr>
          <w:sz w:val="20"/>
          <w:szCs w:val="20"/>
          <w:color w:val="auto"/>
        </w:rPr>
      </w:pPr>
    </w:p>
    <w:p>
      <w:pPr>
        <w:ind w:left="460" w:right="40" w:hanging="452"/>
        <w:spacing w:after="0" w:line="25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is deemed not filed for purposes of section 18 of the Exchange Act of 1934, and otherwise is not subject to liability under these sections.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459"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3.1</w:t>
      </w:r>
    </w:p>
    <w:p>
      <w:pPr>
        <w:spacing w:after="0" w:line="171"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171"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MediciNova, Inc., a corporation organized and existing under the laws of the State of Delaware (the “Corporation”), hereby certifies as follows:</w:t>
      </w:r>
    </w:p>
    <w:p>
      <w:pPr>
        <w:spacing w:after="0" w:line="17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A. The Corporation was incorporated pursuant to an original Certificate of Incorporation of the Corporation filed with the Secretary of State of the State of Delaware on September 26, 2000. The Certificate of Incorporation of the Corporation was restated and filed with the Secretary of State of Delaware on December 7, 2000, amended and filed with the Secretary of State of Delaware on August 1, 2001, further restated and filed with the Secretary of State of Delaware on March 5, 2003, further restated and filed with the Secretary of State of Delaware on June 11, 2003 and further restated and filed with the Secretary of State of Delaware on September 2, 2004.</w:t>
      </w:r>
    </w:p>
    <w:p>
      <w:pPr>
        <w:spacing w:after="0" w:line="14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B. This Restated Certificate of Incorporation (i) has been duly adopted in accordance with the provisions of Sections 242 and 245 of the General Corporation Law of the State of Delaware by the board of directors and stockholders of the Corporation and (ii) restates, integrates and further amends the provisions of the Certificate of Incorporation of the Corporation.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C. The Certificate of Incorporation of the Corporation shall be amended and restated to read in full as follows: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MediciNova,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90"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registered agent and the address of the registered office in the State of Delaware are: The Corporation Trust Company, 1209 Orange Street, Wilmington, County of New Castle, 19801.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be organized under the General Corporation Law of the State of Delaware (the “DGCL”).</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9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Stock</w:t>
      </w:r>
      <w:r>
        <w:rPr>
          <w:rFonts w:ascii="Arial" w:cs="Arial" w:eastAsia="Arial" w:hAnsi="Arial"/>
          <w:sz w:val="16"/>
          <w:szCs w:val="16"/>
          <w:color w:val="auto"/>
        </w:rPr>
        <w:t>. The Corporation is authorized to issue two classes of stock to be designated respectively Preferred Stock (“Preferred Stock”) and Common Stock (“Common Stock”). The total number of all shares of all classes of capital stock the Corporation shall have authority to issue is two hundred five million (205,000,000). The total number of shares of Preferred Stock the Corporation shall have authority to issue is five million (5,000,000). The total number of shares of Common Stock the Corporation shall have authority to issue is two hundred million (200,000,000). The Preferred Stock shall have a par value of $0.01 per share and the Common Stock shall have a par value of $0.001 per share. The number of authorized shares of Common Stock or Preferred Stock may be increased or decreased (but not below the number of shares thereof then outstanding) by the affirmative vote of the holders of a majority of the then outstanding shares of Common Stock, without a vote of the holders of Preferred Stock, or of any series thereof, unless a vote of any such holders of Preferred Stock is required pursuant to the provisions established by the Board of Directors of the Corporation (the “Board of Directors”) in the resolution or resolutions providing for the issue of such Preferred Stock, and if such holders of such Preferred Stock are so entitled to vote thereon, then, except as may otherwise be set forth in this Restated Certificate of Incorporation, the only stockholder approval required shall be the affirmative vote of a majority of the combined voting power of the Common Stock and the Preferred Stock so entitled to vote.</w:t>
      </w:r>
    </w:p>
    <w:p>
      <w:pPr>
        <w:spacing w:after="0" w:line="12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Preferred Stock</w:t>
      </w:r>
      <w:r>
        <w:rPr>
          <w:rFonts w:ascii="Arial" w:cs="Arial" w:eastAsia="Arial" w:hAnsi="Arial"/>
          <w:sz w:val="16"/>
          <w:szCs w:val="16"/>
          <w:color w:val="auto"/>
        </w:rPr>
        <w:t>. The shares of Preferred Stock may be issued from time to time in one or more series, as determined by the Board of Directors. The Board of Directors is expressly authorized to provide for the issue, in one or more series, of all or any of the remaining shares of the Preferred Stock and, in the resolution or resolutions providing for such issue, to establish for each such series the number of its shares, the voting powers, full or limited, of the shares of such series, or that such shares shall have no voting powers, and the designations, preferences, and relative participating, optional, or other special rights of the shares of such series and the qualifications, limitations, or restrictions thereof. The Board of Directors is also expressly authorized (unless forbidden in the resolution or resolutions providing for such issue) to increase or decrease (but not below the number of shares of such series then outstanding) the number of shares of any series subsequent to the issue of shares of that series. In case the number of shares of any such series shall be so decreased, the shares constituting such decrease shall resume the status that they had prior to the adoption of the resolution originally fixing the number of shares of such series.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171" w:lineRule="exact"/>
        <w:rPr>
          <w:sz w:val="20"/>
          <w:szCs w:val="20"/>
          <w:color w:val="auto"/>
        </w:rPr>
      </w:pPr>
    </w:p>
    <w:p>
      <w:pPr>
        <w:ind w:right="80"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Relative Rights of Preferred Stock and Common Stock</w:t>
      </w:r>
      <w:r>
        <w:rPr>
          <w:rFonts w:ascii="Arial" w:cs="Arial" w:eastAsia="Arial" w:hAnsi="Arial"/>
          <w:sz w:val="18"/>
          <w:szCs w:val="18"/>
          <w:color w:val="auto"/>
        </w:rPr>
        <w:t>. All preferences, voting powers, relative, participating, optional or other special rights and privileges, and all qualifications, limitations, or restrictions, of the Common Stock are expressly made subject and subordinate to those that may be fixed with respect to any shares of the Preferred Stock.</w:t>
      </w:r>
    </w:p>
    <w:p>
      <w:pPr>
        <w:spacing w:after="0" w:line="140"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law or this Restated Certificate of Incorporation, each holder of Common Stock shall have one vote in respect of each share of stock held by such holder of record on the books of the Corporation for the election of directors and on all matters submitted to a vote of stockholders of the Corporation.</w:t>
      </w:r>
    </w:p>
    <w:p>
      <w:pPr>
        <w:spacing w:after="0" w:line="140" w:lineRule="exact"/>
        <w:rPr>
          <w:rFonts w:ascii="Arial" w:cs="Arial" w:eastAsia="Arial" w:hAnsi="Arial"/>
          <w:sz w:val="18"/>
          <w:szCs w:val="18"/>
          <w:color w:val="auto"/>
        </w:rPr>
      </w:pPr>
    </w:p>
    <w:p>
      <w:pPr>
        <w:jc w:val="both"/>
        <w:ind w:firstLine="8"/>
        <w:spacing w:after="0" w:line="259"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Dividends</w:t>
      </w:r>
      <w:r>
        <w:rPr>
          <w:rFonts w:ascii="Arial" w:cs="Arial" w:eastAsia="Arial" w:hAnsi="Arial"/>
          <w:sz w:val="18"/>
          <w:szCs w:val="18"/>
          <w:color w:val="auto"/>
        </w:rPr>
        <w:t>. Subject to the preferential rights of the Preferred Stock, the holders of shares of Common Stock shall be entitled to receive, when and if declared by the Board of Directors, out of the assets of the Corporation which are by law available therefor, dividends payable either in cash, in property or in shares of capital stock.</w:t>
      </w:r>
    </w:p>
    <w:p>
      <w:pPr>
        <w:spacing w:after="0" w:line="140" w:lineRule="exact"/>
        <w:rPr>
          <w:rFonts w:ascii="Arial" w:cs="Arial" w:eastAsia="Arial" w:hAnsi="Arial"/>
          <w:sz w:val="18"/>
          <w:szCs w:val="18"/>
          <w:color w:val="auto"/>
        </w:rPr>
      </w:pPr>
    </w:p>
    <w:p>
      <w:pPr>
        <w:ind w:right="120" w:firstLine="8"/>
        <w:spacing w:after="0" w:line="298" w:lineRule="auto"/>
        <w:tabs>
          <w:tab w:leader="none" w:pos="176"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Dissolution, Liquidation or Winding Up</w:t>
      </w:r>
      <w:r>
        <w:rPr>
          <w:rFonts w:ascii="Arial" w:cs="Arial" w:eastAsia="Arial" w:hAnsi="Arial"/>
          <w:sz w:val="16"/>
          <w:szCs w:val="16"/>
          <w:color w:val="auto"/>
        </w:rPr>
        <w:t>. In the event of any dissolution, liquidation or winding up of the affairs of the Corporation, after distribution in full of the preferential amounts, if any, to be distributed to the holders of shares of the Preferred Stock, holders of Common Stock shall be entitled, unless otherwise provided by law or this Restated Certificate of Incorporation, to receive all of the remaining assets of the Corporation of whatever kind available for distribution to stockholders ratably in proportion to the number of shares of Common Stock held by them respectively.</w:t>
      </w:r>
    </w:p>
    <w:p>
      <w:pPr>
        <w:sectPr>
          <w:pgSz w:w="11900" w:h="16838" w:orient="portrait"/>
          <w:cols w:equalWidth="0" w:num="1">
            <w:col w:w="11420"/>
          </w:cols>
          <w:pgMar w:left="240" w:top="125" w:right="239" w:bottom="589"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 is to have perpetual existence.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w:t>
      </w:r>
    </w:p>
    <w:p>
      <w:pPr>
        <w:spacing w:after="0" w:line="9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Number of Directors</w:t>
      </w:r>
      <w:r>
        <w:rPr>
          <w:rFonts w:ascii="Arial" w:cs="Arial" w:eastAsia="Arial" w:hAnsi="Arial"/>
          <w:sz w:val="18"/>
          <w:szCs w:val="18"/>
          <w:color w:val="auto"/>
        </w:rPr>
        <w:t>. The authorized number of directors of the Corporation shall be determined from time to time by resolution adopted by the affirmative vote of a majority of the entire Board of Directors at any regular or special meeting of such Board of Directors, within any limits prescribed in the bylaws of the Corporation.</w:t>
      </w:r>
    </w:p>
    <w:p>
      <w:pPr>
        <w:spacing w:after="0" w:line="140"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 xml:space="preserve">B. </w:t>
      </w:r>
      <w:r>
        <w:rPr>
          <w:rFonts w:ascii="Arial" w:cs="Arial" w:eastAsia="Arial" w:hAnsi="Arial"/>
          <w:sz w:val="15"/>
          <w:szCs w:val="15"/>
          <w:u w:val="single" w:color="auto"/>
          <w:color w:val="auto"/>
        </w:rPr>
        <w:t>Classes of Directors</w:t>
      </w:r>
      <w:r>
        <w:rPr>
          <w:rFonts w:ascii="Arial" w:cs="Arial" w:eastAsia="Arial" w:hAnsi="Arial"/>
          <w:sz w:val="15"/>
          <w:szCs w:val="15"/>
          <w:color w:val="auto"/>
        </w:rPr>
        <w:t>. The Board of Directors, other than those directors elected by the holders of any series of Preferred Stock as provided for or fixed pursuant to the provisions of Article IV of this Restated Certificate of Incorporation, shall be divided into three classes, designated Class I, Class II and Class III, as nearly equal in number as possible, and the term of office of directors of one class shall expire at each annual meeting of stockholders, and in all cases as to each director such term shall extend until his or her successor shall be elected and shall qualify or until his or her earlier resignation, removal from office, death or incapacity.</w:t>
      </w:r>
    </w:p>
    <w:p>
      <w:pPr>
        <w:spacing w:after="0" w:line="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Additional directorships resulting from an increase in number of directors shall be apportioned among the classes as equally as possible. The initial term of office of directors of Class I shall expire at the annual meeting of stockholders in 2005, the initial term of office of directors of Class II shall expire at the annual meeting of stockholders in 2006 and the initial term of office of directors of Class III shall expire at the annual meeting of stockholders in 2007. At each annual meeting of stockholders a number of directors equal to the number of directors of the class whose term expires at the time of such meeting (or, if less, the number of directors properly nominated and qualified for election) shall be elected to hold office until the third succeeding annual meeting of stockholders after their election.</w:t>
      </w:r>
    </w:p>
    <w:p>
      <w:pPr>
        <w:spacing w:after="0" w:line="148"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At each annual election, directors chosen to succeed those whose terms then expire shall be of the same class as the directors they succeed, unless by reason of any intervening changes in the authorized number of directors, the Board of Directors shall designate one or more directorships whose term then expires as directorships of another class in order to more nearly achieve equality of number of directors among the classes.</w:t>
      </w:r>
    </w:p>
    <w:p>
      <w:pPr>
        <w:spacing w:after="0" w:line="107"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Notwithstanding the rule that the three classes shall be as nearly equal in number of directors as possible, in the event of any change in the authorized number of directors, each director then continuing to serve as such shall nevertheless continue as a director of the class of which such director is a member until the expiration of his or her current term, or his or her prior death, resignation or removal. If any newly created directorship may, consistently with the rule that the three classes shall be as nearly equal in number of directors as possible, be allocated to either class, the Board of Directors shall allocate it to that of the available class whose term of office is due to expire at the earliest date following such allocation.</w:t>
      </w:r>
    </w:p>
    <w:p>
      <w:pPr>
        <w:spacing w:after="0" w:line="1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Vacancies</w:t>
      </w:r>
      <w:r>
        <w:rPr>
          <w:rFonts w:ascii="Arial" w:cs="Arial" w:eastAsia="Arial" w:hAnsi="Arial"/>
          <w:sz w:val="16"/>
          <w:szCs w:val="16"/>
          <w:color w:val="auto"/>
        </w:rPr>
        <w:t>. Except as otherwise provided for or fixed pursuant to the provisions of Article IV of this Restated Certificate of Incorporation relating to the rights of the holders of any series of Preferred Stock to elect directors, and subject to the provisions hereof, newly created directorships resulting from any increase in the authorized number of directors or any vacancies on the Board of Directors resulting from death, resignation, disqualification, removal or another cause may be filled only by the affirmative vote of a majority of the remaining directors then in office, even though less than a quorum of the Board of Directors. Any director elected in accordance with the preceding sentence shall hold office for the remainder of the full term of the class of directors in which the new directorship was created or in which the vacancy occurred, and until such director’s successor shall have been duly elected and qualified or until his or her earlier resignation, removal from office, death or incapacity. Subject to the provisions of this Restated Certificate of Incorporation, no decrease in the number of directors constituting the Board of Directors shall shorten the term of any incumbent director.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Elections</w:t>
      </w:r>
      <w:r>
        <w:rPr>
          <w:rFonts w:ascii="Arial" w:cs="Arial" w:eastAsia="Arial" w:hAnsi="Arial"/>
          <w:sz w:val="18"/>
          <w:szCs w:val="18"/>
          <w:color w:val="auto"/>
        </w:rPr>
        <w:t>. Elections of directors need not be by written ballot unless the bylaws of the Corporation shall so provide.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90"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Power of Stockholders to Act by Written Consent</w:t>
      </w:r>
      <w:r>
        <w:rPr>
          <w:rFonts w:ascii="Arial" w:cs="Arial" w:eastAsia="Arial" w:hAnsi="Arial"/>
          <w:sz w:val="16"/>
          <w:szCs w:val="16"/>
          <w:color w:val="auto"/>
        </w:rPr>
        <w:t>. No action required or permitted to be taken at any annual or special meeting of the stockholders may be taken without a meeting, and the power of stockholders to consent in writing, without a meeting, to the taking of any action is specifically denied.</w:t>
      </w:r>
    </w:p>
    <w:p>
      <w:pPr>
        <w:spacing w:after="0" w:line="8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Special meetings of the stockholders of the Corporation may be called only by the Chairman of the Board or the Chief Executive Officer of the Corporation or by a resolution adopted by the affirmative vote of a majority of the Board of Directors.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9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Limitation on Liability</w:t>
      </w:r>
      <w:r>
        <w:rPr>
          <w:rFonts w:ascii="Arial" w:cs="Arial" w:eastAsia="Arial" w:hAnsi="Arial"/>
          <w:sz w:val="18"/>
          <w:szCs w:val="18"/>
          <w:color w:val="auto"/>
        </w:rPr>
        <w:t>. To the fullest extent permitted by the DGCL, as the same exists or as may hereafter be amended, a director of the Corporation shall not be personally liable to the Corporation or its stockholders for monetary damages for breach of fiduciary duty as a director.</w:t>
      </w:r>
    </w:p>
    <w:p>
      <w:pPr>
        <w:spacing w:after="0" w:line="132"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u w:val="single" w:color="auto"/>
          <w:color w:val="auto"/>
        </w:rPr>
        <w:t>Indemnification</w:t>
      </w:r>
      <w:r>
        <w:rPr>
          <w:rFonts w:ascii="Arial" w:cs="Arial" w:eastAsia="Arial" w:hAnsi="Arial"/>
          <w:sz w:val="16"/>
          <w:szCs w:val="16"/>
          <w:color w:val="auto"/>
        </w:rPr>
        <w:t>. Each person who is or was a director or officer of the Corporation or is or was serving at the request of the Corporation as a director, officer, employee or agent of another corporation or of a partnership, joint venture, trust, employee benefit plan or other enterprise (including the heirs, executors, administrators or estate of such person), shall be indemnified and advanced expenses by the Corporation, in accordance with the bylaws of the Corporation, to the fullest extent authorized by the DGCL, as the same exists or may hereafter be amended (but, in the case of any such amendment, only to the extent that such amendment permits the Corporation to provide broader indemnification rights than said law permitted the Corporation to provide prior to such amendment) or any other applicable laws as presently or hereinafter in effect. The right to indemnification and advancement of expenses hereunder shall not be exclusive of any other right that any person may have or hereafter acquire under any statute, provision of the Restated Certificate of Incorporation, bylaws, agreement, vote of stockholders or disinterested directors or otherwise.</w:t>
      </w:r>
    </w:p>
    <w:p>
      <w:pPr>
        <w:spacing w:after="0" w:line="118"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u w:val="single" w:color="auto"/>
          <w:color w:val="auto"/>
        </w:rPr>
        <w:t>Insurance</w:t>
      </w:r>
      <w:r>
        <w:rPr>
          <w:rFonts w:ascii="Arial" w:cs="Arial" w:eastAsia="Arial" w:hAnsi="Arial"/>
          <w:sz w:val="16"/>
          <w:szCs w:val="16"/>
          <w:color w:val="auto"/>
        </w:rPr>
        <w:t>. The Corporation may, to the fullest extent permitted by law, purchase and maintain insurance on behalf of any person who is or was a director, officer, employee or agent of the Corporation or another corporation, partnership, joint venture, trust, employee benefit plan or other enterprise against any expense, liability or loss incurred by such person in any such capacity or arising out of such person’s status as such, whether or not the Corporation would have the power to indemnify such person against such expense, liability or loss under the DGCL.</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u w:val="single" w:color="auto"/>
          <w:color w:val="auto"/>
        </w:rPr>
        <w:t>Repeal and Modification</w:t>
      </w:r>
      <w:r>
        <w:rPr>
          <w:rFonts w:ascii="Arial" w:cs="Arial" w:eastAsia="Arial" w:hAnsi="Arial"/>
          <w:sz w:val="18"/>
          <w:szCs w:val="18"/>
          <w:color w:val="auto"/>
        </w:rPr>
        <w:t>. Any repeal or modification of the foregoing provisions of this Article VIII shall not adversely affect any right or protection existing hereunder immediately prior to such repeal or modification.</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Board of Directors is expressly empowered to adopt, amend or repeal the bylaws of the Corporation;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any adoption, amendment or repeal of the bylaws of the Corporation by the Board of Directors shall require the approval of at least sixty-six and two-thirds percent (66-2/3%) of the total number of authorized directors (whether or not there exist any vacancies in previously authorized directorships at the time any resolution providing for adoption, amendment or</w:t>
      </w:r>
    </w:p>
    <w:p>
      <w:pPr>
        <w:sectPr>
          <w:pgSz w:w="11900" w:h="16838" w:orient="portrait"/>
          <w:cols w:equalWidth="0" w:num="1">
            <w:col w:w="11420"/>
          </w:cols>
          <w:pgMar w:left="240" w:top="280" w:right="239" w:bottom="174" w:gutter="0" w:footer="0" w:header="0"/>
        </w:sectPr>
      </w:pPr>
    </w:p>
    <w:bookmarkStart w:id="26" w:name="page27"/>
    <w:bookmarkEnd w:id="2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repeal is presented to the Board of Directors). The stockholders shall also have the power to adopt, amend or repeal the bylaws of the Corporation;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addition to any vote of the holders of any class or series of stock of the Corporation required by law or by this Certificate of Incorporation,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affirmative vote of the holders of at least sixty-six and two-thirds percent (66 </w:t>
      </w:r>
      <w:r>
        <w:rPr>
          <w:rFonts w:ascii="Arial" w:cs="Arial" w:eastAsia="Arial" w:hAnsi="Arial"/>
          <w:sz w:val="10"/>
          <w:szCs w:val="10"/>
          <w:color w:val="auto"/>
        </w:rPr>
        <w:t>2</w:t>
      </w:r>
      <w:r>
        <w:rPr>
          <w:rFonts w:ascii="Arial" w:cs="Arial" w:eastAsia="Arial" w:hAnsi="Arial"/>
          <w:sz w:val="16"/>
          <w:szCs w:val="16"/>
          <w:color w:val="auto"/>
        </w:rPr>
        <w:t>/3%) of the voting power of all of the then outstanding shares of stock of the Corporation entitled to vote generally in the election of directors, voting together as a single class, shall be required for such adoption, amendment or repeal by the stockholders of any provisions of the bylaws of the Corporation.</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ARTICLE X</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Notwithstanding any other provision of this Restated Certificate of Incorporation, the affirmative vote of the holders of at least sixty-six and two-thirds percent (66 </w:t>
      </w:r>
      <w:r>
        <w:rPr>
          <w:rFonts w:ascii="Arial" w:cs="Arial" w:eastAsia="Arial" w:hAnsi="Arial"/>
          <w:sz w:val="10"/>
          <w:szCs w:val="10"/>
          <w:color w:val="auto"/>
        </w:rPr>
        <w:t>2</w:t>
      </w:r>
      <w:r>
        <w:rPr>
          <w:rFonts w:ascii="Arial" w:cs="Arial" w:eastAsia="Arial" w:hAnsi="Arial"/>
          <w:sz w:val="16"/>
          <w:szCs w:val="16"/>
          <w:color w:val="auto"/>
        </w:rPr>
        <w:t>/3%) of the voting power of all of the then outstanding shares of the stock of the Corporation entitled to vote generally in the election of directors, voting together as a single class, shall be required to amend in any respect or repeal any provision of this Article X, or any provision of Articles VI, VII, VIII or IX.</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Corporation has caused this certificate to be signed by its duly authorized officer this 4</w:t>
      </w:r>
      <w:r>
        <w:rPr>
          <w:rFonts w:ascii="Arial" w:cs="Arial" w:eastAsia="Arial" w:hAnsi="Arial"/>
          <w:sz w:val="10"/>
          <w:szCs w:val="10"/>
          <w:color w:val="auto"/>
        </w:rPr>
        <w:t>th</w:t>
      </w:r>
      <w:r>
        <w:rPr>
          <w:rFonts w:ascii="Arial" w:cs="Arial" w:eastAsia="Arial" w:hAnsi="Arial"/>
          <w:sz w:val="16"/>
          <w:szCs w:val="16"/>
          <w:color w:val="auto"/>
        </w:rPr>
        <w:t xml:space="preserve"> day of February, 2005.</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MEDICINOVA, INC.</w:t>
      </w:r>
    </w:p>
    <w:p>
      <w:pPr>
        <w:spacing w:after="0" w:line="225" w:lineRule="exact"/>
        <w:rPr>
          <w:sz w:val="20"/>
          <w:szCs w:val="20"/>
          <w:color w:val="auto"/>
        </w:rPr>
      </w:pPr>
    </w:p>
    <w:p>
      <w:pPr>
        <w:ind w:left="6860"/>
        <w:spacing w:after="0"/>
        <w:tabs>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Takashi Kiyoizumi</w:t>
      </w:r>
    </w:p>
    <w:p>
      <w:pPr>
        <w:spacing w:after="0" w:line="17"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Takashi Kiyoizumi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-130175</wp:posOffset>
            </wp:positionV>
            <wp:extent cx="2718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180"/>
          </w:cols>
          <w:pgMar w:left="240" w:top="280" w:right="479" w:bottom="1440" w:gutter="0" w:footer="0" w:header="0"/>
        </w:sectPr>
      </w:pPr>
    </w:p>
    <w:bookmarkStart w:id="27" w:name="page28"/>
    <w:bookmarkEnd w:id="2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MEDICINOVA, INC.</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Under Section 242 of the Delaware General Corporation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MediciNova, Inc., a corporation organized and existing under the laws of the State of Delaware (the “Corporation”) hereby certifies as follows:</w:t>
      </w:r>
    </w:p>
    <w:p>
      <w:pPr>
        <w:spacing w:after="0" w:line="171" w:lineRule="exact"/>
        <w:rPr>
          <w:sz w:val="20"/>
          <w:szCs w:val="20"/>
          <w:color w:val="auto"/>
        </w:rPr>
      </w:pPr>
    </w:p>
    <w:p>
      <w:pPr>
        <w:ind w:right="80" w:firstLine="8"/>
        <w:spacing w:after="0" w:line="268" w:lineRule="auto"/>
        <w:tabs>
          <w:tab w:leader="none" w:pos="17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is hereby amended by changing Article IV, Section A thereof so that, as amended, said Article IV, Section A shall be and read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Stock</w:t>
      </w:r>
      <w:r>
        <w:rPr>
          <w:rFonts w:ascii="Arial" w:cs="Arial" w:eastAsia="Arial" w:hAnsi="Arial"/>
          <w:sz w:val="16"/>
          <w:szCs w:val="16"/>
          <w:color w:val="auto"/>
        </w:rPr>
        <w:t>. The Corporation is authorized to issue two classes of stock to be designated respectively Preferred Stock (“Preferred Stock”) and Common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(“Common Stock”). The total number of all shares of all classes of capital stock the Corporation shall have authority to issue is twenty million five hundred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thousand (20,500,000). The total number of shares of Preferred Stock the Corporation shall have authority to issue is five hundred thousand (500,000).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the Corporation shall have authority to issue is twenty million (20,000,000). The Preferred Stock shall have a par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$0.01 per share and the Common Stock shall have a par value of $0.001 per share. The number of authorized shares of Common Stock or Preferred Stock may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increased or decreased (but not below the number of shares thereof then outstanding) by the affirmative vote of the holders of a majority of the then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without a vote of the holders of Preferred Stock, or of any series thereof, unless a vote of any such holders of Preferred Stock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pursuant to the provisions established by the Board of Directors of the Corporation (the “Board of Directors”) in the resolution or resolutions providing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issue of such Preferred Stock, and if such holders of such Preferred Stock are so entitled to vote thereon, then, except as may otherwise be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Restated Certificate of Incorporation, the only stockholder approval required shall be the affirmative vote of a majority of the combined voting power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the Preferred Stock so entitled to vote.</w:t>
      </w:r>
    </w:p>
    <w:p>
      <w:pPr>
        <w:spacing w:after="0" w:line="16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Each ten (10) shares of the Corporation’s Common Stock, par value $.001 per share, issued and outstanding as of the close of business on October 30, 2006 shall be converted and reclassified into one (1) share of the Corporation’s Common Stock, par value $.001 per share.”</w:t>
      </w:r>
    </w:p>
    <w:p>
      <w:pPr>
        <w:spacing w:after="0" w:line="132" w:lineRule="exact"/>
        <w:rPr>
          <w:sz w:val="20"/>
          <w:szCs w:val="20"/>
          <w:color w:val="auto"/>
        </w:rPr>
      </w:pPr>
    </w:p>
    <w:p>
      <w:pPr>
        <w:ind w:right="120" w:firstLine="8"/>
        <w:spacing w:after="0" w:line="268"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signed this Certificate this 30th day of October, 2006.</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Chairman &amp; CEO</w:t>
      </w:r>
    </w:p>
    <w:p>
      <w:pPr>
        <w:sectPr>
          <w:pgSz w:w="11900" w:h="16838" w:orient="portrait"/>
          <w:cols w:equalWidth="0" w:num="1">
            <w:col w:w="11400"/>
          </w:cols>
          <w:pgMar w:left="240" w:top="280" w:right="2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DESIGNATION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SERIES A PARTICIPATING PREFERRED STOCK</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17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 Yuichi Iwaki, M.D., Ph.D., the Chief Executive Officer, and David R. Snyder, the Secretary, of MediciNova, Inc., a corporation organized and existing under the General Corporation Law of the State of Delaware, DO HEREBY CERTIFY:</w:t>
      </w:r>
    </w:p>
    <w:p>
      <w:pPr>
        <w:spacing w:after="0" w:line="13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That pursuant to the authority conferred upon the Board of Directors by the Certificate of Incorporation of the Corporation, the Board of Directors on November 24, 2006, adopted the following resolution creating a series of Two Hundred Fifty Thousand (250,000) shares of Preferred Stock, par value $ 0.01 per share, designated as Series A Participating Preferred Stock:</w:t>
      </w:r>
    </w:p>
    <w:p>
      <w:pPr>
        <w:spacing w:after="0" w:line="140"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RESOLVED, that pursuant to the authority vested in the Board of Directors of the Corporation in accordance with the provisions of its Certificate of Incorporation, a series of Preferred Stock of the Corporation be and it hereby is created, and that the designation and amount thereof and the powers, preferences and relative, participating, optional and other special rights of the shares of such series, and the qualifications, limitations or restrictions thereof are as follows:</w:t>
      </w:r>
    </w:p>
    <w:p>
      <w:pPr>
        <w:spacing w:after="0" w:line="88" w:lineRule="exact"/>
        <w:rPr>
          <w:sz w:val="20"/>
          <w:szCs w:val="20"/>
          <w:color w:val="auto"/>
        </w:rPr>
      </w:pPr>
    </w:p>
    <w:p>
      <w:pPr>
        <w:ind w:right="80" w:firstLine="8"/>
        <w:spacing w:after="0" w:line="255"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Designation and Amount</w:t>
      </w:r>
      <w:r>
        <w:rPr>
          <w:rFonts w:ascii="Arial" w:cs="Arial" w:eastAsia="Arial" w:hAnsi="Arial"/>
          <w:sz w:val="18"/>
          <w:szCs w:val="18"/>
          <w:color w:val="auto"/>
        </w:rPr>
        <w:t>. The shares of such series shall be designated as “Series A Participating Preferred Stock,” par value $0.01 per share, and the number of shares constituting such series shall be Two Hundred Fifty Thousand (250,000). Such number of shares may be increased or decreased by resolution of the Board of Directors; provided, that no decrease shall reduce the number of shares of Series A Participating Preferred Stock to a number less than that of the shares then outstanding plus the number of shares issuable upon exercise of outstanding rights, options or warrants or upon conversion of outstanding securities issued by the Corporation.</w:t>
      </w:r>
    </w:p>
    <w:p>
      <w:pPr>
        <w:spacing w:after="0" w:line="142" w:lineRule="exact"/>
        <w:rPr>
          <w:rFonts w:ascii="Arial" w:cs="Arial" w:eastAsia="Arial" w:hAnsi="Arial"/>
          <w:sz w:val="18"/>
          <w:szCs w:val="18"/>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Dividends and Distributions</w:t>
      </w:r>
      <w:r>
        <w:rPr>
          <w:rFonts w:ascii="Arial" w:cs="Arial" w:eastAsia="Arial" w:hAnsi="Arial"/>
          <w:sz w:val="18"/>
          <w:szCs w:val="18"/>
          <w:color w:val="auto"/>
        </w:rPr>
        <w:t>.</w:t>
      </w:r>
    </w:p>
    <w:p>
      <w:pPr>
        <w:spacing w:after="0" w:line="171" w:lineRule="exact"/>
        <w:rPr>
          <w:sz w:val="20"/>
          <w:szCs w:val="20"/>
          <w:color w:val="auto"/>
        </w:rPr>
      </w:pPr>
    </w:p>
    <w:p>
      <w:pPr>
        <w:ind w:firstLine="8"/>
        <w:spacing w:after="0" w:line="285" w:lineRule="auto"/>
        <w:tabs>
          <w:tab w:leader="none" w:pos="288"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Subject to the prior and superior rights of the holders of any shares of any series of Preferred Stock ranking prior and superior to the shares of Series A Participating Preferred Stock with respect to dividends, the holders of shares of Series A Participating Preferred Stock in preference to the holders of shares of Common Stock, par value $0.001 per share (the “</w:t>
      </w:r>
      <w:r>
        <w:rPr>
          <w:rFonts w:ascii="Arial" w:cs="Arial" w:eastAsia="Arial" w:hAnsi="Arial"/>
          <w:sz w:val="16"/>
          <w:szCs w:val="16"/>
          <w:u w:val="single" w:color="auto"/>
          <w:color w:val="auto"/>
        </w:rPr>
        <w:t>Common Stock</w:t>
      </w:r>
      <w:r>
        <w:rPr>
          <w:rFonts w:ascii="Arial" w:cs="Arial" w:eastAsia="Arial" w:hAnsi="Arial"/>
          <w:sz w:val="16"/>
          <w:szCs w:val="16"/>
          <w:color w:val="auto"/>
        </w:rPr>
        <w:t>”), of the Corporation and any other junior stock, shall be entitled to receive, when, as and if declared by the Board of Directors out of funds legally available for the purpose, quarterly dividends payable in cash on the first day of March, June, September and December in each year (each such date being referred to herein as a “</w:t>
      </w:r>
      <w:r>
        <w:rPr>
          <w:rFonts w:ascii="Arial" w:cs="Arial" w:eastAsia="Arial" w:hAnsi="Arial"/>
          <w:sz w:val="16"/>
          <w:szCs w:val="16"/>
          <w:u w:val="single" w:color="auto"/>
          <w:color w:val="auto"/>
        </w:rPr>
        <w:t>Quarterly Dividend Payment Date</w:t>
      </w:r>
      <w:r>
        <w:rPr>
          <w:rFonts w:ascii="Arial" w:cs="Arial" w:eastAsia="Arial" w:hAnsi="Arial"/>
          <w:sz w:val="16"/>
          <w:szCs w:val="16"/>
          <w:color w:val="auto"/>
        </w:rPr>
        <w:t>”), commencing on the first Quarterly Dividend Payment Date after the first issuance of a share or fraction of a share of Series A Participating Preferred Stock in an amount per share (rounded to the nearest cent) equal to the greater of (a) $25.00 or, (b)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Participating Preferred Stock. In the event the Corporation shall at any time after the close of business on November 24, 2006 (the “</w:t>
      </w:r>
      <w:r>
        <w:rPr>
          <w:rFonts w:ascii="Arial" w:cs="Arial" w:eastAsia="Arial" w:hAnsi="Arial"/>
          <w:sz w:val="16"/>
          <w:szCs w:val="16"/>
          <w:u w:val="single" w:color="auto"/>
          <w:color w:val="auto"/>
        </w:rPr>
        <w:t>Rights Declaration Date</w:t>
      </w:r>
      <w:r>
        <w:rPr>
          <w:rFonts w:ascii="Arial" w:cs="Arial" w:eastAsia="Arial" w:hAnsi="Arial"/>
          <w:sz w:val="16"/>
          <w:szCs w:val="16"/>
          <w:color w:val="auto"/>
        </w:rPr>
        <w:t>”) (i) declare any dividend on Common Stock payable in shares of Common Stock, (ii) subdivide the outstanding Common Stock or (iii) combine the outstanding Common Stock into a smaller number of shares, by reclassification or otherwise, then in each such case the amount to which holders of shares of Series A Participating Preferred Stock were entitled immediately prior to such event under clause (b)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23" w:lineRule="exact"/>
        <w:rPr>
          <w:rFonts w:ascii="Arial" w:cs="Arial" w:eastAsia="Arial" w:hAnsi="Arial"/>
          <w:sz w:val="16"/>
          <w:szCs w:val="16"/>
          <w:color w:val="auto"/>
        </w:rPr>
      </w:pPr>
    </w:p>
    <w:p>
      <w:pPr>
        <w:ind w:right="60" w:firstLine="8"/>
        <w:spacing w:after="0" w:line="255" w:lineRule="auto"/>
        <w:tabs>
          <w:tab w:leader="none" w:pos="2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A Participating Preferred Stock as provided in paragraph (A) above immediately after it declares a dividend or distribution on the Common Stock (other than a dividend payable in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no dividend or distribution shall have been declared on the Common Stock during the period between any Quarterly Dividend Payment Date and the next subsequent Quarterly Dividend Payment Date, a dividend of $25.00 per share on the Series A Participating Preferred Stock shall nevertheless be payable on such subsequent Quarterly Dividend Payment Date.</w:t>
      </w:r>
    </w:p>
    <w:p>
      <w:pPr>
        <w:spacing w:after="0" w:line="142" w:lineRule="exact"/>
        <w:rPr>
          <w:rFonts w:ascii="Arial" w:cs="Arial" w:eastAsia="Arial" w:hAnsi="Arial"/>
          <w:sz w:val="18"/>
          <w:szCs w:val="18"/>
          <w:color w:val="auto"/>
        </w:rPr>
      </w:pPr>
    </w:p>
    <w:p>
      <w:pPr>
        <w:ind w:firstLine="8"/>
        <w:spacing w:after="0" w:line="287" w:lineRule="auto"/>
        <w:tabs>
          <w:tab w:leader="none" w:pos="278" w:val="left"/>
        </w:tabs>
        <w:numPr>
          <w:ilvl w:val="0"/>
          <w:numId w:val="18"/>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Participating Preferred Stock from the Quarterly Dividend Payment Date next preceding the date of issue of such shares of Series A Participating Preferred Stock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Participating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Participating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Participating Preferred Stock entitled to receive payment of a dividend or distribution declared thereon, which record date shall be no more than 30 days prior to the date fixed for the payment thereof.</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 </w:t>
      </w:r>
      <w:r>
        <w:rPr>
          <w:rFonts w:ascii="Arial" w:cs="Arial" w:eastAsia="Arial" w:hAnsi="Arial"/>
          <w:sz w:val="18"/>
          <w:szCs w:val="18"/>
          <w:u w:val="single" w:color="auto"/>
          <w:color w:val="auto"/>
        </w:rPr>
        <w:t>Voting Rights</w:t>
      </w:r>
      <w:r>
        <w:rPr>
          <w:rFonts w:ascii="Arial" w:cs="Arial" w:eastAsia="Arial" w:hAnsi="Arial"/>
          <w:sz w:val="18"/>
          <w:szCs w:val="18"/>
          <w:color w:val="auto"/>
        </w:rPr>
        <w:t>. The holders of shares of Series A Participating Preferred Stock shall have the following voting rights:</w:t>
      </w:r>
    </w:p>
    <w:p>
      <w:pPr>
        <w:spacing w:after="0" w:line="171" w:lineRule="exact"/>
        <w:rPr>
          <w:sz w:val="20"/>
          <w:szCs w:val="20"/>
          <w:color w:val="auto"/>
        </w:rPr>
      </w:pPr>
    </w:p>
    <w:p>
      <w:pPr>
        <w:ind w:right="40" w:firstLine="8"/>
        <w:spacing w:after="0" w:line="286" w:lineRule="auto"/>
        <w:tabs>
          <w:tab w:leader="none" w:pos="288" w:val="left"/>
        </w:tabs>
        <w:numPr>
          <w:ilvl w:val="0"/>
          <w:numId w:val="19"/>
        </w:numPr>
        <w:rPr>
          <w:rFonts w:ascii="Arial" w:cs="Arial" w:eastAsia="Arial" w:hAnsi="Arial"/>
          <w:sz w:val="16"/>
          <w:szCs w:val="16"/>
          <w:color w:val="auto"/>
        </w:rPr>
      </w:pPr>
      <w:r>
        <w:rPr>
          <w:rFonts w:ascii="Arial" w:cs="Arial" w:eastAsia="Arial" w:hAnsi="Arial"/>
          <w:sz w:val="16"/>
          <w:szCs w:val="16"/>
          <w:color w:val="auto"/>
        </w:rPr>
        <w:t>Subject to the provision for adjustment hereinafter set forth, each share of Series A Participating Preferred Stock shall entitle the holder thereof to 1,000 votes on all matters submitted to a vote of the stockholders of the Corporation. In the event the Corporation shall at any time after the Rights Declaration Date</w:t>
      </w:r>
    </w:p>
    <w:p>
      <w:pPr>
        <w:spacing w:after="0" w:line="292" w:lineRule="auto"/>
        <w:rPr>
          <w:rFonts w:ascii="Arial" w:cs="Arial" w:eastAsia="Arial" w:hAnsi="Arial"/>
          <w:sz w:val="16"/>
          <w:szCs w:val="16"/>
          <w:color w:val="auto"/>
        </w:rPr>
      </w:pPr>
      <w:r>
        <w:rPr>
          <w:rFonts w:ascii="Arial" w:cs="Arial" w:eastAsia="Arial" w:hAnsi="Arial"/>
          <w:sz w:val="16"/>
          <w:szCs w:val="16"/>
          <w:color w:val="auto"/>
        </w:rPr>
        <w:t>(i) declare any dividend on Common Stock payable in shares of Common Stock, (ii) subdivide the outstanding Common Stock into a greater number of shares or (iii) combine the outstanding Common Stock into a smaller number of shares, by reclassification or otherwise, then in each such case the number of votes per share to which holders of shares of Series A Participating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outstanding immediately prior to such event.</w:t>
      </w:r>
    </w:p>
    <w:p>
      <w:pPr>
        <w:spacing w:after="0" w:line="116" w:lineRule="exact"/>
        <w:rPr>
          <w:rFonts w:ascii="Arial" w:cs="Arial" w:eastAsia="Arial" w:hAnsi="Arial"/>
          <w:sz w:val="16"/>
          <w:szCs w:val="16"/>
          <w:color w:val="auto"/>
        </w:rPr>
      </w:pPr>
    </w:p>
    <w:p>
      <w:pPr>
        <w:jc w:val="both"/>
        <w:ind w:right="400" w:firstLine="8"/>
        <w:spacing w:after="0" w:line="259" w:lineRule="auto"/>
        <w:tabs>
          <w:tab w:leader="none" w:pos="278"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provided herein, in the Certificate of Incorporation or by law, the holders of shares of Series A Participating Preferred Stock and the holders of shares of Common Stock and any other capital stock of the Corporation having general voting rights shall vote together as one class on all matters submitted to a vote of stockholders of the Corporation.</w:t>
      </w:r>
    </w:p>
    <w:p>
      <w:pPr>
        <w:sectPr>
          <w:pgSz w:w="11900" w:h="16838" w:orient="portrait"/>
          <w:cols w:equalWidth="0" w:num="1">
            <w:col w:w="11420"/>
          </w:cols>
          <w:pgMar w:left="240" w:top="274" w:right="239" w:bottom="900" w:gutter="0" w:footer="0" w:header="0"/>
        </w:sectPr>
      </w:pPr>
    </w:p>
    <w:bookmarkStart w:id="29" w:name="page30"/>
    <w:bookmarkEnd w:id="29"/>
    <w:p>
      <w:pPr>
        <w:ind w:left="-8" w:right="80" w:firstLine="8"/>
        <w:spacing w:after="0" w:line="291" w:lineRule="auto"/>
        <w:tabs>
          <w:tab w:leader="none" w:pos="270" w:val="left"/>
        </w:tabs>
        <w:numPr>
          <w:ilvl w:val="0"/>
          <w:numId w:val="2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If at any time dividends on any Series A Participating Preferred Stock shall be in arrears in an amount equal to six quarterly dividends thereon, the holders of the Series A Participating Preferred Stock, voting as a separate series from all other series of Preferred Stock and classes of capital stock, shall be entitled to elect two members of the Board of Directors in addition to any Directors elected by any other series, class or classes of securities and the authorized number of Directors will automatically be increased by two. Promptly thereafter, the Board of Directors of this Corporation shall, as soon as may be practicable, call a special meeting of holders of Series A Participating Preferred Stock for the purpose of electing such members of the Board of Directors. Said special meeting shall in any event be held within 45 days of the occurrence of such arrearage.</w:t>
      </w:r>
    </w:p>
    <w:p>
      <w:pPr>
        <w:spacing w:after="0" w:line="120" w:lineRule="exact"/>
        <w:rPr>
          <w:sz w:val="20"/>
          <w:szCs w:val="20"/>
          <w:color w:val="auto"/>
        </w:rPr>
      </w:pPr>
    </w:p>
    <w:p>
      <w:pPr>
        <w:ind w:left="-8" w:right="20" w:firstLine="8"/>
        <w:spacing w:after="0" w:line="254" w:lineRule="auto"/>
        <w:tabs>
          <w:tab w:leader="none" w:pos="2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During any period when the holders of Series A Participating Preferred Stock, voting as a separate series, shall be entitled and shall have exercised their right to elect two Directors, then and during such time as such right continues (a) the then authorized number of Directors shall remain increased by two, and the holders of Series A Participating Preferred Stock, voting as a separate series, shall remain entitled to elect the additional Directors so provided for, and (b) each such additional Director shall not be a member of any existing class of the Board of Directors, but shall serve until the next annual meeting of stockholders for the election of Directors, or until his or her successor shall be elected and shall qualify, or until his or her right to hold such office terminates pursuant to the provisions of this </w:t>
      </w:r>
      <w:r>
        <w:rPr>
          <w:rFonts w:ascii="Arial" w:cs="Arial" w:eastAsia="Arial" w:hAnsi="Arial"/>
          <w:sz w:val="18"/>
          <w:szCs w:val="18"/>
          <w:u w:val="single" w:color="auto"/>
          <w:color w:val="auto"/>
        </w:rPr>
        <w:t>Section 3(C)</w:t>
      </w:r>
      <w:r>
        <w:rPr>
          <w:rFonts w:ascii="Arial" w:cs="Arial" w:eastAsia="Arial" w:hAnsi="Arial"/>
          <w:sz w:val="18"/>
          <w:szCs w:val="18"/>
          <w:color w:val="auto"/>
        </w:rPr>
        <w:t>.</w:t>
      </w:r>
    </w:p>
    <w:p>
      <w:pPr>
        <w:spacing w:after="0" w:line="144" w:lineRule="exact"/>
        <w:rPr>
          <w:rFonts w:ascii="Arial" w:cs="Arial" w:eastAsia="Arial" w:hAnsi="Arial"/>
          <w:sz w:val="18"/>
          <w:szCs w:val="18"/>
          <w:color w:val="auto"/>
        </w:rPr>
      </w:pPr>
    </w:p>
    <w:p>
      <w:pPr>
        <w:ind w:left="-8" w:right="320" w:firstLine="8"/>
        <w:spacing w:after="0" w:line="268" w:lineRule="auto"/>
        <w:tabs>
          <w:tab w:leader="none" w:pos="299"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Director elected pursuant to the terms hereof may be removed with or without cause by the holders of Series A Participating Preferred Stock entitled to vote in an election of such Director.</w:t>
      </w:r>
    </w:p>
    <w:p>
      <w:pPr>
        <w:spacing w:after="0" w:line="131" w:lineRule="exact"/>
        <w:rPr>
          <w:rFonts w:ascii="Arial" w:cs="Arial" w:eastAsia="Arial" w:hAnsi="Arial"/>
          <w:sz w:val="18"/>
          <w:szCs w:val="18"/>
          <w:color w:val="auto"/>
        </w:rPr>
      </w:pPr>
    </w:p>
    <w:p>
      <w:pPr>
        <w:ind w:left="-8" w:right="100" w:firstLine="8"/>
        <w:spacing w:after="0" w:line="298" w:lineRule="auto"/>
        <w:tabs>
          <w:tab w:leader="none" w:pos="289" w:val="left"/>
        </w:tabs>
        <w:numPr>
          <w:ilvl w:val="0"/>
          <w:numId w:val="21"/>
        </w:numPr>
        <w:rPr>
          <w:rFonts w:ascii="Arial" w:cs="Arial" w:eastAsia="Arial" w:hAnsi="Arial"/>
          <w:sz w:val="16"/>
          <w:szCs w:val="16"/>
          <w:color w:val="auto"/>
        </w:rPr>
      </w:pPr>
      <w:r>
        <w:rPr>
          <w:rFonts w:ascii="Arial" w:cs="Arial" w:eastAsia="Arial" w:hAnsi="Arial"/>
          <w:sz w:val="16"/>
          <w:szCs w:val="16"/>
          <w:color w:val="auto"/>
        </w:rPr>
        <w:t>If, during any interval between annual meetings of stockholders for the election of Directors and while the holders of Series A Participating Preferred Stock shall be entitled to elect two Directors, there are fewer than two such Directors in office by reason of resignation, death or removal, then, promptly thereafter, the Board of Directors shall call a special meeting of the holders of Series A Participating Preferred Stock for the purpose of filling such vacancy(ies) and such vacancy(ies) shall be filled at such special meeting. Such special meeting shall in any event be held within 45 days of the occurrence of any such vacancy(ies).</w:t>
      </w:r>
    </w:p>
    <w:p>
      <w:pPr>
        <w:spacing w:after="0" w:line="112" w:lineRule="exact"/>
        <w:rPr>
          <w:rFonts w:ascii="Arial" w:cs="Arial" w:eastAsia="Arial" w:hAnsi="Arial"/>
          <w:sz w:val="16"/>
          <w:szCs w:val="16"/>
          <w:color w:val="auto"/>
        </w:rPr>
      </w:pPr>
    </w:p>
    <w:p>
      <w:pPr>
        <w:ind w:left="-8" w:right="20" w:firstLine="8"/>
        <w:spacing w:after="0" w:line="255" w:lineRule="auto"/>
        <w:tabs>
          <w:tab w:leader="none" w:pos="241"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At such time as the arrearage is fully cured, and all dividends accumulated and unpaid on any shares of Series A Participating Preferred Stock outstanding are paid, and, in addition thereto, at least one regular dividend has been paid subsequent to curing such arrearage, the term of office of any Director elected pursuant to this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or his or her successor, shall automatically terminate, and the authorized number of Directors shall automatically decrease by two, and the rights of the holders of the shares of the Series A Participating Preferred Stock to vote as provided in this </w:t>
      </w:r>
      <w:r>
        <w:rPr>
          <w:rFonts w:ascii="Arial" w:cs="Arial" w:eastAsia="Arial" w:hAnsi="Arial"/>
          <w:sz w:val="18"/>
          <w:szCs w:val="18"/>
          <w:u w:val="single" w:color="auto"/>
          <w:color w:val="auto"/>
        </w:rPr>
        <w:t>Section 3(C)</w:t>
      </w:r>
      <w:r>
        <w:rPr>
          <w:rFonts w:ascii="Arial" w:cs="Arial" w:eastAsia="Arial" w:hAnsi="Arial"/>
          <w:sz w:val="18"/>
          <w:szCs w:val="18"/>
          <w:color w:val="auto"/>
        </w:rPr>
        <w:t xml:space="preserve"> shall cease, subject to renewal from time to time upon the same terms and conditions.</w:t>
      </w:r>
    </w:p>
    <w:p>
      <w:pPr>
        <w:spacing w:after="0" w:line="143" w:lineRule="exact"/>
        <w:rPr>
          <w:sz w:val="20"/>
          <w:szCs w:val="20"/>
          <w:color w:val="auto"/>
        </w:rPr>
      </w:pPr>
    </w:p>
    <w:p>
      <w:pPr>
        <w:ind w:left="-8" w:right="180" w:firstLine="8"/>
        <w:spacing w:after="0" w:line="259" w:lineRule="auto"/>
        <w:tabs>
          <w:tab w:leader="none" w:pos="2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A Participating Preferred Stock shall have no special voting rights and their consent shall not be required (except to the extent they are entitled to vote with holders of Common Stock and any other capital stock of the Corporation having general voting rights as set forth herein) for taking any corporate action.</w:t>
      </w:r>
    </w:p>
    <w:p>
      <w:pPr>
        <w:spacing w:after="0" w:line="140" w:lineRule="exact"/>
        <w:rPr>
          <w:sz w:val="20"/>
          <w:szCs w:val="20"/>
          <w:color w:val="auto"/>
        </w:rPr>
      </w:pPr>
    </w:p>
    <w:p>
      <w:pPr>
        <w:ind w:left="172" w:hanging="172"/>
        <w:spacing w:after="0"/>
        <w:tabs>
          <w:tab w:leader="none" w:pos="172"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Certain Restrictions</w:t>
      </w:r>
      <w:r>
        <w:rPr>
          <w:rFonts w:ascii="Arial" w:cs="Arial" w:eastAsia="Arial" w:hAnsi="Arial"/>
          <w:sz w:val="18"/>
          <w:szCs w:val="18"/>
          <w:color w:val="auto"/>
        </w:rPr>
        <w:t>.</w:t>
      </w:r>
    </w:p>
    <w:p>
      <w:pPr>
        <w:spacing w:after="0" w:line="171" w:lineRule="exact"/>
        <w:rPr>
          <w:sz w:val="20"/>
          <w:szCs w:val="20"/>
          <w:color w:val="auto"/>
        </w:rPr>
      </w:pPr>
    </w:p>
    <w:p>
      <w:pPr>
        <w:ind w:left="-8" w:right="20" w:firstLine="8"/>
        <w:spacing w:after="0" w:line="259" w:lineRule="auto"/>
        <w:tabs>
          <w:tab w:leader="none" w:pos="2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A Participating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are in arrears, thereafter and until all accrued and unpaid dividends and distributions, whether or not declared, on shares of Series A Participating Preferred Stock outstanding shall have been paid in full, the Corporation shall not:</w:t>
      </w:r>
    </w:p>
    <w:p>
      <w:pPr>
        <w:spacing w:after="0" w:line="140" w:lineRule="exact"/>
        <w:rPr>
          <w:sz w:val="20"/>
          <w:szCs w:val="20"/>
          <w:color w:val="auto"/>
        </w:rPr>
      </w:pPr>
    </w:p>
    <w:p>
      <w:pPr>
        <w:ind w:left="-8" w:right="160" w:firstLine="8"/>
        <w:spacing w:after="0" w:line="268" w:lineRule="auto"/>
        <w:tabs>
          <w:tab w:leader="none" w:pos="202"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declare or pay dividends on, make any other distributions on, or redeem or purchase or otherwise acquire for consideration any shares of stock ranking junior (either as to dividends or upon liquidation, dissolution or winding up) to the Series A Participating Preferred Stock;</w:t>
      </w:r>
    </w:p>
    <w:p>
      <w:pPr>
        <w:spacing w:after="0" w:line="131" w:lineRule="exact"/>
        <w:rPr>
          <w:rFonts w:ascii="Arial" w:cs="Arial" w:eastAsia="Arial" w:hAnsi="Arial"/>
          <w:sz w:val="18"/>
          <w:szCs w:val="18"/>
          <w:color w:val="auto"/>
        </w:rPr>
      </w:pPr>
    </w:p>
    <w:p>
      <w:pPr>
        <w:ind w:left="-8" w:right="140" w:firstLine="8"/>
        <w:spacing w:after="0" w:line="306" w:lineRule="auto"/>
        <w:tabs>
          <w:tab w:leader="none" w:pos="250" w:val="left"/>
        </w:tabs>
        <w:numPr>
          <w:ilvl w:val="0"/>
          <w:numId w:val="25"/>
        </w:numPr>
        <w:rPr>
          <w:rFonts w:ascii="Arial" w:cs="Arial" w:eastAsia="Arial" w:hAnsi="Arial"/>
          <w:sz w:val="16"/>
          <w:szCs w:val="16"/>
          <w:color w:val="auto"/>
        </w:rPr>
      </w:pPr>
      <w:r>
        <w:rPr>
          <w:rFonts w:ascii="Arial" w:cs="Arial" w:eastAsia="Arial" w:hAnsi="Arial"/>
          <w:sz w:val="16"/>
          <w:szCs w:val="16"/>
          <w:color w:val="auto"/>
        </w:rPr>
        <w:t>declare or pay dividends on or make any other distributions on any shares of stock ranking on a parity (either as to dividends or upon liquidation, dissolution or winding up) with the Series A Participating Preferred Stock except dividends paid ratably on the Series A Participating Preferred Stock and all such parity stock on which dividends are payable or in arrears in proportion to the total amounts to which the holders of all such shares are then entitled;</w:t>
      </w:r>
    </w:p>
    <w:p>
      <w:pPr>
        <w:spacing w:after="0" w:line="106" w:lineRule="exact"/>
        <w:rPr>
          <w:rFonts w:ascii="Arial" w:cs="Arial" w:eastAsia="Arial" w:hAnsi="Arial"/>
          <w:sz w:val="16"/>
          <w:szCs w:val="16"/>
          <w:color w:val="auto"/>
        </w:rPr>
      </w:pPr>
    </w:p>
    <w:p>
      <w:pPr>
        <w:jc w:val="both"/>
        <w:ind w:left="-8" w:right="200" w:firstLine="8"/>
        <w:spacing w:after="0" w:line="256" w:lineRule="auto"/>
        <w:tabs>
          <w:tab w:leader="none" w:pos="299"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redeem or purchase or otherwise acquire for consideration shares of any stock ranking on a parity (either as to dividends or upon liquidation, dissolution or winding up) with the Series A Participating Preferred Stock provided that the Corporation may at any time redeem, purchase or otherwise acquire shares of any such parity stock in exchange for shares of any stock of the Corporation ranking junior (either as to dividends or upon dissolution, liquidation or winding up) to the Series A Participating Preferred Stock; or</w:t>
      </w:r>
    </w:p>
    <w:p>
      <w:pPr>
        <w:spacing w:after="0" w:line="143" w:lineRule="exact"/>
        <w:rPr>
          <w:rFonts w:ascii="Arial" w:cs="Arial" w:eastAsia="Arial" w:hAnsi="Arial"/>
          <w:sz w:val="18"/>
          <w:szCs w:val="18"/>
          <w:color w:val="auto"/>
        </w:rPr>
      </w:pPr>
    </w:p>
    <w:p>
      <w:pPr>
        <w:ind w:left="-8" w:right="40" w:firstLine="8"/>
        <w:spacing w:after="0" w:line="298" w:lineRule="auto"/>
        <w:tabs>
          <w:tab w:leader="none" w:pos="289" w:val="left"/>
        </w:tabs>
        <w:numPr>
          <w:ilvl w:val="0"/>
          <w:numId w:val="25"/>
        </w:numPr>
        <w:rPr>
          <w:rFonts w:ascii="Arial" w:cs="Arial" w:eastAsia="Arial" w:hAnsi="Arial"/>
          <w:sz w:val="16"/>
          <w:szCs w:val="16"/>
          <w:color w:val="auto"/>
        </w:rPr>
      </w:pPr>
      <w:r>
        <w:rPr>
          <w:rFonts w:ascii="Arial" w:cs="Arial" w:eastAsia="Arial" w:hAnsi="Arial"/>
          <w:sz w:val="16"/>
          <w:szCs w:val="16"/>
          <w:color w:val="auto"/>
        </w:rPr>
        <w:t>purchase or otherwise acquire for consideration any shares of Series A Participating Preferred Stock or any shares of stock ranking on a parity with the Series A Participating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shares and classes, shall determine in good faith will result in fair and equitable treatment among the respective series or classes.</w:t>
      </w:r>
    </w:p>
    <w:p>
      <w:pPr>
        <w:spacing w:after="0" w:line="113" w:lineRule="exact"/>
        <w:rPr>
          <w:sz w:val="20"/>
          <w:szCs w:val="20"/>
          <w:color w:val="auto"/>
        </w:rPr>
      </w:pPr>
    </w:p>
    <w:p>
      <w:pPr>
        <w:ind w:left="-8" w:right="120" w:firstLine="8"/>
        <w:spacing w:after="0" w:line="332" w:lineRule="auto"/>
        <w:tabs>
          <w:tab w:leader="none" w:pos="27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The Corporation shall not permit any subsidiary of the Corporation to purchase or otherwise acquire for consideration any shares of stock of the Corporation unless the Corporation could, under paragraph (A) of this </w:t>
      </w:r>
      <w:r>
        <w:rPr>
          <w:rFonts w:ascii="Arial" w:cs="Arial" w:eastAsia="Arial" w:hAnsi="Arial"/>
          <w:sz w:val="16"/>
          <w:szCs w:val="16"/>
          <w:u w:val="single" w:color="auto"/>
          <w:color w:val="auto"/>
        </w:rPr>
        <w:t>Section 4</w:t>
      </w:r>
      <w:r>
        <w:rPr>
          <w:rFonts w:ascii="Arial" w:cs="Arial" w:eastAsia="Arial" w:hAnsi="Arial"/>
          <w:sz w:val="16"/>
          <w:szCs w:val="16"/>
          <w:color w:val="auto"/>
        </w:rPr>
        <w:t>, purchase or otherwise acquire such shares at such time and in such manner.</w:t>
      </w:r>
    </w:p>
    <w:p>
      <w:pPr>
        <w:spacing w:after="0" w:line="85" w:lineRule="exact"/>
        <w:rPr>
          <w:sz w:val="20"/>
          <w:szCs w:val="20"/>
          <w:color w:val="auto"/>
        </w:rPr>
      </w:pPr>
    </w:p>
    <w:p>
      <w:pPr>
        <w:ind w:left="-8" w:right="80" w:firstLine="8"/>
        <w:spacing w:after="0" w:line="256" w:lineRule="auto"/>
        <w:tabs>
          <w:tab w:leader="none" w:pos="168"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Reacquired Shares</w:t>
      </w:r>
      <w:r>
        <w:rPr>
          <w:rFonts w:ascii="Arial" w:cs="Arial" w:eastAsia="Arial" w:hAnsi="Arial"/>
          <w:sz w:val="18"/>
          <w:szCs w:val="18"/>
          <w:color w:val="auto"/>
        </w:rPr>
        <w:t>. Any shares of Series A Participating Preferred Stock purchased or otherwise acquired by the Corporation in any manner whatsoever shall be retired and canceled promptly after the acquisition thereof. All such shares shall upon their cancellation become authorized but unissued shares of Preferred Stock and may be reissued as part of a new series of Preferred Stock to be created by resolution or resolutions of the Board of Directors, subject to the conditions and restrictions on issuance set forth herein.</w:t>
      </w:r>
    </w:p>
    <w:p>
      <w:pPr>
        <w:spacing w:after="0" w:line="143" w:lineRule="exact"/>
        <w:rPr>
          <w:rFonts w:ascii="Arial" w:cs="Arial" w:eastAsia="Arial" w:hAnsi="Arial"/>
          <w:sz w:val="18"/>
          <w:szCs w:val="18"/>
          <w:color w:val="auto"/>
        </w:rPr>
      </w:pPr>
    </w:p>
    <w:p>
      <w:pPr>
        <w:ind w:left="172" w:hanging="172"/>
        <w:spacing w:after="0"/>
        <w:tabs>
          <w:tab w:leader="none" w:pos="172"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Liquidation, Dissolution or Winding up</w:t>
      </w:r>
      <w:r>
        <w:rPr>
          <w:rFonts w:ascii="Arial" w:cs="Arial" w:eastAsia="Arial" w:hAnsi="Arial"/>
          <w:sz w:val="18"/>
          <w:szCs w:val="18"/>
          <w:color w:val="auto"/>
        </w:rPr>
        <w:t>.</w:t>
      </w:r>
    </w:p>
    <w:p>
      <w:pPr>
        <w:spacing w:after="0" w:line="171" w:lineRule="exact"/>
        <w:rPr>
          <w:sz w:val="20"/>
          <w:szCs w:val="20"/>
          <w:color w:val="auto"/>
        </w:rPr>
      </w:pPr>
    </w:p>
    <w:p>
      <w:pPr>
        <w:ind w:left="-8" w:firstLine="8"/>
        <w:spacing w:after="0" w:line="288" w:lineRule="auto"/>
        <w:tabs>
          <w:tab w:leader="none" w:pos="2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Upon any liquidation (voluntary or otherwise), dissolution or winding up of the Corporation, no distribution shall be made to the holders of shares of stock ranking junior (either as to dividends or upon liquidation, dissolution or winding up) to the Series A Participating Preferred Stock unless, prior thereto, the holders of shares of Series A Participating Preferred Stock shall have received per share, the greater of $1,000.00 or 1,000 times the payment made per share of Common Stock, plus an amount equal to accrued and unpaid dividends and distributions thereon, whether or not declared, to the date of such payment (the “</w:t>
      </w:r>
      <w:r>
        <w:rPr>
          <w:rFonts w:ascii="Arial" w:cs="Arial" w:eastAsia="Arial" w:hAnsi="Arial"/>
          <w:sz w:val="16"/>
          <w:szCs w:val="16"/>
          <w:u w:val="single" w:color="auto"/>
          <w:color w:val="auto"/>
        </w:rPr>
        <w:t>Series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 Following the payment of the full amount of the Series A Liquidation Preference, no additional distributions shall be made to the holders of shares of Series A Participating Preferred Stock unless, prior thereto, the holders of shares of Common Stock shall have received an amount per share (the “</w:t>
      </w:r>
      <w:r>
        <w:rPr>
          <w:rFonts w:ascii="Arial" w:cs="Arial" w:eastAsia="Arial" w:hAnsi="Arial"/>
          <w:sz w:val="16"/>
          <w:szCs w:val="16"/>
          <w:u w:val="single" w:color="auto"/>
          <w:color w:val="auto"/>
        </w:rPr>
        <w:t>Common Adjustment</w:t>
      </w:r>
      <w:r>
        <w:rPr>
          <w:rFonts w:ascii="Arial" w:cs="Arial" w:eastAsia="Arial" w:hAnsi="Arial"/>
          <w:sz w:val="16"/>
          <w:szCs w:val="16"/>
          <w:color w:val="auto"/>
        </w:rPr>
        <w:t>”) equal to the quotient obtained by dividing (i) the Series A Liquidation Preference by (ii) 1,000 (as appropriately adjusted as set forth in subparagraph (C) below to reflect such events as stock splits, stock dividends and recapitalization with respect to the Common Stock) (such number in clause (ii), the “</w:t>
      </w:r>
      <w:r>
        <w:rPr>
          <w:rFonts w:ascii="Arial" w:cs="Arial" w:eastAsia="Arial" w:hAnsi="Arial"/>
          <w:sz w:val="16"/>
          <w:szCs w:val="16"/>
          <w:u w:val="single" w:color="auto"/>
          <w:color w:val="auto"/>
        </w:rPr>
        <w:t>Adjustment Number</w:t>
      </w:r>
      <w:r>
        <w:rPr>
          <w:rFonts w:ascii="Arial" w:cs="Arial" w:eastAsia="Arial" w:hAnsi="Arial"/>
          <w:sz w:val="16"/>
          <w:szCs w:val="16"/>
          <w:color w:val="auto"/>
        </w:rPr>
        <w:t>”). Following</w:t>
      </w:r>
    </w:p>
    <w:p>
      <w:pPr>
        <w:sectPr>
          <w:pgSz w:w="11900" w:h="16838" w:orient="portrait"/>
          <w:cols w:equalWidth="0" w:num="1">
            <w:col w:w="11412"/>
          </w:cols>
          <w:pgMar w:left="248" w:top="280" w:right="239" w:bottom="772" w:gutter="0" w:footer="0" w:header="0"/>
        </w:sectPr>
      </w:pPr>
    </w:p>
    <w:bookmarkStart w:id="30" w:name="page31"/>
    <w:bookmarkEnd w:id="30"/>
    <w:p>
      <w:pPr>
        <w:ind w:right="1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payment of the full amount of the Series A Liquidation Preference and the Common Adjustment in respect of all outstanding shares of Series A Participating Preferred Stock and Common Stock, respectively, holders of Series A Participating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143" w:lineRule="exact"/>
        <w:rPr>
          <w:sz w:val="20"/>
          <w:szCs w:val="20"/>
          <w:color w:val="auto"/>
        </w:rPr>
      </w:pPr>
    </w:p>
    <w:p>
      <w:pPr>
        <w:ind w:right="380" w:firstLine="8"/>
        <w:spacing w:after="0" w:line="294"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event there are not sufficient assets available to permit payment in full of the Series A Liquidation Preference and the liquidation preferences of all other series of Preferred Stock, if any, which rank on a parity with the Series A Participating Preferred Stock, then such remaining assets shall be distributed ratably to the holders of such parity shares in proportion to their respective liquidation preferences. In the event, following payment in full of all liquidation preferences of all shares senior to Common Stock (including the Series A Participating Preferred Stock), there are not sufficient assets available to permit payment in full of the Common Adjustment, then the remaining assets shall be distributed ratably to the holders of Common Stock.</w:t>
      </w:r>
    </w:p>
    <w:p>
      <w:pPr>
        <w:spacing w:after="0" w:line="115" w:lineRule="exact"/>
        <w:rPr>
          <w:rFonts w:ascii="Arial" w:cs="Arial" w:eastAsia="Arial" w:hAnsi="Arial"/>
          <w:sz w:val="16"/>
          <w:szCs w:val="16"/>
          <w:color w:val="auto"/>
        </w:rPr>
      </w:pPr>
    </w:p>
    <w:p>
      <w:pPr>
        <w:ind w:right="80" w:firstLine="8"/>
        <w:spacing w:after="0" w:line="294" w:lineRule="auto"/>
        <w:tabs>
          <w:tab w:leader="none" w:pos="278"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 the event the Corporation shall at any time after the Rights Declaration Date (i) declare any dividend on Common Stock payable in shares of Common Stock, (ii) subdivide the outstanding Common Stock, or (iii) combine the outstanding Common Stock into a smaller number of shares, by reclassification or otherwise,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6" w:lineRule="exact"/>
        <w:rPr>
          <w:sz w:val="20"/>
          <w:szCs w:val="20"/>
          <w:color w:val="auto"/>
        </w:rPr>
      </w:pPr>
    </w:p>
    <w:p>
      <w:pPr>
        <w:ind w:right="20" w:firstLine="8"/>
        <w:spacing w:after="0" w:line="303" w:lineRule="auto"/>
        <w:tabs>
          <w:tab w:leader="none" w:pos="176" w:val="left"/>
        </w:tabs>
        <w:numPr>
          <w:ilvl w:val="0"/>
          <w:numId w:val="30"/>
        </w:numPr>
        <w:rPr>
          <w:rFonts w:ascii="Arial" w:cs="Arial" w:eastAsia="Arial" w:hAnsi="Arial"/>
          <w:sz w:val="15"/>
          <w:szCs w:val="15"/>
          <w:color w:val="auto"/>
        </w:rPr>
      </w:pPr>
      <w:r>
        <w:rPr>
          <w:rFonts w:ascii="Arial" w:cs="Arial" w:eastAsia="Arial" w:hAnsi="Arial"/>
          <w:sz w:val="15"/>
          <w:szCs w:val="15"/>
          <w:u w:val="single" w:color="auto"/>
          <w:color w:val="auto"/>
        </w:rPr>
        <w:t>Consolidation, Merger, etc</w:t>
      </w:r>
      <w:r>
        <w:rPr>
          <w:rFonts w:ascii="Arial" w:cs="Arial" w:eastAsia="Arial" w:hAnsi="Arial"/>
          <w:sz w:val="15"/>
          <w:szCs w:val="15"/>
          <w:color w:val="auto"/>
        </w:rPr>
        <w:t>. In case the Corporation shall enter into any consolidation, merger, combination or other transaction in which the shares of Common Stock are exchanged for or changed into other stock or securities, cash or any other property, then in any such case the shares of Series A Participating Preferred Stock shall at the same time be similarly exchanged or changed in an amount per share (subject to the provision for adjustment hereinafter set forth) equal to</w:t>
      </w:r>
    </w:p>
    <w:p>
      <w:pPr>
        <w:spacing w:after="0" w:line="1" w:lineRule="exact"/>
        <w:rPr>
          <w:rFonts w:ascii="Arial" w:cs="Arial" w:eastAsia="Arial" w:hAnsi="Arial"/>
          <w:sz w:val="15"/>
          <w:szCs w:val="15"/>
          <w:color w:val="auto"/>
        </w:rPr>
      </w:pPr>
    </w:p>
    <w:p>
      <w:pPr>
        <w:ind w:right="100"/>
        <w:spacing w:after="0" w:line="290" w:lineRule="auto"/>
        <w:rPr>
          <w:rFonts w:ascii="Arial" w:cs="Arial" w:eastAsia="Arial" w:hAnsi="Arial"/>
          <w:sz w:val="15"/>
          <w:szCs w:val="15"/>
          <w:color w:val="auto"/>
        </w:rPr>
      </w:pPr>
      <w:r>
        <w:rPr>
          <w:rFonts w:ascii="Arial" w:cs="Arial" w:eastAsia="Arial" w:hAnsi="Arial"/>
          <w:sz w:val="16"/>
          <w:szCs w:val="16"/>
          <w:color w:val="auto"/>
        </w:rPr>
        <w:t>1,000 times the aggregate amount of stock, securities, cash or any other property (payable in kind), as the case may be, into which or for which each share of Common Stock is changed or exchanged. In the event the Corporation shall at any time after the Rights Declaration Date (i) declare any dividend on Common Stock payable in shares of Common Stock, (ii) subdivide the outstanding Common Stock, or (iii) combine the outstanding Common Stock into a smaller number of shares, then in each such case the amount set forth in the preceding sentence with respect to the exchange or change of shares of Series A Participating Preferred Stock shall be adjusted by multiplying such amount by a fraction the numerator of which is the number of shares of Common Stock outstanding immediately after such event and the denominator of which is the number of shares of Common Stock that are outstanding immediately prior to such event.</w:t>
      </w:r>
    </w:p>
    <w:p>
      <w:pPr>
        <w:spacing w:after="0" w:line="118" w:lineRule="exact"/>
        <w:rPr>
          <w:rFonts w:ascii="Arial" w:cs="Arial" w:eastAsia="Arial" w:hAnsi="Arial"/>
          <w:sz w:val="15"/>
          <w:szCs w:val="15"/>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 The shares of Series A Participating Preferred Stock shall not be redeemable.</w:t>
      </w:r>
    </w:p>
    <w:p>
      <w:pPr>
        <w:spacing w:after="0" w:line="171" w:lineRule="exact"/>
        <w:rPr>
          <w:rFonts w:ascii="Arial" w:cs="Arial" w:eastAsia="Arial" w:hAnsi="Arial"/>
          <w:sz w:val="18"/>
          <w:szCs w:val="18"/>
          <w:color w:val="auto"/>
        </w:rPr>
      </w:pPr>
    </w:p>
    <w:p>
      <w:pPr>
        <w:ind w:right="40" w:firstLine="8"/>
        <w:spacing w:after="0" w:line="268" w:lineRule="auto"/>
        <w:tabs>
          <w:tab w:leader="none" w:pos="17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Ranking</w:t>
      </w:r>
      <w:r>
        <w:rPr>
          <w:rFonts w:ascii="Arial" w:cs="Arial" w:eastAsia="Arial" w:hAnsi="Arial"/>
          <w:sz w:val="18"/>
          <w:szCs w:val="18"/>
          <w:color w:val="auto"/>
        </w:rPr>
        <w:t>. The Series A Participating Preferred Stock shall rank junior to all other series of the Corporation’s Preferred Stock as to the payment of dividends and the distribution of assets, unless the terms of any such series shall provide otherwise.</w:t>
      </w:r>
    </w:p>
    <w:p>
      <w:pPr>
        <w:spacing w:after="0" w:line="131" w:lineRule="exact"/>
        <w:rPr>
          <w:rFonts w:ascii="Arial" w:cs="Arial" w:eastAsia="Arial" w:hAnsi="Arial"/>
          <w:sz w:val="18"/>
          <w:szCs w:val="18"/>
          <w:color w:val="auto"/>
        </w:rPr>
      </w:pPr>
    </w:p>
    <w:p>
      <w:pPr>
        <w:ind w:firstLine="8"/>
        <w:spacing w:after="0" w:line="306" w:lineRule="auto"/>
        <w:tabs>
          <w:tab w:leader="none" w:pos="263"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xml:space="preserve">. The Certificate of Incorporation and the By-Laws of the Corporation shall not be further amended in any manner which would materially alter or change the powers, preferences or special rights of the Series A Participating Preferred Stock so as to affect them adversely without the affirmative vote of the holders of at least 66- </w:t>
      </w:r>
      <w:r>
        <w:rPr>
          <w:rFonts w:ascii="Arial" w:cs="Arial" w:eastAsia="Arial" w:hAnsi="Arial"/>
          <w:sz w:val="10"/>
          <w:szCs w:val="10"/>
          <w:color w:val="auto"/>
        </w:rPr>
        <w:t>2</w:t>
      </w:r>
      <w:r>
        <w:rPr>
          <w:rFonts w:ascii="Arial" w:cs="Arial" w:eastAsia="Arial" w:hAnsi="Arial"/>
          <w:sz w:val="16"/>
          <w:szCs w:val="16"/>
          <w:color w:val="auto"/>
        </w:rPr>
        <w:t>/3% of the outstanding shares of Series A Participating Preferred Stock voting separately as a class.</w:t>
      </w:r>
    </w:p>
    <w:p>
      <w:pPr>
        <w:spacing w:after="0" w:line="106" w:lineRule="exact"/>
        <w:rPr>
          <w:rFonts w:ascii="Arial" w:cs="Arial" w:eastAsia="Arial" w:hAnsi="Arial"/>
          <w:sz w:val="16"/>
          <w:szCs w:val="16"/>
          <w:color w:val="auto"/>
        </w:rPr>
      </w:pPr>
    </w:p>
    <w:p>
      <w:pPr>
        <w:ind w:right="320" w:firstLine="8"/>
        <w:spacing w:after="0" w:line="306" w:lineRule="auto"/>
        <w:tabs>
          <w:tab w:leader="none" w:pos="257" w:val="left"/>
        </w:tabs>
        <w:numPr>
          <w:ilvl w:val="0"/>
          <w:numId w:val="30"/>
        </w:numPr>
        <w:rPr>
          <w:rFonts w:ascii="Arial" w:cs="Arial" w:eastAsia="Arial" w:hAnsi="Arial"/>
          <w:sz w:val="16"/>
          <w:szCs w:val="16"/>
          <w:color w:val="auto"/>
        </w:rPr>
      </w:pPr>
      <w:r>
        <w:rPr>
          <w:rFonts w:ascii="Arial" w:cs="Arial" w:eastAsia="Arial" w:hAnsi="Arial"/>
          <w:sz w:val="16"/>
          <w:szCs w:val="16"/>
          <w:u w:val="single" w:color="auto"/>
          <w:color w:val="auto"/>
        </w:rPr>
        <w:t>Fractional Shares</w:t>
      </w:r>
      <w:r>
        <w:rPr>
          <w:rFonts w:ascii="Arial" w:cs="Arial" w:eastAsia="Arial" w:hAnsi="Arial"/>
          <w:sz w:val="16"/>
          <w:szCs w:val="16"/>
          <w:color w:val="auto"/>
        </w:rPr>
        <w:t>. Series A Participating Preferred Stock may be issued in fractions of a share which shall entitle the holder, in proportion to such holder’s fractional shares, to exercise voting rights, receive dividends, participate in distributions and to have the benefit of all other rights of holders of Series A Participating Preferred Stock.</w:t>
      </w:r>
    </w:p>
    <w:p>
      <w:pPr>
        <w:spacing w:after="0" w:line="10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WITNESS WHEREOF, we have executed and subscribed this Certificate and do affirm the foregoing as true under the penalties of perjury as of the 24</w:t>
      </w:r>
      <w:r>
        <w:rPr>
          <w:rFonts w:ascii="Arial" w:cs="Arial" w:eastAsia="Arial" w:hAnsi="Arial"/>
          <w:sz w:val="11"/>
          <w:szCs w:val="11"/>
          <w:color w:val="auto"/>
        </w:rPr>
        <w:t>th</w:t>
      </w:r>
      <w:r>
        <w:rPr>
          <w:rFonts w:ascii="Arial" w:cs="Arial" w:eastAsia="Arial" w:hAnsi="Arial"/>
          <w:sz w:val="18"/>
          <w:szCs w:val="18"/>
          <w:color w:val="auto"/>
        </w:rPr>
        <w:t xml:space="preserve"> day of November, 2006.</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Attest:</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David R. Snyder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David R. Snyder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ectPr>
          <w:pgSz w:w="11900" w:h="16838" w:orient="portrait"/>
          <w:cols w:equalWidth="0" w:num="1">
            <w:col w:w="11420"/>
          </w:cols>
          <w:pgMar w:left="240" w:top="280"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Restated Certificate of Incorporation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MEDICINOVA, INC.</w:t>
      </w:r>
    </w:p>
    <w:p>
      <w:pPr>
        <w:spacing w:after="0" w:line="165" w:lineRule="exact"/>
        <w:rPr>
          <w:sz w:val="20"/>
          <w:szCs w:val="20"/>
          <w:color w:val="auto"/>
        </w:rPr>
      </w:pPr>
    </w:p>
    <w:p>
      <w:pPr>
        <w:ind w:left="3540"/>
        <w:spacing w:after="0"/>
        <w:rPr>
          <w:sz w:val="20"/>
          <w:szCs w:val="20"/>
          <w:color w:val="auto"/>
        </w:rPr>
      </w:pPr>
      <w:r>
        <w:rPr>
          <w:rFonts w:ascii="Arial" w:cs="Arial" w:eastAsia="Arial" w:hAnsi="Arial"/>
          <w:sz w:val="18"/>
          <w:szCs w:val="18"/>
          <w:color w:val="auto"/>
        </w:rPr>
        <w:t>Under Section 242 of the Delaware General Corporation Law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MediciNova, Inc., a corporation organized and existing under the laws of the State of Delaware (the “Corporation”) hereby certifies as follows:</w:t>
      </w:r>
    </w:p>
    <w:p>
      <w:pPr>
        <w:spacing w:after="0" w:line="171" w:lineRule="exact"/>
        <w:rPr>
          <w:sz w:val="20"/>
          <w:szCs w:val="20"/>
          <w:color w:val="auto"/>
        </w:rPr>
      </w:pPr>
    </w:p>
    <w:p>
      <w:pPr>
        <w:ind w:right="60" w:firstLine="8"/>
        <w:spacing w:after="0" w:line="268" w:lineRule="auto"/>
        <w:tabs>
          <w:tab w:leader="none" w:pos="17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is hereby amended by changing Article IV, Section A thereof so that, as amended, said Article IV, Section A shall be and read as follows: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Stock</w:t>
      </w:r>
      <w:r>
        <w:rPr>
          <w:rFonts w:ascii="Arial" w:cs="Arial" w:eastAsia="Arial" w:hAnsi="Arial"/>
          <w:sz w:val="16"/>
          <w:szCs w:val="16"/>
          <w:color w:val="auto"/>
        </w:rPr>
        <w:t>. The Corporation is authorized to issue two classes of stock to be designated respectively Preferred Stock (“Preferred Stock”) and Common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Stock (“Common Stock”). The total number of all shares of all classes of capital stock the Corporation shall have authority to issue is thirty million five hundred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thousand (30,500,000). The total number of shares of Preferred Stock the Corporation shall have authority to issue is five hundred thousand (500,000). The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shares of Common Stock the Corporation shall have authority to issue is thirty million (30,000,000). The Preferred Stock shall have a par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$0.01 per share and the Common Stock shall have a par value of $0.001 per share. The number of authorized shares of Common Stock or Preferred Stock may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increased or decreased (but not below the number of shares thereof then outstanding) by the affirmative vote of the holders of a majority of the then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without a vote of the holders of Preferred Stock, or of any series thereof, unless a vote of any such holders of Preferred Stock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pursuant to the provisions established by the Board of Directors of the Corporation (the “Board of Directors”) in the resolution or resolutions providing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issue of such Preferred Stock, and if such holders of such Preferred Stock are so entitled to vote thereon, then, except as may otherwise be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Restated Certificate of Incorporation, the only stockholder approval required shall be the affirmative vote of a majority of the combined voting power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the Preferred Stock so entitled to vote.</w:t>
      </w:r>
    </w:p>
    <w:p>
      <w:pPr>
        <w:spacing w:after="0" w:line="16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Each ten (10) shares of the Corporation’s Common Stock, par value $.001 per share, issued and outstanding as of the close of business on October 30, 2006 shall be converted and reclassified into one (1) share of the Corporation’s Common Stock, par value $.001 per share.”</w:t>
      </w:r>
    </w:p>
    <w:p>
      <w:pPr>
        <w:spacing w:after="0" w:line="132" w:lineRule="exact"/>
        <w:rPr>
          <w:sz w:val="20"/>
          <w:szCs w:val="20"/>
          <w:color w:val="auto"/>
        </w:rPr>
      </w:pPr>
    </w:p>
    <w:p>
      <w:pPr>
        <w:ind w:right="100" w:firstLine="8"/>
        <w:spacing w:after="0" w:line="268" w:lineRule="auto"/>
        <w:tabs>
          <w:tab w:leader="none" w:pos="176"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signed this Certificate this 6</w:t>
      </w:r>
      <w:r>
        <w:rPr>
          <w:rFonts w:ascii="Arial" w:cs="Arial" w:eastAsia="Arial" w:hAnsi="Arial"/>
          <w:sz w:val="11"/>
          <w:szCs w:val="11"/>
          <w:color w:val="auto"/>
        </w:rPr>
        <w:t>th</w:t>
      </w:r>
      <w:r>
        <w:rPr>
          <w:rFonts w:ascii="Arial" w:cs="Arial" w:eastAsia="Arial" w:hAnsi="Arial"/>
          <w:sz w:val="18"/>
          <w:szCs w:val="18"/>
          <w:color w:val="auto"/>
        </w:rPr>
        <w:t xml:space="preserve"> day of June,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YUICHI IWAKI,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380"/>
          </w:cols>
          <w:pgMar w:left="240" w:top="280" w:right="27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AMENDMENT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 Section 242 of the Delaware General Corporation Law</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MediciNova, Inc., a corporation organized and existing under the laws of the State of Delaware (the “Corporation”) hereby certifies as follows:</w:t>
      </w:r>
    </w:p>
    <w:p>
      <w:pPr>
        <w:spacing w:after="0" w:line="194" w:lineRule="exact"/>
        <w:rPr>
          <w:sz w:val="20"/>
          <w:szCs w:val="20"/>
          <w:color w:val="auto"/>
        </w:rPr>
      </w:pPr>
    </w:p>
    <w:p>
      <w:pPr>
        <w:ind w:right="420" w:firstLine="464"/>
        <w:spacing w:after="0" w:line="268" w:lineRule="auto"/>
        <w:tabs>
          <w:tab w:leader="none" w:pos="63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Restated Certificate of Incorporation of the Corporation is hereby amended by changing Article IV, Section A thereof so that, as amended, said Article IV, Section A shall be and read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Authorized Stock</w:t>
      </w:r>
      <w:r>
        <w:rPr>
          <w:rFonts w:ascii="Arial" w:cs="Arial" w:eastAsia="Arial" w:hAnsi="Arial"/>
          <w:sz w:val="16"/>
          <w:szCs w:val="16"/>
          <w:color w:val="auto"/>
        </w:rPr>
        <w:t>. The Corporation is authorized to issue two classes of stock to be designated respectively Preferred Stock (“Preferred Stock”)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(“Common Stock”). The total number of all shares of all classes of capital stock the Corporation shall have authority to issue is one hundred three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(103,000,000). The total number of shares of Preferred Stock the Corporation shall have authority to issue is three million (3,000,000). The total number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shares of Common Stock the Corporation shall have authority to issue is one hundred million (100,000,000). The Preferred Stock shall have a par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$0.01 per share and the Common Stock shall have a par value of $0.001 per share. The number of authorized shares of Common Stock or Preferred Stock may be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increased or decreased (but not below the number of shares thereof then outstanding) by the affirmative vote of the holders of a majority of the then outstanding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without a vote of the holders of Preferred Stock, or of any series thereof, unless a vote of any such holders of Preferred Stock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required pursuant to the provisions established by the Board of Directors of the Corporation (the “Board of Directors”) in the resolution or resolutions providing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for the issue of such Preferred Stock, and if such holders of such Preferred Stock are so entitled to vote thereon, then, except as may otherwise be set forth in this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Restated Certificate of Incorporation, the only stockholder approval required shall be the affirmative vote of a majority of the combined voting power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Common Stock and the Preferred Stock so entitled to vote.</w:t>
      </w:r>
    </w:p>
    <w:p>
      <w:pPr>
        <w:spacing w:after="0" w:line="16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Each ten (10) shares of the Corporation’s Common Stock, par value $.001 per share, issued and outstanding as of the close of business on October 30, 2006 shall be converted and reclassified into one (1) share of the Corporation’s Common Stock, par value $.001 per share.”</w:t>
      </w:r>
    </w:p>
    <w:p>
      <w:pPr>
        <w:spacing w:after="0" w:line="132" w:lineRule="exact"/>
        <w:rPr>
          <w:sz w:val="20"/>
          <w:szCs w:val="20"/>
          <w:color w:val="auto"/>
        </w:rPr>
      </w:pPr>
    </w:p>
    <w:p>
      <w:pPr>
        <w:ind w:firstLine="464"/>
        <w:spacing w:after="0" w:line="268" w:lineRule="auto"/>
        <w:tabs>
          <w:tab w:leader="none" w:pos="632"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foregoing amendment has been duly adopted in accordance with the provisions of Section 242 of the Delaware General Corporation Law by the vote of a majority of the outstanding shares of common stock of the Corporation.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signed this Certificate this 18</w:t>
      </w:r>
      <w:r>
        <w:rPr>
          <w:rFonts w:ascii="Arial" w:cs="Arial" w:eastAsia="Arial" w:hAnsi="Arial"/>
          <w:sz w:val="11"/>
          <w:szCs w:val="11"/>
          <w:color w:val="auto"/>
        </w:rPr>
        <w:t>th</w:t>
      </w:r>
      <w:r>
        <w:rPr>
          <w:rFonts w:ascii="Arial" w:cs="Arial" w:eastAsia="Arial" w:hAnsi="Arial"/>
          <w:sz w:val="18"/>
          <w:szCs w:val="18"/>
          <w:color w:val="auto"/>
        </w:rPr>
        <w:t xml:space="preserve"> day of June,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Yuichi Iwaki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YUICHI IWAKI, M.D., PH.D.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CEO</w:t>
      </w:r>
    </w:p>
    <w:p>
      <w:pPr>
        <w:sectPr>
          <w:pgSz w:w="11900" w:h="16838" w:orient="portrait"/>
          <w:cols w:equalWidth="0" w:num="1">
            <w:col w:w="11420"/>
          </w:cols>
          <w:pgMar w:left="240" w:top="274"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90" w:lineRule="exact"/>
        <w:rPr>
          <w:sz w:val="20"/>
          <w:szCs w:val="20"/>
          <w:color w:val="auto"/>
        </w:rPr>
      </w:pPr>
    </w:p>
    <w:p>
      <w:pPr>
        <w:ind w:left="640" w:hanging="176"/>
        <w:spacing w:after="0"/>
        <w:tabs>
          <w:tab w:leader="none" w:pos="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860"/>
        <w:spacing w:after="0"/>
        <w:tabs>
          <w:tab w:leader="none" w:pos="8620" w:val="left"/>
          <w:tab w:leader="none" w:pos="8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MEDICINOVA, INC.</w:t>
      </w:r>
    </w:p>
    <w:p>
      <w:pPr>
        <w:spacing w:after="0" w:line="90"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 Michael Gennaro, certify that:</w:t>
      </w:r>
    </w:p>
    <w:p>
      <w:pPr>
        <w:spacing w:after="0" w:line="90" w:lineRule="exact"/>
        <w:rPr>
          <w:sz w:val="20"/>
          <w:szCs w:val="20"/>
          <w:color w:val="auto"/>
        </w:rPr>
      </w:pPr>
    </w:p>
    <w:p>
      <w:pPr>
        <w:ind w:left="640" w:hanging="176"/>
        <w:spacing w:after="0"/>
        <w:tabs>
          <w:tab w:leader="none" w:pos="6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2012 of MediciNova, Inc. (the “Registrant”);</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3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280" w:firstLine="464"/>
        <w:spacing w:after="0" w:line="259" w:lineRule="auto"/>
        <w:tabs>
          <w:tab w:leader="none" w:pos="632"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jc w:val="both"/>
        <w:ind w:left="460" w:right="420" w:firstLine="443"/>
        <w:spacing w:after="0" w:line="259"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2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460" w:right="840" w:firstLine="443"/>
        <w:spacing w:after="0" w:line="332" w:lineRule="auto"/>
        <w:tabs>
          <w:tab w:leader="none" w:pos="1078"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160" w:firstLine="443"/>
        <w:spacing w:after="0" w:line="259"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400" w:firstLine="464"/>
        <w:spacing w:after="0" w:line="332" w:lineRule="auto"/>
        <w:tabs>
          <w:tab w:leader="none" w:pos="6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320" w:firstLine="443"/>
        <w:spacing w:after="0" w:line="268" w:lineRule="auto"/>
        <w:tabs>
          <w:tab w:leader="none" w:pos="107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220" w:firstLine="443"/>
        <w:spacing w:after="0" w:line="268" w:lineRule="auto"/>
        <w:tabs>
          <w:tab w:leader="none" w:pos="1088"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2012,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860"/>
        <w:spacing w:after="0"/>
        <w:tabs>
          <w:tab w:leader="none" w:pos="8620" w:val="left"/>
          <w:tab w:leader="none" w:pos="89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Y</w:t>
      </w:r>
      <w:r>
        <w:rPr>
          <w:rFonts w:ascii="Arial" w:cs="Arial" w:eastAsia="Arial" w:hAnsi="Arial"/>
          <w:sz w:val="14"/>
          <w:szCs w:val="14"/>
          <w:color w:val="auto"/>
        </w:rPr>
        <w:t>UICHI</w:t>
      </w:r>
      <w:r>
        <w:rPr>
          <w:rFonts w:ascii="Arial" w:cs="Arial" w:eastAsia="Arial" w:hAnsi="Arial"/>
          <w:sz w:val="18"/>
          <w:szCs w:val="18"/>
          <w:color w:val="auto"/>
        </w:rPr>
        <w:t xml:space="preserve"> I</w:t>
      </w:r>
      <w:r>
        <w:rPr>
          <w:rFonts w:ascii="Arial" w:cs="Arial" w:eastAsia="Arial" w:hAnsi="Arial"/>
          <w:sz w:val="14"/>
          <w:szCs w:val="14"/>
          <w:color w:val="auto"/>
        </w:rPr>
        <w:t>WAKI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Yuichi Iwaki, M.D., Ph.D.</w:t>
      </w:r>
    </w:p>
    <w:p>
      <w:pPr>
        <w:jc w:val="center"/>
        <w:ind w:left="7240"/>
        <w:spacing w:after="0" w:line="223"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240"/>
        <w:spacing w:after="0"/>
        <w:rPr>
          <w:sz w:val="20"/>
          <w:szCs w:val="20"/>
          <w:color w:val="auto"/>
        </w:rPr>
      </w:pPr>
      <w:r>
        <w:rPr>
          <w:rFonts w:ascii="Arial" w:cs="Arial" w:eastAsia="Arial" w:hAnsi="Arial"/>
          <w:sz w:val="14"/>
          <w:szCs w:val="14"/>
          <w:b w:val="1"/>
          <w:bCs w:val="1"/>
          <w:color w:val="auto"/>
        </w:rPr>
        <w:t>(Principal Executive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2012, as filed with the Securities and Exchange Commission on the date hereof (the “Report”), I, Michael Gennaro, as Vice President and Chief Financial Officer of the Company, hereby certify, pursuant to 18 U.S.C. Section 1350, as adopted pursuant to Section 906 of the Sarbanes-Oxley Act of 2002, that to my knowledge:</w:t>
      </w:r>
    </w:p>
    <w:p>
      <w:pPr>
        <w:spacing w:after="0" w:line="26" w:lineRule="exact"/>
        <w:rPr>
          <w:sz w:val="20"/>
          <w:szCs w:val="20"/>
          <w:color w:val="auto"/>
        </w:rPr>
      </w:pPr>
    </w:p>
    <w:p>
      <w:pPr>
        <w:ind w:left="1080" w:hanging="177"/>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080" w:hanging="177"/>
        <w:spacing w:after="0"/>
        <w:tabs>
          <w:tab w:leader="none" w:pos="10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August 9, 2012</w:t>
      </w:r>
    </w:p>
    <w:p>
      <w:pPr>
        <w:spacing w:after="0" w:line="225" w:lineRule="exact"/>
        <w:rPr>
          <w:sz w:val="20"/>
          <w:szCs w:val="20"/>
          <w:color w:val="auto"/>
        </w:rPr>
      </w:pPr>
    </w:p>
    <w:p>
      <w:pPr>
        <w:ind w:left="6860"/>
        <w:spacing w:after="0"/>
        <w:tabs>
          <w:tab w:leader="none" w:pos="8400" w:val="left"/>
          <w:tab w:leader="none" w:pos="8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tab/>
        <w:t>M</w:t>
      </w:r>
      <w:r>
        <w:rPr>
          <w:rFonts w:ascii="Arial" w:cs="Arial" w:eastAsia="Arial" w:hAnsi="Arial"/>
          <w:sz w:val="14"/>
          <w:szCs w:val="14"/>
          <w:color w:val="auto"/>
        </w:rPr>
        <w:t>ICHAEL</w:t>
      </w:r>
      <w:r>
        <w:rPr>
          <w:rFonts w:ascii="Arial" w:cs="Arial" w:eastAsia="Arial" w:hAnsi="Arial"/>
          <w:sz w:val="18"/>
          <w:szCs w:val="18"/>
          <w:color w:val="auto"/>
        </w:rPr>
        <w:t xml:space="preserve"> G</w:t>
      </w:r>
      <w:r>
        <w:rPr>
          <w:rFonts w:ascii="Arial" w:cs="Arial" w:eastAsia="Arial" w:hAnsi="Arial"/>
          <w:sz w:val="14"/>
          <w:szCs w:val="14"/>
          <w:color w:val="auto"/>
        </w:rPr>
        <w:t>ENNARO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2"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Michael Gennaro</w:t>
      </w:r>
    </w:p>
    <w:p>
      <w:pPr>
        <w:jc w:val="center"/>
        <w:ind w:left="7240"/>
        <w:spacing w:after="0" w:line="223" w:lineRule="auto"/>
        <w:rPr>
          <w:sz w:val="20"/>
          <w:szCs w:val="20"/>
          <w:color w:val="auto"/>
        </w:rPr>
      </w:pPr>
      <w:r>
        <w:rPr>
          <w:rFonts w:ascii="Arial" w:cs="Arial" w:eastAsia="Arial" w:hAnsi="Arial"/>
          <w:sz w:val="14"/>
          <w:szCs w:val="14"/>
          <w:b w:val="1"/>
          <w:bCs w:val="1"/>
          <w:color w:val="auto"/>
        </w:rPr>
        <w:t>Chief Financial Officer</w:t>
      </w:r>
    </w:p>
    <w:p>
      <w:pPr>
        <w:jc w:val="center"/>
        <w:ind w:left="7240"/>
        <w:spacing w:after="0"/>
        <w:rPr>
          <w:sz w:val="20"/>
          <w:szCs w:val="20"/>
          <w:color w:val="auto"/>
        </w:rPr>
      </w:pPr>
      <w:r>
        <w:rPr>
          <w:rFonts w:ascii="Arial" w:cs="Arial" w:eastAsia="Arial" w:hAnsi="Arial"/>
          <w:sz w:val="14"/>
          <w:szCs w:val="14"/>
          <w:b w:val="1"/>
          <w:bCs w:val="1"/>
          <w:color w:val="auto"/>
        </w:rPr>
        <w:t>(Principal Financial Officer)</w:t>
      </w:r>
    </w:p>
    <w:p>
      <w:pPr>
        <w:spacing w:after="0" w:line="154"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decimal"/>
      <w:start w:val="1"/>
    </w:lvl>
  </w:abstractNum>
  <w:abstractNum w:abstractNumId="3">
    <w:nsid w:val="628C895D"/>
    <w:multiLevelType w:val="hybridMultilevel"/>
    <w:lvl w:ilvl="0">
      <w:lvlJc w:val="left"/>
      <w:lvlText w:val="%1."/>
      <w:numFmt w:val="decimal"/>
      <w:start w:val="8"/>
    </w:lvl>
  </w:abstractNum>
  <w:abstractNum w:abstractNumId="4">
    <w:nsid w:val="333AB105"/>
    <w:multiLevelType w:val="hybridMultilevel"/>
    <w:lvl w:ilvl="0">
      <w:lvlJc w:val="left"/>
      <w:lvlText w:val="%1."/>
      <w:numFmt w:val="decimal"/>
      <w:start w:val="11"/>
    </w:lvl>
  </w:abstractNum>
  <w:abstractNum w:abstractNumId="5">
    <w:nsid w:val="721DA317"/>
    <w:multiLevelType w:val="hybridMultilevel"/>
    <w:lvl w:ilvl="0">
      <w:lvlJc w:val="left"/>
      <w:lvlText w:val="%1."/>
      <w:numFmt w:val="decimal"/>
      <w:start w:val="12"/>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
      <w:numFmt w:val="bullet"/>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2"/>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upperLetter"/>
      <w:start w:val="1"/>
    </w:lvl>
  </w:abstractNum>
  <w:abstractNum w:abstractNumId="18">
    <w:nsid w:val="836C40E"/>
    <w:multiLevelType w:val="hybridMultilevel"/>
    <w:lvl w:ilvl="0">
      <w:lvlJc w:val="left"/>
      <w:lvlText w:val="(%1)"/>
      <w:numFmt w:val="upperLetter"/>
      <w:start w:val="1"/>
    </w:lvl>
  </w:abstractNum>
  <w:abstractNum w:abstractNumId="19">
    <w:nsid w:val="2901D82"/>
    <w:multiLevelType w:val="hybridMultilevel"/>
    <w:lvl w:ilvl="0">
      <w:lvlJc w:val="left"/>
      <w:lvlText w:val="(%1)"/>
      <w:numFmt w:val="upperLetter"/>
      <w:start w:val="3"/>
    </w:lvl>
  </w:abstractNum>
  <w:abstractNum w:abstractNumId="20">
    <w:nsid w:val="3A95F874"/>
    <w:multiLevelType w:val="hybridMultilevel"/>
    <w:lvl w:ilvl="0">
      <w:lvlJc w:val="left"/>
      <w:lvlText w:val="(%1)"/>
      <w:numFmt w:val="lowerRoman"/>
      <w:start w:val="2"/>
    </w:lvl>
  </w:abstractNum>
  <w:abstractNum w:abstractNumId="21">
    <w:nsid w:val="8138641"/>
    <w:multiLevelType w:val="hybridMultilevel"/>
    <w:lvl w:ilvl="0">
      <w:lvlJc w:val="left"/>
      <w:lvlText w:val="(%1)"/>
      <w:numFmt w:val="upperLetter"/>
      <w:start w:val="4"/>
    </w:lvl>
  </w:abstractNum>
  <w:abstractNum w:abstractNumId="22">
    <w:nsid w:val="1E7FF521"/>
    <w:multiLevelType w:val="hybridMultilevel"/>
    <w:lvl w:ilvl="0">
      <w:lvlJc w:val="left"/>
      <w:lvlText w:val="%1."/>
      <w:numFmt w:val="decimal"/>
      <w:start w:val="4"/>
    </w:lvl>
  </w:abstractNum>
  <w:abstractNum w:abstractNumId="23">
    <w:nsid w:val="7C3DBD3D"/>
    <w:multiLevelType w:val="hybridMultilevel"/>
    <w:lvl w:ilvl="0">
      <w:lvlJc w:val="left"/>
      <w:lvlText w:val="(%1)"/>
      <w:numFmt w:val="upperLetter"/>
      <w:start w:val="1"/>
    </w:lvl>
  </w:abstractNum>
  <w:abstractNum w:abstractNumId="24">
    <w:nsid w:val="737B8DDC"/>
    <w:multiLevelType w:val="hybridMultilevel"/>
    <w:lvl w:ilvl="0">
      <w:lvlJc w:val="left"/>
      <w:lvlText w:val="(%1)"/>
      <w:numFmt w:val="lowerRoman"/>
      <w:start w:val="1"/>
    </w:lvl>
  </w:abstractNum>
  <w:abstractNum w:abstractNumId="25">
    <w:nsid w:val="6CEAF087"/>
    <w:multiLevelType w:val="hybridMultilevel"/>
    <w:lvl w:ilvl="0">
      <w:lvlJc w:val="left"/>
      <w:lvlText w:val="(%1)"/>
      <w:numFmt w:val="upperLetter"/>
      <w:start w:val="2"/>
    </w:lvl>
  </w:abstractNum>
  <w:abstractNum w:abstractNumId="26">
    <w:nsid w:val="22221A70"/>
    <w:multiLevelType w:val="hybridMultilevel"/>
    <w:lvl w:ilvl="0">
      <w:lvlJc w:val="left"/>
      <w:lvlText w:val="%1."/>
      <w:numFmt w:val="decimal"/>
      <w:start w:val="5"/>
    </w:lvl>
  </w:abstractNum>
  <w:abstractNum w:abstractNumId="27">
    <w:nsid w:val="4516DDE9"/>
    <w:multiLevelType w:val="hybridMultilevel"/>
    <w:lvl w:ilvl="0">
      <w:lvlJc w:val="left"/>
      <w:lvlText w:val="(%1)"/>
      <w:numFmt w:val="upperLetter"/>
      <w:start w:val="1"/>
    </w:lvl>
  </w:abstractNum>
  <w:abstractNum w:abstractNumId="28">
    <w:nsid w:val="3006C83E"/>
    <w:multiLevelType w:val="hybridMultilevel"/>
    <w:lvl w:ilvl="0">
      <w:lvlJc w:val="left"/>
      <w:lvlText w:val="(%1)"/>
      <w:numFmt w:val="upperLetter"/>
      <w:start w:val="2"/>
    </w:lvl>
  </w:abstractNum>
  <w:abstractNum w:abstractNumId="29">
    <w:nsid w:val="614FD4A1"/>
    <w:multiLevelType w:val="hybridMultilevel"/>
    <w:lvl w:ilvl="0">
      <w:lvlJc w:val="left"/>
      <w:lvlText w:val="%1."/>
      <w:numFmt w:val="decimal"/>
      <w:start w:val="7"/>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decimal"/>
      <w:start w:val="2"/>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2019-12-09T16:59:03Z</dcterms:created>
  <dcterms:modified xsi:type="dcterms:W3CDTF">2019-12-09T16:59:03Z</dcterms:modified>
</cp:coreProperties>
</file>