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nov-20250930.htm"/>
      <w:bookmarkStart w:id="1" w:name="ksmnov2025093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 THE QUARTERLY PERIOD ENDED SEPTEMBER 30, 2025</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001-33185</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MEDICINOVA,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33-0927979</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4275 Executive Square,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 Jolla,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(858) 373-1500</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8380" w:type="dxa"/>
        <w:jc w:val="left"/>
        <w:tblInd w:w="0" w:type="dxa"/>
        <w:tblLayout w:type="fixed"/>
        <w:tblCellMar>
          <w:top w:w="28" w:type="dxa"/>
          <w:left w:w="28" w:type="dxa"/>
          <w:bottom w:w="28" w:type="dxa"/>
          <w:right w:w="28" w:type="dxa"/>
        </w:tblCellMar>
      </w:tblPr>
      <w:tblGrid>
        <w:gridCol w:w="2551"/>
        <w:gridCol w:w="146"/>
        <w:gridCol w:w="1711"/>
        <w:gridCol w:w="146"/>
        <w:gridCol w:w="382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MNOV</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bl>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bidi w:val="0"/>
        <w:jc w:val="left"/>
        <w:rPr/>
      </w:pPr>
      <w:r>
        <w:rPr/>
        <w:t> </w:t>
      </w:r>
    </w:p>
    <w:tbl>
      <w:tblPr>
        <w:tblW w:w="4414" w:type="dxa"/>
        <w:jc w:val="left"/>
        <w:tblInd w:w="0" w:type="dxa"/>
        <w:tblLayout w:type="fixed"/>
        <w:tblCellMar>
          <w:top w:w="28" w:type="dxa"/>
          <w:left w:w="28" w:type="dxa"/>
          <w:bottom w:w="28" w:type="dxa"/>
          <w:right w:w="28" w:type="dxa"/>
        </w:tblCellMar>
      </w:tblPr>
      <w:tblGrid>
        <w:gridCol w:w="1666"/>
        <w:gridCol w:w="376"/>
        <w:gridCol w:w="201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November 10, 2025, the registrant had 49,046,246</w:t>
      </w:r>
      <w:r>
        <w:rPr>
          <w:rFonts w:ascii="Times New Roman" w:hAnsi="Times New Roman"/>
          <w:color w:val="000000"/>
          <w:sz w:val="20"/>
        </w:rPr>
        <w:t xml:space="preserve"> </w:t>
      </w:r>
      <w:r>
        <w:rPr>
          <w:rFonts w:ascii="Times New Roman" w:hAnsi="Times New Roman"/>
          <w:color w:val="000000"/>
          <w:sz w:val="16"/>
        </w:rPr>
        <w:t>shares of Common Stock ($0.001 par value) outstanding.</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factors are among those that may cause actual results to differ materially from our forward-looking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raise additional capital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generate revenues from product sales to continue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develop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delay in completing clinical trials or obtaining Food and Drug Administration or foreign regulatory approval for our product candidates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Unsuccessful clinical trials stemming from clinical trial designs, failure to enroll a sufficient number of patients, undesirable side effects and other safety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demonstrate sufficient efficacy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success of our MN-166 (ibudilast) and MN-001 (tipelukast)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commencement or completion of clinical trials or suspension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our licensed rights to develop and commercialize a product candidate as a result of the termination of the underlying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develop products rendering our product candidates obsolete and noncompetitive;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successfully attract partners and enter into collaborations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third parties to conduct clinical trials and to manufacture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third parties to market and distribute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if approved, may not gain market acceptance or obtain adequate coverage for third party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concerning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and anticipated fluctuations in our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health epidemics on our business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public concern about the safety of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or foreign exchange restrictions, increased tariffs, foreign currency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quality material for our products may become difficult to obtain or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Strict government regulations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governing the production or marketing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or inability to attract,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political, foreign exchange and other risks associated with international operations.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“MediciNova,” “we,” “us” and “our” refer to MediciNova,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8"/>
        <w:gridCol w:w="331"/>
        <w:gridCol w:w="8409"/>
        <w:gridCol w:w="477"/>
      </w:tblGrid>
      <w:tr>
        <w:trPr/>
        <w:tc>
          <w:tcPr>
            <w:tcW w:w="9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4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pPr>
            <w:r>
              <w:rPr/>
              <w:t> </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1.</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consolidated_financial_statements">
              <w:r>
                <w:rPr>
                  <w:rStyle w:val="InternetLink"/>
                  <w:rFonts w:ascii="Times New Roman" w:hAnsi="Times New Roman"/>
                  <w:color w:val="0000FF"/>
                  <w:sz w:val="20"/>
                  <w:u w:val="single"/>
                </w:rPr>
                <w:t>CONDENSED CONSOLIDATED FINANCIAL STATEMENTS (unaudited)</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5</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17</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22</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4.</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u w:val="single"/>
                </w:rPr>
                <w:t>CONTROLS AND PROCEDURES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22</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pPr>
            <w:r>
              <w:rPr/>
              <w:t> </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1.</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u w:val="single"/>
                </w:rPr>
                <w:t>LEGAL PROCEEDINGS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1A.</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_equity_secutit">
              <w:r>
                <w:rPr>
                  <w:rStyle w:val="InternetLink"/>
                  <w:rFonts w:ascii="Times New Roman" w:hAnsi="Times New Roman"/>
                  <w:color w:val="0000FF"/>
                  <w:sz w:val="20"/>
                  <w:u w:val="single"/>
                </w:rPr>
                <w:t>UNREGISTERED SALES OF EQUITY SECURITIES AND USE OF PROCEEDS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4.</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5.</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5_other_information">
              <w:r>
                <w:rPr>
                  <w:rStyle w:val="InternetLink"/>
                  <w:rFonts w:ascii="Times New Roman" w:hAnsi="Times New Roman"/>
                  <w:color w:val="0000FF"/>
                  <w:sz w:val="20"/>
                  <w:u w:val="single"/>
                </w:rPr>
                <w:t>OTHER INFORMATION</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right"/>
              <w:rPr>
                <w:rFonts w:ascii="Times New Roman" w:hAnsi="Times New Roman"/>
                <w:color w:val="000000"/>
                <w:sz w:val="20"/>
              </w:rPr>
            </w:pPr>
            <w:r>
              <w:rPr>
                <w:rFonts w:ascii="Times New Roman" w:hAnsi="Times New Roman"/>
                <w:color w:val="000000"/>
                <w:sz w:val="20"/>
              </w:rPr>
              <w:t>23</w:t>
            </w:r>
          </w:p>
        </w:tc>
      </w:tr>
      <w:tr>
        <w:trPr/>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ITEM 6.</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0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20"/>
                  <w:u w:val="single"/>
                </w:rPr>
                <w:t>EXHIBITS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2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bookmarkStart w:id="3" w:name="item_1_consolidated_financial_statements"/>
      <w:bookmarkEnd w:id="3"/>
      <w:r>
        <w:rPr>
          <w:rFonts w:ascii="Times New Roman" w:hAnsi="Times New Roman"/>
          <w:b/>
          <w:color w:val="000000"/>
          <w:sz w:val="20"/>
        </w:rPr>
        <w:t>ITEM 1. CONDENSED CONSOLIDATED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12"/>
        <w:gridCol w:w="146"/>
        <w:gridCol w:w="211"/>
        <w:gridCol w:w="1201"/>
        <w:gridCol w:w="166"/>
        <w:gridCol w:w="146"/>
        <w:gridCol w:w="211"/>
        <w:gridCol w:w="1201"/>
        <w:gridCol w:w="511"/>
      </w:tblGrid>
      <w:tr>
        <w:trPr/>
        <w:tc>
          <w:tcPr>
            <w:tcW w:w="6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32,562,612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40,359,738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714,541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32,922,521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41,074,279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9,600,240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356,904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47,578,388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55,875,926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1,102,494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1,662,860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193,769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2,959,123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201,792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3,372,375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$0.001 par value; 100,000,000 shares authorized at September 30, 2025 and December 31, 2024; 49,046,246 and 49,046,246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479,989,433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479,340,901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(435,946,920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(426,751,242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43,964,756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52,503,551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47,578,388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55,875,926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sz w:val="20"/>
        </w:rPr>
      </w:pPr>
      <w:bookmarkStart w:id="4" w:name="condensed_consolidated_statements_operat"/>
      <w:bookmarkEnd w:id="4"/>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4"/>
        <w:gridCol w:w="146"/>
        <w:gridCol w:w="211"/>
        <w:gridCol w:w="1036"/>
        <w:gridCol w:w="166"/>
        <w:gridCol w:w="146"/>
        <w:gridCol w:w="211"/>
        <w:gridCol w:w="1036"/>
        <w:gridCol w:w="166"/>
        <w:gridCol w:w="146"/>
        <w:gridCol w:w="211"/>
        <w:gridCol w:w="1096"/>
        <w:gridCol w:w="166"/>
        <w:gridCol w:w="146"/>
        <w:gridCol w:w="211"/>
        <w:gridCol w:w="1036"/>
        <w:gridCol w:w="491"/>
      </w:tblGrid>
      <w:tr>
        <w:trPr/>
        <w:tc>
          <w:tcPr>
            <w:tcW w:w="3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Costs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5,287,318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1,806,070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4,204,299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10,448,518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9,491,617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(10,190,600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(9,491,617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1,280,708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(8,234,897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basic and diluted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49,046,246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(8,234,897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(2,844,455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(9,187,327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(8,240,610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sz w:val="20"/>
        </w:rPr>
      </w:pPr>
      <w:bookmarkStart w:id="5" w:name="condensed_consolidated_statements_stockh"/>
      <w:bookmarkEnd w:id="5"/>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391"/>
      </w:tblGrid>
      <w:tr>
        <w:trPr/>
        <w:tc>
          <w:tcPr>
            <w:tcW w:w="1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479,340,901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(426,751,242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52,503,551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(2,864,120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479,626,844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(429,615,362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49,930,476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(3,281,185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(3,281,185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479,831,741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(432,896,547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46,856,869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(3,050,373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(3,050,373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479,989,433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(435,946,920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43,964,756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411"/>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478,149,161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(415,701,693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62,378,424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215,430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(2,754,518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478,364,591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(418,456,211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59,830,444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(2,628,200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478,572,046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(421,084,411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57,405,154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504,862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(2,852,179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479,076,908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(423,936,590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55,065,561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142"/>
        <w:gridCol w:w="146"/>
        <w:gridCol w:w="211"/>
        <w:gridCol w:w="1036"/>
        <w:gridCol w:w="166"/>
        <w:gridCol w:w="146"/>
        <w:gridCol w:w="211"/>
        <w:gridCol w:w="1036"/>
        <w:gridCol w:w="1111"/>
      </w:tblGrid>
      <w:tr>
        <w:trPr/>
        <w:tc>
          <w:tcPr>
            <w:tcW w:w="6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(8,234,897</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927,747</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 in carrying amount of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129,179</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righ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(755,820</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Accounts payable, accrued liabilities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(665,592</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9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(127,550</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(8,711,232</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Acquisitions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(8,718,824</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40,359,738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50,999,442</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32,562,612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42,280,618</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Right-of-use asset obtained in exchange for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42,281</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61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carrying amount of right-of-use asset due to termination of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79,229</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MEDICINOVA,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Interim Financial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and prevention of acute respiratory distress syndrome (ARDS), and MN-001 (tipelukast) for fibrotic and other metabolic disorders such as nonalcoholic fatty liver disease (NAFLD) and hypertriglyceridemia.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financial statements should be read in conjunction with the audited consolidated financial statements and notes thereto for the year ended December 31, 2024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2024 has been derived from the audited financial statements at that date but does not include all the information and footnotes required by GAAP for complete financial statements.</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incurred net losses since its inception and has negative operating cash flows. As of September 30, 2025, the Company had $32.6 million in cash and cash equivalents and believes it has sufficient cash to meet its funding requirements for at least the next 12 months following the issuance date of these consolidated financial statements. For the foreseeable future, the Company expects to continue to incur losses and require additional capital to further advance its clinical trial programs and support its other operations. The Company cannot be certain that additional funding will be available on acceptable terms, or at all. </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MediciNova, Inc. and its wholly owned subsidiaries, MediciNova Japan, Inc., MediciNova (Europe) Limited, MediciNova Europe GmbH, MediciNova Canada, Inc.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6"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operating segment is identified as a component of an enterprise that engages in business activities about which separate discrete financial information and operating results is regularly reviewed by the chief operating decision-maker (CODM) in making decisions regarding resource allocation and assessing performance. The Company's CODM is the senior executive committee which is comprised of the Chief Executive Officer, Chief Medical Officer, and the Chief Financial Officer. The Company operates in a single operating segment – the acquisition and development of small molecule therapeutics for the treatment of serious diseases with unmet medical needs. The CODM assesses performance for the segment and decides how to allocate resources based on consolidated net loss as reported on the statement of operations, after taking into account the Company's strategic priorities, its cash balance, and its expected use of cash. Further, the CODM reviews and utilizes functional expenses (i.e., research, development, and patent expense, and general and administrative) at the consolidated level to manage the Company's operations. Other segment items included in consolidated net loss are revenues, cost of services, stock-based compensation, depreciation and amortization, interest income, other expense, net, and income tax expense, which are reflected in the consolidated statements of operations and comprehensive loss. The measure of segment assets is reported on the consolidated balance sheet as total consolidated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financial information, including significant segment expenses, which are regularly provided to the CODM and included within segment and consolidated net loss: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819"/>
        <w:gridCol w:w="146"/>
        <w:gridCol w:w="211"/>
        <w:gridCol w:w="991"/>
        <w:gridCol w:w="166"/>
        <w:gridCol w:w="146"/>
        <w:gridCol w:w="211"/>
        <w:gridCol w:w="991"/>
        <w:gridCol w:w="166"/>
        <w:gridCol w:w="146"/>
        <w:gridCol w:w="211"/>
        <w:gridCol w:w="1096"/>
        <w:gridCol w:w="166"/>
        <w:gridCol w:w="146"/>
        <w:gridCol w:w="211"/>
        <w:gridCol w:w="991"/>
        <w:gridCol w:w="391"/>
      </w:tblGrid>
      <w:tr>
        <w:trPr/>
        <w:tc>
          <w:tcPr>
            <w:tcW w:w="3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4,911,359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3,652,511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9,799,986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8,563,870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10,448,518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9,491,617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(10,190,600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(9,491,617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(8,234,897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Cash and cash equivalents consist of cash and other highly liquid investments including money market and mutual fund accounts, with original maturities of three months or less from the date of purchase.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 xml:space="preserve">Accounts receivable is recorded net of allowance for credit losses. There was no allowance for credit losses required as of September 30, 2025. The accounts receivable balance as of September 30, 2025 and December 31, 2024 was $0.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Development and Patents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$1.5 million and $1.8 million for the three months ended September 30, 2025 and 2024, respectively, and $5.3 million and $5.0 million for the nine months ended September 30, 2025 and 2024,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for both the three months ended September 30, 2025 and 2024, and $0.3 million for both the nine months ended September 30, 2025 and 2024.</w:t>
      </w:r>
    </w:p>
    <w:p>
      <w:pPr>
        <w:pStyle w:val="TextBody"/>
        <w:bidi w:val="0"/>
        <w:spacing w:before="360" w:after="283"/>
        <w:jc w:val="left"/>
        <w:rPr>
          <w:rFonts w:ascii="Times New Roman" w:hAnsi="Times New Roman"/>
          <w:b/>
          <w:i/>
          <w:color w:val="212529"/>
          <w:sz w:val="20"/>
        </w:rPr>
      </w:pPr>
      <w:r>
        <w:rPr>
          <w:rFonts w:ascii="Times New Roman" w:hAnsi="Times New Roman"/>
          <w:b/>
          <w:i/>
          <w:color w:val="212529"/>
          <w:sz w:val="20"/>
        </w:rPr>
        <w:t>Clinical Trial Accruals and Prepaid Expenses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Leases</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(ASU 2023-09)</w:t>
      </w:r>
      <w:r>
        <w:rPr>
          <w:rFonts w:ascii="Times New Roman" w:hAnsi="Times New Roman"/>
          <w:i/>
          <w:color w:val="000000"/>
          <w:sz w:val="20"/>
        </w:rPr>
        <w:t>.</w:t>
      </w:r>
      <w:r>
        <w:rPr>
          <w:rFonts w:ascii="Times New Roman" w:hAnsi="Times New Roman"/>
          <w:color w:val="000000"/>
          <w:sz w:val="20"/>
        </w:rPr>
        <w:t xml:space="preserve"> ASU 2023-09 enhances the transparency and decision usefulness of income tax disclosures. Specifically, it requires that a public business entity: 1) disclose, on an annual basis, an income tax rate reconciliation in a tabular form, disclosing specific categories and providing additional information for reconciling items that meet a quantitative threshold, 2) disclose on an annual basis the following information about income taxes paid: i) the amount of income taxes paid (net of refunds received) disaggregated by federal (national), state, and foreign taxes, ii) the amount of income taxes paid (net of refunds received) disaggregated by individual jurisdictions in which income taxes paid (net of refunds received) is equal to or greater than 5 percent of total income taxes paid (net of refunds received), 3) all entities are required to disclose: i) income (or loss) from continuing operations before income tax expense (or benefit) disaggregated between domestic and foreign, and ii) income tax expense (or benefit) from continuing operations disaggregated by federal (national), state, and foreign. For public business entities, the amendments are effective for annual periods beginning after December 15, 2024. For all other entities, the amendments are effective for annual periods beginning after December 15, 2025. Early adoption is permitted for annual financial statements that have not yet been issued or made available for issuance. The amendments in this ASU should be applied on a prospective basis. Retrospective application is permitted. The Company is currently evaluating the potential impact that this standard will have on its consolidated financial statements and related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ASU 2024-03 requires additional disclosure of the nature of expenses included in the financial statements. ASU 2024-03 is effective for fiscal years beginning after December 15, 2026, and interim reporting periods beginning after December 15, 2027. Early adoption is permitted. The Company is currently evaluating the potential impact that this standard will have on its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Revenue Recognition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historically have consisted mainly of research and development services performed under contracts with customers.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Mayo Foundation for Medical Education and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the Company entered into an agreement with Mayo Foundation for Medical Education and Research (Mayo), to support clinical research services to evaluate the efficacy of MN-166 (ibudilast) in ALS. The agreement has an initial one year term, with automatic successive one year terms unless either party gives written notice of non-renewal to the other party not less than 90 days prior to the end of the end of the then-current term, with payment for services due within 60 days from invoice. The agreement can be terminated by either party upon the occurrence of certain events, including by either party, without cause, upon not less than 30 days prior written notice. In August 2025, the Mayo agreement was amended to extend the initial term until August 2026. The Company assessed the services in accordance with the authoritative guidance and concluded that it met the definition of a contract per ASC 606 with one performance obligation. The performance obligation identified was for pharmacovigilance and clinical research support services satisfied over time using the cost-to-cost method. In March 2025, the first study site enrolled the first patients into the study and principal services under the agreement began in April 2025. In August 2025, the Company received $0.8 million from Mayo, of which $0.5 million is a current liability recognized as deferred revenue. The Company recognized revenue of $0.1 million and $0.3 million for the three and nine months ended September 30, 2025, respectively. The remaining performance obligation under this agreement relates to pharmacovigilance and clinical research support services, which will be satisfied over the remaining term of the agreement.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
        <w:gridCol w:w="9449"/>
      </w:tblGrid>
      <w:tr>
        <w:trPr/>
        <w:tc>
          <w:tcPr>
            <w:tcW w:w="756" w:type="dxa"/>
            <w:tcBorders/>
            <w:vAlign w:val="center"/>
          </w:tcPr>
          <w:p>
            <w:pPr>
              <w:pStyle w:val="TableContents"/>
              <w:bidi w:val="0"/>
              <w:spacing w:before="0" w:after="283"/>
              <w:jc w:val="left"/>
              <w:rPr>
                <w:sz w:val="4"/>
                <w:szCs w:val="4"/>
              </w:rPr>
            </w:pPr>
            <w:r>
              <w:rPr>
                <w:sz w:val="4"/>
                <w:szCs w:val="4"/>
              </w:rPr>
            </w:r>
          </w:p>
        </w:tc>
        <w:tc>
          <w:tcPr>
            <w:tcW w:w="9449" w:type="dxa"/>
            <w:tcBorders/>
            <w:vAlign w:val="center"/>
          </w:tcPr>
          <w:p>
            <w:pPr>
              <w:pStyle w:val="TableContents"/>
              <w:bidi w:val="0"/>
              <w:spacing w:before="0" w:after="283"/>
              <w:jc w:val="left"/>
              <w:rPr>
                <w:sz w:val="4"/>
                <w:szCs w:val="4"/>
              </w:rPr>
            </w:pPr>
            <w:r>
              <w:rPr>
                <w:sz w:val="4"/>
                <w:szCs w:val="4"/>
              </w:rPr>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1: </w:t>
            </w:r>
          </w:p>
        </w:tc>
        <w:tc>
          <w:tcPr>
            <w:tcW w:w="9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such as quoted prices in active markets;</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2: </w:t>
            </w:r>
          </w:p>
        </w:tc>
        <w:tc>
          <w:tcPr>
            <w:tcW w:w="9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quoted prices for similar items in active markets or quoted prices for identical or similar items in markets that are not active near the measurement date; and</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3: </w:t>
            </w:r>
          </w:p>
        </w:tc>
        <w:tc>
          <w:tcPr>
            <w:tcW w:w="94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due to little or no market data, which require the reporting entity to develop its own assumptions.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and approximate fair value of financial instruments as of September 30, 2025 and December 31, 2024,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8"/>
        <w:gridCol w:w="146"/>
        <w:gridCol w:w="235"/>
        <w:gridCol w:w="1160"/>
        <w:gridCol w:w="146"/>
        <w:gridCol w:w="146"/>
        <w:gridCol w:w="211"/>
        <w:gridCol w:w="1036"/>
        <w:gridCol w:w="146"/>
        <w:gridCol w:w="146"/>
        <w:gridCol w:w="235"/>
        <w:gridCol w:w="1160"/>
        <w:gridCol w:w="146"/>
        <w:gridCol w:w="146"/>
        <w:gridCol w:w="211"/>
        <w:gridCol w:w="1036"/>
        <w:gridCol w:w="146"/>
        <w:gridCol w:w="146"/>
        <w:gridCol w:w="1329"/>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Inputs</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31,807,348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31,807,348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primarily for real estate in the United States and Japan. The United States lease is for the Company’s headquarters in San Diego and has a term of five years ending January 31, 2027, with annual escalations. In April 2024, the Company provided notice to terminate its previous lease agreement for its Tokyo office, effective October 2024, and in May 2024, the Company entered into a new lease agreement, effective June 2024, for a different office space for its Tokyo location. The new lease had an initial lease term of 12 months ending May 2025, following which the Company exercised its option to extend for an additional two months. Thereafter, there will be automatic two-month renewals until the lease is terminated. In measuring the lease liability, the Company determined that it was reasonably certain that it would exercise one renewal option. Accordingly, the Company used a lease term of 14 months in measuring the lease liability. The Company measured the lease liability based on the present value of the future lease payments, including the one extension option that is reasonably certain to be exercised, discounted using the estimated incremental borrowing rate of 6.51%, which is the interest rate that the Company would have to pay to borrow on a collateralized basis over a similar term for an amount equal to the lease payments at initial commencement. The real estate operating leases are included in “Right-of-use asset” on the Company's consolidated balance sheets and represents the Company’s right to use the underlying assets for the lease term. The Company’s obligation to make lease payments are included in "Operating lease liability" and "Other non-current liabilities" on the Company's balance sheets.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Information related to the Company’s right-of-use assets and related lease liabilities are as follows: </w:t>
      </w:r>
    </w:p>
    <w:tbl>
      <w:tblPr>
        <w:tblW w:w="8272"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11"/>
        <w:gridCol w:w="676"/>
        <w:gridCol w:w="146"/>
        <w:gridCol w:w="146"/>
        <w:gridCol w:w="211"/>
        <w:gridCol w:w="781"/>
        <w:gridCol w:w="146"/>
        <w:gridCol w:w="146"/>
        <w:gridCol w:w="211"/>
        <w:gridCol w:w="78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40" w:type="dxa"/>
        <w:jc w:val="left"/>
        <w:tblInd w:w="0" w:type="dxa"/>
        <w:tblLayout w:type="fixed"/>
        <w:tblCellMar>
          <w:top w:w="28" w:type="dxa"/>
          <w:left w:w="28" w:type="dxa"/>
          <w:bottom w:w="28" w:type="dxa"/>
          <w:right w:w="28" w:type="dxa"/>
        </w:tblCellMar>
      </w:tblPr>
      <w:tblGrid>
        <w:gridCol w:w="4126"/>
        <w:gridCol w:w="146"/>
        <w:gridCol w:w="242"/>
        <w:gridCol w:w="898"/>
        <w:gridCol w:w="271"/>
        <w:gridCol w:w="146"/>
        <w:gridCol w:w="233"/>
        <w:gridCol w:w="862"/>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193,769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405,229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6691"/>
        <w:gridCol w:w="146"/>
        <w:gridCol w:w="146"/>
        <w:gridCol w:w="146"/>
        <w:gridCol w:w="211"/>
        <w:gridCol w:w="781"/>
        <w:gridCol w:w="4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operating lease liabilities as of September 30, 2025 were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206,483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minimum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273,324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and Research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milestone payments have been made under these agreements during the nine months ended September 30, 2025 and 2024. For products currently in development, future potential milestone payments based on product development of MN-166 (ibudilast) and MN-001 (tipelukast) are $10 million as of September 30, 2025. For all other products, future potential milestone payments related to development milestones and commercialization milestones totaled $16.5 million as of September 30, 2025.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2013, the Company adopted the 2013 Equity Incentive Plan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2013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the Company adopted the 2023 Equity Incentive Plan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2,032,173 shares remain available for future grants under the 2023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September 30, 2025, there were a total of 970,000 shares underlying performance options that were subject to vesting based on achievement of corporate objectives and employee performance for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Options granted under the 2023 Plan and the 2013 Plan have terms of ten years from the date of grant unless earlier terminated and generally vest over a one or four year period. The exercise price of all options granted through September 30, 2025 and 2024, was equal to the fair market value of the Company’s common stock on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stock option activity and related information as of September 30, 2025 is as follows:</w:t>
      </w:r>
    </w:p>
    <w:tbl>
      <w:tblPr>
        <w:tblW w:w="6436" w:type="dxa"/>
        <w:jc w:val="left"/>
        <w:tblInd w:w="0" w:type="dxa"/>
        <w:tblLayout w:type="fixed"/>
        <w:tblCellMar>
          <w:top w:w="28" w:type="dxa"/>
          <w:left w:w="28" w:type="dxa"/>
          <w:bottom w:w="28" w:type="dxa"/>
          <w:right w:w="28" w:type="dxa"/>
        </w:tblCellMar>
      </w:tblPr>
      <w:tblGrid>
        <w:gridCol w:w="3046"/>
        <w:gridCol w:w="146"/>
        <w:gridCol w:w="154"/>
        <w:gridCol w:w="986"/>
        <w:gridCol w:w="166"/>
        <w:gridCol w:w="146"/>
        <w:gridCol w:w="453"/>
        <w:gridCol w:w="1002"/>
        <w:gridCol w:w="146"/>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br/>
              <w:t>Option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7,040,894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Outstanding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7,902,394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for stock option awards are reflected in total operating expenses for each respective period. The following table summarizes stock-based compensation expense for the three and nine months ended September 30, 2025 and 2024, respectively: </w:t>
      </w:r>
    </w:p>
    <w:p>
      <w:pPr>
        <w:pStyle w:val="TextBody"/>
        <w:bidi w:val="0"/>
        <w:jc w:val="left"/>
        <w:rPr/>
      </w:pPr>
      <w:r>
        <w:rPr/>
        <w:t> </w:t>
      </w:r>
    </w:p>
    <w:tbl>
      <w:tblPr>
        <w:tblW w:w="8632"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211"/>
        <w:gridCol w:w="781"/>
        <w:gridCol w:w="146"/>
        <w:gridCol w:w="146"/>
        <w:gridCol w:w="211"/>
        <w:gridCol w:w="78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nine months ended September 30, 2025 and 2024, and to estimate the fair value of performance-based stock options as of September 30, 2025 and 2024. </w:t>
      </w:r>
    </w:p>
    <w:p>
      <w:pPr>
        <w:pStyle w:val="TextBody"/>
        <w:bidi w:val="0"/>
        <w:jc w:val="left"/>
        <w:rPr/>
      </w:pPr>
      <w:r>
        <w:rPr/>
        <w:t> </w:t>
      </w:r>
    </w:p>
    <w:tbl>
      <w:tblPr>
        <w:tblW w:w="6175" w:type="dxa"/>
        <w:jc w:val="left"/>
        <w:tblInd w:w="0" w:type="dxa"/>
        <w:tblLayout w:type="fixed"/>
        <w:tblCellMar>
          <w:top w:w="28" w:type="dxa"/>
          <w:left w:w="28" w:type="dxa"/>
          <w:bottom w:w="28" w:type="dxa"/>
          <w:right w:w="28" w:type="dxa"/>
        </w:tblCellMar>
      </w:tblPr>
      <w:tblGrid>
        <w:gridCol w:w="3136"/>
        <w:gridCol w:w="146"/>
        <w:gridCol w:w="1351"/>
        <w:gridCol w:w="146"/>
        <w:gridCol w:w="139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3.74 - 4.48%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4.21 - 4.41%</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60.50 - 75.66%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72.83 - 74.05%</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4.53 - 5.31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5.30 - 5.77</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September 30, 2025, there was $0.3 million of unamortized compensation cost related to unvested stock option awards which is expected to be recognized over a remaining weighted-average vesting period of 0.31 years, on a straight-line basis. Such compensation cost will ultimately be adjusted based upon actual performance compared to the corporate objectives as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fair value of each stock option granted during the nine months ended September 30, 2025 and 2024, estimated as of the grant date using the Black-Scholes option valuation model, was $1.34 and $0.99 per option,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Issuance Sales Agreements and Private Placement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shares of common stock were sold under the ATM Agreement in the nine months ended September 30, 2025 and 2024,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Standby Equity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30, 2025, the Company entered into a Standby Equity Purchase Agreement, or the SEPA with YA II PN, LTD., a Cayman Islands exempt limited company, or Yorkville. Pursuant to the SEPA, the Company has the right, but not the obligation, to sell to Yorkville from time to time up to $30.0 million of its common stock, during the 36 months following the execution of the SEPA, subject to the restrictions and satisfaction of the conditions in the SEPA. At the Company's option, the shares of common stock would be purchased by Yorkville from time to time at a price equal to 97% of the lowest of the three daily volume weighted average prices (VWAPs), during a three consecutive trading day period commencing on the date that the Company, subject to certain limitations, delivers to Yorkville a notice that the Company is committing Yorkville to purchase such shares of common stock. The Company may also specify a certain minimum acceptable price per share for a drawdown under the SEPA. As consideration for Yorkville's irrevocable commitment to purchase common stock, the Company paid Yorkville a $25,000 structuring fee along with a commitment fee of $375,000, recorded as General and Administrative expense. Under the applicable rules of Nasdaq and pursuant to the SEPA, in no event may the Company issue or sell to Yorkville more than 9,804,345 shares of common stock, or the Exchange Cap, which is 19.99% of the shares of common stock outstanding immediately prior to the execution of the SEPA, unless (i) the Company obtains stockholder approval to issue shares of common stock in excess of the Exchange Cap or (ii) the average price of all applicable shares of common stock under the SEPA equals or exceeds $1.33 per share (which represents the lower of (i) the Nasdaq Official Closing Price (as reflected on Nasdaq.com) on the trading day immediately preceding July 30, 2025 or (ii) the average Nasdaq Official Closing Price of the common stock (as reflected on Nasdaq.com) for the five trading days immediately preceding July 30, 2025). Pursuant to the SEPA, Yorkville shall not be obliged to purchase or acquire any shares of common stock under the SEPA which, when aggregated with all other shares of the Company's common stock beneficially owned by Yorkville and its affiliates, would result in the beneficial ownership of Yorkville and its affiliates (on an aggregated basis) exceeding 4.99% of the then outstanding voting power or number of outstanding shares of the Company's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 financial advisory agreement between the Company and D. Boral Capital LLC (D. Boral), the Company has also agreed to pay D. Boral a fee equal to three percent of the gross proceeds received from any shares that the Company sells to Yorkville pursuant to the SEPA.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of common stock were sold under the SEPA in nine months ended September 30, 2025.</w:t>
      </w:r>
    </w:p>
    <w:p>
      <w:pPr>
        <w:pStyle w:val="TextBody"/>
        <w:bidi w:val="0"/>
        <w:spacing w:before="320" w:after="283"/>
        <w:jc w:val="left"/>
        <w:rPr>
          <w:rFonts w:ascii="Times New Roman" w:hAnsi="Times New Roman"/>
          <w:b/>
          <w:color w:val="000000"/>
          <w:sz w:val="20"/>
        </w:rPr>
      </w:pPr>
      <w:r>
        <w:rPr>
          <w:rFonts w:ascii="Times New Roman" w:hAnsi="Times New Roman"/>
          <w:b/>
          <w:color w:val="000000"/>
          <w:sz w:val="20"/>
        </w:rPr>
        <w:t>7.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dilutive outstanding stock options excluded from diluted net loss per common share due to their anti-dilutive effect totaled 7,902,394 shares for the three and nine months ended September 30, 2025 and 8,359,844 shares for the three and nine months ended September 30, 2024. </w:t>
      </w:r>
    </w:p>
    <w:p>
      <w:pPr>
        <w:pStyle w:val="TextBody"/>
        <w:bidi w:val="0"/>
        <w:spacing w:before="3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2024 included in our Annual Report on Form 10-K, as filed with the Securities and Exchange Commission (SEC) on February 19, 2025 (Annual Report on Form 10-K). Past operating results are not necessarily indicative of results that may occur in future periods.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focused on developing novel therapeutics for the treatment of serious diseases with unmet medical needs and a commercial focus on the United States (U.S.)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and prevention of acute respiratory distress syndrome (ARDS), and MN-001 (tipelukast) for fibrotic and other metabolic disorders such as nonalcoholic fatty liver disease (NAFLD) and hypertriglyceridemia. We were incorporated in Delaware in September 2000.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net losses since our inception. As of September 30, 2025, from inception, our accumulated deficit was $435.9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Pursue the development of MN-166 (ibudilast)</w:t>
      </w:r>
      <w:r>
        <w:rPr>
          <w:color w:val="000000"/>
        </w:rPr>
        <w:t xml:space="preserve"> </w:t>
      </w:r>
      <w:r>
        <w:rPr>
          <w:rFonts w:ascii="Times New Roman" w:hAnsi="Times New Roman"/>
          <w:i/>
          <w:color w:val="000000"/>
          <w:sz w:val="20"/>
        </w:rPr>
        <w:t>for multiple potential indications with the support of non-dilutive financings.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Pursue the development of MN-001 (tipelukast) for fibrotic and other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advance development of MN-001 (tipelukast) through a variety of means, which may include investigator-sponsored trials with or without grant funding as well as trials funded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Consider strategic partnerships with one or more leading pharmaceutical companies to complete product development and successfully commercialize our products.</w:t>
      </w:r>
    </w:p>
    <w:p>
      <w:pPr>
        <w:pStyle w:val="TextBody"/>
        <w:bidi w:val="0"/>
        <w:spacing w:before="132" w:after="283"/>
        <w:jc w:val="left"/>
        <w:rPr>
          <w:rFonts w:ascii="Times New Roman" w:hAnsi="Times New Roman"/>
          <w:color w:val="000000"/>
          <w:sz w:val="20"/>
        </w:rPr>
      </w:pPr>
      <w:r>
        <w:rPr>
          <w:rFonts w:ascii="Times New Roman" w:hAnsi="Times New Roman"/>
          <w:color w:val="000000"/>
          <w:sz w:val="20"/>
        </w:rPr>
        <w:t>We develop and maintain relationships with pharmaceutical companies that are therapeutic category leaders. We intend to discuss strategic alliances with leading pharmaceutical companies who seek product candidates, such as MN-166 (ibudilast) and MN-001 (tipelukast), which could support our clinical development and product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Development and Patents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2025 as our development programs progress.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tbl>
      <w:tblPr>
        <w:tblW w:w="8662" w:type="dxa"/>
        <w:jc w:val="left"/>
        <w:tblInd w:w="0" w:type="dxa"/>
        <w:tblLayout w:type="fixed"/>
        <w:tblCellMar>
          <w:top w:w="28" w:type="dxa"/>
          <w:left w:w="28" w:type="dxa"/>
          <w:bottom w:w="28" w:type="dxa"/>
          <w:right w:w="28" w:type="dxa"/>
        </w:tblCellMar>
      </w:tblPr>
      <w:tblGrid>
        <w:gridCol w:w="4021"/>
        <w:gridCol w:w="146"/>
        <w:gridCol w:w="211"/>
        <w:gridCol w:w="571"/>
        <w:gridCol w:w="146"/>
        <w:gridCol w:w="146"/>
        <w:gridCol w:w="211"/>
        <w:gridCol w:w="571"/>
        <w:gridCol w:w="146"/>
        <w:gridCol w:w="146"/>
        <w:gridCol w:w="211"/>
        <w:gridCol w:w="571"/>
        <w:gridCol w:w="146"/>
        <w:gridCol w:w="146"/>
        <w:gridCol w:w="211"/>
        <w:gridCol w:w="571"/>
        <w:gridCol w:w="4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MN-166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MN-001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personnel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facility and 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R&amp;D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development and patent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estimates, please see the section entitled “Management’s Discussion and Analysis of Financial Condition and Results of Operations — Critical Accounting Estimates” contained in our Annual Report on Form 10-K, for the year ended December 31, 2024. There have not been any material changes to the critical accounting policies discussed therein during the nine months ended September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IPR&amp;D and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is reviewed for impairment annually (as of December 31st) or more frequently if indicators of impairment exist.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Company performed a qualitative impairment assessment of goodwill and indefinite-lived intangible assets which included an evaluation of changes in industry, market, and macroeconomic conditions as well as consideration of its financial performance and any significant trends. The qualitative assessment indicated that it was not more likely than not that goodwill and indefinite-lived intangible assets are impaired as of December 31, 2024. If the Company experiences a sustained decline in its stock price or other material changes in the significant assumptions that affect the determination of the fair value of the Company’s single reporting unit, it may result in a goodwill and/or intangible asset impairment charge in future periods, and such charge may be material.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2025 and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Revenues were $0.1 million and $0.0 million for the three months ended September 30, 2025 and 2024, respectively. The increase of $0.1 million was due to revenue recognized under our agreement with Mayo, which was entered into in December 2024 and which began enrolling patients in March 2025, and under which principal services began in April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services were $0.1 million and $0.0 million for the three months ended September 30, 2025 and 2024, respectively. The increase of $0.1 million was due to the costs incurred for services provided related to the Mayo agreement.</w:t>
      </w:r>
    </w:p>
    <w:p>
      <w:pPr>
        <w:pStyle w:val="TextBody"/>
        <w:bidi w:val="0"/>
        <w:jc w:val="left"/>
        <w:rPr>
          <w:rFonts w:ascii="Times New Roman" w:hAnsi="Times New Roman"/>
          <w:i/>
          <w:color w:val="000000"/>
          <w:sz w:val="20"/>
        </w:rPr>
      </w:pPr>
      <w:r>
        <w:rPr>
          <w:rFonts w:ascii="Times New Roman" w:hAnsi="Times New Roman"/>
          <w:i/>
          <w:color w:val="000000"/>
          <w:sz w:val="20"/>
        </w:rPr>
        <w:t>Research, Development and Patents Expenses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Research, development and patents expenses were $1.6 million and $1.9 million for the three months ended September 30, 2025 and 2024, respectively. </w:t>
      </w:r>
      <w:r>
        <w:rPr>
          <w:rFonts w:ascii="Times New Roman" w:hAnsi="Times New Roman"/>
          <w:color w:val="212529"/>
          <w:sz w:val="20"/>
        </w:rPr>
        <w:t xml:space="preserve">The decrease of $0.3 million was primarily driven by a decrease in MN-166 related expenses relating to a MRC-001 Pharmacokinetic (PK) study, as well as </w:t>
      </w:r>
      <w:r>
        <w:rPr>
          <w:rFonts w:ascii="Times New Roman" w:hAnsi="Times New Roman"/>
          <w:color w:val="000000"/>
          <w:sz w:val="20"/>
        </w:rPr>
        <w:t>decreased MN-166 manufacturing costs</w:t>
      </w:r>
      <w:r>
        <w:rPr>
          <w:rFonts w:ascii="Times New Roman" w:hAnsi="Times New Roman"/>
          <w:color w:val="212529"/>
          <w:sz w:val="20"/>
        </w:rPr>
        <w:t xml:space="preserve"> and stock-based compensation expense.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were $1.8 million and $1.4 million for the three months ended September 30, 2025 and 2024, respectively. The increase of $0.4 million was primarily driven by upfront costs associated with the Standby Equity Purchase Agreement, or SEPA, and increased professional fees, partially offset by decreased stock-based compensation expenses and accounting expenses.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was $0.3 million and $0.4 million for the three months ended September 30, 2025 and 2024, respectively. The decrease of $0.1 million was primarily driven by a decrease in our cash balance generating interest. Interest income consists of interest earned on our cash and cash equivalents and investments.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2025 and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Revenues were $0.3 million and $0.0 million for the nine months ended September 30, 2025 and 2024, respectively. The increase of $0.3 million was due to revenue recognized under our agreement with Mayo, which was entered into in December 2024 and which began enrolling patients in March 2025, and under which principal services began in April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services were $0.2 million and $0.0 million for the nine months ended September 30, 2025 and 2024, respectively. The increase of $0.2 million was due to the costs incurred for services provided related to the Mayo agreement.</w:t>
      </w:r>
    </w:p>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Development and Patents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Research, development and patents expenses were $5.6 million and $5.3 for the nine months ended September 30, 2025 and 2024, respectively. The increase of $0.3 million was </w:t>
      </w:r>
      <w:r>
        <w:rPr>
          <w:rFonts w:ascii="Times New Roman" w:hAnsi="Times New Roman"/>
          <w:color w:val="212529"/>
          <w:sz w:val="20"/>
        </w:rPr>
        <w:t xml:space="preserve">primarily driven by an increase in MN-166 related expenses for a MRC-001 PK study and a </w:t>
      </w:r>
      <w:r>
        <w:rPr>
          <w:rFonts w:ascii="Times New Roman" w:hAnsi="Times New Roman"/>
          <w:color w:val="000000"/>
          <w:sz w:val="20"/>
        </w:rPr>
        <w:t>degenerative cervical myelopathy (</w:t>
      </w:r>
      <w:r>
        <w:rPr>
          <w:rFonts w:ascii="Times New Roman" w:hAnsi="Times New Roman"/>
          <w:color w:val="212529"/>
          <w:sz w:val="20"/>
        </w:rPr>
        <w:t>DCM) study, and an increase in MN-001 clinical trial expenses,</w:t>
      </w:r>
      <w:r>
        <w:rPr>
          <w:rFonts w:ascii="Times New Roman" w:hAnsi="Times New Roman"/>
          <w:color w:val="000000"/>
          <w:sz w:val="20"/>
        </w:rPr>
        <w:t xml:space="preserve"> partially offset by decreased MN-166 manufacturing costs, decreased payroll costs from a reduction in headcount, and decreased stock-based compensation expense.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were $4.6 million and $4.2 million for the nine months ended September 30, 2025 and 2024, respectively. The increase of $0.4 million was primarily driven by SEPA fees, and increases in professional and investor relation expenses, partially offset by decreased payroll costs from a reduction in headcount and decreased stock-based compensation expense.</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was $1.0 million and $1.3 million for the nine months ended September 30, 2025 and 2024, respectively. The decrease of $0.3 million was primarily driven by a decrease in our cash balance generating interest. Interest income consists of interest earned on our cash and cash equivalents and investments.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cash used in operating activities during the nine months ended September 30, 2025 was $7.8 million compared to $8.7 million during the same period in 2024. The $0.9 million change is primarily related to the </w:t>
      </w:r>
      <w:r>
        <w:rPr>
          <w:rFonts w:ascii="Times New Roman" w:hAnsi="Times New Roman"/>
          <w:color w:val="212529"/>
          <w:sz w:val="20"/>
        </w:rPr>
        <w:t>changes in operating assets and liabilities for those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we had available cash and cash equivalents of $32.6 million and working capital of $29.6 million. As of the date of this report, we believe we have working capital sufficient to fund operations at least through November 2026. However, we cannot provide assurance that these capital resources will be sufficient to conduct all our research and development programs as planned. </w:t>
      </w:r>
    </w:p>
    <w:p>
      <w:pPr>
        <w:pStyle w:val="TextBody"/>
        <w:bidi w:val="0"/>
        <w:spacing w:before="240" w:after="283"/>
        <w:jc w:val="left"/>
        <w:rPr>
          <w:rFonts w:ascii="Times New Roman" w:hAnsi="Times New Roman"/>
          <w:sz w:val="20"/>
        </w:rPr>
      </w:pPr>
      <w:r>
        <w:rPr>
          <w:rFonts w:ascii="Times New Roman" w:hAnsi="Times New Roman"/>
          <w:i/>
          <w:color w:val="000000"/>
          <w:sz w:val="20"/>
        </w:rPr>
        <w:t>Equity Financing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shares of common stock were sold under the ATM Agreement in the three and nine months ended September 30,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30, 2025, we entered into a SEPA, with YA II PN, LTD., a Cayman Islands exempt limited company, or Yorkville. Pursuant to the SEPA, we have the right, but not the obligation, to sell to Yorkville from time to time up to $30.0 million of our common stock, during the 36 months following the execution of the SEPA, subject to the restrictions and satisfaction of the conditions in the SEPA. At our option, the shares of common stock would be purchased by Yorkville from time to time at a price equal to 97% of the lowest of the three daily volume weighted average prices (VWAPs), during a three consecutive trading day period commencing on the date that we, subject to certain limitations, deliver to Yorkville a notice that we are committing Yorkville to purchase such shares of common stock. We may also specify a certain minimum acceptable price per share for a drawdown under the SEPA. As consideration for Yorkville's irrevocable commitment to purchase common stock, we paid Yorkville a $25,000 structuring fee along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a commitment fee of $375,000, recorded as General and Administrative expense. Under the applicable rules of Nasdaq and pursuant to the SEPA, in no event may we issue or sell to Yorkville more than 9,804,345 shares of common stock, or the Exchange Cap, which is 19.99% of the shares of common stock outstanding immediately prior to the execution of the SEPA, unless (i) we obtain stockholder approval to issue shares of common stock in excess of the Exchange Cap or (ii) the average price of all applicable shares of common stock under the SEPA equals or exceeds $1.33 per share (which represents the lower of (i) the Nasdaq Official Closing Price (as reflected on Nasdaq.com) on the trading day immediately preceding July 30, 2025 or (ii) the average Nasdaq Official Closing Price of the common stock (as reflected on Nasdaq.com) for the five trading days immediately preceding July 30, 2025). Pursuant to the SEPA, Yorkville shall not be obliged to purchase or acquire any shares of common stock under the SEPA which, when aggregated with all other shares of our common stock beneficially owned by Yorkville and its affiliates, would result in the beneficial ownership of Yorkville and its affiliates (on an aggregated basis) exceeding 4.99% of the then outstanding voting power or number of outstanding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 financial advisory agreement between us and D. Boral Capital LLC (D. Boral), we have also agreed to pay D. Boral a fee equal to three percent of the gross proceeds received from any shares that we sell to Yorkville pursuant to the SEPA.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of common stock were sold under the SEPA in nine months ended September 30,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3_quantitative_qualitative_disclosu"/>
      <w:bookmarkEnd w:id="8"/>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9" w:name="item_4_controls_procedures"/>
      <w:bookmarkEnd w:id="9"/>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provide reasonable assurance that the information required to be disclosed in our filings under the Securities Exchange Act of 1934, as amended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during our most recent fiscal quarter that has materially affected, or is reasonably likely to materially affect, our internal control over financial reporting.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_or_information"/>
      <w:bookmarkEnd w:id="10"/>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involved in any material legal proceedings as of September 30, 2025.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pStyle w:val="TextBody"/>
        <w:bidi w:val="0"/>
        <w:spacing w:before="360" w:after="283"/>
        <w:jc w:val="left"/>
        <w:rPr>
          <w:rFonts w:ascii="Times New Roman" w:hAnsi="Times New Roman"/>
          <w:b/>
          <w:color w:val="000000"/>
          <w:sz w:val="20"/>
        </w:rPr>
      </w:pPr>
      <w:bookmarkStart w:id="12" w:name="item_1a_risk_factors"/>
      <w:bookmarkEnd w:id="12"/>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in Part I, “Item 1A. Risk Factors” in our Annual Report on Form 10-K, for the year ended December 31, 2024,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2024.</w:t>
      </w:r>
    </w:p>
    <w:p>
      <w:pPr>
        <w:pStyle w:val="TextBody"/>
        <w:bidi w:val="0"/>
        <w:spacing w:before="360" w:after="283"/>
        <w:jc w:val="left"/>
        <w:rPr>
          <w:rFonts w:ascii="Times New Roman" w:hAnsi="Times New Roman"/>
          <w:b/>
          <w:color w:val="000000"/>
          <w:sz w:val="20"/>
        </w:rPr>
      </w:pPr>
      <w:bookmarkStart w:id="13" w:name="item_2_unregistered_sales_equity_secut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6" w:name="item_5_other_information"/>
      <w:bookmarkEnd w:id="16"/>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September 30, 2025, none of our officers or directors, as defined in Rule 16a-1(f), informed us of the adoption or termination of a Rule 10b5-1 trading arrangement or a non-Rule 10b5-1 trading arrangement, each as defined in Regulation S-K Item 408.</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4"/>
        <w:gridCol w:w="146"/>
        <w:gridCol w:w="9195"/>
      </w:tblGrid>
      <w:tr>
        <w:trPr/>
        <w:tc>
          <w:tcPr>
            <w:tcW w:w="8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95" w:type="dxa"/>
            <w:tcBorders/>
            <w:shd w:fill="FFFFFF" w:val="clear"/>
            <w:vAlign w:val="center"/>
          </w:tcPr>
          <w:p>
            <w:pPr>
              <w:pStyle w:val="TableContents"/>
              <w:bidi w:val="0"/>
              <w:spacing w:before="0" w:after="283"/>
              <w:jc w:val="left"/>
              <w:rPr>
                <w:sz w:val="4"/>
                <w:szCs w:val="4"/>
              </w:rPr>
            </w:pPr>
            <w:r>
              <w:rPr>
                <w:sz w:val="4"/>
                <w:szCs w:val="4"/>
              </w:rPr>
            </w:r>
          </w:p>
        </w:tc>
      </w:tr>
      <w:tr>
        <w:trPr/>
        <w:tc>
          <w:tcPr>
            <w:tcW w:w="86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 (incorporated by reference to Exhibit 3.1 of the Registrant’s Quarterly Report on Form 10-Q filed with the SEC on August 9, 2012 (File No. 001-33185)).</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(incorporated by reference to Exhibit 3.1 of the Registrant’s Current Report on Form 8-K filed with the SEC on April 25, 2019 (File No. 001-33185)).</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mnov-ex31_1.htm">
              <w:r>
                <w:rPr>
                  <w:rStyle w:val="InternetLink"/>
                  <w:rFonts w:ascii="Times New Roman" w:hAnsi="Times New Roman"/>
                  <w:color w:val="0000FF"/>
                  <w:sz w:val="20"/>
                </w:rPr>
                <w:t xml:space="preserve"> </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31.2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32.1</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2_1.htm">
              <w:r>
                <w:rPr>
                  <w:rStyle w:val="InternetLink"/>
                  <w:rFonts w:ascii="Times New Roman" w:hAnsi="Times New Roman"/>
                  <w:color w:val="0000FF"/>
                  <w:sz w:val="20"/>
                  <w:u w:val="single"/>
                </w:rPr>
                <w:t>Certification of Principal Executive Officer pursuant to 18 U.S.C. Section 1350 (Section 906 of the Sarbanes-Oxley Act of 2002).</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32.2</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hyperlink w:anchor="mnov-ex32_2.htm">
              <w:r>
                <w:rPr>
                  <w:rStyle w:val="InternetLink"/>
                  <w:rFonts w:ascii="Times New Roman" w:hAnsi="Times New Roman"/>
                  <w:color w:val="0000FF"/>
                  <w:sz w:val="20"/>
                  <w:u w:val="single"/>
                </w:rPr>
                <w:t>Certification of Principal Financial Officer pursuant to 18 U.S.C. Section 1350 (Section 906 of the Sarbanes-Oxley Act of 2002).</w:t>
              </w:r>
            </w:hyperlink>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101.INS</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101.SCH</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Filed Herewith</w:t>
      </w:r>
    </w:p>
    <w:p>
      <w:pPr>
        <w:pStyle w:val="TextBody"/>
        <w:bidi w:val="0"/>
        <w:jc w:val="left"/>
        <w:rPr>
          <w:rFonts w:ascii="Times New Roman" w:hAnsi="Times New Roman"/>
          <w:sz w:val="20"/>
        </w:rPr>
      </w:pP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99" w:type="dxa"/>
        <w:jc w:val="left"/>
        <w:tblInd w:w="0" w:type="dxa"/>
        <w:tblLayout w:type="fixed"/>
        <w:tblCellMar>
          <w:top w:w="28" w:type="dxa"/>
          <w:left w:w="28" w:type="dxa"/>
          <w:bottom w:w="28" w:type="dxa"/>
          <w:right w:w="28" w:type="dxa"/>
        </w:tblCellMar>
      </w:tblPr>
      <w:tblGrid>
        <w:gridCol w:w="2206"/>
        <w:gridCol w:w="146"/>
        <w:gridCol w:w="406"/>
        <w:gridCol w:w="354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MEDICINOVA, INC.</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Y</w:t>
            </w:r>
            <w:r>
              <w:rPr>
                <w:rFonts w:ascii="Times New Roman" w:hAnsi="Times New Roman"/>
                <w:color w:val="000000"/>
                <w:sz w:val="15"/>
              </w:rPr>
              <w:t>UICHI</w:t>
            </w:r>
            <w:r>
              <w:rPr>
                <w:rFonts w:ascii="Times New Roman" w:hAnsi="Times New Roman"/>
                <w:color w:val="000000"/>
                <w:sz w:val="20"/>
              </w:rPr>
              <w:t> I</w:t>
            </w:r>
            <w:r>
              <w:rPr>
                <w:rFonts w:ascii="Times New Roman" w:hAnsi="Times New Roman"/>
                <w:color w:val="000000"/>
                <w:sz w:val="15"/>
              </w:rPr>
              <w:t>WAKI</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Yuichi Iwaki, M.D., Ph.D.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behalf of the registrant and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the registrant’s Principal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 xml:space="preserve">ASON </w:t>
            </w:r>
            <w:r>
              <w:rPr>
                <w:rFonts w:ascii="Times New Roman" w:hAnsi="Times New Roman"/>
                <w:color w:val="000000"/>
                <w:sz w:val="20"/>
              </w:rPr>
              <w:t>K</w:t>
            </w:r>
            <w:r>
              <w:rPr>
                <w:rFonts w:ascii="Times New Roman" w:hAnsi="Times New Roman"/>
                <w:color w:val="000000"/>
                <w:sz w:val="15"/>
              </w:rPr>
              <w:t>RUGER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Kruger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behalf of the registrant and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the registrant’s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mnov-ex31_1.htm"/>
      <w:bookmarkStart w:id="20" w:name="ksmnovex31_1"/>
      <w:bookmarkEnd w:id="19"/>
      <w:bookmarkEnd w:id="2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Principal Executive Officer Pursuant to Securities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Yuichi Iwaki,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September 30, 2025 of MediciNova,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 Y</w:t>
            </w:r>
            <w:r>
              <w:rPr>
                <w:rFonts w:ascii="Times New Roman" w:hAnsi="Times New Roman"/>
                <w:color w:val="000000"/>
                <w:sz w:val="15"/>
              </w:rPr>
              <w:t>UICHI</w:t>
            </w:r>
            <w:r>
              <w:rPr>
                <w:rFonts w:ascii="Times New Roman" w:hAnsi="Times New Roman"/>
                <w:color w:val="000000"/>
                <w:sz w:val="20"/>
              </w:rPr>
              <w:t> I</w:t>
            </w:r>
            <w:r>
              <w:rPr>
                <w:rFonts w:ascii="Times New Roman" w:hAnsi="Times New Roman"/>
                <w:color w:val="000000"/>
                <w:sz w:val="15"/>
              </w:rPr>
              <w:t>WAKI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Yuichi Iwaki, M.D.,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mnov-ex31_2.htm"/>
      <w:bookmarkStart w:id="22" w:name="ksmnovex31_2"/>
      <w:bookmarkEnd w:id="21"/>
      <w:bookmarkEnd w:id="2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MEDICINOVA, INC.</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Principal Financial Officer Pursuant to Securities Exchange Act Rules 13a-14(a) and 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Kruger,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for the quarter ended September 30, 2025 of MediciNova,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November 12, 2025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ASON</w:t>
            </w:r>
            <w:r>
              <w:rPr>
                <w:rFonts w:ascii="Times New Roman" w:hAnsi="Times New Roman"/>
                <w:color w:val="000000"/>
                <w:sz w:val="20"/>
              </w:rPr>
              <w:t> K</w:t>
            </w:r>
            <w:r>
              <w:rPr>
                <w:rFonts w:ascii="Times New Roman" w:hAnsi="Times New Roman"/>
                <w:color w:val="000000"/>
                <w:sz w:val="15"/>
              </w:rPr>
              <w:t>RUGER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Jason Kruger</w:t>
            </w:r>
            <w:r>
              <w:rPr>
                <w:rFonts w:ascii="Times New Roman" w:hAnsi="Times New Roman"/>
                <w:color w:val="000000"/>
                <w:sz w:val="16"/>
              </w:rPr>
              <w:t xml:space="preserve">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mnov-ex32_1.htm"/>
      <w:bookmarkStart w:id="24" w:name="ksmnovex32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MediciNova, Inc. (the “Company”) for the quarter ended September 30, 2025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November 12, 2025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Yuichi Iwaki</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Yuichi Iwaki, M.D., Ph.D.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President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left"/>
        <w:rPr/>
      </w:pPr>
      <w:bookmarkStart w:id="25" w:name="mnov-ex32_2.htm"/>
      <w:bookmarkStart w:id="26" w:name="ksmnovex32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MediciNova, Inc. (the “Company”) for the quarter ended September 30, 2025,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/s/ J</w:t>
            </w:r>
            <w:r>
              <w:rPr>
                <w:rFonts w:ascii="Times New Roman" w:hAnsi="Times New Roman"/>
                <w:color w:val="000000"/>
                <w:sz w:val="15"/>
              </w:rPr>
              <w:t>ASON</w:t>
            </w:r>
            <w:r>
              <w:rPr>
                <w:rFonts w:ascii="Times New Roman" w:hAnsi="Times New Roman"/>
                <w:color w:val="000000"/>
                <w:sz w:val="20"/>
              </w:rPr>
              <w:t> K</w:t>
            </w:r>
            <w:r>
              <w:rPr>
                <w:rFonts w:ascii="Times New Roman" w:hAnsi="Times New Roman"/>
                <w:color w:val="000000"/>
                <w:sz w:val="15"/>
              </w:rPr>
              <w:t>RUGER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Kruger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Financial Officer and Principal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6616/000119312512347932/d344794dex31.htm" TargetMode="External"/><Relationship Id="rId3" Type="http://schemas.openxmlformats.org/officeDocument/2006/relationships/hyperlink" Target="https://www.sec.gov/Archives/edgar/data/1226616/000119312519119751/d727763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12949</Words>
  <Characters>72595</Characters>
  <CharactersWithSpaces>86112</CharactersWithSpaces>
  <Paragraphs>3115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