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7" w:lineRule="exact"/>
        <w:rPr>
          <w:rFonts w:ascii="MS PGothic" w:cs="MS PGothic" w:eastAsia="MS PGothic" w:hAnsi="MS PGothic"/>
          <w:sz w:val="18"/>
          <w:szCs w:val="18"/>
          <w:color w:val="auto"/>
          <w:highlight w:val="black"/>
        </w:rPr>
      </w:pPr>
    </w:p>
    <w:p>
      <w:pPr>
        <w:ind w:left="360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QUARTERLY PERIOD ENDED June 30, 2022</w:t>
      </w:r>
    </w:p>
    <w:p>
      <w:pPr>
        <w:spacing w:after="0" w:line="9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ind w:left="314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MEDICINOVA,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right"/>
              <w:ind w:right="2240"/>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4540" w:type="dxa"/>
            <w:vAlign w:val="bottom"/>
            <w:gridSpan w:val="3"/>
          </w:tcPr>
          <w:p>
            <w:pPr>
              <w:jc w:val="center"/>
              <w:ind w:left="9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tcPr>
          <w:p>
            <w:pPr>
              <w:jc w:val="center"/>
              <w:ind w:right="1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40" w:type="dxa"/>
            <w:vAlign w:val="bottom"/>
            <w:gridSpan w:val="3"/>
          </w:tcPr>
          <w:p>
            <w:pPr>
              <w:jc w:val="center"/>
              <w:ind w:left="898"/>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jc w:val="center"/>
              <w:ind w:right="1960"/>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4540" w:type="dxa"/>
            <w:vAlign w:val="bottom"/>
            <w:gridSpan w:val="3"/>
          </w:tcPr>
          <w:p>
            <w:pPr>
              <w:jc w:val="center"/>
              <w:ind w:left="918"/>
              <w:spacing w:after="0"/>
              <w:rPr>
                <w:sz w:val="20"/>
                <w:szCs w:val="20"/>
                <w:color w:val="auto"/>
              </w:rPr>
            </w:pPr>
            <w:r>
              <w:rPr>
                <w:rFonts w:ascii="Arial" w:cs="Arial" w:eastAsia="Arial" w:hAnsi="Arial"/>
                <w:sz w:val="18"/>
                <w:szCs w:val="18"/>
                <w:b w:val="1"/>
                <w:bCs w:val="1"/>
                <w:color w:val="auto"/>
                <w:w w:val="89"/>
              </w:rPr>
              <w:t>4275 Executive Square, Suite 300</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2"/>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3"/>
              </w:rPr>
              <w:t>La Jolla, CA</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right"/>
              <w:ind w:right="2440"/>
              <w:spacing w:after="0"/>
              <w:rPr>
                <w:sz w:val="20"/>
                <w:szCs w:val="20"/>
                <w:color w:val="auto"/>
              </w:rPr>
            </w:pPr>
            <w:r>
              <w:rPr>
                <w:rFonts w:ascii="Arial" w:cs="Arial" w:eastAsia="Arial" w:hAnsi="Arial"/>
                <w:sz w:val="18"/>
                <w:szCs w:val="18"/>
                <w:b w:val="1"/>
                <w:bCs w:val="1"/>
                <w:color w:val="auto"/>
              </w:rPr>
              <w:t>92037</w:t>
            </w:r>
          </w:p>
        </w:tc>
      </w:tr>
      <w:tr>
        <w:trPr>
          <w:trHeight w:val="186"/>
        </w:trPr>
        <w:tc>
          <w:tcPr>
            <w:tcW w:w="4540" w:type="dxa"/>
            <w:vAlign w:val="bottom"/>
            <w:gridSpan w:val="3"/>
          </w:tcPr>
          <w:p>
            <w:pPr>
              <w:jc w:val="center"/>
              <w:ind w:left="91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jc w:val="center"/>
              <w:ind w:right="1960"/>
              <w:spacing w:after="0"/>
              <w:rPr>
                <w:sz w:val="20"/>
                <w:szCs w:val="20"/>
                <w:color w:val="auto"/>
              </w:rPr>
            </w:pPr>
            <w:r>
              <w:rPr>
                <w:rFonts w:ascii="Arial" w:cs="Arial" w:eastAsia="Arial" w:hAnsi="Arial"/>
                <w:sz w:val="14"/>
                <w:szCs w:val="14"/>
                <w:b w:val="1"/>
                <w:bCs w:val="1"/>
                <w:color w:val="auto"/>
                <w:w w:val="95"/>
              </w:rPr>
              <w:t>(Zip Code)</w:t>
            </w:r>
          </w:p>
        </w:tc>
      </w:tr>
      <w:tr>
        <w:trPr>
          <w:trHeight w:val="255"/>
        </w:trPr>
        <w:tc>
          <w:tcPr>
            <w:tcW w:w="3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120" w:type="dxa"/>
            <w:vAlign w:val="bottom"/>
          </w:tcPr>
          <w:p>
            <w:pPr>
              <w:jc w:val="center"/>
              <w:ind w:right="859"/>
              <w:spacing w:after="0"/>
              <w:rPr>
                <w:sz w:val="20"/>
                <w:szCs w:val="20"/>
                <w:color w:val="auto"/>
              </w:rPr>
            </w:pPr>
            <w:r>
              <w:rPr>
                <w:rFonts w:ascii="Arial" w:cs="Arial" w:eastAsia="Arial" w:hAnsi="Arial"/>
                <w:sz w:val="16"/>
                <w:szCs w:val="16"/>
                <w:b w:val="1"/>
                <w:bCs w:val="1"/>
                <w:color w:val="auto"/>
                <w:w w:val="93"/>
              </w:rPr>
              <w:t>(858) 373-1500</w:t>
            </w:r>
          </w:p>
        </w:tc>
        <w:tc>
          <w:tcPr>
            <w:tcW w:w="12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210"/>
        </w:trPr>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3460" w:type="dxa"/>
            <w:vAlign w:val="bottom"/>
          </w:tcPr>
          <w:p>
            <w:pPr>
              <w:spacing w:after="0"/>
              <w:rPr>
                <w:sz w:val="18"/>
                <w:szCs w:val="18"/>
                <w:color w:val="auto"/>
              </w:rPr>
            </w:pPr>
          </w:p>
        </w:tc>
      </w:tr>
      <w:tr>
        <w:trPr>
          <w:trHeight w:val="343"/>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51"/>
        </w:trPr>
        <w:tc>
          <w:tcPr>
            <w:tcW w:w="4540" w:type="dxa"/>
            <w:vAlign w:val="bottom"/>
            <w:gridSpan w:val="3"/>
          </w:tcPr>
          <w:p>
            <w:pPr>
              <w:jc w:val="center"/>
              <w:ind w:right="1079"/>
              <w:spacing w:after="0"/>
              <w:rPr>
                <w:sz w:val="20"/>
                <w:szCs w:val="20"/>
                <w:color w:val="auto"/>
              </w:rPr>
            </w:pPr>
            <w:r>
              <w:rPr>
                <w:rFonts w:ascii="Arial" w:cs="Arial" w:eastAsia="Arial" w:hAnsi="Arial"/>
                <w:sz w:val="14"/>
                <w:szCs w:val="14"/>
                <w:b w:val="1"/>
                <w:bCs w:val="1"/>
                <w:color w:val="auto"/>
                <w:w w:val="92"/>
              </w:rPr>
              <w:t>Common Stock, $0.001 par value</w:t>
            </w:r>
          </w:p>
        </w:tc>
        <w:tc>
          <w:tcPr>
            <w:tcW w:w="32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MNOV</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tcPr>
          <w:p>
            <w:pPr>
              <w:jc w:val="center"/>
              <w:ind w:right="859"/>
              <w:spacing w:after="0"/>
              <w:rPr>
                <w:sz w:val="20"/>
                <w:szCs w:val="20"/>
                <w:color w:val="auto"/>
              </w:rPr>
            </w:pPr>
            <w:r>
              <w:rPr>
                <w:rFonts w:ascii="Arial" w:cs="Arial" w:eastAsia="Arial" w:hAnsi="Arial"/>
                <w:sz w:val="18"/>
                <w:szCs w:val="18"/>
                <w:color w:val="auto"/>
                <w:w w:val="93"/>
              </w:rPr>
              <w:t>(Trading symbol(s))</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88" w:lineRule="exact"/>
        <w:rPr>
          <w:sz w:val="24"/>
          <w:szCs w:val="24"/>
          <w:color w:val="auto"/>
        </w:rPr>
      </w:pPr>
    </w:p>
    <w:p>
      <w:pPr>
        <w:jc w:val="both"/>
        <w:ind w:right="8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 w:lineRule="exact"/>
        <w:rPr>
          <w:sz w:val="24"/>
          <w:szCs w:val="24"/>
          <w:color w:val="auto"/>
        </w:rPr>
      </w:pPr>
    </w:p>
    <w:p>
      <w:pPr>
        <w:jc w:val="both"/>
        <w:ind w:right="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6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431" w:right="339" w:bottom="1440" w:gutter="0" w:footer="0" w:header="0"/>
        </w:sectPr>
      </w:pPr>
    </w:p>
    <w:p>
      <w:pPr>
        <w:spacing w:after="0" w:line="25" w:lineRule="exact"/>
        <w:rPr>
          <w:sz w:val="24"/>
          <w:szCs w:val="24"/>
          <w:color w:val="auto"/>
        </w:rPr>
      </w:pPr>
    </w:p>
    <w:p>
      <w:pPr>
        <w:spacing w:after="0" w:line="161" w:lineRule="exact"/>
        <w:tabs>
          <w:tab w:leader="none" w:pos="2460" w:val="left"/>
          <w:tab w:leader="none" w:pos="79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63" w:lineRule="exact"/>
        <w:rPr>
          <w:sz w:val="24"/>
          <w:szCs w:val="24"/>
          <w:color w:val="auto"/>
        </w:rPr>
      </w:pPr>
    </w:p>
    <w:p>
      <w:pPr>
        <w:spacing w:after="0" w:line="161" w:lineRule="exact"/>
        <w:tabs>
          <w:tab w:leader="none" w:pos="2460" w:val="left"/>
          <w:tab w:leader="none" w:pos="79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9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6"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520" w:right="256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9, 2022, the registrant had 49,046,246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280"/>
            <w:col w:w="280"/>
          </w:cols>
          <w:pgMar w:left="320" w:top="431" w:right="3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300" w:right="16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62" w:lineRule="exact"/>
        <w:rPr>
          <w:rFonts w:ascii="Arial" w:cs="Arial" w:eastAsia="Arial" w:hAnsi="Arial"/>
          <w:sz w:val="18"/>
          <w:szCs w:val="18"/>
          <w:color w:val="auto"/>
        </w:rPr>
      </w:pPr>
    </w:p>
    <w:p>
      <w:pPr>
        <w:ind w:left="1300" w:right="4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300" w:right="20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300" w:right="60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widespread outbreak of an illness or any other communicable disease, such as COVID-19, which has lead to key employees becoming ill for a period of time;</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128" w:lineRule="exact"/>
        <w:rPr>
          <w:rFonts w:ascii="Arial" w:cs="Arial" w:eastAsia="Arial" w:hAnsi="Arial"/>
          <w:sz w:val="17"/>
          <w:szCs w:val="17"/>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20" w:type="dxa"/>
            <w:vAlign w:val="bottom"/>
            <w:gridSpan w:val="4"/>
          </w:tcPr>
          <w:p>
            <w:pPr>
              <w:jc w:val="center"/>
              <w:ind w:right="3260"/>
              <w:spacing w:after="0"/>
              <w:rPr>
                <w:sz w:val="20"/>
                <w:szCs w:val="20"/>
                <w:color w:val="auto"/>
              </w:rPr>
            </w:pPr>
            <w:r>
              <w:rPr>
                <w:rFonts w:ascii="Arial" w:cs="Arial" w:eastAsia="Arial" w:hAnsi="Arial"/>
                <w:sz w:val="18"/>
                <w:szCs w:val="18"/>
                <w:b w:val="1"/>
                <w:bCs w:val="1"/>
                <w:color w:val="auto"/>
              </w:rPr>
              <w:t>MEDICINOVA, INC.</w:t>
            </w:r>
          </w:p>
        </w:tc>
        <w:tc>
          <w:tcPr>
            <w:tcW w:w="1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20" w:type="dxa"/>
            <w:vAlign w:val="bottom"/>
            <w:gridSpan w:val="4"/>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1100" w:type="dxa"/>
            <w:vAlign w:val="bottom"/>
          </w:tcPr>
          <w:p>
            <w:pPr>
              <w:spacing w:after="0"/>
              <w:rPr>
                <w:sz w:val="24"/>
                <w:szCs w:val="24"/>
                <w:color w:val="auto"/>
              </w:rPr>
            </w:pPr>
          </w:p>
        </w:tc>
      </w:tr>
      <w:tr>
        <w:trPr>
          <w:trHeight w:val="405"/>
        </w:trPr>
        <w:tc>
          <w:tcPr>
            <w:tcW w:w="10120" w:type="dxa"/>
            <w:vAlign w:val="bottom"/>
            <w:gridSpan w:val="15"/>
          </w:tcPr>
          <w:p>
            <w:pPr>
              <w:spacing w:after="0"/>
              <w:rPr>
                <w:sz w:val="20"/>
                <w:szCs w:val="20"/>
                <w:color w:val="auto"/>
              </w:rPr>
            </w:pPr>
            <w:r>
              <w:rPr>
                <w:rFonts w:ascii="Arial" w:cs="Arial" w:eastAsia="Arial" w:hAnsi="Arial"/>
                <w:sz w:val="18"/>
                <w:szCs w:val="18"/>
                <w:color w:val="0000EE"/>
              </w:rPr>
              <w:t>PART I. FINANCIAL INFORMATION</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4"/>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8920" w:type="dxa"/>
            <w:vAlign w:val="bottom"/>
            <w:gridSpan w:val="13"/>
          </w:tcPr>
          <w:p>
            <w:pPr>
              <w:spacing w:after="0"/>
              <w:rPr>
                <w:sz w:val="20"/>
                <w:szCs w:val="20"/>
                <w:color w:val="auto"/>
              </w:rPr>
            </w:pPr>
            <w:r>
              <w:rPr>
                <w:rFonts w:ascii="Arial" w:cs="Arial" w:eastAsia="Arial" w:hAnsi="Arial"/>
                <w:sz w:val="18"/>
                <w:szCs w:val="18"/>
                <w:color w:val="0000EE"/>
              </w:rPr>
              <w:t>CONDENSED CONSOLIDATED FINANCIAL STATEMENTS (unaudited)</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7"/>
              </w:rPr>
              <w:t>MANAGEMENT’S DISCUSSION AND ANALYSIS OF FINANCIAL CONDITION AND RESULTS OF OPERATIONS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8920" w:type="dxa"/>
            <w:vAlign w:val="bottom"/>
            <w:gridSpan w:val="13"/>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CONTROLS AND PROCEDURES</w:t>
            </w:r>
          </w:p>
        </w:tc>
        <w:tc>
          <w:tcPr>
            <w:tcW w:w="2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4"/>
        </w:trPr>
        <w:tc>
          <w:tcPr>
            <w:tcW w:w="25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5"/>
              </w:rPr>
              <w:t>PART II. OTHER INFORMATION</w:t>
            </w:r>
          </w:p>
        </w:tc>
        <w:tc>
          <w:tcPr>
            <w:tcW w:w="7540" w:type="dxa"/>
            <w:vAlign w:val="bottom"/>
            <w:gridSpan w:val="10"/>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5"/>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8920" w:type="dxa"/>
            <w:vAlign w:val="bottom"/>
            <w:gridSpan w:val="13"/>
          </w:tcPr>
          <w:p>
            <w:pPr>
              <w:spacing w:after="0"/>
              <w:rPr>
                <w:sz w:val="20"/>
                <w:szCs w:val="20"/>
                <w:color w:val="auto"/>
              </w:rPr>
            </w:pPr>
            <w:r>
              <w:rPr>
                <w:rFonts w:ascii="Arial" w:cs="Arial" w:eastAsia="Arial" w:hAnsi="Arial"/>
                <w:sz w:val="18"/>
                <w:szCs w:val="18"/>
                <w:color w:val="0000EE"/>
              </w:rPr>
              <w:t>LEGAL PROCEEDINGS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3"/>
              </w:rPr>
              <w:t>RISK FACTORS</w:t>
            </w:r>
          </w:p>
        </w:tc>
        <w:tc>
          <w:tcPr>
            <w:tcW w:w="620" w:type="dxa"/>
            <w:vAlign w:val="bottom"/>
            <w:tcBorders>
              <w:top w:val="single" w:sz="8" w:color="0000EE"/>
            </w:tcBorders>
            <w:gridSpan w:val="3"/>
          </w:tcPr>
          <w:p>
            <w:pPr>
              <w:spacing w:after="0"/>
              <w:rPr>
                <w:sz w:val="18"/>
                <w:szCs w:val="18"/>
                <w:color w:val="auto"/>
              </w:rPr>
            </w:pPr>
          </w:p>
        </w:tc>
        <w:tc>
          <w:tcPr>
            <w:tcW w:w="7040" w:type="dxa"/>
            <w:vAlign w:val="bottom"/>
            <w:gridSpan w:val="8"/>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4"/>
              </w:rPr>
              <w:t>UNREGISTERED SALES OF EQUITY SECURITIES AND USE OF PROCEEDS</w:t>
            </w:r>
          </w:p>
        </w:tc>
        <w:tc>
          <w:tcPr>
            <w:tcW w:w="2840" w:type="dxa"/>
            <w:vAlign w:val="bottom"/>
            <w:gridSpan w:val="2"/>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4"/>
              </w:rPr>
              <w:t>DEFAULTS UPON SENIOR SECURITIES</w:t>
            </w:r>
          </w:p>
        </w:tc>
        <w:tc>
          <w:tcPr>
            <w:tcW w:w="5720" w:type="dxa"/>
            <w:vAlign w:val="bottom"/>
            <w:gridSpan w:val="4"/>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8920" w:type="dxa"/>
            <w:vAlign w:val="bottom"/>
            <w:gridSpan w:val="13"/>
          </w:tcPr>
          <w:p>
            <w:pPr>
              <w:spacing w:after="0"/>
              <w:rPr>
                <w:sz w:val="20"/>
                <w:szCs w:val="20"/>
                <w:color w:val="auto"/>
              </w:rPr>
            </w:pPr>
            <w:r>
              <w:rPr>
                <w:rFonts w:ascii="Arial" w:cs="Arial" w:eastAsia="Arial" w:hAnsi="Arial"/>
                <w:sz w:val="18"/>
                <w:szCs w:val="18"/>
                <w:color w:val="0000EE"/>
              </w:rPr>
              <w:t>MINE SAFETY DISCLOSURES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6"/>
              </w:rPr>
              <w:t>OTHER INFORMATION</w:t>
            </w:r>
          </w:p>
        </w:tc>
        <w:tc>
          <w:tcPr>
            <w:tcW w:w="540" w:type="dxa"/>
            <w:vAlign w:val="bottom"/>
            <w:tcBorders>
              <w:top w:val="single" w:sz="8" w:color="0000EE"/>
            </w:tcBorders>
          </w:tcPr>
          <w:p>
            <w:pPr>
              <w:spacing w:after="0"/>
              <w:rPr>
                <w:sz w:val="18"/>
                <w:szCs w:val="18"/>
                <w:color w:val="auto"/>
              </w:rPr>
            </w:pPr>
          </w:p>
        </w:tc>
        <w:tc>
          <w:tcPr>
            <w:tcW w:w="6480" w:type="dxa"/>
            <w:vAlign w:val="bottom"/>
            <w:gridSpan w:val="6"/>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8920" w:type="dxa"/>
            <w:vAlign w:val="bottom"/>
            <w:gridSpan w:val="13"/>
          </w:tcPr>
          <w:p>
            <w:pPr>
              <w:spacing w:after="0"/>
              <w:rPr>
                <w:sz w:val="20"/>
                <w:szCs w:val="20"/>
                <w:color w:val="auto"/>
              </w:rPr>
            </w:pPr>
            <w:r>
              <w:rPr>
                <w:rFonts w:ascii="Arial" w:cs="Arial" w:eastAsia="Arial" w:hAnsi="Arial"/>
                <w:sz w:val="18"/>
                <w:szCs w:val="18"/>
                <w:color w:val="0000EE"/>
              </w:rPr>
              <w:t>EXHIBITS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44"/>
        </w:trPr>
        <w:tc>
          <w:tcPr>
            <w:tcW w:w="1200" w:type="dxa"/>
            <w:vAlign w:val="bottom"/>
            <w:gridSpan w:val="2"/>
          </w:tcPr>
          <w:p>
            <w:pPr>
              <w:spacing w:after="0"/>
              <w:rPr>
                <w:sz w:val="20"/>
                <w:szCs w:val="20"/>
                <w:color w:val="auto"/>
              </w:rPr>
            </w:pPr>
            <w:r>
              <w:rPr>
                <w:rFonts w:ascii="Arial" w:cs="Arial" w:eastAsia="Arial" w:hAnsi="Arial"/>
                <w:sz w:val="18"/>
                <w:szCs w:val="18"/>
                <w:color w:val="0000EE"/>
              </w:rPr>
              <w:t>SIGNATURES</w:t>
            </w:r>
          </w:p>
        </w:tc>
        <w:tc>
          <w:tcPr>
            <w:tcW w:w="8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640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65,233,268</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71,430,954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723,736</w:t>
            </w: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577,992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65,957,004</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72,008,946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9,600,240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50,472</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722,821</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0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105,059</w:t>
            </w: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115,492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81,235,596</w:t>
            </w: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87,406,458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642,634</w:t>
            </w:r>
          </w:p>
        </w:tc>
        <w:tc>
          <w:tcPr>
            <w:tcW w:w="4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402,740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liabilities and other current liabilities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3,014,421</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2,298,203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Operating lease liability</w:t>
            </w:r>
          </w:p>
        </w:tc>
        <w:tc>
          <w:tcPr>
            <w:tcW w:w="10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183,616</w:t>
            </w: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3,840,671</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2,832,908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201,792</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587,404</w:t>
            </w:r>
          </w:p>
        </w:tc>
        <w:tc>
          <w:tcPr>
            <w:tcW w:w="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4,629,867</w:t>
            </w: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3,729,374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4)</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Stockholders’ equity:</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$0.001 par value; 100,000,000 shares authorized at</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June 30, 2022 and December 31, 2021; 49,046,246 and 49,043,246</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shares issued and outstanding at June 30, 2022 and December</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31, 2021, respectively</w:t>
            </w: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49,046</w:t>
            </w:r>
          </w:p>
        </w:tc>
        <w:tc>
          <w:tcPr>
            <w:tcW w:w="4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477,151,484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476,788,012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loss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(118,292)</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(98,877)</w:t>
            </w:r>
          </w:p>
        </w:tc>
        <w:tc>
          <w:tcPr>
            <w:tcW w:w="0" w:type="dxa"/>
            <w:vAlign w:val="bottom"/>
          </w:tcPr>
          <w:p>
            <w:pPr>
              <w:spacing w:after="0"/>
              <w:rPr>
                <w:sz w:val="1"/>
                <w:szCs w:val="1"/>
                <w:color w:val="auto"/>
              </w:rPr>
            </w:pPr>
          </w:p>
        </w:tc>
      </w:tr>
      <w:tr>
        <w:trPr>
          <w:trHeight w:val="230"/>
        </w:trPr>
        <w:tc>
          <w:tcPr>
            <w:tcW w:w="64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(400,476,509)</w:t>
            </w:r>
          </w:p>
        </w:tc>
        <w:tc>
          <w:tcPr>
            <w:tcW w:w="2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(393,061,094)</w:t>
            </w:r>
          </w:p>
        </w:tc>
        <w:tc>
          <w:tcPr>
            <w:tcW w:w="0" w:type="dxa"/>
            <w:vAlign w:val="bottom"/>
          </w:tcPr>
          <w:p>
            <w:pPr>
              <w:spacing w:after="0"/>
              <w:rPr>
                <w:sz w:val="1"/>
                <w:szCs w:val="1"/>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0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76,605,729</w:t>
            </w:r>
          </w:p>
        </w:tc>
        <w:tc>
          <w:tcPr>
            <w:tcW w:w="4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83,677,084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8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81,235,596</w:t>
            </w:r>
          </w:p>
        </w:tc>
        <w:tc>
          <w:tcPr>
            <w:tcW w:w="4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87,406,458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8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development and patents</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2,564,969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2,527,123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4,676,965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4,672,397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1,524,966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1,782,390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2,822,982</w:t>
            </w:r>
          </w:p>
        </w:tc>
        <w:tc>
          <w:tcPr>
            <w:tcW w:w="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3,838,645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4,089,935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4,309,513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7,499,947</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8,511,042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(4,089,935)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(4,309,513)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(7,499,947)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(4,511,042)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128,614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Other expense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(30,338)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(8,966)</w:t>
            </w:r>
          </w:p>
        </w:tc>
        <w:tc>
          <w:tcPr>
            <w:tcW w:w="220" w:type="dxa"/>
            <w:vAlign w:val="bottom"/>
          </w:tcPr>
          <w:p>
            <w:pPr>
              <w:spacing w:after="0"/>
              <w:rPr>
                <w:sz w:val="19"/>
                <w:szCs w:val="19"/>
                <w:color w:val="auto"/>
              </w:rPr>
            </w:pPr>
          </w:p>
        </w:tc>
        <w:tc>
          <w:tcPr>
            <w:tcW w:w="1360" w:type="dxa"/>
            <w:vAlign w:val="bottom"/>
            <w:gridSpan w:val="2"/>
          </w:tcPr>
          <w:p>
            <w:pPr>
              <w:jc w:val="right"/>
              <w:ind w:right="261"/>
              <w:spacing w:after="0"/>
              <w:rPr>
                <w:sz w:val="20"/>
                <w:szCs w:val="20"/>
                <w:color w:val="auto"/>
              </w:rPr>
            </w:pPr>
            <w:r>
              <w:rPr>
                <w:rFonts w:ascii="Arial" w:cs="Arial" w:eastAsia="Arial" w:hAnsi="Arial"/>
                <w:sz w:val="18"/>
                <w:szCs w:val="18"/>
                <w:color w:val="auto"/>
              </w:rPr>
              <w:t>(44,082)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(31,904)</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(4,028,998</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(4,284,141</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(7,415,415</w:t>
            </w:r>
          </w:p>
        </w:tc>
        <w:tc>
          <w:tcPr>
            <w:tcW w:w="400" w:type="dxa"/>
            <w:vAlign w:val="bottom"/>
            <w:tcBorders>
              <w:top w:val="single" w:sz="8" w:color="CFF0FC"/>
              <w:bottom w:val="single" w:sz="8" w:color="CFF0FC"/>
            </w:tcBorders>
            <w:shd w:val="clear" w:color="auto" w:fill="CFF0FC"/>
          </w:tcPr>
          <w:p>
            <w:pPr>
              <w:jc w:val="right"/>
              <w:ind w:right="2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(4,471,940</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6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w w:val="96"/>
              </w:rPr>
              <w:t>Shares used to compute basic and diluted net loss per common share</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49,045,587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48,798,417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49,044,423</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48,170,351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(4,028,998)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(4,284,141)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1"/>
              <w:spacing w:after="0"/>
              <w:rPr>
                <w:sz w:val="20"/>
                <w:szCs w:val="20"/>
                <w:color w:val="auto"/>
              </w:rPr>
            </w:pPr>
            <w:r>
              <w:rPr>
                <w:rFonts w:ascii="Arial" w:cs="Arial" w:eastAsia="Arial" w:hAnsi="Arial"/>
                <w:sz w:val="18"/>
                <w:szCs w:val="18"/>
                <w:color w:val="auto"/>
              </w:rPr>
              <w:t>(7,415,415)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9"/>
              </w:rPr>
              <w:t>(4,471,940)</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(11,980)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1"/>
              <w:spacing w:after="0"/>
              <w:rPr>
                <w:sz w:val="20"/>
                <w:szCs w:val="20"/>
                <w:color w:val="auto"/>
              </w:rPr>
            </w:pPr>
            <w:r>
              <w:rPr>
                <w:rFonts w:ascii="Arial" w:cs="Arial" w:eastAsia="Arial" w:hAnsi="Arial"/>
                <w:sz w:val="18"/>
                <w:szCs w:val="18"/>
                <w:color w:val="auto"/>
              </w:rPr>
              <w:t>(19,415)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(4,040,978</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(4,282,778</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(7,434,830</w:t>
            </w:r>
          </w:p>
        </w:tc>
        <w:tc>
          <w:tcPr>
            <w:tcW w:w="400" w:type="dxa"/>
            <w:vAlign w:val="bottom"/>
            <w:tcBorders>
              <w:top w:val="single" w:sz="8" w:color="CFF0FC"/>
              <w:bottom w:val="single" w:sz="8" w:color="CFF0FC"/>
            </w:tcBorders>
            <w:shd w:val="clear" w:color="auto" w:fill="CFF0FC"/>
          </w:tcPr>
          <w:p>
            <w:pPr>
              <w:jc w:val="right"/>
              <w:ind w:right="2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(4,477,398</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w w:val="91"/>
              </w:rPr>
              <w:t>Six Months Ended June 30, 2022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restart"/>
          </w:tcPr>
          <w:p>
            <w:pPr>
              <w:jc w:val="center"/>
              <w:ind w:right="128"/>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4"/>
          </w:tcPr>
          <w:p>
            <w:pPr>
              <w:jc w:val="center"/>
              <w:ind w:right="1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8"/>
            <w:vMerge w:val="restart"/>
          </w:tcPr>
          <w:p>
            <w:pPr>
              <w:ind w:left="7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40" w:type="dxa"/>
            <w:vAlign w:val="bottom"/>
            <w:gridSpan w:val="8"/>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228"/>
              <w:spacing w:after="0"/>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32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208"/>
              <w:spacing w:after="0" w:line="15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w w:val="92"/>
              </w:rPr>
              <w:t>deficit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center"/>
              <w:ind w:right="48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14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2021</w:t>
            </w:r>
          </w:p>
        </w:tc>
        <w:tc>
          <w:tcPr>
            <w:tcW w:w="118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49,043,246</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49,043</w:t>
            </w:r>
          </w:p>
        </w:tc>
        <w:tc>
          <w:tcPr>
            <w:tcW w:w="1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476,788,012</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(98,877)</w:t>
            </w: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(393,061,094)</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83,677,084</w:t>
            </w:r>
          </w:p>
        </w:tc>
        <w:tc>
          <w:tcPr>
            <w:tcW w:w="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60" w:type="dxa"/>
            <w:vAlign w:val="bottom"/>
          </w:tcPr>
          <w:p>
            <w:pPr>
              <w:spacing w:after="0"/>
              <w:rPr>
                <w:sz w:val="14"/>
                <w:szCs w:val="14"/>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81,053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81,053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6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(3,386,417)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(3,386,417)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60" w:type="dxa"/>
            <w:vAlign w:val="bottom"/>
          </w:tcPr>
          <w:p>
            <w:pPr>
              <w:spacing w:after="0"/>
              <w:rPr>
                <w:sz w:val="14"/>
                <w:szCs w:val="14"/>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(7,435)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(7,435)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March 31, 2022</w:t>
            </w:r>
          </w:p>
        </w:tc>
        <w:tc>
          <w:tcPr>
            <w:tcW w:w="11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49,043,246</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49,043</w:t>
            </w:r>
          </w:p>
        </w:tc>
        <w:tc>
          <w:tcPr>
            <w:tcW w:w="1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476,869,065</w:t>
            </w: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(106,312)</w:t>
            </w: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(396,447,511)</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80,364,285</w:t>
            </w:r>
          </w:p>
        </w:tc>
        <w:tc>
          <w:tcPr>
            <w:tcW w:w="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line="155" w:lineRule="exact"/>
              <w:rPr>
                <w:sz w:val="20"/>
                <w:szCs w:val="20"/>
                <w:color w:val="auto"/>
              </w:rPr>
            </w:pPr>
            <w:r>
              <w:rPr>
                <w:rFonts w:ascii="Arial" w:cs="Arial" w:eastAsia="Arial" w:hAnsi="Arial"/>
                <w:sz w:val="14"/>
                <w:szCs w:val="14"/>
                <w:color w:val="auto"/>
              </w:rPr>
              <w:t>Share-based compensation</w:t>
            </w:r>
          </w:p>
        </w:tc>
        <w:tc>
          <w:tcPr>
            <w:tcW w:w="6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274,502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274,502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7,917</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7,920</w:t>
            </w: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4"/>
                <w:szCs w:val="14"/>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(4,028,998)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(4,028,998)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6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(11,980)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(11,980)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tcPr>
          <w:p>
            <w:pPr>
              <w:ind w:left="260"/>
              <w:spacing w:after="0" w:line="155" w:lineRule="exact"/>
              <w:rPr>
                <w:sz w:val="20"/>
                <w:szCs w:val="20"/>
                <w:color w:val="auto"/>
              </w:rPr>
            </w:pPr>
            <w:r>
              <w:rPr>
                <w:rFonts w:ascii="Arial" w:cs="Arial" w:eastAsia="Arial" w:hAnsi="Arial"/>
                <w:sz w:val="14"/>
                <w:szCs w:val="14"/>
                <w:color w:val="auto"/>
              </w:rPr>
              <w:t>Balance at June 30, 2022</w:t>
            </w:r>
          </w:p>
        </w:tc>
        <w:tc>
          <w:tcPr>
            <w:tcW w:w="11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49,046,246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49,046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477,151,484</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(118,292)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(400,476,509)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76,605,729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 2021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8"/>
            <w:vMerge w:val="restart"/>
          </w:tcPr>
          <w:p>
            <w:pPr>
              <w:jc w:val="center"/>
              <w:ind w:right="20"/>
              <w:spacing w:after="0"/>
              <w:rPr>
                <w:sz w:val="20"/>
                <w:szCs w:val="20"/>
                <w:color w:val="auto"/>
              </w:rPr>
            </w:pPr>
            <w:r>
              <w:rPr>
                <w:rFonts w:ascii="Arial" w:cs="Arial" w:eastAsia="Arial" w:hAnsi="Arial"/>
                <w:sz w:val="14"/>
                <w:szCs w:val="14"/>
                <w:b w:val="1"/>
                <w:bCs w:val="1"/>
                <w:color w:val="auto"/>
                <w:w w:val="92"/>
              </w:rPr>
              <w:t>Common 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40" w:type="dxa"/>
            <w:vAlign w:val="bottom"/>
            <w:gridSpan w:val="8"/>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paid-in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top w:val="single" w:sz="8" w:color="auto"/>
            </w:tcBorders>
            <w:gridSpan w:val="3"/>
          </w:tcPr>
          <w:p>
            <w:pPr>
              <w:ind w:left="40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left="48"/>
              <w:spacing w:after="0" w:line="155"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14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2020</w:t>
            </w:r>
          </w:p>
        </w:tc>
        <w:tc>
          <w:tcPr>
            <w:tcW w:w="60" w:type="dxa"/>
            <w:vAlign w:val="bottom"/>
            <w:tcBorders>
              <w:top w:val="single" w:sz="8" w:color="CFF0FC"/>
            </w:tcBorders>
            <w:shd w:val="clear" w:color="auto" w:fill="CFF0FC"/>
          </w:tcPr>
          <w:p>
            <w:pPr>
              <w:spacing w:after="0"/>
              <w:rPr>
                <w:sz w:val="13"/>
                <w:szCs w:val="13"/>
                <w:color w:val="auto"/>
              </w:rPr>
            </w:pPr>
          </w:p>
        </w:tc>
        <w:tc>
          <w:tcPr>
            <w:tcW w:w="122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45,024,560</w:t>
            </w: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45,025</w:t>
            </w: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454,296,536</w:t>
            </w: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(88,219)</w:t>
            </w: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(382,926,842)</w:t>
            </w: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w w:val="98"/>
              </w:rPr>
              <w:t>$   71,326,500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60" w:type="dxa"/>
            <w:vAlign w:val="bottom"/>
          </w:tcPr>
          <w:p>
            <w:pPr>
              <w:spacing w:after="0"/>
              <w:rPr>
                <w:sz w:val="14"/>
                <w:szCs w:val="14"/>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1,139,636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1,139,636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for option</w:t>
            </w:r>
          </w:p>
        </w:tc>
        <w:tc>
          <w:tcPr>
            <w:tcW w:w="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exercises</w:t>
            </w:r>
          </w:p>
        </w:tc>
        <w:tc>
          <w:tcPr>
            <w:tcW w:w="12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86,250</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212,089</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w w:val="99"/>
              </w:rPr>
              <w:t>—</w:t>
            </w: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212,175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40" w:type="dxa"/>
            <w:vAlign w:val="bottom"/>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tcPr>
          <w:p>
            <w:pPr>
              <w:ind w:left="120"/>
              <w:spacing w:after="0"/>
              <w:rPr>
                <w:sz w:val="20"/>
                <w:szCs w:val="20"/>
                <w:color w:val="auto"/>
              </w:rPr>
            </w:pPr>
            <w:r>
              <w:rPr>
                <w:rFonts w:ascii="Arial" w:cs="Arial" w:eastAsia="Arial" w:hAnsi="Arial"/>
                <w:sz w:val="14"/>
                <w:szCs w:val="14"/>
                <w:color w:val="auto"/>
              </w:rPr>
              <w:t>purchase plan (ESPP)</w:t>
            </w:r>
          </w:p>
        </w:tc>
        <w:tc>
          <w:tcPr>
            <w:tcW w:w="1280" w:type="dxa"/>
            <w:vAlign w:val="bottom"/>
            <w:gridSpan w:val="3"/>
          </w:tcPr>
          <w:p>
            <w:pPr>
              <w:jc w:val="right"/>
              <w:ind w:right="20"/>
              <w:spacing w:after="0"/>
              <w:rPr>
                <w:sz w:val="20"/>
                <w:szCs w:val="20"/>
                <w:color w:val="auto"/>
              </w:rPr>
            </w:pPr>
            <w:r>
              <w:rPr>
                <w:rFonts w:ascii="Arial" w:cs="Arial" w:eastAsia="Arial" w:hAnsi="Arial"/>
                <w:sz w:val="14"/>
                <w:szCs w:val="14"/>
                <w:color w:val="auto"/>
              </w:rPr>
              <w:t>1,424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6,108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6,110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in a private</w:t>
            </w:r>
          </w:p>
        </w:tc>
        <w:tc>
          <w:tcPr>
            <w:tcW w:w="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placement transaction, net of issuance costs</w:t>
            </w:r>
          </w:p>
        </w:tc>
        <w:tc>
          <w:tcPr>
            <w:tcW w:w="12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3,656,307</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3,656</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19,877,992</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w w:val="99"/>
              </w:rPr>
              <w:t>—</w:t>
            </w: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19,881,648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4"/>
                <w:szCs w:val="14"/>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5"/>
          </w:tcPr>
          <w:p>
            <w:pPr>
              <w:jc w:val="right"/>
              <w:ind w:right="20"/>
              <w:spacing w:after="0"/>
              <w:rPr>
                <w:sz w:val="20"/>
                <w:szCs w:val="20"/>
                <w:color w:val="auto"/>
              </w:rPr>
            </w:pPr>
            <w:r>
              <w:rPr>
                <w:rFonts w:ascii="Arial" w:cs="Arial" w:eastAsia="Arial" w:hAnsi="Arial"/>
                <w:sz w:val="14"/>
                <w:szCs w:val="14"/>
                <w:color w:val="auto"/>
              </w:rPr>
              <w:t>(187,799)</w:t>
            </w:r>
          </w:p>
        </w:tc>
        <w:tc>
          <w:tcPr>
            <w:tcW w:w="1140" w:type="dxa"/>
            <w:vAlign w:val="bottom"/>
            <w:gridSpan w:val="4"/>
          </w:tcPr>
          <w:p>
            <w:pPr>
              <w:jc w:val="right"/>
              <w:ind w:right="20"/>
              <w:spacing w:after="0"/>
              <w:rPr>
                <w:sz w:val="20"/>
                <w:szCs w:val="20"/>
                <w:color w:val="auto"/>
              </w:rPr>
            </w:pPr>
            <w:r>
              <w:rPr>
                <w:rFonts w:ascii="Arial" w:cs="Arial" w:eastAsia="Arial" w:hAnsi="Arial"/>
                <w:sz w:val="14"/>
                <w:szCs w:val="14"/>
                <w:color w:val="auto"/>
              </w:rPr>
              <w:t>(187,799)</w:t>
            </w: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6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5"/>
            <w:shd w:val="clear" w:color="auto" w:fill="CFF0FC"/>
          </w:tcPr>
          <w:p>
            <w:pPr>
              <w:jc w:val="right"/>
              <w:ind w:right="40"/>
              <w:spacing w:after="0"/>
              <w:rPr>
                <w:sz w:val="20"/>
                <w:szCs w:val="20"/>
                <w:color w:val="auto"/>
              </w:rPr>
            </w:pPr>
            <w:r>
              <w:rPr>
                <w:rFonts w:ascii="Arial" w:cs="Arial" w:eastAsia="Arial" w:hAnsi="Arial"/>
                <w:sz w:val="14"/>
                <w:szCs w:val="14"/>
                <w:color w:val="auto"/>
              </w:rPr>
              <w:t>(6,821)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w w:val="99"/>
              </w:rPr>
              <w:t>—</w:t>
            </w:r>
          </w:p>
        </w:tc>
        <w:tc>
          <w:tcPr>
            <w:tcW w:w="114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(6,821)</w:t>
            </w:r>
          </w:p>
        </w:tc>
        <w:tc>
          <w:tcPr>
            <w:tcW w:w="0" w:type="dxa"/>
            <w:vAlign w:val="bottom"/>
          </w:tcPr>
          <w:p>
            <w:pPr>
              <w:spacing w:after="0"/>
              <w:rPr>
                <w:sz w:val="1"/>
                <w:szCs w:val="1"/>
                <w:color w:val="auto"/>
              </w:rPr>
            </w:pPr>
          </w:p>
        </w:tc>
      </w:tr>
      <w:tr>
        <w:trPr>
          <w:trHeight w:val="155"/>
        </w:trPr>
        <w:tc>
          <w:tcPr>
            <w:tcW w:w="314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Balance at March 31, 2021</w:t>
            </w:r>
          </w:p>
        </w:tc>
        <w:tc>
          <w:tcPr>
            <w:tcW w:w="6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48,768,541</w:t>
            </w: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48,769</w:t>
            </w: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475,532,361</w:t>
            </w: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(95,040)</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(383,114,641)</w:t>
            </w: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92,371,449</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Share-based compensation</w:t>
            </w:r>
          </w:p>
        </w:tc>
        <w:tc>
          <w:tcPr>
            <w:tcW w:w="6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755,905</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755,905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1280" w:type="dxa"/>
            <w:vAlign w:val="bottom"/>
            <w:gridSpan w:val="3"/>
          </w:tcPr>
          <w:p>
            <w:pPr>
              <w:jc w:val="right"/>
              <w:ind w:right="20"/>
              <w:spacing w:after="0"/>
              <w:rPr>
                <w:sz w:val="20"/>
                <w:szCs w:val="20"/>
                <w:color w:val="auto"/>
              </w:rPr>
            </w:pPr>
            <w:r>
              <w:rPr>
                <w:rFonts w:ascii="Arial" w:cs="Arial" w:eastAsia="Arial" w:hAnsi="Arial"/>
                <w:sz w:val="14"/>
                <w:szCs w:val="14"/>
                <w:color w:val="auto"/>
              </w:rPr>
              <w:t>155,622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389,583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389,738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6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5"/>
            <w:shd w:val="clear" w:color="auto" w:fill="CFF0FC"/>
          </w:tcPr>
          <w:p>
            <w:pPr>
              <w:jc w:val="right"/>
              <w:ind w:right="20"/>
              <w:spacing w:after="0"/>
              <w:rPr>
                <w:sz w:val="20"/>
                <w:szCs w:val="20"/>
                <w:color w:val="auto"/>
              </w:rPr>
            </w:pPr>
            <w:r>
              <w:rPr>
                <w:rFonts w:ascii="Arial" w:cs="Arial" w:eastAsia="Arial" w:hAnsi="Arial"/>
                <w:sz w:val="14"/>
                <w:szCs w:val="14"/>
                <w:color w:val="auto"/>
              </w:rPr>
              <w:t>(4,284,141)</w:t>
            </w:r>
          </w:p>
        </w:tc>
        <w:tc>
          <w:tcPr>
            <w:tcW w:w="1140" w:type="dxa"/>
            <w:vAlign w:val="bottom"/>
            <w:gridSpan w:val="4"/>
            <w:shd w:val="clear" w:color="auto" w:fill="CFF0FC"/>
          </w:tcPr>
          <w:p>
            <w:pPr>
              <w:jc w:val="right"/>
              <w:ind w:right="20"/>
              <w:spacing w:after="0"/>
              <w:rPr>
                <w:sz w:val="20"/>
                <w:szCs w:val="20"/>
                <w:color w:val="auto"/>
              </w:rPr>
            </w:pPr>
            <w:r>
              <w:rPr>
                <w:rFonts w:ascii="Arial" w:cs="Arial" w:eastAsia="Arial" w:hAnsi="Arial"/>
                <w:sz w:val="14"/>
                <w:szCs w:val="14"/>
                <w:color w:val="auto"/>
              </w:rPr>
              <w:t>(4,284,141)</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60" w:type="dxa"/>
            <w:vAlign w:val="bottom"/>
          </w:tcPr>
          <w:p>
            <w:pPr>
              <w:spacing w:after="0"/>
              <w:rPr>
                <w:sz w:val="14"/>
                <w:szCs w:val="14"/>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color w:val="auto"/>
              </w:rPr>
              <w:t>1,363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w:t>
            </w: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1,363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4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June 30, 2021</w:t>
            </w:r>
          </w:p>
        </w:tc>
        <w:tc>
          <w:tcPr>
            <w:tcW w:w="60" w:type="dxa"/>
            <w:vAlign w:val="bottom"/>
            <w:tcBorders>
              <w:top w:val="single" w:sz="8" w:color="CFF0FC"/>
            </w:tcBorders>
            <w:shd w:val="clear" w:color="auto" w:fill="CFF0FC"/>
          </w:tcPr>
          <w:p>
            <w:pPr>
              <w:spacing w:after="0"/>
              <w:rPr>
                <w:sz w:val="13"/>
                <w:szCs w:val="13"/>
                <w:color w:val="auto"/>
              </w:rPr>
            </w:pPr>
          </w:p>
        </w:tc>
        <w:tc>
          <w:tcPr>
            <w:tcW w:w="122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48,924,163</w:t>
            </w: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48,924</w:t>
            </w: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476,677,849</w:t>
            </w:r>
          </w:p>
        </w:tc>
        <w:tc>
          <w:tcPr>
            <w:tcW w:w="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(93,677)</w:t>
            </w: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(387,398,782)</w:t>
            </w: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89,234,314</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(7,415,415)</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(4,471,940)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Non-cash stock-based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355,555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1,895,541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Change in carrying amount of right-of-use asset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101,394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(135,311)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(439,615)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liabilities and other liabilities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956,112</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12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(55,620)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(117,828)</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(6,184,368)</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(2,727,016)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(25,794)</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and exercise of common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20"/>
              <w:spacing w:after="0"/>
              <w:rPr>
                <w:sz w:val="20"/>
                <w:szCs w:val="20"/>
                <w:color w:val="auto"/>
              </w:rPr>
            </w:pPr>
            <w:r>
              <w:rPr>
                <w:rFonts w:ascii="Arial" w:cs="Arial" w:eastAsia="Arial" w:hAnsi="Arial"/>
                <w:sz w:val="18"/>
                <w:szCs w:val="18"/>
                <w:color w:val="auto"/>
              </w:rPr>
              <w:t>stock options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7,920</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20,601,929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issuance costs</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(118,368)</w:t>
            </w: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80" w:type="dxa"/>
            <w:vAlign w:val="bottom"/>
          </w:tcPr>
          <w:p>
            <w:pPr>
              <w:spacing w:after="0"/>
              <w:rPr>
                <w:sz w:val="19"/>
                <w:szCs w:val="19"/>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7,920</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20,489,671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(21,238)</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(6,197,686)</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17,755,500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71,430,954</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60,036,763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65,233,268</w:t>
            </w:r>
          </w:p>
        </w:tc>
        <w:tc>
          <w:tcPr>
            <w:tcW w:w="4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77,792,263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Borders>
              <w:bottom w:val="single" w:sz="8" w:color="CFF0FC"/>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Right-of-use asset obtained in exchange for operating lease liability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176,416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MediciNova, Inc. (the “Company” or “MediciNova”) was incorporated in the state of Delaware in September 2000. The Company’s common stock is listed in both the United States and Japan and trades on the NASDAQ Global Market and the JASDAQ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and other diseases such as nonalcoholic fatty liver disease (NAFLD), nonalcoholic steatohepatitis (NASH) and idiopathic pulmonary fibrosis (IPF). The Company’s pipeline also includes MN-221 (bedoradrine) for the treatment of acute exacerbation of asthma, and MN-029 (denibulin) for solid tumor cancers.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spacing w:after="0" w:line="19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2021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2021 has been derived from the audited financial statements at that date but does not include all the information and footnotes required by GAAP for complete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Certain reclassifications have been made to the prior year financial statements to conform to the current year presentation. The reduction in carrying amount of right-of-use asset was reclassified from the change in prepaid expenses and other assets, and the change in operating lease liabilities was reclassified from the change in accounts payable, accrued liabilities and other liabilities within operating activities in the statement of cash flows for the six months ended June 30, 2021. There was no change to total net cash used in operating activities. These reclassifications had no effect on previously reported results of operations, cash flows, or retained earnings.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consolidated financial statements include the accounts of MediciNova, Inc. and its wholly owned subsidiaries, MediciNova Japan, Inc., MediciNova (Europe) Limited, MediciNova Europe GmbH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Cash and cash equivalents consist of cash and other highly liquid investments including money market accounts, with original maturities of three months or less from the date of purchase.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$2.5 million and $2.3 million for the three months ended June 30, 2022 and 2021, respectively, and $4.5 million and $4.4 million for the six months ended June 30, 2022 and 2021, respectively.</w:t>
      </w:r>
    </w:p>
    <w:p>
      <w:pPr>
        <w:spacing w:after="0" w:line="22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and $0.2 million for the three months ended June 30, 2022 and 2021, respectively, and $0.2 million and $0.3 million for the six months ended June 30, 2022 and 2021,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Leases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12529"/>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the Company’s Business</w:t>
      </w:r>
    </w:p>
    <w:p>
      <w:pPr>
        <w:spacing w:after="0" w:line="117"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The pandemic caused by an outbreak of a new strain of coronavirus (“COVID-19” or “the pandemic”) has resulted, and is likely to continue to result, in significant national and global economic disruption and may adversely affect the Company’s business. Although the pandemic resulted in a decrease in the number of patient visits at certain of the Company’s clinical trial sites, the Company expects this effect to be temporary.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the Company designed and completed a clinical trial to evaluate MN-166 (ibudilast) for prevention of acute respiratory distress syndrome (ARDS) caused by COVID-19. Based on the Company’s current assessment, the Company does not expect a material negative impact on its clinical development plans, long-term development timeline or liquidity due to the worldwide spread of the COVID-19 virus. However, the Company is actively monitoring this situation and the possible effects on its financial condition, liquidity, operations, suppliers, industry, and workforce.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 xml:space="preserve">In June 2016, the FASB issued Accounting Standards Update (“ASU”) No. 2016-13, </w:t>
      </w:r>
      <w:r>
        <w:rPr>
          <w:rFonts w:ascii="Arial" w:cs="Arial" w:eastAsia="Arial" w:hAnsi="Arial"/>
          <w:sz w:val="17"/>
          <w:szCs w:val="17"/>
          <w:i w:val="1"/>
          <w:iCs w:val="1"/>
          <w:color w:val="auto"/>
        </w:rPr>
        <w:t>Financial Instruments—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(“ASU 2016-13”). The ASU introduced a new credit loss methodology,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will be effective for the Company on January 1, 2023 or at such earlier time where it is no longer a smaller reporting company. The Company is currently evaluating the potential impact that this standard may have on its consolidated financial statements and related disclosures.</w:t>
      </w:r>
    </w:p>
    <w:p>
      <w:pPr>
        <w:spacing w:after="0" w:line="18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August 2020, the FASB issued ASU No. 2020-06</w:t>
      </w:r>
      <w:r>
        <w:rPr>
          <w:rFonts w:ascii="Arial" w:cs="Arial" w:eastAsia="Arial" w:hAnsi="Arial"/>
          <w:sz w:val="17"/>
          <w:szCs w:val="17"/>
          <w:i w:val="1"/>
          <w:iCs w:val="1"/>
          <w:color w:val="auto"/>
        </w:rPr>
        <w:t>, 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 Contracts in Entity’s Own Equity (Subtopic 815-40) </w:t>
      </w:r>
      <w:r>
        <w:rPr>
          <w:rFonts w:ascii="Arial" w:cs="Arial" w:eastAsia="Arial" w:hAnsi="Arial"/>
          <w:sz w:val="17"/>
          <w:szCs w:val="17"/>
          <w:color w:val="auto"/>
        </w:rPr>
        <w:t>(“ASU 2020-06”). ASU 2020-06 simplifies the accounting for convertible debt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will be effective for the Company on January 1, 2024 or at such earlier time where it is no longer a smaller reporting company. The Company is currently evaluating the potential impact that this standard may have on its consolidated financial statements and related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 xml:space="preserve">In October 2011, the Company entered into a collaboration agreement with Kissei Pharmaceutical Co., Ltd., (“Kissei”), to perform research and development services relating to MN-221 (bedoradrine) in exchange for a non-refundable upfront payment of $2.5 million. The Company assessed the services in accordance with the authoritative guidance and concluded that it met the definition of a collaborative arrangement per Accounting Standards Codification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which was outside the scope of ASC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Customers (“ASC 606”). Since ASC 808 did not provide recognition and measurement guidance for collaborative arrangements, the Company analogized to ASC 606 and concluded the two studies to be performed under the agreement represented two separate performance obligations. No services have been provided under the collaboration agreement subsequent to completion of the first study in 2013. In October 2021, the Company refunded $1.3 million of the prepayment. As of June 30, 2022, the Company and Kissei were working to mutually terminate the collaboration agreement and cancel the second study contemplated thereunder and the Company expects to finalize the termination agreement in 2022.</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In December 2005, Avigen, Inc. and Genzyme Corporation (“Genzyme”) entered into an Assignment Agreement (the “Genzyme Agreement”) in which Genzyme acquired certain gene therapy intellectual property, programs and other related assets from</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line="257" w:lineRule="auto"/>
        <w:rPr>
          <w:sz w:val="20"/>
          <w:szCs w:val="20"/>
          <w:color w:val="auto"/>
        </w:rPr>
      </w:pPr>
      <w:r>
        <w:rPr>
          <w:rFonts w:ascii="Arial" w:cs="Arial" w:eastAsia="Arial" w:hAnsi="Arial"/>
          <w:sz w:val="18"/>
          <w:szCs w:val="18"/>
          <w:color w:val="auto"/>
        </w:rPr>
        <w:t>Avigen, Inc. in exchange for an initial $12.0 million payment. Avigen could also receive additional development milestone payments, sublicensing fees, and royalty payments based on the successful development of products by Genzyme utilizing technologies previously developed by Avigen. The Company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88"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The development milestones outlined in the Genzyme Agreement did not meet the definition of a substantive milestone obligation under authoritative guidance on revenue recognition for milestone payments, as Genzyme was responsible for the development of the products and there is no further substantive service effort required by the Company. In March 2021, the Company received notice that a gene therapy product based on AAV (adeno-associated virus) vector technology, which was covered under the Genzyme Agreement, achieved two clinical development milestones, triggering two milestone payments. Accordingly, the Company recognized revenue of $4 million during the six months ended June 30,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20" w:right="78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Cash equivalents, including money market accounts of $0.7 million measured at fair value as of June 30, 2022 and December 31, 2021, are classified within Level 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Company has operating leases primarily for real estate in the United States and Japan. The United States lease is for the Company’s headquarters in San Diego and has a term of five years ending January 31, 2027, with annual escalations. The Company’s lease in Tokyo, Japan has a term of two years ending May 2023 with an auto-renewal, two-year extension. The real estate operating leases are included in "Right-of-use asset” on the Company's balance sheet and represents the Company’s right to use the underlying assets for the lease term. The Company’s obligation to make lease payments are included in "Operating lease liability" and "Other non-current liabilities" on the Company's balance sheet.</w:t>
      </w: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Information related to the Company’s right-of-use assets and related lease liabilities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3"/>
          </w:tcPr>
          <w:p>
            <w:pPr>
              <w:jc w:val="center"/>
              <w:ind w:left="581"/>
              <w:spacing w:after="0"/>
              <w:rPr>
                <w:sz w:val="20"/>
                <w:szCs w:val="20"/>
                <w:color w:val="auto"/>
              </w:rPr>
            </w:pPr>
            <w:r>
              <w:rPr>
                <w:rFonts w:ascii="Arial" w:cs="Arial" w:eastAsia="Arial" w:hAnsi="Arial"/>
                <w:sz w:val="14"/>
                <w:szCs w:val="14"/>
                <w:b w:val="1"/>
                <w:bCs w:val="1"/>
                <w:color w:val="auto"/>
                <w:w w:val="89"/>
              </w:rPr>
              <w:t>Six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60" w:type="dxa"/>
            <w:vAlign w:val="bottom"/>
            <w:gridSpan w:val="3"/>
          </w:tcPr>
          <w:p>
            <w:pPr>
              <w:ind w:left="420"/>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3"/>
          </w:tcPr>
          <w:p>
            <w:pPr>
              <w:jc w:val="center"/>
              <w:ind w:left="581"/>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3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300" w:type="dxa"/>
            <w:vAlign w:val="bottom"/>
            <w:vMerge w:val="restart"/>
          </w:tcPr>
          <w:p>
            <w:pPr>
              <w:spacing w:after="0"/>
              <w:rPr>
                <w:sz w:val="20"/>
                <w:szCs w:val="20"/>
                <w:color w:val="auto"/>
              </w:rPr>
            </w:pPr>
            <w:r>
              <w:rPr>
                <w:rFonts w:ascii="Arial" w:cs="Arial" w:eastAsia="Arial" w:hAnsi="Arial"/>
                <w:sz w:val="18"/>
                <w:szCs w:val="18"/>
                <w:color w:val="auto"/>
              </w:rPr>
              <w:t>Cash paid for operating lease liabilities</w:t>
            </w: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00" w:type="dxa"/>
            <w:vAlign w:val="bottom"/>
            <w:vMerge w:val="continue"/>
          </w:tcPr>
          <w:p>
            <w:pPr>
              <w:spacing w:after="0"/>
              <w:rPr>
                <w:sz w:val="19"/>
                <w:szCs w:val="19"/>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34,283</w:t>
            </w:r>
          </w:p>
        </w:tc>
        <w:tc>
          <w:tcPr>
            <w:tcW w:w="240" w:type="dxa"/>
            <w:vAlign w:val="bottom"/>
          </w:tcPr>
          <w:p>
            <w:pPr>
              <w:spacing w:after="0"/>
              <w:rPr>
                <w:sz w:val="19"/>
                <w:szCs w:val="19"/>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61,550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68,565</w:t>
            </w:r>
          </w:p>
        </w:tc>
        <w:tc>
          <w:tcPr>
            <w:tcW w:w="240" w:type="dxa"/>
            <w:vAlign w:val="bottom"/>
          </w:tcPr>
          <w:p>
            <w:pPr>
              <w:spacing w:after="0"/>
              <w:rPr>
                <w:sz w:val="19"/>
                <w:szCs w:val="19"/>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7"/>
              </w:rPr>
              <w:t>65,170</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58,199</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115,222</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2"/>
        </w:trPr>
        <w:tc>
          <w:tcPr>
            <w:tcW w:w="6280" w:type="dxa"/>
            <w:vAlign w:val="bottom"/>
          </w:tcPr>
          <w:p>
            <w:pPr>
              <w:spacing w:after="0"/>
              <w:rPr>
                <w:sz w:val="21"/>
                <w:szCs w:val="21"/>
                <w:color w:val="auto"/>
              </w:rPr>
            </w:pPr>
          </w:p>
        </w:tc>
        <w:tc>
          <w:tcPr>
            <w:tcW w:w="202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operating lease liabilities</w:t>
            </w:r>
          </w:p>
        </w:tc>
        <w:tc>
          <w:tcPr>
            <w:tcW w:w="8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183,616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131,965</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operating lease liabilities</w:t>
            </w:r>
          </w:p>
        </w:tc>
        <w:tc>
          <w:tcPr>
            <w:tcW w:w="8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587,404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694,674</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8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771,020</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826,639</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w:t>
            </w:r>
          </w:p>
        </w:tc>
        <w:tc>
          <w:tcPr>
            <w:tcW w:w="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8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Maturities of operating lease liabilities as of June 30, 2022 were as follows:</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214,299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189,170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2025</w:t>
            </w: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197,586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8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17,269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minimum payments</w:t>
            </w:r>
          </w:p>
        </w:tc>
        <w:tc>
          <w:tcPr>
            <w:tcW w:w="8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952,300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Less imputed interest</w:t>
            </w: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(181,280)</w:t>
            </w: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771,020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ind w:right="40" w:firstLine="490"/>
        <w:spacing w:after="0" w:line="275" w:lineRule="auto"/>
        <w:rPr>
          <w:sz w:val="20"/>
          <w:szCs w:val="20"/>
          <w:color w:val="auto"/>
        </w:rPr>
      </w:pPr>
      <w:r>
        <w:rPr>
          <w:rFonts w:ascii="Arial" w:cs="Arial" w:eastAsia="Arial" w:hAnsi="Arial"/>
          <w:sz w:val="17"/>
          <w:szCs w:val="17"/>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7" w:lineRule="exact"/>
        <w:rPr>
          <w:sz w:val="20"/>
          <w:szCs w:val="20"/>
          <w:color w:val="auto"/>
        </w:rPr>
      </w:pPr>
    </w:p>
    <w:p>
      <w:pPr>
        <w:ind w:right="100" w:firstLine="490"/>
        <w:spacing w:after="0" w:line="257" w:lineRule="auto"/>
        <w:rPr>
          <w:sz w:val="20"/>
          <w:szCs w:val="20"/>
          <w:color w:val="auto"/>
        </w:rPr>
      </w:pPr>
      <w:r>
        <w:rPr>
          <w:rFonts w:ascii="Arial" w:cs="Arial" w:eastAsia="Arial" w:hAnsi="Arial"/>
          <w:sz w:val="18"/>
          <w:szCs w:val="18"/>
          <w:color w:val="auto"/>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No amounts have been expended under these agreements during the three and six months ended June 30, 2022 and 2021. For products currently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development, future potential milestone payments based on product development of MN-166 (ibudilast) and MN-001 (tipelukast) are $10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2022. For all other products, future potential milestone payments related to development milestones and commercialization milestones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$33.5 million as of June 30, 2022. There are no minimum royalties required under any of the license agreements. The Company is unable to estimate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certainty the timing on when these milestone payments will occur as these payments are dependent upon the progress of the Company’s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development programs.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60" w:firstLine="490"/>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8,700,000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June 30, 2022, 1,920,647 shares remain available for future grants under the 2013 Plan.</w:t>
      </w:r>
    </w:p>
    <w:p>
      <w:pPr>
        <w:spacing w:after="0" w:line="166"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unless earlier terminated and generally vest over a one or four year period. The exercise price of all options granted through June 30, 2022 and in 2021, was equal to the fair market value of the Company’s common stock on the date of grant.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June 30, 2022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680" w:type="dxa"/>
            <w:vAlign w:val="bottom"/>
          </w:tcPr>
          <w:p>
            <w:pPr>
              <w:jc w:val="center"/>
              <w:ind w:left="668"/>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Weighted Average</w:t>
            </w:r>
          </w:p>
        </w:tc>
      </w:tr>
      <w:tr>
        <w:trPr>
          <w:trHeight w:val="171"/>
        </w:trPr>
        <w:tc>
          <w:tcPr>
            <w:tcW w:w="5600" w:type="dxa"/>
            <w:vAlign w:val="bottom"/>
          </w:tcPr>
          <w:p>
            <w:pPr>
              <w:spacing w:after="0"/>
              <w:rPr>
                <w:sz w:val="14"/>
                <w:szCs w:val="14"/>
                <w:color w:val="auto"/>
              </w:rPr>
            </w:pPr>
          </w:p>
        </w:tc>
        <w:tc>
          <w:tcPr>
            <w:tcW w:w="1680" w:type="dxa"/>
            <w:vAlign w:val="bottom"/>
          </w:tcPr>
          <w:p>
            <w:pPr>
              <w:jc w:val="center"/>
              <w:ind w:left="688"/>
              <w:spacing w:after="0"/>
              <w:rPr>
                <w:sz w:val="20"/>
                <w:szCs w:val="20"/>
                <w:color w:val="auto"/>
              </w:rPr>
            </w:pPr>
            <w:r>
              <w:rPr>
                <w:rFonts w:ascii="Arial" w:cs="Arial" w:eastAsia="Arial" w:hAnsi="Arial"/>
                <w:sz w:val="14"/>
                <w:szCs w:val="14"/>
                <w:b w:val="1"/>
                <w:bCs w:val="1"/>
                <w:color w:val="auto"/>
                <w:w w:val="91"/>
              </w:rPr>
              <w:t>Option Shares</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Exercise Price</w:t>
            </w: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6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7,974,250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400" w:type="dxa"/>
            <w:vAlign w:val="bottom"/>
            <w:tcBorders>
              <w:top w:val="single" w:sz="8" w:color="CFF0FC"/>
            </w:tcBorders>
            <w:shd w:val="clear" w:color="auto" w:fill="CFF0FC"/>
          </w:tcPr>
          <w:p>
            <w:pPr>
              <w:spacing w:after="0"/>
              <w:rPr>
                <w:sz w:val="19"/>
                <w:szCs w:val="19"/>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591,700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2.28</w:t>
            </w:r>
          </w:p>
        </w:tc>
        <w:tc>
          <w:tcPr>
            <w:tcW w:w="400" w:type="dxa"/>
            <w:vAlign w:val="bottom"/>
          </w:tcPr>
          <w:p>
            <w:pPr>
              <w:spacing w:after="0"/>
              <w:rPr>
                <w:sz w:val="19"/>
                <w:szCs w:val="19"/>
                <w:color w:val="auto"/>
              </w:rPr>
            </w:pPr>
          </w:p>
        </w:tc>
      </w:tr>
      <w:tr>
        <w:trPr>
          <w:trHeight w:val="229"/>
        </w:trPr>
        <w:tc>
          <w:tcPr>
            <w:tcW w:w="7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400" w:type="dxa"/>
            <w:vAlign w:val="bottom"/>
            <w:shd w:val="clear" w:color="auto" w:fill="CFF0FC"/>
          </w:tcPr>
          <w:p>
            <w:pPr>
              <w:spacing w:after="0"/>
              <w:rPr>
                <w:sz w:val="19"/>
                <w:szCs w:val="19"/>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(549,030)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5.88</w:t>
            </w:r>
          </w:p>
        </w:tc>
        <w:tc>
          <w:tcPr>
            <w:tcW w:w="400" w:type="dxa"/>
            <w:vAlign w:val="bottom"/>
          </w:tcPr>
          <w:p>
            <w:pPr>
              <w:spacing w:after="0"/>
              <w:rPr>
                <w:sz w:val="19"/>
                <w:szCs w:val="19"/>
                <w:color w:val="auto"/>
              </w:rPr>
            </w:pPr>
          </w:p>
        </w:tc>
      </w:tr>
      <w:tr>
        <w:trPr>
          <w:trHeight w:val="223"/>
        </w:trPr>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2022</w:t>
            </w:r>
          </w:p>
        </w:tc>
        <w:tc>
          <w:tcPr>
            <w:tcW w:w="16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8,013,920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Exercisable at June 30, 2022</w:t>
            </w:r>
          </w:p>
        </w:tc>
        <w:tc>
          <w:tcPr>
            <w:tcW w:w="16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7,389,050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40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six months ended June 30, 2021, the aggregate of 1,424 shares were issued under ESPP. No further shares will be issued under the ESPP.</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for stock option awards and ESPP shares are reflected in total operating expenses for each respective year.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7"/>
          <w:szCs w:val="17"/>
          <w:color w:val="auto"/>
        </w:rPr>
        <w:t>The following table summarizes stock-based compensation expense for the three and six months ended June 30, 2022 and 2021,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5"/>
        </w:trPr>
        <w:tc>
          <w:tcPr>
            <w:tcW w:w="38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427"/>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56"/>
        </w:trPr>
        <w:tc>
          <w:tcPr>
            <w:tcW w:w="38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99"/>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Research, development and patents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96,364</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265,723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138,871</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658,965</w:t>
            </w:r>
          </w:p>
        </w:tc>
        <w:tc>
          <w:tcPr>
            <w:tcW w:w="60" w:type="dxa"/>
            <w:vAlign w:val="bottom"/>
            <w:shd w:val="clear" w:color="auto" w:fill="CFF0FC"/>
          </w:tcPr>
          <w:p>
            <w:pPr>
              <w:spacing w:after="0"/>
              <w:rPr>
                <w:sz w:val="19"/>
                <w:szCs w:val="19"/>
                <w:color w:val="auto"/>
              </w:rPr>
            </w:pPr>
          </w:p>
        </w:tc>
      </w:tr>
      <w:tr>
        <w:trPr>
          <w:trHeight w:val="22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178,138</w:t>
            </w:r>
          </w:p>
        </w:tc>
        <w:tc>
          <w:tcPr>
            <w:tcW w:w="2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490,182</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216,684</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1,236,576</w:t>
            </w:r>
          </w:p>
        </w:tc>
        <w:tc>
          <w:tcPr>
            <w:tcW w:w="60" w:type="dxa"/>
            <w:vAlign w:val="bottom"/>
            <w:tcBorders>
              <w:bottom w:val="single" w:sz="8" w:color="CFF0FC"/>
            </w:tcBorders>
          </w:tcPr>
          <w:p>
            <w:pPr>
              <w:spacing w:after="0"/>
              <w:rPr>
                <w:sz w:val="19"/>
                <w:szCs w:val="19"/>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274,502</w:t>
            </w:r>
          </w:p>
        </w:tc>
        <w:tc>
          <w:tcPr>
            <w:tcW w:w="2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755,905</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355,555</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1,895,541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six months ended June 30, 2022 and 2021, and to estimate the fair value of performance-based stock options as of June 30, 2022 and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Six months ended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580" w:type="dxa"/>
            <w:vAlign w:val="bottom"/>
          </w:tcPr>
          <w:p>
            <w:pPr>
              <w:spacing w:after="0"/>
              <w:rPr>
                <w:sz w:val="14"/>
                <w:szCs w:val="14"/>
                <w:color w:val="auto"/>
              </w:rPr>
            </w:pPr>
          </w:p>
        </w:tc>
        <w:tc>
          <w:tcPr>
            <w:tcW w:w="2060" w:type="dxa"/>
            <w:vAlign w:val="bottom"/>
            <w:gridSpan w:val="2"/>
          </w:tcPr>
          <w:p>
            <w:pPr>
              <w:ind w:left="920"/>
              <w:spacing w:after="0"/>
              <w:rPr>
                <w:sz w:val="20"/>
                <w:szCs w:val="20"/>
                <w:color w:val="auto"/>
              </w:rPr>
            </w:pPr>
            <w:r>
              <w:rPr>
                <w:rFonts w:ascii="Arial" w:cs="Arial" w:eastAsia="Arial" w:hAnsi="Arial"/>
                <w:sz w:val="14"/>
                <w:szCs w:val="14"/>
                <w:b w:val="1"/>
                <w:bCs w:val="1"/>
                <w:color w:val="auto"/>
              </w:rPr>
              <w:t>June 30, 2022</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3"/>
          </w:tcPr>
          <w:p>
            <w:pPr>
              <w:ind w:left="920"/>
              <w:spacing w:after="0"/>
              <w:rPr>
                <w:sz w:val="20"/>
                <w:szCs w:val="20"/>
                <w:color w:val="auto"/>
              </w:rPr>
            </w:pPr>
            <w:r>
              <w:rPr>
                <w:rFonts w:ascii="Arial" w:cs="Arial" w:eastAsia="Arial" w:hAnsi="Arial"/>
                <w:sz w:val="14"/>
                <w:szCs w:val="14"/>
                <w:b w:val="1"/>
                <w:bCs w:val="1"/>
                <w:color w:val="auto"/>
              </w:rPr>
              <w:t>June 30, 2021</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1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tcPr>
          <w:p>
            <w:pPr>
              <w:jc w:val="right"/>
              <w:spacing w:after="0"/>
              <w:rPr>
                <w:sz w:val="20"/>
                <w:szCs w:val="20"/>
                <w:color w:val="auto"/>
              </w:rPr>
            </w:pPr>
            <w:r>
              <w:rPr>
                <w:rFonts w:ascii="Arial" w:cs="Arial" w:eastAsia="Arial" w:hAnsi="Arial"/>
                <w:sz w:val="18"/>
                <w:szCs w:val="18"/>
                <w:color w:val="auto"/>
              </w:rPr>
              <w:t>2.42</w:t>
            </w:r>
          </w:p>
        </w:tc>
        <w:tc>
          <w:tcPr>
            <w:tcW w:w="860" w:type="dxa"/>
            <w:vAlign w:val="bottom"/>
          </w:tcPr>
          <w:p>
            <w:pPr>
              <w:ind w:left="20"/>
              <w:spacing w:after="0"/>
              <w:rPr>
                <w:sz w:val="20"/>
                <w:szCs w:val="20"/>
                <w:color w:val="auto"/>
              </w:rPr>
            </w:pPr>
            <w:r>
              <w:rPr>
                <w:rFonts w:ascii="Arial" w:cs="Arial" w:eastAsia="Arial" w:hAnsi="Arial"/>
                <w:sz w:val="18"/>
                <w:szCs w:val="18"/>
                <w:color w:val="auto"/>
              </w:rPr>
              <w:t>- 3.01%</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0.45</w:t>
            </w:r>
          </w:p>
        </w:tc>
        <w:tc>
          <w:tcPr>
            <w:tcW w:w="1480" w:type="dxa"/>
            <w:vAlign w:val="bottom"/>
          </w:tcPr>
          <w:p>
            <w:pPr>
              <w:ind w:left="20"/>
              <w:spacing w:after="0"/>
              <w:rPr>
                <w:sz w:val="20"/>
                <w:szCs w:val="20"/>
                <w:color w:val="auto"/>
              </w:rPr>
            </w:pPr>
            <w:r>
              <w:rPr>
                <w:rFonts w:ascii="Arial" w:cs="Arial" w:eastAsia="Arial" w:hAnsi="Arial"/>
                <w:sz w:val="18"/>
                <w:szCs w:val="18"/>
                <w:color w:val="auto"/>
              </w:rPr>
              <w:t>- 0.87%</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75.13</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- 78.45%</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74.31</w:t>
            </w:r>
          </w:p>
        </w:tc>
        <w:tc>
          <w:tcPr>
            <w:tcW w:w="1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- 76.36%</w:t>
            </w:r>
          </w:p>
        </w:tc>
        <w:tc>
          <w:tcPr>
            <w:tcW w:w="100" w:type="dxa"/>
            <w:vAlign w:val="bottom"/>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Dividend yield</w:t>
            </w:r>
          </w:p>
        </w:tc>
        <w:tc>
          <w:tcPr>
            <w:tcW w:w="206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3500" w:type="dxa"/>
            <w:vAlign w:val="bottom"/>
            <w:gridSpan w:val="4"/>
          </w:tcPr>
          <w:p>
            <w:pPr>
              <w:jc w:val="right"/>
              <w:ind w:right="103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0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5.12 - 5.77</w:t>
            </w:r>
          </w:p>
        </w:tc>
        <w:tc>
          <w:tcPr>
            <w:tcW w:w="3500" w:type="dxa"/>
            <w:vAlign w:val="bottom"/>
            <w:gridSpan w:val="4"/>
            <w:shd w:val="clear" w:color="auto" w:fill="CFF0FC"/>
          </w:tcPr>
          <w:p>
            <w:pPr>
              <w:jc w:val="right"/>
              <w:ind w:right="970"/>
              <w:spacing w:after="0"/>
              <w:rPr>
                <w:sz w:val="20"/>
                <w:szCs w:val="20"/>
                <w:color w:val="auto"/>
              </w:rPr>
            </w:pPr>
            <w:r>
              <w:rPr>
                <w:rFonts w:ascii="Arial" w:cs="Arial" w:eastAsia="Arial" w:hAnsi="Arial"/>
                <w:sz w:val="18"/>
                <w:szCs w:val="18"/>
                <w:color w:val="auto"/>
              </w:rPr>
              <w:t>4.5 - 5.8</w:t>
            </w:r>
          </w:p>
        </w:tc>
        <w:tc>
          <w:tcPr>
            <w:tcW w:w="100" w:type="dxa"/>
            <w:vAlign w:val="bottom"/>
            <w:shd w:val="clear" w:color="auto" w:fill="CFF0FC"/>
          </w:tcPr>
          <w:p>
            <w:pPr>
              <w:spacing w:after="0"/>
              <w:rPr>
                <w:sz w:val="19"/>
                <w:szCs w:val="19"/>
                <w:color w:val="auto"/>
              </w:rPr>
            </w:pPr>
          </w:p>
        </w:tc>
      </w:tr>
    </w:tbl>
    <w:p>
      <w:pPr>
        <w:spacing w:after="0" w:line="134"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As of June 30, 2022, there was $0.7 million of unamortized compensation cost related to unvested stock option awards which is expected to be recognized over a remaining weighted-average vesting period of 0.75 years, on a straight-line basis. Such compensation cost will ultimately be adjusted based upon actual performance compared to the corporate objectives as described above.</w:t>
      </w:r>
    </w:p>
    <w:p>
      <w:pPr>
        <w:spacing w:after="0" w:line="265"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weighted-average fair value of each stock option granted during the six months ended June 30, 2022 and 2021, estimated as of the grant date using the Black-Scholes option valuation model, was $1.47 per option and $3.52 per option,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 and Private Placement Transactions</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On August 23, 2019, the Company entered into an at the market issuance sales agreement (the “2019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shares of common stock were sold under the 2019 ATM Agreement in the three and six months ended June 30, 2022 and 2021, respectively.</w:t>
      </w:r>
    </w:p>
    <w:p>
      <w:pPr>
        <w:spacing w:after="0" w:line="194"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On January 29, 2021, the Company sold and issued to an investor 3,656,307 shares of the Company’s common stock at a price of $5.47 per share for approximately $20 million in cash proceeds, net of approximately $0.1 million in issuance costs, in a private placement pursuant to the terms and conditions of a Securities Purchase Agreement dated as of January 11, 2021 by and between the Company and such 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188"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Potentially dilutive outstanding stock options excluded from diluted net loss per common share due to their anti-dilutive effect totaled 8,013,920 shares and 8,218,265 shares for the three and six months ended June 30, 2022 and 2021, respectively.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2021 included in our Annual Report on Form 10-K filed with the Securities and Exchange Commission, or SEC, on February 16, 2022. Past operating results are not necessarily indicative of results that may occur in future periods.</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firstLine="572"/>
        <w:spacing w:after="0" w:line="288" w:lineRule="auto"/>
        <w:rPr>
          <w:sz w:val="20"/>
          <w:szCs w:val="20"/>
          <w:color w:val="auto"/>
        </w:rPr>
      </w:pPr>
      <w:r>
        <w:rPr>
          <w:rFonts w:ascii="Arial" w:cs="Arial" w:eastAsia="Arial" w:hAnsi="Arial"/>
          <w:sz w:val="16"/>
          <w:szCs w:val="16"/>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and other diseases such as nonalcoholic fatty liver disease (NAFLD),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68"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color w:val="auto"/>
        </w:rPr>
        <w:t>We have incurred significant net losses since our inception. As of June 30, 2022, from inception, our accumulated deficit was $400.5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79" w:lineRule="exact"/>
        <w:rPr>
          <w:sz w:val="20"/>
          <w:szCs w:val="20"/>
          <w:color w:val="auto"/>
        </w:rPr>
      </w:pPr>
    </w:p>
    <w:p>
      <w:pPr>
        <w:ind w:right="420" w:firstLine="457"/>
        <w:spacing w:after="0" w:line="308" w:lineRule="auto"/>
        <w:rPr>
          <w:sz w:val="20"/>
          <w:szCs w:val="20"/>
          <w:color w:val="auto"/>
        </w:rPr>
      </w:pPr>
      <w:r>
        <w:rPr>
          <w:rFonts w:ascii="Arial" w:cs="Arial" w:eastAsia="Arial" w:hAnsi="Arial"/>
          <w:sz w:val="17"/>
          <w:szCs w:val="17"/>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38" w:lineRule="exact"/>
        <w:rPr>
          <w:sz w:val="20"/>
          <w:szCs w:val="20"/>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jc w:val="both"/>
        <w:ind w:left="1020" w:right="140"/>
        <w:spacing w:after="0" w:line="263"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75" w:lineRule="exact"/>
        <w:rPr>
          <w:rFonts w:ascii="Arial" w:cs="Arial" w:eastAsia="Arial" w:hAnsi="Arial"/>
          <w:sz w:val="18"/>
          <w:szCs w:val="18"/>
          <w:color w:val="auto"/>
        </w:rPr>
      </w:pPr>
    </w:p>
    <w:p>
      <w:pPr>
        <w:ind w:left="1020" w:hanging="55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rFonts w:ascii="Arial" w:cs="Arial" w:eastAsia="Arial" w:hAnsi="Arial"/>
          <w:sz w:val="18"/>
          <w:szCs w:val="18"/>
          <w:color w:val="auto"/>
        </w:rPr>
      </w:pPr>
    </w:p>
    <w:p>
      <w:pPr>
        <w:ind w:left="1020" w:right="6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62" w:lineRule="exact"/>
        <w:rPr>
          <w:rFonts w:ascii="Arial" w:cs="Arial" w:eastAsia="Arial" w:hAnsi="Arial"/>
          <w:sz w:val="18"/>
          <w:szCs w:val="18"/>
          <w:color w:val="auto"/>
        </w:rPr>
      </w:pPr>
    </w:p>
    <w:p>
      <w:pPr>
        <w:jc w:val="both"/>
        <w:ind w:left="1020" w:right="200"/>
        <w:spacing w:after="0" w:line="311"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pandemic caused by an outbreak of a new strain of coronavirus (“COVID-19” or “the pandemic”) has resulted, and is likely to continue to result, in significant national and global economic disruption and may adversely affect our business. Although the pandemic resulted in a decrease in the number of patient visits at certain of our clinical trial sites, we expect this effect to be temporary. We have seen an increase in the number of patient visits compared to earlier in the pandemic and we continue to enroll patients in our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we designed a clinical trial to evaluate MN-166 (ibudilast) for prevention of acute respiratory distress syndrome (ARDS) caused by COVID-19, which was based on positive results of a published study of MN-166 (ibudilast) in an animal model of ARDS. During the pandemic, we have been able to continue with routine regulatory activities. For example, we successfully submitted an Investigational New Drug Application (IND) for MN-166 (ibudilast) for prevention of ARDS which was accepted and is now open with the U.S. Food and Drug Administration (FDA). We were also informed by the FDA that the proposed clinical investigation of MN-166 (ibudilast) for the prevention of ARDS in patients with COVID-19 may proceed and that clinical trial has been completed with top-line results announced in June 2022. Based on management’s current assessment, we do not expect a material negative impact on our clinical development plans, long-term development timeline or liquidity due to the worldwide spread of the COVID-19 virus. However, we are actively monitoring this situation and the possible effects on our financial condition, liquidity, operations, suppliers, industry, and workforce.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In October 2011, we entered into a collaboration agreement with Kissei Pharmaceutical Co., Ltd., or Kissei, to perform research and development services relating to MN-221 (bedoradrine) in exchange for a non-refundable upfront payment of $2.5 million. We assessed the services in accordance with the authoritative guidance and concluded that the two studies to be performed under the agreement represented two separate performance obligations. No services have been provided under the collaboration agreement subsequent to completion of the first study that was completed in 2013. In October 2021, we refunded $1.3 million of the prepayment. As of June 30, 2022, we and Kissei were working to mutually terminate the collaboration agreement and cancel the second study contemplated thereunder and we expect to finalize the termination agreement in 2022.</w:t>
      </w:r>
    </w:p>
    <w:p>
      <w:pPr>
        <w:spacing w:after="0" w:line="5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December 2005, Avigen, Inc. and Genzyme Corporation entered into an Assignment Agreement (the “Genzyme Agreement”) in which Genzyme acquired certain gene therapy intellectual property, programs and other related assets from Avigen in exchange for an initial $12.0 million payment. Avigen could also receive additional development milestone payments, sublicensing fees and royalty payments based on the successful development of products by Genzyme utilizing technologies previously developed by Avigen. We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us at a future date.</w:t>
      </w:r>
    </w:p>
    <w:p>
      <w:pPr>
        <w:spacing w:after="0" w:line="5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development milestones outlined in the Genzyme Agreement did not meet the definition of a substantive milestone obligation under authoritative guidance on revenue recognition for milestone payments, as Genzyme was responsible for the development of the products and there is no further substantive service effort required by us. In March 2021, we received notice that a gene therapy product based on AAV (adeno-associated virus) vector technology, which was covered under the Genzyme Agreement, achieved two clinical development milestones, triggering two milestone payments. Accordingly, we recognized revenue of $4 million during the six months ended June 30, 2021.</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2022 as our development programs progress.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 w:name="page17"/>
    <w:bookmarkEnd w:id="16"/>
    <w:p>
      <w:pPr>
        <w:jc w:val="both"/>
        <w:ind w:right="380" w:firstLine="510"/>
        <w:spacing w:after="0" w:line="263"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Pr>
          <w:p>
            <w:pPr>
              <w:ind w:left="380"/>
              <w:spacing w:after="0"/>
              <w:rPr>
                <w:sz w:val="20"/>
                <w:szCs w:val="20"/>
                <w:color w:val="auto"/>
              </w:rPr>
            </w:pPr>
            <w:r>
              <w:rPr>
                <w:rFonts w:ascii="Arial" w:cs="Arial" w:eastAsia="Arial" w:hAnsi="Arial"/>
                <w:sz w:val="18"/>
                <w:szCs w:val="18"/>
                <w:color w:val="auto"/>
              </w:rPr>
              <w:t>MN-221</w:t>
            </w:r>
          </w:p>
        </w:tc>
        <w:tc>
          <w:tcPr>
            <w:tcW w:w="1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19"/>
                <w:szCs w:val="19"/>
                <w:color w:val="auto"/>
              </w:rPr>
            </w:pPr>
          </w:p>
        </w:tc>
        <w:tc>
          <w:tcPr>
            <w:tcW w:w="60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w:t>
            </w:r>
          </w:p>
        </w:tc>
        <w:tc>
          <w:tcPr>
            <w:tcW w:w="280" w:type="dxa"/>
            <w:vAlign w:val="bottom"/>
          </w:tcPr>
          <w:p>
            <w:pPr>
              <w:spacing w:after="0"/>
              <w:rPr>
                <w:sz w:val="19"/>
                <w:szCs w:val="19"/>
                <w:color w:val="auto"/>
              </w:rPr>
            </w:pPr>
          </w:p>
        </w:tc>
        <w:tc>
          <w:tcPr>
            <w:tcW w:w="440" w:type="dxa"/>
            <w:vAlign w:val="bottom"/>
            <w:gridSpan w:val="2"/>
          </w:tcPr>
          <w:p>
            <w:pPr>
              <w:jc w:val="right"/>
              <w:ind w:right="30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MN-001</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development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R&amp;D personnel expense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R&amp;D facility and depreciation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Patent expenses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R&amp;D expense (gain)</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research, development and patent expense</w:t>
            </w:r>
          </w:p>
        </w:tc>
        <w:tc>
          <w:tcPr>
            <w:tcW w:w="10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spacing w:after="0" w:line="5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the section entitled “Management’s Discussion and Analysis of Financial Condition and Results of Operations — Critical Accounting Policies” contained in our Annual Report on Form 10-K for the year ended December 31, 2021. There have not been any material changes to the critical accounting policies discussed therein during the six months ended June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Research, development and patents expenses were $2.6 million and $2.5 million for the three months ended June 30, 2022 and 2021, respectively. The increase of $0.1 million expense was primarily due to an increase in MN-221 related expenses, partially offset by decreases in MN-166 related expenses and a decrease in performance-based stock option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General and administrative expenses were $1.5 million and $1.8 million for the three months ended June 30, 2022 and 2021, respectively. The decrease of $0.3 million was primarily due to a decrease in performance-based stock option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Revenues were $0.0 million and $4.0 million for the six months ended June 30, 2022 and 2021, respectively. The decrease of $4.0 million was due to the receipt of two milestone payments under the Genzyme Agreement in 2021.</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Research, development and patents expenses were $4.7 million and $4.7 million for the six months ended June 30, 2022 and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Changes were primarily due to an increase in MN-166 and MN-221 related expenses, offset by a decrease in performance-based stock option expense.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General and administrative expenses were $2.8 million and $3.8 million for the six months ended June 30, 2022 and 2021, respectively. The decrease of $1.0 million was primarily due to a decrease in performance-based stock option expense.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Net cash used in operating activities during the six months ended June 30, 2022 was $6.2 million compared to $2.7 million during the same period in 2021. The $3.5 million change is primarily related to the increased net loss, reduction in non-cash stock-based compensation, and changes in operating assets and liabilities for those periods.</w:t>
      </w:r>
    </w:p>
    <w:p>
      <w:pPr>
        <w:spacing w:after="0" w:line="76"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Net cash provided by financing activities was $0.0 million during the six months ended June 30, 2022 compared to $20.5 million during the same period in 2021. Net cash provided by financing activities during the six months ended June 30, 2021 was primarily due to the sale of 3,656,307 shares of common stock under a Securities Purchase Agreement dated as of January 11, 2021 for net proceeds of $19.9 million. Cash proceeds from financing activities are used for working capital and general corporate purposes.</w:t>
      </w:r>
    </w:p>
    <w:p>
      <w:pPr>
        <w:spacing w:after="0" w:line="18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June 30, 2022, we had available cash and cash equivalents of $65.2 million and working capital of $62.1 million. As of the date of this report, we believe we have working capital sufficient to fund operations at least through the end of 2023. However, we cannot provide assurance that these capital resources will be sufficient to conduct all our research and development programs as planned.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225"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On August 23, 2019, we entered into an at the market issuance sales agreement (the “2019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shares of common stock were sold under the 2019 ATM Agreement in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8" w:name="page19"/>
    <w:bookmarkEnd w:id="18"/>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We are not involved in any material legal proceedings as of June 30, 2022.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2021,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2021.</w:t>
      </w:r>
    </w:p>
    <w:p>
      <w:pPr>
        <w:spacing w:after="0" w:line="29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0" w:name="page21"/>
    <w:bookmarkEnd w:id="20"/>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ectPr>
          <w:pgSz w:w="11900" w:h="16838" w:orient="portrait"/>
          <w:cols w:equalWidth="0" w:num="1">
            <w:col w:w="11120"/>
          </w:cols>
          <w:pgMar w:left="320" w:top="661" w:right="459" w:bottom="1440" w:gutter="0" w:footer="0" w:header="0"/>
        </w:sectPr>
      </w:pP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42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26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32.2</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101.INS</w:t>
      </w:r>
      <w:r>
        <w:rPr>
          <w:rFonts w:ascii="Arial" w:cs="Arial" w:eastAsia="Arial" w:hAnsi="Arial"/>
          <w:sz w:val="15"/>
          <w:szCs w:val="15"/>
          <w:color w:val="auto"/>
        </w:rPr>
        <w:t>(1)</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101.SCH</w:t>
      </w:r>
      <w:r>
        <w:rPr>
          <w:rFonts w:ascii="Arial" w:cs="Arial" w:eastAsia="Arial" w:hAnsi="Arial"/>
          <w:sz w:val="13"/>
          <w:szCs w:val="13"/>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101.CAL</w:t>
      </w:r>
      <w:r>
        <w:rPr>
          <w:rFonts w:ascii="Arial" w:cs="Arial" w:eastAsia="Arial" w:hAnsi="Arial"/>
          <w:sz w:val="14"/>
          <w:szCs w:val="14"/>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101.DEF</w:t>
      </w:r>
      <w:r>
        <w:rPr>
          <w:rFonts w:ascii="Arial" w:cs="Arial" w:eastAsia="Arial" w:hAnsi="Arial"/>
          <w:sz w:val="14"/>
          <w:szCs w:val="14"/>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101.LAB</w:t>
      </w:r>
      <w:r>
        <w:rPr>
          <w:rFonts w:ascii="Arial" w:cs="Arial" w:eastAsia="Arial" w:hAnsi="Arial"/>
          <w:sz w:val="14"/>
          <w:szCs w:val="14"/>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101.PRE</w:t>
      </w:r>
      <w:r>
        <w:rPr>
          <w:rFonts w:ascii="Arial" w:cs="Arial" w:eastAsia="Arial" w:hAnsi="Arial"/>
          <w:sz w:val="14"/>
          <w:szCs w:val="14"/>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420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111" w:lineRule="exact"/>
        <w:rPr>
          <w:sz w:val="20"/>
          <w:szCs w:val="20"/>
          <w:color w:val="auto"/>
        </w:rPr>
      </w:pPr>
    </w:p>
    <w:p>
      <w:pPr>
        <w:ind w:right="80"/>
        <w:spacing w:after="0" w:line="277" w:lineRule="auto"/>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Restated Certificate of Incorporation of the Registrant, as amended (incorporated by reference to Exhibit 3.1 of the Registrant’s Quarterly</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Report on Form 10-Q filed August 9, 2012).</w:t>
        </w:r>
      </w:hyperlink>
    </w:p>
    <w:p>
      <w:pPr>
        <w:spacing w:after="0" w:line="76"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Amended and Restated Bylaws of the Registrant (incorporated by reference to Exhibit 3.1 of the Registrant’s Current Report on Form 8-K</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filed April 25, 2019).</w:t>
        </w:r>
      </w:hyperlink>
    </w:p>
    <w:p>
      <w:pPr>
        <w:spacing w:after="0" w:line="170"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Lease, dated July 20, 2021, by and between the Company and The Irvine Company, LLC (incorporated by reference to Exhibit 99.1 of the</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Registrant’s Current Report on Form 8-K filed July 23, 2021.</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Certification of Principal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Certification of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Certification of Principal Executive Officer pursuant to 18 U.S.C. Section 1350 (Section 906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Certification of Principal Financial Officer pursuant to 18 U.S.C. Section 1350 (Section 906 of the Sarbanes-Oxley Act of 2002).</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60" w:space="260"/>
            <w:col w:w="10000"/>
          </w:cols>
          <w:pgMar w:left="320" w:top="661" w:right="459" w:bottom="1440" w:gutter="0" w:footer="0" w:header="0"/>
          <w:type w:val="continuous"/>
        </w:sectPr>
      </w:pPr>
    </w:p>
    <w:p>
      <w:pPr>
        <w:spacing w:after="0" w:line="16"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61" w:right="459" w:bottom="1440" w:gutter="0" w:footer="0" w:header="0"/>
          <w:type w:val="continuous"/>
        </w:sectPr>
      </w:pPr>
    </w:p>
    <w:bookmarkStart w:id="21" w:name="page22"/>
    <w:bookmarkEnd w:id="21"/>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440" w:val="left"/>
          <w:tab w:leader="none" w:pos="8340" w:val="left"/>
          <w:tab w:leader="none" w:pos="868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Yuichi Iwaki, M.D., Ph.D.</w:t>
      </w:r>
    </w:p>
    <w:p>
      <w:pPr>
        <w:jc w:val="center"/>
        <w:ind w:left="67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460"/>
        <w:spacing w:after="0"/>
        <w:tabs>
          <w:tab w:leader="none" w:pos="828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2"/>
          <w:szCs w:val="12"/>
          <w:color w:val="auto"/>
        </w:rPr>
        <w:t>ASON</w:t>
      </w:r>
      <w:r>
        <w:rPr>
          <w:rFonts w:ascii="Arial" w:cs="Arial" w:eastAsia="Arial" w:hAnsi="Arial"/>
          <w:sz w:val="17"/>
          <w:szCs w:val="17"/>
          <w:color w:val="auto"/>
        </w:rPr>
        <w:t xml:space="preserve"> K</w:t>
      </w:r>
      <w:r>
        <w:rPr>
          <w:rFonts w:ascii="Arial" w:cs="Arial" w:eastAsia="Arial" w:hAnsi="Arial"/>
          <w:sz w:val="12"/>
          <w:szCs w:val="12"/>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Jason Kruger</w:t>
      </w:r>
    </w:p>
    <w:p>
      <w:pPr>
        <w:jc w:val="center"/>
        <w:ind w:left="67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00"/>
          </w:cols>
          <w:pgMar w:left="320" w:top="553" w:right="7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8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11, 2022</w:t>
      </w:r>
    </w:p>
    <w:p>
      <w:pPr>
        <w:spacing w:after="0" w:line="252" w:lineRule="exact"/>
        <w:rPr>
          <w:sz w:val="20"/>
          <w:szCs w:val="20"/>
          <w:color w:val="auto"/>
        </w:rPr>
      </w:pPr>
    </w:p>
    <w:p>
      <w:pPr>
        <w:ind w:left="6760"/>
        <w:spacing w:after="0"/>
        <w:tabs>
          <w:tab w:leader="none" w:pos="7300" w:val="left"/>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4"/>
          <w:szCs w:val="14"/>
          <w:b w:val="1"/>
          <w:bCs w:val="1"/>
          <w:color w:val="auto"/>
        </w:rPr>
        <w:t>Yuichi Iwaki, M.D., Ph.D.</w:t>
      </w:r>
    </w:p>
    <w:p>
      <w:pPr>
        <w:ind w:left="73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3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Paulin, certify that:</w:t>
      </w:r>
    </w:p>
    <w:p>
      <w:pPr>
        <w:spacing w:after="0" w:line="117" w:lineRule="exact"/>
        <w:rPr>
          <w:sz w:val="20"/>
          <w:szCs w:val="20"/>
          <w:color w:val="auto"/>
        </w:rPr>
      </w:pPr>
    </w:p>
    <w:p>
      <w:pPr>
        <w:ind w:left="700" w:hanging="18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11, 2022</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7"/>
          <w:szCs w:val="17"/>
          <w:color w:val="auto"/>
        </w:rPr>
        <w:t>J</w:t>
      </w:r>
      <w:r>
        <w:rPr>
          <w:rFonts w:ascii="Arial" w:cs="Arial" w:eastAsia="Arial" w:hAnsi="Arial"/>
          <w:sz w:val="12"/>
          <w:szCs w:val="12"/>
          <w:color w:val="auto"/>
        </w:rPr>
        <w:t>ASON</w:t>
      </w:r>
      <w:r>
        <w:rPr>
          <w:rFonts w:ascii="Arial" w:cs="Arial" w:eastAsia="Arial" w:hAnsi="Arial"/>
          <w:sz w:val="17"/>
          <w:szCs w:val="17"/>
          <w:color w:val="auto"/>
        </w:rPr>
        <w:t xml:space="preserve"> K</w:t>
      </w:r>
      <w:r>
        <w:rPr>
          <w:rFonts w:ascii="Arial" w:cs="Arial" w:eastAsia="Arial" w:hAnsi="Arial"/>
          <w:sz w:val="12"/>
          <w:szCs w:val="12"/>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4"/>
          <w:szCs w:val="14"/>
          <w:b w:val="1"/>
          <w:bCs w:val="1"/>
          <w:color w:val="auto"/>
        </w:rPr>
        <w:t>Jason Kruger</w:t>
      </w:r>
    </w:p>
    <w:p>
      <w:pPr>
        <w:ind w:left="72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2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(the “Company”) for the period ended June 30, 2022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9" w:lineRule="exact"/>
        <w:rPr>
          <w:sz w:val="20"/>
          <w:szCs w:val="20"/>
          <w:color w:val="auto"/>
        </w:rPr>
      </w:pPr>
    </w:p>
    <w:p>
      <w:pPr>
        <w:ind w:left="1180" w:hanging="17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11, 2022</w:t>
      </w:r>
    </w:p>
    <w:p>
      <w:pPr>
        <w:spacing w:after="0" w:line="252" w:lineRule="exact"/>
        <w:rPr>
          <w:sz w:val="20"/>
          <w:szCs w:val="20"/>
          <w:color w:val="auto"/>
        </w:rPr>
      </w:pPr>
    </w:p>
    <w:p>
      <w:pPr>
        <w:ind w:left="6760"/>
        <w:spacing w:after="0"/>
        <w:tabs>
          <w:tab w:leader="none" w:pos="8580" w:val="left"/>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Yuichi Iwaki, M.D., Ph.D.</w:t>
      </w:r>
    </w:p>
    <w:p>
      <w:pPr>
        <w:jc w:val="center"/>
        <w:ind w:left="720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ACTING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2022, as filed with the Securities and Exchange Commission on the date hereof (the “Report”), I, Douglas Paulin, as Chief Financial Officer of the Company, hereby certify, pursuant to 18 U.S.C. Section 1350, as adopted pursuant to Section 906 of the Sarbanes-Oxley Act of 2002, that to my knowledge:</w:t>
      </w:r>
    </w:p>
    <w:p>
      <w:pPr>
        <w:spacing w:after="0" w:line="41" w:lineRule="exact"/>
        <w:rPr>
          <w:sz w:val="20"/>
          <w:szCs w:val="20"/>
          <w:color w:val="auto"/>
        </w:rPr>
      </w:pPr>
    </w:p>
    <w:p>
      <w:pPr>
        <w:ind w:left="1180" w:hanging="17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11, 2022</w:t>
      </w:r>
    </w:p>
    <w:p>
      <w:pPr>
        <w:spacing w:after="0" w:line="252" w:lineRule="exact"/>
        <w:rPr>
          <w:sz w:val="20"/>
          <w:szCs w:val="20"/>
          <w:color w:val="auto"/>
        </w:rPr>
      </w:pPr>
    </w:p>
    <w:p>
      <w:pPr>
        <w:ind w:left="6760"/>
        <w:spacing w:after="0"/>
        <w:tabs>
          <w:tab w:leader="none" w:pos="8500" w:val="left"/>
          <w:tab w:leader="none" w:pos="8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2"/>
          <w:szCs w:val="12"/>
          <w:color w:val="auto"/>
        </w:rPr>
        <w:t>ASON</w:t>
      </w:r>
      <w:r>
        <w:rPr>
          <w:rFonts w:ascii="Arial" w:cs="Arial" w:eastAsia="Arial" w:hAnsi="Arial"/>
          <w:sz w:val="17"/>
          <w:szCs w:val="17"/>
          <w:color w:val="auto"/>
        </w:rPr>
        <w:t xml:space="preserve"> K</w:t>
      </w:r>
      <w:r>
        <w:rPr>
          <w:rFonts w:ascii="Arial" w:cs="Arial" w:eastAsia="Arial" w:hAnsi="Arial"/>
          <w:sz w:val="12"/>
          <w:szCs w:val="12"/>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Jason Kruger</w:t>
      </w:r>
    </w:p>
    <w:p>
      <w:pPr>
        <w:jc w:val="center"/>
        <w:ind w:left="720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20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39" Type="http://schemas.openxmlformats.org/officeDocument/2006/relationships/hyperlink" Target="http://www.sec.gov/Archives/edgar/data/1226616/000119312512347932/d344794dex31.htm" TargetMode="External"/><Relationship Id="rId40" Type="http://schemas.openxmlformats.org/officeDocument/2006/relationships/hyperlink" Target="http://www.sec.gov/Archives/edgar/data/1226616/000119312519119751/d727763dex31.htm" TargetMode="External"/><Relationship Id="rId41" Type="http://schemas.openxmlformats.org/officeDocument/2006/relationships/hyperlink" Target="http://www.sec.gov/Archives/edgar/data/1226616/000119312521222985/d15989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2022-08-11T16:04:12Z</dcterms:created>
  <dcterms:modified xsi:type="dcterms:W3CDTF">2022-08-11T16:04:12Z</dcterms:modified>
</cp:coreProperties>
</file>