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3720" w:space="600"/>
            <w:col w:w="704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180"/>
            <w:col w:w="20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10, 2011, the registrant had 15,283,582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9"/>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PART II. OTHER INFORMATION</w:t>
              </w:r>
            </w:hyperlink>
          </w:p>
        </w:tc>
        <w:tc>
          <w:tcPr>
            <w:tcW w:w="808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LEGAL PROCEEDINGS</w:t>
              </w:r>
            </w:hyperlink>
          </w:p>
        </w:tc>
        <w:tc>
          <w:tcPr>
            <w:tcW w:w="742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REMOVED AND RESERVED</w:t>
              </w:r>
            </w:hyperlink>
          </w:p>
        </w:tc>
        <w:tc>
          <w:tcPr>
            <w:tcW w:w="702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26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74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10"/>
          </w:tcPr>
          <w:p>
            <w:pPr>
              <w:ind w:left="4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jc w:val="center"/>
              <w:ind w:left="2372"/>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jc w:val="center"/>
              <w:ind w:left="2372"/>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jc w:val="center"/>
              <w:ind w:left="2392"/>
              <w:spacing w:after="0"/>
              <w:rPr>
                <w:sz w:val="20"/>
                <w:szCs w:val="20"/>
                <w:color w:val="auto"/>
              </w:rPr>
            </w:pPr>
            <w:r>
              <w:rPr>
                <w:rFonts w:ascii="Arial" w:cs="Arial" w:eastAsia="Arial" w:hAnsi="Arial"/>
                <w:sz w:val="18"/>
                <w:szCs w:val="18"/>
                <w:b w:val="1"/>
                <w:bCs w:val="1"/>
                <w:color w:val="auto"/>
                <w:w w:val="86"/>
              </w:rPr>
              <w:t>(a development stage company)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jc w:val="center"/>
              <w:ind w:left="2392"/>
              <w:spacing w:after="0"/>
              <w:rPr>
                <w:sz w:val="20"/>
                <w:szCs w:val="20"/>
                <w:color w:val="auto"/>
              </w:rPr>
            </w:pPr>
            <w:r>
              <w:rPr>
                <w:rFonts w:ascii="Arial" w:cs="Arial" w:eastAsia="Arial" w:hAnsi="Arial"/>
                <w:sz w:val="18"/>
                <w:szCs w:val="18"/>
                <w:b w:val="1"/>
                <w:bCs w:val="1"/>
                <w:color w:val="auto"/>
                <w:w w:val="96"/>
              </w:rPr>
              <w:t>CONSOLIDATED BALANCE SHEETS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31,379,857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Restricted cash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28,652,977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investment (Note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Restricted letter of credit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848,876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779,103</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60,881,710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58,343,997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(Notes 1 and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9,600,241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In-process research and development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4,800,000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103,296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75,437,912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873,886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Management transition plan liability (Note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Debt (Notes 3, 4 and 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13,751,932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 (Notes 2 and 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28,621,640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Escrow holdback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2,566,072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348,755</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46,316,967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36,790,204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(Note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1,956,000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Long-term debt, less current portion (Notes 3, 4 and 11)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48,272,967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48,229,809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$0.01 par value; 500,000 shares authorized at March 31, 2011 and December 31, 2010; no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outstanding at March 31, 2011 and December 31, 2010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$0.001 par value; 30,000,000 shares authorized at March 31, 2011 and December 31, 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15,290,839 and 12,482,867 shares issued at March 31, 2011 and December 31, 2010, respectively, and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15,248,930 and 12,439,132 shares outstanding at March 31, 2011 and December 31, 2010,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15,291</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301,601,079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293,483,920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w w:val="98"/>
              </w:rPr>
              <w:t>Treasury stock, at cost; 41,909 shares at March 31, 2011 and 43,735 shares at December 31, 2010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(1,193,930)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(1,197,935)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(273,194,136)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(267,538,407)</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27,164,945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24,704,360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75,437,912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2,623,898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2,949,456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156,880,742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2,352,476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99,551,285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4,976,374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5,236,408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257,690,448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(4,976,374)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(5,236,408)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(256,132,221)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(7,479)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(31,307)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19,083,483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(5,655,730)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(5,161,250)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(241,831,014)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(5,655,730)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(5,161,250)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(273,194,136)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12,547,759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12,269,102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Three months ended</w:t>
            </w:r>
          </w:p>
        </w:tc>
        <w:tc>
          <w:tcPr>
            <w:tcW w:w="1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(5,655,730)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(5,161,250)</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(241,831,015)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175,683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538,485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48,484,215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1,916,099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premium/discount on investment securities, convertible notes and debt discount and issuance costs</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227,068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31,307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(1,624,416)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(178,610)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(811,927)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1280"/>
              <w:spacing w:after="0" w:line="149" w:lineRule="exact"/>
              <w:rPr>
                <w:sz w:val="20"/>
                <w:szCs w:val="20"/>
                <w:color w:val="auto"/>
              </w:rPr>
            </w:pPr>
            <w:r>
              <w:rPr>
                <w:rFonts w:ascii="Arial" w:cs="Arial" w:eastAsia="Arial" w:hAnsi="Arial"/>
                <w:sz w:val="14"/>
                <w:szCs w:val="14"/>
                <w:color w:val="auto"/>
              </w:rPr>
              <w:t>Accounts payable, accrued expenses, income taxes payable and deferred rent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1,193,935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136,912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3,171,669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(862,137)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6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(3,963,017)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(5,587,920)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(188,502,398)</w:t>
            </w:r>
          </w:p>
        </w:tc>
        <w:tc>
          <w:tcPr>
            <w:tcW w:w="0" w:type="dxa"/>
            <w:vAlign w:val="bottom"/>
          </w:tcPr>
          <w:p>
            <w:pPr>
              <w:spacing w:after="0"/>
              <w:rPr>
                <w:sz w:val="1"/>
                <w:szCs w:val="1"/>
                <w:color w:val="auto"/>
              </w:rPr>
            </w:pPr>
          </w:p>
        </w:tc>
      </w:tr>
      <w:tr>
        <w:trPr>
          <w:trHeight w:val="156"/>
        </w:trPr>
        <w:tc>
          <w:tcPr>
            <w:tcW w:w="844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3,394,193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4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tcPr>
          <w:p>
            <w:pPr>
              <w:spacing w:after="0"/>
              <w:rPr>
                <w:sz w:val="14"/>
                <w:szCs w:val="14"/>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3"/>
              </w:rPr>
              <w:t>3,387,092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(4,131,971)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5,025,381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126,488,903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the sale of warrants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2,882,258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80,216,971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proceeds from ARS loan, net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(3,162,119)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(Repayments of) proceeds from debt, net</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(857,619)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13,812,381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1,695,466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1,841,425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23,107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(1,227,712)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7,090,670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(1,443,296)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224,014,226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3,127,653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(3,644,124)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31,379,857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28,252,204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19,241,581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31,379,857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15,597,457</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31,379,857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financing and operating activities: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IPO</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43,515,677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36,670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3"/>
              </w:rPr>
              <w:t>1,695,466</w:t>
            </w:r>
          </w:p>
        </w:tc>
        <w:tc>
          <w:tcPr>
            <w:tcW w:w="2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1,842,012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8,795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4"/>
                <w:szCs w:val="14"/>
                <w:color w:val="auto"/>
              </w:rPr>
              <w:t>Interest paid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478, 051</w:t>
            </w:r>
          </w:p>
        </w:tc>
        <w:tc>
          <w:tcPr>
            <w:tcW w:w="16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44,174</w:t>
            </w:r>
          </w:p>
        </w:tc>
        <w:tc>
          <w:tcPr>
            <w:tcW w:w="200" w:type="dxa"/>
            <w:vAlign w:val="bottom"/>
            <w:gridSpan w:val="2"/>
          </w:tcPr>
          <w:p>
            <w:pPr>
              <w:ind w:left="120"/>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1,876,468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3, 2011, we executed a joint venture letter of intent with Zhejiang Medicine Co., Ltd. and Beijing Make-Friend Medicine Technology Co., Ltd., which provides for the establishment of a joint venture company to develop and commercialize MN-221 in China.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ended March 31, 2011 are not necessarily indicative of the results that may be expected for the year ending December 31, 2011 or for any other period. For further information, see the financial statements and disclosures thereto for the year ended December 31, 2010 in our Annual Report on Form 10-K as filed with the Securities and Exchange Commission on March 31,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August 17, 2009, Absolute Merger, Inc., a wholly-owned subsidiary of MediciNova, Inc. was incorporated under the General Corporation Law of the State of Delaware for the purpose of facilitating the Merger (the “Merger”) with Avigen, Inc. (“Avigen”). On December 18, 2009, Absolute Merger, Inc. merged with and into Avigen, with Avigen continuing as the surviving entity and wholly-owned subsidiary of ours.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90"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We believe our existing cash and cash equivalents at March 31, 2011, will be sufficient to fund all of our debt repayment obligations, our forecasted research and development expenses and our fixed contractual obligations over the next 12 months. However, we will need to successfully complete one or more additional financing transactions and/or corporate partnerships in the near-term; otherwise, we will not have sufficient cash or other liquidity to fund our operations as currently conducted and staffed for the following 12 months, which raises substantial doubt as to our ability to continue as a going concern. The accompanying consolidated financial statements have been prepared assuming that we will continue as a going concern. If adequate funds are not available, we will be required to delay, reduce the scope of or terminate one or more of our product development programs and relinquish some or all rights to product candidates. In parallel, we would be required to implement another reduction-in-force, implement additional cost reduction measures related to compensation and employee benefits, and reduce our professional fees and travel spend to minimize operating costs, to offset the lack of available funding.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amounts in the consolidated statements of operations for the three month period ended March 31, 2010 have been reclassified to conform to the presentation of interest expense, other expense and other income as reclassified in May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As part of the merger consideration, the former Avigen shareholders were also entitled to receive approximately $0.04 per share, which was paid in two increments in 2010, and rights under contingent payment rights issued as part of the merger consideration. The amount paid in the two installments was net of a reconciliation of Avigen expenses and a letter of credit after expiry. In fiscal year 2010, under the first and second installments, we paid $140,119 and $73,449, respectively, to Avigen shareholders who elected payment in cash and we issued an additional principal amount of $685,917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$359,551, respectively, in convertible notes to Avigen shareholders who elected payment in convertible notes in lieu of a cash payment.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December 31, 2010 carrying value of the acquisition related assets and liabilities with their respective balances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Value of Notes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6"/>
              </w:rPr>
              <w:t>Value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Converted</w:t>
            </w:r>
          </w:p>
        </w:tc>
        <w:tc>
          <w:tcPr>
            <w:tcW w:w="240" w:type="dxa"/>
            <w:vAlign w:val="bottom"/>
          </w:tcPr>
          <w:p>
            <w:pPr>
              <w:spacing w:after="0"/>
              <w:rPr>
                <w:sz w:val="12"/>
                <w:szCs w:val="12"/>
                <w:color w:val="auto"/>
              </w:rPr>
            </w:pP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Interest Earned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(Accretion)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Activity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Value at</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12/31/10</w:t>
            </w:r>
          </w:p>
        </w:tc>
        <w:tc>
          <w:tcPr>
            <w:tcW w:w="30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1/1/11-3/31/11(9)</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1/1/11-3/31/11(10)</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w w:val="86"/>
              </w:rPr>
              <w:t>1/1/11-3/31/11(11)</w:t>
            </w:r>
          </w:p>
        </w:tc>
        <w:tc>
          <w:tcPr>
            <w:tcW w:w="280" w:type="dxa"/>
            <w:vAlign w:val="bottom"/>
          </w:tcPr>
          <w:p>
            <w:pPr>
              <w:spacing w:after="0"/>
              <w:rPr>
                <w:sz w:val="14"/>
                <w:szCs w:val="14"/>
                <w:color w:val="auto"/>
              </w:rPr>
            </w:pP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w w:val="86"/>
              </w:rPr>
              <w:t>1/1/11-3/31/11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3/31/2011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Restricted cash(1)</w:t>
            </w:r>
          </w:p>
        </w:tc>
        <w:tc>
          <w:tcPr>
            <w:tcW w:w="9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w w:val="91"/>
              </w:rPr>
              <w:t>28,688,892</w:t>
            </w:r>
          </w:p>
        </w:tc>
        <w:tc>
          <w:tcPr>
            <w:tcW w:w="3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(36,670)</w:t>
            </w:r>
          </w:p>
        </w:tc>
        <w:tc>
          <w:tcPr>
            <w:tcW w:w="6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708</w:t>
            </w:r>
          </w:p>
        </w:tc>
        <w:tc>
          <w:tcPr>
            <w:tcW w:w="3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47(3)</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1"/>
              </w:rPr>
              <w:t>28,652,977</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Restricted investment-MTP(2)</w:t>
            </w: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623,751</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(623,761)(2)</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letter of credit(3)</w:t>
            </w:r>
          </w:p>
        </w:tc>
        <w:tc>
          <w:tcPr>
            <w:tcW w:w="9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47</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(47)(3)</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IPR&amp;D(4)</w:t>
            </w: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4,800,000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Goodwill(5)</w:t>
            </w:r>
          </w:p>
        </w:tc>
        <w:tc>
          <w:tcPr>
            <w:tcW w:w="9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9,600,241</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9,600,241</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Escrow holdback(6)</w:t>
            </w: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(47)</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MTP liability(2)</w:t>
            </w:r>
          </w:p>
        </w:tc>
        <w:tc>
          <w:tcPr>
            <w:tcW w:w="9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(623,751)</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(10)</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623,761(2)</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Deferred tax liability(7)</w:t>
            </w: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w w:val="97"/>
              </w:rPr>
              <w:t>(1,956,000)</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700"/>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4"/>
              </w:rPr>
              <w:t>(1,956,000)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Convertible notes(8)</w:t>
            </w:r>
          </w:p>
        </w:tc>
        <w:tc>
          <w:tcPr>
            <w:tcW w:w="9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9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w w:val="88"/>
              </w:rPr>
              <w:t>(28,626,296)</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36,670</w:t>
            </w:r>
          </w:p>
        </w:tc>
        <w:tc>
          <w:tcPr>
            <w:tcW w:w="6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(708)</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480"/>
              <w:spacing w:after="0" w:line="143" w:lineRule="exact"/>
              <w:rPr>
                <w:sz w:val="20"/>
                <w:szCs w:val="20"/>
                <w:color w:val="auto"/>
              </w:rPr>
            </w:pPr>
            <w:r>
              <w:rPr>
                <w:rFonts w:ascii="Arial" w:cs="Arial" w:eastAsia="Arial" w:hAnsi="Arial"/>
                <w:sz w:val="14"/>
                <w:szCs w:val="14"/>
                <w:color w:val="auto"/>
              </w:rPr>
              <w:t>(31,306)</w:t>
            </w:r>
          </w:p>
        </w:tc>
        <w:tc>
          <w:tcPr>
            <w:tcW w:w="36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5"/>
              </w:rPr>
              <w:t>(28,621,640)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cash consists of cash held in a separate trust account, managed by a third-party, in connection with the Avigen merger consideration.</w:t>
      </w:r>
    </w:p>
    <w:p>
      <w:pPr>
        <w:ind w:left="340" w:right="2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investment consisted of cash held in an irrevocable grantor trust, or rabbi trust, which was intended to fund benefit obligations under the Avigen, Inc. Management Transition Plan, or MTP. These funds represented reserves for benefits eligible to terminated employees as defined by the MTP. Accordingly, we booked the associated MTP liability. During the first quarter of 2011, the Avigen Representative notified us of his termination of the MTP due to the fulfillment of its obligations. Upon termination of the trust, the remaining funds in the account were paid to the former Avigen stockholders on a pro rata basis, which relieved us of the MTP liability.</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letter of credit consisted of cash provided as a credit guarantee and security for an irrevocable letter of credit related to Avigen’s original lease of office space which expired November 30, 2010. The $47 remaining in the account related to December 2010 interest which posted after the funds were transferred to the escrow holdback account for distribution. These funds were transferred to the restricted cash account in January 2011.</w:t>
      </w:r>
    </w:p>
    <w:p>
      <w:pPr>
        <w:ind w:left="340" w:right="1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In-process research and development (“IPR&amp;D”) represents an estimate of fair value of in-process technology related to Avigen’s AV411 program, which at the merger closing date, had not received U.S. Food and Drug Administration (“FDA”) approval for any indication. As such, pursuant to ASC 805, amortization of the IPR&amp;D will not occur until it reaches market feasibility. The annual test date for IPR&amp;D impairment is December 31.</w:t>
      </w:r>
    </w:p>
    <w:p>
      <w:pPr>
        <w:ind w:left="340" w:right="10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included in the purchase price of Avigen the fair value of the aggregate merger consideration. We recorded $9.6 million of goodwill related to the excess purchase price over the assigned values of the net assets acquired. The goodwill was primarily a direct result of the fair value of the conversion feature of the convertible notes. The annual test date for goodwill impairment is December 31.</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the closing of the merger, we and Avigen funded $1,500,000 in a combination of cash and a letter of credit in a separate escrow account, pursuant to an escrow agreement, to cover the “escrow holdback” liability. During fiscal year 2010, pursuant to the terms of the escrow agreement, the escrow holdback liability was released upon distribution of the escrow funds to the Avigen shareholders on a pro rate basis, in either cash or convertible notes, depending on the election made at the acquisition date. The remaining $47 liability relates to the last interest payment in December that was not distributed to the Avigen shareholders.</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deferred tax liability represents the book to tax basis difference related to IPR&amp;D acquired through the acquisition of Avigen.</w:t>
      </w:r>
    </w:p>
    <w:p>
      <w:pPr>
        <w:ind w:left="340" w:right="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the closing of the merger, we and American Stock Transfer &amp; Trust Company, LLC, as trustee, entered into an indenture governing the terms of the convertible notes. Under the terms of a separate trust agreement, $29.4 million was deposited with a trust agent for the benefit of the holders and us. At the election of the respective convertible note holders, the convertible notes can be converted into our common stock at the conversion price of $6.80 per share. Upon maturity of the convertible notes on June 18, 2011, the 18-month anniversary of the closing of the merger, we will use the funds remaining in the separate trust to pay the principal amount of, and accrued interest on, the remaining convertible notes. For the three months ended March 31, 2011, $708 was the amount of interest capitalized on the convertible notes.</w:t>
      </w:r>
    </w:p>
    <w:p>
      <w:pPr>
        <w:spacing w:after="0" w:line="1" w:lineRule="exact"/>
        <w:rPr>
          <w:rFonts w:ascii="Arial" w:cs="Arial" w:eastAsia="Arial" w:hAnsi="Arial"/>
          <w:sz w:val="14"/>
          <w:szCs w:val="14"/>
          <w:color w:val="auto"/>
        </w:rPr>
      </w:pPr>
    </w:p>
    <w:p>
      <w:pPr>
        <w:ind w:left="340" w:right="100" w:hanging="332"/>
        <w:spacing w:after="0" w:line="22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three months ended March 31, 2011, 5,389 shares of our common stock were issued in connection with the conversion of convertible notes to our common stock at a conversion price of $6.80. $36,670 includes fractional shares being paid out of restricted cash. The proceeds received as a result of the convertible notes conversions into our common stock were deposited into a money market account and recorded as cash and cash equivalents in our consolidated balance sheet at March 31, 2011.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earned on the restricted cash, investment and letter of credit balances is added to the principal of the respective liability accounts.</w:t>
      </w:r>
    </w:p>
    <w:p>
      <w:pPr>
        <w:ind w:left="340" w:right="160" w:hanging="332"/>
        <w:spacing w:after="0" w:line="23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At December 31, 2009, the fair value of the convertible notes was less than their face value. As a result, over the term of the convertible notes (18 months) we will accrete the discount on the convertible notes with the offset being charged to interest expense.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Statements—Note 2, Avigen Transaction, in our Annual Report on Form 10-K for further information on the Avigen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31"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March 31, 2011, cash and cash equivalents (instruments with maturities of three months or less at the date of purchase) were $31.4 million, which were invested in money market accounts and money market funds. At March 31, 2011, restricted cash was $28.7 million and primarily invested in money market funds. We measure our cash equivalents and restricted cash on a recurring basis and the fair value of these current assets is based on Level 1 criteria in which their carrying amount is a reasonable estimate of their fair value based on daily quoted market prices.</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As of March 31, 2011</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2580" w:type="dxa"/>
            <w:vAlign w:val="bottom"/>
            <w:tcBorders>
              <w:bottom w:val="single" w:sz="8" w:color="auto"/>
            </w:tcBorders>
            <w:gridSpan w:val="5"/>
          </w:tcPr>
          <w:p>
            <w:pPr>
              <w:jc w:val="right"/>
              <w:ind w:right="282"/>
              <w:spacing w:after="0" w:line="142" w:lineRule="exact"/>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2"/>
                <w:szCs w:val="12"/>
                <w:color w:val="auto"/>
              </w:rPr>
            </w:pPr>
          </w:p>
        </w:tc>
        <w:tc>
          <w:tcPr>
            <w:tcW w:w="8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Debt(3)</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$13,751,932</w:t>
            </w:r>
          </w:p>
        </w:tc>
        <w:tc>
          <w:tcPr>
            <w:tcW w:w="860" w:type="dxa"/>
            <w:vAlign w:val="bottom"/>
            <w:gridSpan w:val="2"/>
          </w:tcPr>
          <w:p>
            <w:pPr>
              <w:jc w:val="right"/>
              <w:ind w:right="27"/>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$13,751,932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Convertible notes(1, 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28,621,640</w:t>
            </w: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Total current liability</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42,373,572</w:t>
            </w:r>
          </w:p>
        </w:tc>
        <w:tc>
          <w:tcPr>
            <w:tcW w:w="860" w:type="dxa"/>
            <w:vAlign w:val="bottom"/>
            <w:gridSpan w:val="2"/>
          </w:tcPr>
          <w:p>
            <w:pPr>
              <w:jc w:val="right"/>
              <w:ind w:right="27"/>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42,373,572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convertible notes and its related conversion feature were based on a binomial option pricing model (“BOPM”). Assumptions used in the BOPM included the maturity date of the convertible notes, the time between nodes, volatility, the face value of the convertible notes at the merger closing date and the risk-free rate. See Notes to Consolidated Financial Statements—Note 2, Avigen Transaction in our Annual Report on Form 10-K for further information on the BOPM.</w:t>
      </w:r>
    </w:p>
    <w:p>
      <w:pPr>
        <w:spacing w:after="0" w:line="1"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will not be re-measured during interim periods and subsequent settlements (conversions to our stock) will be accounted for in equity. See Note 2, Avigen Transaction, above for information on the activity impacting the convertible notes liability during the three months ended March 31,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value of the debt approximates fair value. See Notes to Consolidated Financial Statements—Note 4, Debt, below for further information regarding the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May 10, 2010, we entered the Loan Agreement with Oxford, under which we borrowed $15.0 million. The stated interest rate on the loan was 12.87 percent. The effective interest rate on the debt financing was calculated to be 18.14 percent.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obligations under the Loan Agreement are secured by a first priority security interest in substantially all of our assets, other than our intellectual property. We also have agreed not to pledge or otherwise encumber our intellectual property assets. Our obligations under the Loan Agreement are guaranteed on a senior secured basis by Avigen.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Loan Agreement required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2b data on MN-221, as defined in a completed partnership or joint venture agreement relating to MN-221, or had a positive end-of-Phase 2 meeting with the FDA and obtained the approval of the board of directors to proceed to Phase 3 with MN-221. A failure to meet the Loan Agreement requirements by March 31, 2011, would result in an immediate requirement for Loan repayment (as well as an increase in interest rate). In anticipation of not achieving either of the affirmative covenants required under our loan agreement with Oxford by March 31, 2011, we executed a pay-off letter between us and Oxford dated March 31, 2011, in which we negotiated the repayment of the loan in full on April 1, 2011. Oxford agreed to waive the early payment penalty of approximately $437,000. As a result of the executed loan—payoff letter, we have classified the entire debt obligation as a current liability in our consolidated balance sheet as of March 31. 2011. See Notes to Consolidated Financial Statements—Note 11, Subsequent Events, for further information on the Oxford loan payoff.</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Loan Agreement, we issued to Oxford a warrant to purchase up to 198,020 shares of our common stock. This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accounted for the interest on the debt using the effective interest method wherein we treated the debt issuance costs paid directly to the lender (financing fees) and the relative fair value of the warrants issued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lender as a discount on the debt (or a contra liability) and we treated the debt issuance costs paid to third parties (primarily legal fees) as an other asset in our consolidated balance sheet. The amortization of the debt discount is recorded as interest expense and the amortization of the debt issuance costs paid to third parties is recorded as other expense in our consolidated statement of operations. The table below summarizes the debt activity recorded during the three months ended March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Carrying Value</w:t>
            </w: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12/31/2010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Expense)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Repayments</w:t>
            </w:r>
          </w:p>
        </w:tc>
        <w:tc>
          <w:tcPr>
            <w:tcW w:w="100" w:type="dxa"/>
            <w:vAlign w:val="bottom"/>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3/31/2011</w:t>
            </w:r>
          </w:p>
        </w:tc>
        <w:tc>
          <w:tcPr>
            <w:tcW w:w="100" w:type="dxa"/>
            <w:vAlign w:val="bottom"/>
          </w:tcPr>
          <w:p>
            <w:pPr>
              <w:spacing w:after="0"/>
              <w:rPr>
                <w:sz w:val="14"/>
                <w:szCs w:val="14"/>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Debt issuance costs paid to third parties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124,722</w:t>
            </w:r>
          </w:p>
        </w:tc>
        <w:tc>
          <w:tcPr>
            <w:tcW w:w="3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(21,426)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103,296</w:t>
            </w: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857,619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(14,142,381)</w:t>
            </w: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(134,491)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(54,207)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(188,698)</w:t>
            </w: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(15,134,491)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(54,207)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857,619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(14,331,079)</w:t>
            </w: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Relative fair value of warrants issued to lender(1)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595,342</w:t>
            </w:r>
          </w:p>
        </w:tc>
        <w:tc>
          <w:tcPr>
            <w:tcW w:w="3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(102,274)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493,068</w:t>
            </w: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(17,855)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86,079</w:t>
            </w: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699,276</w:t>
            </w:r>
          </w:p>
        </w:tc>
        <w:tc>
          <w:tcPr>
            <w:tcW w:w="30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(120,129)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579,147</w:t>
            </w: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used is 2.86 percent and is based upon observed risk-free interest rates appropriate for the expected term of the warrants. The expected volatility assumption used is 76 percent and is consistent with the volatility of our common stock based on the historical volatility of our stock since listing on the Nasdaq Global Market in December 2006. We have not paid any dividends on our common stock since our inception, and we do not anticipate paying any dividends on our common stock in the foreseeable future. Therefore, the dividend yield assumption used is zero. The expected term assumption used is seven years, which is the contractual life of the warrants. The fair value of the warrants using Black-Scholes is calculated to be $4.34 per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three months ended March 31, 2011 and March 31, 2010, 83,957 and 4,471,246, respectively, potentially dilutive securities were excluded from determining diluted earnings per share because of their anti-dilutive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authoritative guidance for comprehensive income under ASC 820 (formerly SFAS No. 130)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(55,702)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Currency translation</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(7,657)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(63,359)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and 2010, our comprehensive loss was $5,663,387 and $5,162,472,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2011 and 2010, share-based compensation expense related to stock options of approximately $130,000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$400,000, respectively, was recorded as a component of general and administrative expense, and approximately $45,000 and $90,000, respectively, was recorded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research and development expense.</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three months ended March 31, 2011, stock options to purchase 1,917 shares of common stock were exercised for approximately $8,200. As of March 31, 2011, there was $1.5 million of unamortized compensation cost related to unvested stock option awards, which is expected to be recognized over a remaining weighted-average vesting period of 2.4 years.</w:t>
      </w:r>
    </w:p>
    <w:p>
      <w:pPr>
        <w:spacing w:after="0" w:line="14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There were no options granted during the three months ended March 31, 2011. The exercise price of stock options to purchase 400,000 shares of common stock granted during the three months ended March 31, 2010, was equal to market value on the date of grant and the share-based compensation expense for such stock options is reflected in operating results for the three months ended March 31, 2010.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8160" w:type="dxa"/>
            <w:vAlign w:val="bottom"/>
          </w:tcPr>
          <w:p>
            <w:pPr>
              <w:spacing w:after="0"/>
              <w:rPr>
                <w:sz w:val="14"/>
                <w:szCs w:val="14"/>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2010</w:t>
            </w:r>
          </w:p>
        </w:tc>
        <w:tc>
          <w:tcPr>
            <w:tcW w:w="20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76.63%</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ended March 31, 2011 was based on stock option awards ultimately expected to vest, such expense should be reduced for estimated forfeitures. The authoritative guidance for compensation under ASC 718 (formerly SFAS No. 123R) requires forfeitures to be estimated at the time of grant and revised, if necessary, in subsequent periods if actual forfeitures differ from those estimates. We have very few employees and our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 options vest monthly; therefore, we did not estimate any forfeitures during the first quarter of 2011, and we will adjust our stock-based compensation expense should any forfeitures occur. The weighted-average fair value of each stock option granted during the three months ended March 31, 2010, estimated as of the grant date using the Black-Scholes option valuation model, was $4.34 per stock option.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(formerly SFAS No. 109),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March 31, 2011 and we have not recorded any uncertain income tax benefits at March 31, 2011.</w:t>
      </w:r>
    </w:p>
    <w:p>
      <w:pPr>
        <w:spacing w:after="0" w:line="207" w:lineRule="exact"/>
        <w:rPr>
          <w:sz w:val="20"/>
          <w:szCs w:val="20"/>
          <w:color w:val="auto"/>
        </w:rPr>
      </w:pPr>
    </w:p>
    <w:p>
      <w:pPr>
        <w:ind w:right="8680" w:firstLine="8"/>
        <w:spacing w:after="0" w:line="391" w:lineRule="auto"/>
        <w:tabs>
          <w:tab w:leader="none" w:pos="17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3, 2011, we received a legal letter from a former employee who had been terminated in January 2011 pursuant to our planned reduction-in-force to save costs. The legal letter did not assert a claim outright; however, there were allegations made in the legal letter that could threaten litigation against us. We have engaged legal counsel in connection with the possibility of a lawsuit given this legal letter and the fact that this former employee’s separation agreement has expired. Given the inherent uncertainty and unpredictability of litigation and due to the status of this legal action, no range of loss or possible loss can be reasonably estimated. However, we do not expect the outcome of this matter to have a material adverse effect on our consolidated financial statements.</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160" w:lineRule="exact"/>
        <w:rPr>
          <w:sz w:val="20"/>
          <w:szCs w:val="20"/>
          <w:color w:val="auto"/>
        </w:rPr>
      </w:pPr>
    </w:p>
    <w:p>
      <w:pPr>
        <w:ind w:right="9500" w:firstLine="8"/>
        <w:spacing w:after="0" w:line="369" w:lineRule="auto"/>
        <w:tabs>
          <w:tab w:leader="none" w:pos="26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4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March 31, 2011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4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2,280,931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18"/>
              <w:spacing w:after="0"/>
              <w:rPr>
                <w:sz w:val="20"/>
                <w:szCs w:val="20"/>
                <w:color w:val="auto"/>
              </w:rPr>
            </w:pPr>
            <w:r>
              <w:rPr>
                <w:rFonts w:ascii="Arial" w:cs="Arial" w:eastAsia="Arial" w:hAnsi="Arial"/>
                <w:sz w:val="18"/>
                <w:szCs w:val="18"/>
                <w:color w:val="auto"/>
                <w:w w:val="85"/>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4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18"/>
              <w:spacing w:after="0"/>
              <w:rPr>
                <w:sz w:val="20"/>
                <w:szCs w:val="20"/>
                <w:color w:val="auto"/>
              </w:rPr>
            </w:pPr>
            <w:r>
              <w:rPr>
                <w:rFonts w:ascii="Arial" w:cs="Arial" w:eastAsia="Arial" w:hAnsi="Arial"/>
                <w:sz w:val="18"/>
                <w:szCs w:val="18"/>
                <w:color w:val="auto"/>
                <w:w w:val="85"/>
              </w:rPr>
              <w:t>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Cancelled</w:t>
            </w:r>
          </w:p>
        </w:tc>
        <w:tc>
          <w:tcPr>
            <w:tcW w:w="44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(177,213)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318"/>
              <w:spacing w:after="0"/>
              <w:rPr>
                <w:sz w:val="20"/>
                <w:szCs w:val="20"/>
                <w:color w:val="auto"/>
              </w:rPr>
            </w:pPr>
            <w:r>
              <w:rPr>
                <w:rFonts w:ascii="Arial" w:cs="Arial" w:eastAsia="Arial" w:hAnsi="Arial"/>
                <w:sz w:val="18"/>
                <w:szCs w:val="18"/>
                <w:color w:val="auto"/>
                <w:w w:val="85"/>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4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2,101,801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18"/>
              <w:spacing w:after="0"/>
              <w:rPr>
                <w:sz w:val="20"/>
                <w:szCs w:val="20"/>
                <w:color w:val="auto"/>
              </w:rPr>
            </w:pPr>
            <w:r>
              <w:rPr>
                <w:rFonts w:ascii="Arial" w:cs="Arial" w:eastAsia="Arial" w:hAnsi="Arial"/>
                <w:sz w:val="18"/>
                <w:szCs w:val="18"/>
                <w:color w:val="auto"/>
                <w:w w:val="85"/>
              </w:rPr>
              <w:t>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60" w:type="dxa"/>
            <w:vAlign w:val="bottom"/>
            <w:vMerge w:val="restart"/>
          </w:tcPr>
          <w:p>
            <w:pPr>
              <w:jc w:val="right"/>
              <w:ind w:right="2692"/>
              <w:spacing w:after="0"/>
              <w:rPr>
                <w:sz w:val="20"/>
                <w:szCs w:val="20"/>
                <w:color w:val="auto"/>
              </w:rPr>
            </w:pPr>
            <w:r>
              <w:rPr>
                <w:rFonts w:ascii="Arial" w:cs="Arial" w:eastAsia="Arial" w:hAnsi="Arial"/>
                <w:sz w:val="18"/>
                <w:szCs w:val="18"/>
                <w:color w:val="auto"/>
              </w:rPr>
              <w:t>13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aggregate intrinsic value of stock options exercised during the three months ended March 31, 2011 was $933. The aggregate intrinsic value of stock options outstanding at March 31, 2011 and exercisable at March 31, 2011 was approximately $80,000 and approximately $48,000, respectively. Of the total stock options outstanding as of March 31, 2011, options to purchase 1,633,483 shares of common stock are exercisable, with a weighted average exercise price of $ 9.34 per share and a weighted average contractual life of 6.0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assumptions were used to value the March 31, 2011 employee stock purchases: a risk-free interest rate of 0.16 percent, expected volatility of 78 percent, expected term of six months and a dividend rate of 0 percent. For the three months ended March 31, 2011, 1,826 shares of common stock were issued under the ESPP and 272,301 shares of common stock were available for future issuance.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For the three months ended March 31, 2011, approximately $36,645 of convertible notes was converted into 5,389 shares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193" w:lineRule="exact"/>
        <w:rPr>
          <w:sz w:val="20"/>
          <w:szCs w:val="20"/>
          <w:color w:val="auto"/>
        </w:rPr>
      </w:pPr>
    </w:p>
    <w:p>
      <w:pPr>
        <w:ind w:right="9700" w:firstLine="8"/>
        <w:spacing w:after="0" w:line="417" w:lineRule="auto"/>
        <w:tabs>
          <w:tab w:leader="none" w:pos="254"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Oxford Loan Update</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Oxford loan payoff agreement executed on March 31, 2011, we paid Oxford approximately $15.2 million on April 1, 2011 which paid the loan off in full.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May 5, 2011, we entered into an at-the-market issuance sales agreement, or sales agreement, with McNicoll, Lewis &amp; Vlak LLC, or MLV, pursuant to which we may issue and sell shares of our common stock having an aggregate offering price of up to $15.0 million from time to time through MLV as our sales agent. The issuance and sale of these shares by us under the sales agreement, if any, is subject to the effectiveness of our shelf registration statement on Form S-3 (File No. 333-163116), initially filed with the Securities and Exchange Commission on November 13, 2009.</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2010 included in our Annual Report on Form 10-K filed with the Securities and Exchange Commission, or SEC, on March 31, 2011.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March 31, 2011, from inception, our accumulated deficit was approximately $273.2 million, including $48.5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December 2009 we acquired Avigen Inc., or Avigen, a biopharmaceutical company that focused on identifying and developing differentiated products to treat patients with serious disorders, whose potential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product candidate was AV411, a macrophage migration inhibitory factor and a glial attenuator for central nervous system, or CNS, disorders, such as neuropathic pain, opioid withdrawal and methamphetamine addiction. We continue to integrate the two ibudilast-based product development programs and pursue discussions with potential partners to secure a strategic collaboration to advance clinical development of the combined development programs.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in the first quarter of 2009 to evaluate the safety and efficacy of MN-221 in patients with severe, acute exacerbations of asthma treated in the emergency room, which is on-going, and initiated a Phase 1b clinical trial in the fourth quarter of 2009 to evaluate the safety of MN-221 at planned escalating doses in patients with stable, moderate to severe COPD, in which we announced preliminary positive results in the first quarter of 2010.</w:t>
      </w:r>
    </w:p>
    <w:p>
      <w:pPr>
        <w:spacing w:after="0" w:line="31" w:lineRule="exact"/>
        <w:rPr>
          <w:rFonts w:ascii="Arial" w:cs="Arial" w:eastAsia="Arial" w:hAnsi="Arial"/>
          <w:sz w:val="16"/>
          <w:szCs w:val="16"/>
          <w:color w:val="auto"/>
        </w:rPr>
      </w:pPr>
    </w:p>
    <w:p>
      <w:pPr>
        <w:ind w:left="900" w:right="100" w:hanging="446"/>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MN-166/AV411, for which we continue to integrate the two programs into a combined ibudalist-based product development program to pursue discussions with potential partners to secure a strategic collaboration. For MN-166 for the treatment of MS, we completed a Phase 2 clinical trial in Eastern Europe in the second quarter of 2008 and we completed of a monkey toxicity preclinical study in the second quarter of 2010. For AV411 for other CNS disorders, we completed in the third quarter of 2010 a Phase 1b/2a opioid withdrawal clinical trial funded by the National Institute on Drug Abuse, or NIDA, and we have Phase 1b NIDA-funded clinical trial in methamphetamine-dependent volunteers initiated in fourth quarter of 2010.</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to support further clinical development, and plan to keep certain commercialization rights in select markets. In addition, we continue to limit development activities for the balance of our existing product candidates in order to focus on our prioritized programs. For each of these remaining product candidates, we plan to conduct development activities only to the extent deemed necessary to maintain our license rights or maximize its value while pursuing a variety of initiatives to monetize such product candidate on appropriate terms.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6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As part of the merger consideration, the former Avigen shareholders were also entitled to receive approximately $0.04 per share, which was paid in two increments in 2010, and rights under contingent payment rights issued as part of the merger consideration.</w:t>
      </w:r>
    </w:p>
    <w:p>
      <w:pPr>
        <w:spacing w:after="0" w:line="14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As a result,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merger agreement. Our annual test date for IPR&amp;D and goodwill impairment is December 31. We operate as one reporting segment and during the three months ended March 31, 2011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10, 2010, we entered into a loan and security agreement, or the Loan Agreement, with Oxford, under which we borrowed $15.0 million. The financing is used to satisfy working capital needs, including the continued clinical development of MN-221. The stated interest rate on the loan was 12.87 percent. The effective interest rate on the loan was 18.14 percent when taking into consideration the deferred interest payment, the relative fair value of the warrants issued in connection with the loan and the fees associated with procuring the loan. Pursuant to the Loan Agreement, we also issued to Oxford a warrant to acquire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accounted for the interest on the debt under the effective interest method wherein we treated the debt issuance costs paid directly to Oxford and the fair value of the warrants issued to Oxford as a discount on the debt (or a contra liability) and we treated the debt issuance costs paid to third parties as an asset. The related amortization of the debt discount is recorded as interest expense and the amortization of the debt issuance costs paid to third parties is recorded as other expense in our consolidated statement of operations.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March 31, 2011, we and Oxford executed a pay-off letter in which Oxford waived early payment penalties of approximately $437,000 and we repaid the loan in full on April 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January 2011, we commenced a reduction-in-force, or RIF, wherein we down-sized the company to save costs. We believe that with this RIF, we are adequately staffed given our research and development focus and that we are a development stage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Joint Venture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March 3, 2011, we executed a joint venture letter of intent with Zhejiang Medicine Co., Ltd. and Beijing Make-Friend Medicine Technology Co., Ltd., which provides for the establishment of a joint venture company to develop and commercialize MN-221 in China. As of the date of the filing of this Quarterly Report on Form 10-Q, we have not yet completed the joint venture contract or applicable licensing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Firm Commitment Public Offering</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On March 24, 2011, the underwriter exercised 50,666 units of its 412,500 unit overallotment. On March 29, 2011, we received net proceeds of approximately $7.9 million, after underwriter discount and underwriter expenses and no warrants exercised. In accordance with the authoritative guidance, we concluded that the warrants were indexed to our stock and do not permit net-cash settlement. Therefore, the warrants were classified as equity instruments and are not being marked to market prospectively as long as they continue to meet the conditions for equity classification.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customers. Our agreement with Asahi Kasei Pharma Corporation has been completed, and we terminated our agreement with Argenes, Inc. Therefore, we will not generate any further revenue from these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2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1"/>
                <w:szCs w:val="11"/>
                <w:color w:val="auto"/>
              </w:rPr>
            </w:pPr>
          </w:p>
        </w:tc>
        <w:tc>
          <w:tcPr>
            <w:tcW w:w="6200" w:type="dxa"/>
            <w:vAlign w:val="bottom"/>
          </w:tcPr>
          <w:p>
            <w:pPr>
              <w:ind w:left="2580"/>
              <w:spacing w:after="0" w:line="129" w:lineRule="exact"/>
              <w:rPr>
                <w:sz w:val="20"/>
                <w:szCs w:val="20"/>
                <w:color w:val="auto"/>
              </w:rPr>
            </w:pPr>
            <w:r>
              <w:rPr>
                <w:rFonts w:ascii="Arial" w:cs="Arial" w:eastAsia="Arial" w:hAnsi="Arial"/>
                <w:sz w:val="14"/>
                <w:szCs w:val="14"/>
                <w:b w:val="1"/>
                <w:bCs w:val="1"/>
                <w:color w:val="auto"/>
              </w:rPr>
              <w:t>Disease/Indication</w:t>
            </w:r>
          </w:p>
        </w:tc>
        <w:tc>
          <w:tcPr>
            <w:tcW w:w="200" w:type="dxa"/>
            <w:vAlign w:val="bottom"/>
          </w:tcPr>
          <w:p>
            <w:pPr>
              <w:spacing w:after="0"/>
              <w:rPr>
                <w:sz w:val="11"/>
                <w:szCs w:val="11"/>
                <w:color w:val="auto"/>
              </w:rPr>
            </w:pPr>
          </w:p>
        </w:tc>
        <w:tc>
          <w:tcPr>
            <w:tcW w:w="50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Acute exacerbations of asthma/COPD</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MN-166/AV411</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Multiple sclerosis/other CNS disorders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MN-001</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Interstitial cystitis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MN-305</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Generalized Anxiety Disorder/insomnia</w:t>
            </w:r>
          </w:p>
        </w:tc>
        <w:tc>
          <w:tcPr>
            <w:tcW w:w="2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MN-246</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Urinary incontinence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MN-462</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Thrombotic disorders</w:t>
            </w:r>
          </w:p>
        </w:tc>
        <w:tc>
          <w:tcPr>
            <w:tcW w:w="2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3"/>
          </w:tcPr>
          <w:p>
            <w:pPr>
              <w:spacing w:after="0"/>
              <w:rPr>
                <w:sz w:val="20"/>
                <w:szCs w:val="20"/>
                <w:color w:val="auto"/>
              </w:rPr>
            </w:pPr>
            <w:r>
              <w:rPr>
                <w:rFonts w:ascii="Arial" w:cs="Arial" w:eastAsia="Arial" w:hAnsi="Arial"/>
                <w:sz w:val="18"/>
                <w:szCs w:val="18"/>
                <w:color w:val="auto"/>
                <w:w w:val="94"/>
              </w:rPr>
              <w:t>Total research and development</w:t>
            </w:r>
          </w:p>
        </w:tc>
        <w:tc>
          <w:tcPr>
            <w:tcW w:w="2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In the third quarter of 2009, we determined to expand the product development program for MN-221 to evaluate MN-221 for the treatment of COPD exacerbations. In the second quarter of 2008 we completed the Phase 2 clinical trial of MN-166 ibudilast for the treatment of MS and in December 2009, through the Avigen acquisition, we acquired AV411 ibudilast for the treatment of other CNS disorders. We continue to work on combing the two ibudilast-based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ibudilast-based development program. We anticipate that our research and development expenses will increase with respect to MN-221 over the next two quarters as we strive to complete the current clinical trial, MN-221 CL-007, which is set in the ER. In addition, with respect to MN-166/AV411, in future periods, we will limit expenditures on this product candidate to those development activities deemed necessary, if any, to maximize its value for purposes of securing a partner for clinical development.</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Following the last protocol amendment change to MN-221-CL-007 in 2010, we are experiencing a higher average enrollment rate for the quarter over last year’s average enrollment rate. While we anticipate enrolling the last patient in this study in the second half of 2011, due to the risks inherent in the clinical development process and given that this study is set in the ER, we are unable to estimate with certainty the costs that we will incur in the continued development of such product candidate and that we will complete this study as expected.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 and ARS Put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securities had consisted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insurance notes and portfolios of securities (primarily commercial paper).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of our ARS were subject to a settlement in which we received the right to sell back certain of our ARS at par value at any time during the period beginning June 30, 2010 and ending July 2, 2012 and we were offered a no net cost loan program, or ARS Loan, whereby the interest cost would not exceed the interest being paid on the underlying ARS investments.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December 31, 2008, we designated our investment securities portfolio as trading investment securities; therefore, any additional increase or decrease in the fair value of our investment securities is recorded as either a gain or an impairment charge, respectively, in our consolidated statement of operations. Investment security fair value determinations were made on a Level 3 basis utilizing a discounted cash flow model, employing liquidity discounts.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no longer held any investment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Loss/(Gain)</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date, we have conducted most of our clinical trials in the United States. However, the Phase 2 clinical trial for MN-166 for the treatment of MS that completed in 2008 was conducted in Eastern Europe and the on-going Phase 2 clinical trial in MN-221 for the treatment of acute exacerbations of asthma, had a few clinical sites located in Australia and New Zealand in which certain of the invoices were denominated the Australian dollar and New Zealand dollar, respectively. In addition, we have certain investor relation invoices denominated in Japanese Yen and we have certain manufacturing invoices denominated in British Pound. At this time, we have not established a hedging program to mitigate our foreign exchange exposure. Foreign exchange gain/loss is based on the difference between the exchange rate at the settlement date and the exchange rate at the balance sheet date for the respective foreign currency invoice.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consists of accretion related to the convertible notes and the amortization of debt issuance costs paid to third parties.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 expense consists of interest charged on our ARS Loan, interest charged on our long-term debt based on the effective interest method and amortization of debt discount.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2010, as filed with the SEC on March 31,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2010, the Financial Accounting Standards Board, or FASB, issued updated guidance related goodwill impairment testing. The guidance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second step continues to compare the carrying amount of the reporting unit’s goodwill to its implied fair value. The guidance is effective for public entities, for impairment tests performed during entities’ fiscal years (and interim periods within those years) that begin after December 15, 2010. We early adopted the updated guidance in January 2011 and using the transitional approach we determined not to perform an interim goodwill impairment test given that we operate as one reporting segment and did not have a zero or negative carrying amount. We will continue to monitor our stock price and equity and assess qualitative factors. However, should our stock price continue to decline, possible impairment of goodwill could have a material impact on our consolidated financial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2010, FASB clarified guidance related to business combinations. Public entities involved in a business combination are now required to disclose revenue and earnings of the combined entity as though the combination that occurred during the current year had occurred as of the beginning of the comparable prior period being presented. It also requires that supplemental pro forma disclosures include a description of the nature and amount of material, nonrecurring pro forma adjustments directly attributable to the business combination be included. This guidance is effective for us for acquisitions occurring on or after the beginning of our 2011 fiscal year. This will not have an effect on our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2011 and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March 31, 2011 or March 31,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Research and development expenses for the three months ended March 31, 2011 were $2.6 million, a decrease of $0.3 million when compared to $2.9 million for the three months ended March 31, 2010. This decrease in research and development expenses was due to a decrease of $0.4 million in spending on our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prioritized asset MN-221 for the treatment of acute exacerbations of asthma and COPD primarily due to the completion of the COPD clinical trial in 2010 and a decrease of $0.1 million in spending on our prioritized asset MN-166/AV411, primarily due to the completion of the monkey toxicity preclinical work completed in 2010, offset by an increase of $0.2 million in unallocated research and development expenses due to the payout of accrued vacation and severance in connection with the reduction-in-force that occurred in January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General and administrative expenses were $2.4 million for the three months ended March 31, 2011, an increase of $0.1 million when compared to $2.3 million for the three months ended March 31, 2010. This increase in general and administrative expenses was primarily due to an increase of $0.4 million related to employee termination benefits paid out in the first quarter of 2011, offset by a reduction in stock based compensation expenses of $0.3 million due to employee terminations and fully amortized options.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Impairment charge/gain on investment securities for the three months ended March 31, 2011 was $0, as compared to a net impairment charge on investment securities of $7,000 for the three months ended March 31, 2010. In 2011 we no longer held any investment securities.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Foreign exchange gain for the three months ended March 31, 2011 was $400, as compared to a foreign exchange loss of $4,000 for the three months ended March 31, 2010. The foreign exchange gain/loss for the three months ended March 31, 2011 and 2010 relate to the remeasurement of foreign payables.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Other expense for the three months ended March 31, 2011 was $53,000, as compared to $31,000 for the three months ended March 31, 2010. Other expense relates to accretion on the convertible notes and amortization of debt issuance costs paid to third parties. We did not have debt in the first quarter of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Interest expense for the three months ended March 31, 2011 was $652,000, as compared to $44,000 for the three months ended March 31, 2010. The increase in interest expense was due to the interest charged on the debt using the effective interest method, offset by a decrease in the amount of interest charged on the ARS Loan. We did not have debt in the first quarter of 2010 and the ARS Loan was repaid in the third quarter of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Other income for the three months ended March 31, 2011 was $25,000, as compared to $161,000 for the three months ended March 31, 2010. The decrease is due to a decrease in interest income due to a lower yield earned on invested balances as we converted higher yielding investment securities into cash and cash equivalents subsequent to March 2010, which were invested in money market funds to preserve liquidity and principal.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incurred losses of $5,655,730 for the three months ended March 31, 2011 and we have incurred losses of $20,187,308, $20,368,890 and $21,924,829 for the years ended December 31, 2010, 2009, and 2008 respectively. We have an accumulated deficit of $273,194,136 as of March 31, 2011. Additionally, we have used net cash of $3,963,017, $17,698,079, $17,014,162 and $21,118,380 to fund our operating activities for the three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months ended March 31, 2011 and for the years ended December 31, 2010, 2009, and 2008,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To date these operating losses have been funded primarily through the private placement of our equity securities, the public sale of our common stock, long-term debt, the conversion of convertible notes to our common stock and the exercise of founders’ warrants, net of treasury stock repurchases.</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any material commitments for capital expenditures; however, we have an on-going 200 patient Phase 2 clinical trial (MN-221-CL-007) for which we expect to complete enrollment in the second half of 2011. Our clinical studies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If we do not receive complete and accurate information from the CRO or third parties on a timely basis or correctly estimate the outcome of contract negotiations, activity levels and the enrollment rate, this could potentially impact R&amp;D expense and cash payments in subsequent periods.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had, and continue to have, an ongoing need to raise additional cash from outside sources to fund our operations. We have an established history of raising capital through equity and debt, and we are currently involved in discussions with multiple parties. In March 2011, we raised approximately $7.9 million in net proceeds from a firm underwritten public offering in which we offered 2,750,000 units, with each unit consisting of one share of common stock and a warrant to purchase one share of common stock. The purchase price for each unit was $3.00 and each warrant has an exercise price of $3.56 per share. In addition, in March 2011, the underwriter exercised 50,666 units of its 412,500 unit overallotment. Our current cash and cash equivalents, along with the proceeds from this offering, are our principal sources of liquidity as we cannot be assured of future conversion of the convertible notes into our common stock. Our business will continue to require us to incur substantial research and development. We also have assumed that all of our restricted cash will be used to pay our convertible notes that mature on June 18, 2011, although one or more holders may elect to convert some or all of the convertible notes to common stock at a conversion rate of $6.80 per share prior to the maturity date.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Although there can be no assurance given, we hope to successfully complete one or more additional financing transactions and/or corporate partnerships in the near-term; otherwise, we will not have sufficient cash or other liquidity to fund our operations as currently conducted and staffed for the following 12 months which raises substantial doubt as to our ability to continue as a going concern. The accompanying consolidated financial statements have been prepared assuming that we will continue as a going concern. If we are unsuccessful in our efforts to raise outside capital in the immediate near term through our effective S-3 shelf registration and/or our discussions with potential strategic partners, we will be required to delay, reduce the scope of or terminate one or more of our product development programs and relinquish some or even all rights to product candidates. In parallel, we would be required to implement another RIF, implement additional cost reduction measures related to compensation and employee benefits, and reduce our professional fees and our travel spending to minimize operating costs, to offset the lack of available funding.</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and cash equivalents as of March 31, 2011 were $31.4 million and were primarily invested in money market interest bearing accounts and money market funds. A hypothetical 10% adverse change in the average interest rate on our money market cash investments and short-term investments would have had no material effect on net income for the year ended March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3, 2011, we received a legal letter from a former employee who had been terminated in January 2011 pursuant to our planned reduction-in-force to save costs. The legal letter did not assert a claim outright; however, there were allegations made in the legal letter that could threaten litigation against us. We have engaged legal counsel in connection with the possibility of a lawsuit given this legal letter and the fact that this former employee’s separation agreement has expired. Given the inherent uncertainty and unpredictability of litigation and due to the status of this legal action, no range of loss or possible loss can be reasonably estimated. However, we do not expect the outcome of this matter to have a material adverse effect on our consolidated financial statements.</w:t>
      </w:r>
    </w:p>
    <w:p>
      <w:pPr>
        <w:spacing w:after="0" w:line="1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three months ended March 31, 2011, we had a net loss of $5.7 million and our accumulated deficit was approximately $273.2 million. If we are successful in securing a strategic collaboration or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our existing cash and cash equivalents at March 31, 2011 will be sufficient to fund our debt repayment obligations, our forecasted research and development expenses and our fixed obligations over the next 12 months. However, we will need to successfully complete one or more additional financing transactions and/or corporate partnerships in the near-term; otherwise, we will not have sufficient cash or other liquidity to fund our operations as currently conducted and staffed for the following 12 months which raises doubt as to our ability to continue as a going concern.</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assumptions may prove to be wrong, and we could spend our available financial resources before we complete the clinical trial. Our future capital requirements will also depend on many factors, including:</w:t>
      </w:r>
    </w:p>
    <w:p>
      <w:pPr>
        <w:spacing w:after="0" w:line="51" w:lineRule="exact"/>
        <w:rPr>
          <w:sz w:val="20"/>
          <w:szCs w:val="20"/>
          <w:color w:val="auto"/>
        </w:rPr>
      </w:pPr>
    </w:p>
    <w:p>
      <w:pPr>
        <w:ind w:left="5620" w:right="3160" w:hanging="5166"/>
        <w:spacing w:after="0" w:line="440" w:lineRule="auto"/>
        <w:tabs>
          <w:tab w:leader="none" w:pos="8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 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March 31, 2011, we had an accumulated deficit of $273.2 million. Our cash and cash equivalents were approximately $31.4 million at March 31, 2011.</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will continue to require us to incur substantial research and development expenses and we do not expect to be able to fund these expenses solely from upfront cash or milestones from collaborations or strategic alliances. As such we may be required to raise capital from one or more sources in the near term to continue our operations at or close to the levels currently conducted. We believe that without raising additional capital soon from accessible sources of financings, we will not otherwise have adequate funding to complete the development of MN-221 including pivotal clinical trials or the commercialization of any products we successfully develop. We have assumed that all of our restricted cash will be used to pay our convertible notes that mature on June 18, 2011, although one or more holders may elect to convert some or all of the convertible notes to common stock at a conversion rate of $6.80 per share prior to the maturity date. There is no guarantee that adequate funds will be available when needed from additional debt or equity financing, arrangements with partners, or from other sources, or on terms attractive to us. The inability to obtain sufficient additional funds when needed to fund our operations would require us to significantly delay, scale back, or eliminate some or all of our clinical or regulatory activities, further reduce general and administrative expenses and have a substantial negative effect on our results of operations and financial condition.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fund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clinical development programs for MN-221 and MN-166/AV411 may not lead to commercial products for a number of reasons, including our clinical trials’ failure to demonstrate to the FDA’s satisfaction that these product candidates are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0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2 clinical trial for MN-221 in Canada, Australia and New Zealand. Through the acquisition of Avigen, we have assumed responsibility for AV411 clinical trials including one active IND for neuropathic pain and cross-reference and drug product support of the NIDA-funded opioid withdrawal investigator-initiated IND with Columbia University drug addiction clinical researchers. In the third quarter of 2010, a NIDA-funded investigator-initiated IND with University of California Los Angeles was given approval by the FDA to proceed with an initial trial of our neurological drug candidate, ibudilast (MN-166/AV411), as a potential new pharmacotherapy for methamphetamine addiction. The study will be led by established clinical research investigators in the treatment of drug addiction.</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2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through the third quarter of 2010 we continued to experience an overall slower than anticipated enrollment of patients for our ongoing Phase 2 clinical trial evaluating the safety and efficacy of MN-221 in patients with severe, acute exacerbations of asthma for various reasons such as the length of time required to stay in the emergency room, or ER, during the treatment period. Our enrollment rates have improved since September 30, 2010, we believe, due in part to changes to the protocol that shortened the length of time the patient needed to stay in the ER and that gave the ER physician control over the standard-of-care that was given to the patient during the treatment period. However, there is no assurance that we will complete enrollment in the second half of 2011.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2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4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for the development and supply of finished product of MN-221 for the treatment of acute exacerbations of asthma utilizing Hospira’s proprietary ADD-Vantage drug delivery system that we intend to use in clinical trials and the commercial market if MN-221 receives regulatory approval.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22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continuing health care reform in the U.S. will control or significantly influence the purchase of medical services and products, and may result in inadequate coverage of and reimbursement for our products. Many third-party payors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payors, including government payors, are instituting could have a material adverse effect on our ability to operate profitably.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ind w:firstLine="456"/>
        <w:spacing w:after="0" w:line="287"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President signed into law the Patient Protection and Affordable Care Act, which imposes numerous provisions over a four-year period. We have begun to assess the impact of this Act, but, at this early stage the likely impact cannot be ascertained with any degree of certainty.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May 10, 2011, we had 17 full-time employees, following a reduction in force which took place in January 2011, wherein we down-sized the company to save costs.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9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Our listing obligations under the Jasdaq Market (formerly the Hercules 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2010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and any failure to effectively remediate the material weakness identified as of September 30, 2010 could result in material misstatements in our financial statements.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that creates a reasonable possibility that a material misstatement of our interim or annual financial statements will not be prevented or detected on a timely basis. In the course of carrying out the required quarterly evaluation and preparing the financial statements as of September 30, 2010, management identified control overrides and policy deviations by one of our senior executive officers. The following deficiencies in internal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control over financial reporting, which collectively represented a material weakness in our internal control over financial reporting, were reported by management to our Audit Committee:</w:t>
      </w:r>
    </w:p>
    <w:p>
      <w:pPr>
        <w:spacing w:after="0" w:line="51" w:lineRule="exact"/>
        <w:rPr>
          <w:sz w:val="20"/>
          <w:szCs w:val="20"/>
          <w:color w:val="auto"/>
        </w:rPr>
      </w:pPr>
    </w:p>
    <w:p>
      <w:pPr>
        <w:ind w:left="900" w:right="5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senior executive officer lacked a sufficient control awareness related to compliance with our Code of Conduct, contract review and approval policies, and certain human resources policies and procedures for employee terminations.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adequate human resources policies and procedures related to ensuring compliance with our Code of Conduct.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management team is committed to achieving and maintaining a strong control environment and an overall tone within the organization that empowers all employees to act with the highest standards of ethical conduct. In addition, management remains committed to the process of developing and implementing improved corporate governance and compliance initiatives. Our Board and management team implemented the following remediation plan to address the material weakness and enhance our internal controls:</w:t>
      </w:r>
    </w:p>
    <w:p>
      <w:pPr>
        <w:spacing w:after="0" w:line="62" w:lineRule="exact"/>
        <w:rPr>
          <w:sz w:val="20"/>
          <w:szCs w:val="20"/>
          <w:color w:val="auto"/>
        </w:rPr>
      </w:pPr>
    </w:p>
    <w:p>
      <w:pPr>
        <w:ind w:left="900" w:right="6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revised our contract review and approval policy to require the signature of two executive officers, one of whom must be the Chief Financial Officer or his designee;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Board assigned additional responsibility to the Compensation Committee, including requirements that the Compensation Committee approve</w:t>
      </w:r>
    </w:p>
    <w:p>
      <w:pPr>
        <w:spacing w:after="0" w:line="38" w:lineRule="exact"/>
        <w:rPr>
          <w:rFonts w:ascii="Arial" w:cs="Arial" w:eastAsia="Arial" w:hAnsi="Arial"/>
          <w:sz w:val="16"/>
          <w:szCs w:val="16"/>
          <w:color w:val="auto"/>
        </w:rPr>
      </w:pPr>
    </w:p>
    <w:p>
      <w:pPr>
        <w:ind w:left="900" w:right="60"/>
        <w:spacing w:after="0" w:line="255" w:lineRule="auto"/>
        <w:rPr>
          <w:rFonts w:ascii="Arial" w:cs="Arial" w:eastAsia="Arial" w:hAnsi="Arial"/>
          <w:sz w:val="16"/>
          <w:szCs w:val="16"/>
          <w:color w:val="auto"/>
        </w:rPr>
      </w:pPr>
      <w:r>
        <w:rPr>
          <w:rFonts w:ascii="Arial" w:cs="Arial" w:eastAsia="Arial" w:hAnsi="Arial"/>
          <w:sz w:val="18"/>
          <w:szCs w:val="18"/>
          <w:color w:val="auto"/>
        </w:rPr>
        <w:t>(1) any salary increases/adjustments greater than 10%, (2) any promotion or hiring into any position at the level of Vice President or above, (3) the salary of any individual promoted or hired for any position at the level of Vice President or above and (4) the granting to any employee of benefits or other perquisites not generally available to all employees;</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Board changed the reporting lines of our Vice President of Clinical Development and our Manager of Human Resources and Administration; and</w:t>
      </w:r>
    </w:p>
    <w:p>
      <w:pPr>
        <w:spacing w:after="0" w:line="113"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Due to the appearance of a possible conflict of interest, the Board granted a waiver under our Code of Conduct to a senior executive officer and one of our other employees with respect to any joint real estate and banking transactions to which they are party as of November 13, 2010.</w:t>
      </w:r>
    </w:p>
    <w:p>
      <w:pPr>
        <w:spacing w:after="0" w:line="85"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In addition, subsequent to September 30, 2010, our Board formed a Strategic and Operational Review Committee comprised of certain members of our Board and our senior management team that has been tasked with reviewing all key strategic and operational matters. Our Board and our senior management team may engage additional third-party specialists to further review and identify any other enhancements to our internal controls that may help prevent future significant deficiencies and/or material weaknesses.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tested our remediation plan with the assistance of a third party and we have conducted an evaluation of the effectiveness of our internal control over financial reporting as of December 31, 2010. The framework on which such evaluation was based is contained in the report entitled “Internal Control – Integrated Framework” issued by the Committee of Sponsoring Organizations of the Treadway Commission (the “COSO Report”). Based on our evaluation under the criteria set forth in the COSO Report, our management concluded our internal control over financial reporting was effective as of December 31, 2010. Our registered public accounting firm issued an audit report on the effectiveness of our internal control over financial reporting as of December 31, 2010 wherein they opined on the effectiveness of our internal control over financial reporting as of December 31, 2010.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significant deficiencies or additional material weaknesses in our internal control are discovered or occur in the future, we may fail to meet our future reporting obligations on a timely basis, our consolidated financial statements may contain material misstatements, we could be required to restate our prior period financial results, our operating results may be harmed, we may be subject to class action litigation and, our common stock could be delisted from Nasdaq and the Jasdaq Market of the OSE.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2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cannot assure you that we will be able to secure such a strategic collaboration or otherwise further advance, or recognize value from, a combined MN-166/AV411 clinical development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March 2011, our average trading volume was approximately 1,700 shares per day on the Nasdaq Global Market and approximately 25,000 shares per day on the Jasdaq Market.</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March 31, 2011,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and the existence of our stockholder rights plan may make an acquisition of us more complicated and the removal and replacement of our directors and management more difficult.</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we adopted a stockholder rights plan in November 2006, pursuant to which each share of our common stock includes an attached preferred stock purchase right, that is designed to impede takeover transactions that are not supported by our board of directors.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61"/>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6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4.1(1)</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9220" w:type="dxa"/>
            <w:vAlign w:val="bottom"/>
          </w:tcPr>
          <w:p>
            <w:pPr>
              <w:spacing w:after="0"/>
              <w:rPr>
                <w:sz w:val="20"/>
                <w:szCs w:val="20"/>
                <w:color w:val="auto"/>
              </w:rPr>
            </w:pPr>
            <w:r>
              <w:rPr>
                <w:rFonts w:ascii="Arial" w:cs="Arial" w:eastAsia="Arial" w:hAnsi="Arial"/>
                <w:sz w:val="18"/>
                <w:szCs w:val="18"/>
                <w:color w:val="auto"/>
              </w:rPr>
              <w:t>Warrant to Purchase Common Stock.</w:t>
            </w:r>
          </w:p>
        </w:tc>
      </w:tr>
      <w:tr>
        <w:trPr>
          <w:trHeight w:val="316"/>
        </w:trPr>
        <w:tc>
          <w:tcPr>
            <w:tcW w:w="840" w:type="dxa"/>
            <w:vAlign w:val="bottom"/>
            <w:gridSpan w:val="3"/>
          </w:tcPr>
          <w:p>
            <w:pPr>
              <w:spacing w:after="0"/>
              <w:rPr>
                <w:sz w:val="20"/>
                <w:szCs w:val="20"/>
                <w:color w:val="auto"/>
              </w:rPr>
            </w:pPr>
            <w:r>
              <w:rPr>
                <w:rFonts w:ascii="Arial" w:cs="Arial" w:eastAsia="Arial" w:hAnsi="Arial"/>
                <w:sz w:val="18"/>
                <w:szCs w:val="18"/>
                <w:color w:val="auto"/>
              </w:rPr>
              <w:t>10.39(2)</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0"/>
              </w:rPr>
              <w:t>Form of Amendment to Employment Agreement between MediciNova, Inc. and certain of its executive officers, dated December 31, 2010.</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10.40(2)</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4"/>
              </w:rPr>
              <w:t>Form of Severance Protection Agreement between MediciNova, Inc. and certain of its executive officers, dated December 31, 2010.</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10.41(3)</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Separation Agreement dated February 1, 2011, by and between MediciNova, Inc. and Shintaro Asako.</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24"/>
                <w:szCs w:val="24"/>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Pay-off Letter dated March 31, 2011, by and between MediciNova, Inc. and Oxford Finance Corporation</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2011.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2011.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3, 2011 and incorporated herein by reference.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940" w:val="left"/>
          <w:tab w:leader="none" w:pos="8060" w:val="left"/>
          <w:tab w:leader="none" w:pos="8420" w:val="left"/>
        </w:tabs>
        <w:rPr>
          <w:sz w:val="20"/>
          <w:szCs w:val="20"/>
          <w:color w:val="auto"/>
        </w:rPr>
      </w:pPr>
      <w:r>
        <w:rPr>
          <w:rFonts w:ascii="Arial" w:cs="Arial" w:eastAsia="Arial" w:hAnsi="Arial"/>
          <w:sz w:val="18"/>
          <w:szCs w:val="18"/>
          <w:color w:val="auto"/>
        </w:rPr>
        <w:t>Date: 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Yuichi Iwaki, M.D., Ph.D.</w:t>
      </w:r>
    </w:p>
    <w:p>
      <w:pPr>
        <w:jc w:val="center"/>
        <w:ind w:left="64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5960"/>
        <w:spacing w:after="0"/>
        <w:tabs>
          <w:tab w:leader="none" w:pos="7920" w:val="left"/>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Michael Coffee</w:t>
      </w:r>
    </w:p>
    <w:p>
      <w:pPr>
        <w:spacing w:after="0" w:line="2" w:lineRule="exact"/>
        <w:rPr>
          <w:sz w:val="20"/>
          <w:szCs w:val="20"/>
          <w:color w:val="auto"/>
        </w:rPr>
      </w:pPr>
    </w:p>
    <w:p>
      <w:pPr>
        <w:jc w:val="center"/>
        <w:ind w:left="6400"/>
        <w:spacing w:after="0"/>
        <w:rPr>
          <w:sz w:val="20"/>
          <w:szCs w:val="20"/>
          <w:color w:val="auto"/>
        </w:rPr>
      </w:pPr>
      <w:r>
        <w:rPr>
          <w:rFonts w:ascii="Arial" w:cs="Arial" w:eastAsia="Arial" w:hAnsi="Arial"/>
          <w:sz w:val="12"/>
          <w:szCs w:val="12"/>
          <w:b w:val="1"/>
          <w:bCs w:val="1"/>
          <w:color w:val="auto"/>
        </w:rPr>
        <w:t>Chief Business Officer and Interim Chief Financial Officer</w:t>
      </w:r>
    </w:p>
    <w:p>
      <w:pPr>
        <w:jc w:val="center"/>
        <w:ind w:left="6400"/>
        <w:spacing w:after="0" w:line="237"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80"/>
          </w:cols>
          <w:pgMar w:left="240" w:top="459" w:right="8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40" w:type="dxa"/>
            <w:vAlign w:val="bottom"/>
          </w:tcPr>
          <w:p>
            <w:pPr>
              <w:ind w:left="28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4.1(1)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9240" w:type="dxa"/>
            <w:vAlign w:val="bottom"/>
          </w:tcPr>
          <w:p>
            <w:pPr>
              <w:spacing w:after="0"/>
              <w:rPr>
                <w:sz w:val="20"/>
                <w:szCs w:val="20"/>
                <w:color w:val="auto"/>
              </w:rPr>
            </w:pPr>
            <w:r>
              <w:rPr>
                <w:rFonts w:ascii="Arial" w:cs="Arial" w:eastAsia="Arial" w:hAnsi="Arial"/>
                <w:sz w:val="18"/>
                <w:szCs w:val="18"/>
                <w:color w:val="auto"/>
              </w:rPr>
              <w:t>Warrant to Purchase Common Stock.</w:t>
            </w:r>
          </w:p>
        </w:tc>
      </w:tr>
      <w:tr>
        <w:trPr>
          <w:trHeight w:val="316"/>
        </w:trPr>
        <w:tc>
          <w:tcPr>
            <w:tcW w:w="940" w:type="dxa"/>
            <w:vAlign w:val="bottom"/>
            <w:gridSpan w:val="3"/>
          </w:tcPr>
          <w:p>
            <w:pPr>
              <w:spacing w:after="0"/>
              <w:rPr>
                <w:sz w:val="20"/>
                <w:szCs w:val="20"/>
                <w:color w:val="auto"/>
              </w:rPr>
            </w:pPr>
            <w:r>
              <w:rPr>
                <w:rFonts w:ascii="Arial" w:cs="Arial" w:eastAsia="Arial" w:hAnsi="Arial"/>
                <w:sz w:val="18"/>
                <w:szCs w:val="18"/>
                <w:color w:val="auto"/>
              </w:rPr>
              <w:t>10.39(2)</w:t>
            </w: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0"/>
              </w:rPr>
              <w:t>Form of Amendment to Employment Agreement between MediciNova, Inc. and certain of its executive officers, dated December 31, 2010.</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10.40(2)</w:t>
            </w: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94"/>
              </w:rPr>
              <w:t>Form of Severance Protection Agreement between MediciNova, Inc. and certain of its executive officers, dated December 31, 2010.</w:t>
            </w: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10.41(3)</w:t>
            </w: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Separation Agreement dated February 1, 2011, by and between MediciNova, Inc. and Shintaro Asako.</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Pay-off Letter dated March 31, 2011, by and between MediciNova, Inc. and Oxford Finance Corporation</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2011.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2011.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3, 2011 and incorporated herein by reference.</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118110</wp:posOffset>
            </wp:positionV>
            <wp:extent cx="128651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65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CEO and Founder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Inc./Avigen,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4350 La Jolla Village Drive, Suite 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Dr. Iwaki:</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refer to the Loan and Security Agreement dated as of May 10, 2010 (as the same may from time to time have been amended, restated, or otherwise modified, the “Loan Agreement”) among Oxford Finance Corporation (“Oxford”), as collateral agent (in such capacity, the “Collateral Agent”) and as a Lender, the Lenders listed on Schedule 1.1 thereof or otherwise a party thereto (each a “Lender” and collectively, the “Lenders”), MediciNova, Inc. (“Borrower”) and Avigen, Inc. (“Guarantor”). Capitalized terms used but not otherwise defined herein shall have the meanings given them in the Loan Agreement.</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Borrower has advised Lender that it intends to repay all amounts due and owing under the Loan Agreement and has requested that Lender provide Borrower with appropriate pay-off amounts for the principal, interest, other amounts and Obligations (as defined in the Loan Agreement) owing by Borrower and Guarantor to Lender under the Loan Documents (as defined below). Lender has agreed that the Term Loan shall mature and become payable on April 1, 2011 and, provided that the Pay-Off Date occurs on April 1, 2011, an Event of Default pursuant to Section 6.12 of the Loan Agreement shall not be deemed to have occurred as of March 31, 2011. The pay-off amounts due to Lender from Borrower as of April 1, 2011 (the “Computation Date”) under the Loan Documents are as follows (collectively, together with any additional interest accruing after the Computation Date that must be repaid by Borrower, the “Pay-Off Amount”):</w:t>
      </w:r>
    </w:p>
    <w:p>
      <w:pPr>
        <w:spacing w:after="0" w:line="138"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6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Pay-Off Amount: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
        </w:trPr>
        <w:tc>
          <w:tcPr>
            <w:tcW w:w="4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440" w:type="dxa"/>
            <w:vAlign w:val="bottom"/>
          </w:tcPr>
          <w:p>
            <w:pPr>
              <w:spacing w:after="0"/>
              <w:rPr>
                <w:sz w:val="24"/>
                <w:szCs w:val="24"/>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Secured Promissory Note dated 5/11/2010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40" w:type="dxa"/>
            <w:vAlign w:val="bottom"/>
            <w:shd w:val="clear" w:color="auto" w:fill="CCEEFF"/>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Principal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14,573,477.83</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Interest (per diem $5,210.02)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156,300.55</w:t>
            </w:r>
          </w:p>
        </w:tc>
        <w:tc>
          <w:tcPr>
            <w:tcW w:w="1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Interest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Legal Fees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3,963.60</w:t>
            </w:r>
          </w:p>
        </w:tc>
        <w:tc>
          <w:tcPr>
            <w:tcW w:w="10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 w:type="dxa"/>
            <w:vAlign w:val="bottom"/>
            <w:shd w:val="clear" w:color="auto" w:fill="CCEEFF"/>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Sub-Total Amount Owing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15,183,741.98</w:t>
            </w:r>
          </w:p>
        </w:tc>
        <w:tc>
          <w:tcPr>
            <w:tcW w:w="100" w:type="dxa"/>
            <w:vAlign w:val="bottom"/>
            <w:shd w:val="clear" w:color="auto" w:fill="CCEEFF"/>
          </w:tcPr>
          <w:p>
            <w:pPr>
              <w:spacing w:after="0"/>
              <w:rPr>
                <w:sz w:val="18"/>
                <w:szCs w:val="18"/>
                <w:color w:val="auto"/>
              </w:rPr>
            </w:pPr>
          </w:p>
        </w:tc>
      </w:tr>
      <w:tr>
        <w:trPr>
          <w:trHeight w:val="284"/>
        </w:trPr>
        <w:tc>
          <w:tcPr>
            <w:tcW w:w="6540" w:type="dxa"/>
            <w:vAlign w:val="bottom"/>
            <w:gridSpan w:val="5"/>
          </w:tcPr>
          <w:p>
            <w:pPr>
              <w:spacing w:after="0"/>
              <w:rPr>
                <w:sz w:val="20"/>
                <w:szCs w:val="20"/>
                <w:color w:val="auto"/>
              </w:rPr>
            </w:pPr>
            <w:r>
              <w:rPr>
                <w:rFonts w:ascii="Arial" w:cs="Arial" w:eastAsia="Arial" w:hAnsi="Arial"/>
                <w:sz w:val="18"/>
                <w:szCs w:val="18"/>
                <w:b w:val="1"/>
                <w:bCs w:val="1"/>
                <w:color w:val="auto"/>
              </w:rPr>
              <w:t>Total Pay-Off Amount as of 4/1/11</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6"/>
              </w:rPr>
              <w:t>15,183,741.98</w:t>
            </w:r>
          </w:p>
        </w:tc>
        <w:tc>
          <w:tcPr>
            <w:tcW w:w="100" w:type="dxa"/>
            <w:vAlign w:val="bottom"/>
          </w:tcPr>
          <w:p>
            <w:pPr>
              <w:spacing w:after="0"/>
              <w:rPr>
                <w:sz w:val="24"/>
                <w:szCs w:val="24"/>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and after the Computation Date and until the Pay-Off Date (as defined below), interest shall continue to accrue on the unpaid principal amount at the rate set forth in the Loan Agreement. Borrower agrees that the Pay-Off Date (as defined below) shall not occur prior to April 1, 2011. Upon request of Borrower, Lender shall provide Borrower with a revised figure for the amount of interest to be paid as a part of the Pay-Off Amount. The foregoing accrued interest amount assumes no change in the operative interest rates after the date hereof. The foregoing principal balance assumes no additional credit extensions under the Loan Agreement. Borrower agrees to indemnify Lender for any and all checks or drafts returned to Lender by its banks as having been dishonored, for whatever reason. Promptly following receipt by Lender of any dishonored checks or drafts, regarding the Borrower, Lender will forward copies of the same to Borrower, and Borrower will, within five (5) business days, make payment of the amount of said checks or drafts to Lender.</w:t>
      </w:r>
    </w:p>
    <w:p>
      <w:pPr>
        <w:sectPr>
          <w:pgSz w:w="11900" w:h="16838" w:orient="portrait"/>
          <w:cols w:equalWidth="0" w:num="1">
            <w:col w:w="11420"/>
          </w:cols>
          <w:pgMar w:left="240" w:top="125" w:right="239" w:bottom="1440" w:gutter="0" w:footer="0" w:header="0"/>
        </w:sectPr>
      </w:pPr>
    </w:p>
    <w:bookmarkStart w:id="52" w:name="page53"/>
    <w:bookmarkEnd w:id="52"/>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confirms that Borrower has waived the right to seek any such additional credit extensions, and the Lender shall not be obligated to make, and the Lender shall not make, any further credit extensions or other financial accommodations under the Loan Agreement to or for the benefit of Borrower. The letter agreement confirms that Lender has waived the right to seek a Prepayment Fee (as defined in the Loan Agreement) from Borrower or Guarantor in connection with the repayment of all amounts due and owing under the Loan Documents as of the Pay-Off Date. The outstanding principal amount of the Obligations under the Share Pledge Agreement between Lender, Borrower and Medicinova Japan Inc. (“Medicinova Japan”) dated July 21, 2010 (the “Share Pledge Agreement”) shall be fixed at the Pay-Off Amount as of March 31, 2011, pursuant to section 5.2 of the Share Pledge Agreement. In addition, the outstanding amount of secured obligations secured by the Charge Over Shares between Lender and Borrower dated June 9, 2010, concerning the shares of Medicinova (Europe) Limited (the “Charge Over Shares”) shall be the Pay-Off Amount as of March 31,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Pay-Off Amount shall be wired to Lender as follows: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Bank name:</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ABA#: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Acct name:</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Concord,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81881-07882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Oxford Finance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Medicinova Payoff</w:t>
      </w:r>
    </w:p>
    <w:p>
      <w:pPr>
        <w:spacing w:after="0" w:line="165" w:lineRule="exact"/>
        <w:rPr>
          <w:sz w:val="20"/>
          <w:szCs w:val="20"/>
          <w:color w:val="auto"/>
        </w:rPr>
      </w:pPr>
    </w:p>
    <w:p>
      <w:pPr>
        <w:sectPr>
          <w:pgSz w:w="11900" w:h="16838" w:orient="portrait"/>
          <w:cols w:equalWidth="0" w:num="2">
            <w:col w:w="2680" w:space="400"/>
            <w:col w:w="8340"/>
          </w:cols>
          <w:pgMar w:left="240" w:top="280" w:right="239" w:bottom="1440" w:gutter="0" w:footer="0" w:header="0"/>
          <w:type w:val="continuous"/>
        </w:sectPr>
      </w:pPr>
    </w:p>
    <w:p>
      <w:pPr>
        <w:spacing w:after="0" w:line="285" w:lineRule="auto"/>
        <w:rPr>
          <w:sz w:val="20"/>
          <w:szCs w:val="20"/>
          <w:color w:val="auto"/>
        </w:rPr>
      </w:pPr>
      <w:r>
        <w:rPr>
          <w:rFonts w:ascii="Arial" w:cs="Arial" w:eastAsia="Arial" w:hAnsi="Arial"/>
          <w:sz w:val="16"/>
          <w:szCs w:val="16"/>
          <w:color w:val="auto"/>
        </w:rPr>
        <w:t xml:space="preserve">Effective immediately upon Lender’s receipt of payment in full in cash of the Pay-Off Amount (the date of Lender’s receipt of the Pay-Off Amount being the “Pay-Off Date”), without further action on the part of the parties hereto (i) all indebtedness and obligations of Borrower and Guarantor to the Lender, including but not limited to such indebtedness and obligations under the Loan Agreement and any other related loan and collateral security documents, (collectively, the “Loan Documents”) shall be paid and discharged in full;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same shall not include the Warrants, and the Warrants, before and after giving effect to the repayment in full of the Obligations, shall remain in full force and effect in accordance with its terms; (ii) all unfunded commitments of Lender to make credit extensions or financial accommodations to Borrower under the Loan Agreement and the Loan Documents shall be terminated; (iii) all security interests and other liens of every type at any time granted to or held by Lender as security for such indebtedness including but not limited to the pledge over the Collateral defined in the Share Pledge Agreement, shall be terminated, and (iv) all other obligations of Borrower and Guarantor under the Loan Documents shall be deemed terminated;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those that are expressly specified in any Loan Document as surviving that respective agreement’s termination, including without limitation, Borrower’s and Guarantor’s indemnity obligations set forth in the Loan Documents;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to the extent that any payments or proceeds (or any portion thereof) received by Lender shall be subsequently invalidated, declared to be fraudulent or a fraudulent conveyance or preferential, set aside or required to be repaid to a trustee, receiver, debtor-in-possession or any other party under any bankruptcy law, state or federal law, common law or equitable cause, then to the extent that the payment or proceeds is rescinded or must otherwise be restored by Lender, whether as a result of any proceedings in bankruptcy or reorganization or otherwise, the Obligations or part thereof which were intended to be satisfied shall be revived and continue to be in full force and effect, as if the payment or proceeds had never been received by Lender, and this letter shall in no way impair the claims of Lender with respect to the revived Obligations. Notwithstanding the foregoing, should Lender receive payment of the Pay-Off Amount in the form of a check made payable to Lender, the Pay-Off Date shall be the date that is ten (10) Business Days following Lender’s receipt of such check.</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Within 5 business days of the Pay-Off Date, Lender (i) shall (1) file a UCC-3 Termination Statement to terminate the UCC Financing Statement in Lender’s favor with respect to Borrower and any of Borrower’s property or assets and any third party and any of its property or assets that guarantied the Obligations or provided collateral security therefore and (2) complete, execute and file other discharges, releases or any other necessary documents relating to any security interest granted to Lender in any jurisdiction with respect to Borrower and any of Borrower’s property or assets and any third party and any of its property or assets that guarantied the Obligations or provided collateral security therefore; and (ii) shall deliver notices to terminate any deposit or</w:t>
      </w:r>
    </w:p>
    <w:p>
      <w:pPr>
        <w:sectPr>
          <w:pgSz w:w="11900" w:h="16838" w:orient="portrait"/>
          <w:cols w:equalWidth="0" w:num="1">
            <w:col w:w="11420"/>
          </w:cols>
          <w:pgMar w:left="240" w:top="280" w:right="239" w:bottom="1440" w:gutter="0" w:footer="0" w:header="0"/>
          <w:type w:val="continuous"/>
        </w:sectPr>
      </w:pPr>
    </w:p>
    <w:bookmarkStart w:id="53" w:name="page54"/>
    <w:bookmarkEnd w:id="5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account control agreements relating to any assets in which Borrower or any other party has pledged a security interest to Lender to secure the obligations arising under the Loan Documents. In addition, Lender shall provide Borrower with commercially reasonable assistance to remove the registration of the Pledge established under the Share Pledge Agreement from the shareholders’ registry of Medicinova Japan and take any necessary action to release its security interest over shares of Medicinova (Europe) Limited under the Charge Over Shares. All such agreements, documents, and instruments which are requested by Borrower and Guarantor to be delivered or filed by Lender, and any assistance provided by Lender with respect to termination of the Share Pledge Agreement and the Charge Over Shares, on or after the Pay-Off Date shall be prepared at no cost or expense to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costs or expenses incurred by Lender with respect to such items (including all reasonable attorneys’ fees) shall be reimbursed promptly by Borrower and Guarantor on demand.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remainder of this page is intentionally left blank.]</w:t>
      </w:r>
    </w:p>
    <w:p>
      <w:pPr>
        <w:sectPr>
          <w:pgSz w:w="11900" w:h="16838" w:orient="portrait"/>
          <w:cols w:equalWidth="0" w:num="1">
            <w:col w:w="11320"/>
          </w:cols>
          <w:pgMar w:left="240" w:top="280" w:right="33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shall be governed by the laws of the State of New York and shall become effective only when signed by the Lender and accepted by Borrower and Guarantor by their due execution in the space provided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152400</wp:posOffset>
            </wp:positionV>
            <wp:extent cx="1989455" cy="737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894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17"/>
                <w:szCs w:val="17"/>
                <w:color w:val="auto"/>
              </w:rPr>
            </w:pPr>
          </w:p>
        </w:tc>
      </w:tr>
      <w:tr>
        <w:trPr>
          <w:trHeight w:val="221"/>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G. Henderson</w:t>
            </w:r>
          </w:p>
        </w:tc>
      </w:t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General Counsel</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MEDICINOVA,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152400</wp:posOffset>
            </wp:positionV>
            <wp:extent cx="2461260" cy="454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612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Michael D. Coffee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6985</wp:posOffset>
            </wp:positionV>
            <wp:extent cx="24612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Interior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152400</wp:posOffset>
            </wp:positionV>
            <wp:extent cx="2461260" cy="643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612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Michael D. Coffee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6985</wp:posOffset>
            </wp:positionV>
            <wp:extent cx="24612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Interior Chief Financial Officer</w:t>
      </w:r>
    </w:p>
    <w:p>
      <w:pPr>
        <w:spacing w:after="0" w:line="16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Payoff Letter</w:t>
      </w:r>
      <w:r>
        <w:rPr>
          <w:rFonts w:ascii="Arial" w:cs="Arial" w:eastAsia="Arial" w:hAnsi="Arial"/>
          <w:sz w:val="18"/>
          <w:szCs w:val="18"/>
          <w:b w:val="1"/>
          <w:bCs w:val="1"/>
          <w:color w:val="auto"/>
        </w:rPr>
        <w:t>]</w:t>
      </w:r>
    </w:p>
    <w:p>
      <w:pPr>
        <w:sectPr>
          <w:pgSz w:w="11900" w:h="16838" w:orient="portrait"/>
          <w:cols w:equalWidth="0" w:num="1">
            <w:col w:w="10820"/>
          </w:cols>
          <w:pgMar w:left="240" w:top="280" w:right="8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Coffee, certify that:</w:t>
      </w:r>
    </w:p>
    <w:p>
      <w:pPr>
        <w:spacing w:after="0" w:line="90"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2011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Coffee</w:t>
      </w:r>
    </w:p>
    <w:p>
      <w:pPr>
        <w:jc w:val="center"/>
        <w:ind w:left="7240"/>
        <w:spacing w:after="0" w:line="223" w:lineRule="auto"/>
        <w:rPr>
          <w:sz w:val="20"/>
          <w:szCs w:val="20"/>
          <w:color w:val="auto"/>
        </w:rPr>
      </w:pPr>
      <w:r>
        <w:rPr>
          <w:rFonts w:ascii="Arial" w:cs="Arial" w:eastAsia="Arial" w:hAnsi="Arial"/>
          <w:sz w:val="14"/>
          <w:szCs w:val="14"/>
          <w:b w:val="1"/>
          <w:bCs w:val="1"/>
          <w:color w:val="auto"/>
        </w:rPr>
        <w:t>Chief Business Officer and Interim Chief</w:t>
      </w:r>
    </w:p>
    <w:p>
      <w:pPr>
        <w:jc w:val="center"/>
        <w:ind w:left="7240"/>
        <w:spacing w:after="0" w:line="222" w:lineRule="auto"/>
        <w:rPr>
          <w:sz w:val="20"/>
          <w:szCs w:val="20"/>
          <w:color w:val="auto"/>
        </w:rPr>
      </w:pPr>
      <w:r>
        <w:rPr>
          <w:rFonts w:ascii="Arial" w:cs="Arial" w:eastAsia="Arial" w:hAnsi="Arial"/>
          <w:sz w:val="14"/>
          <w:szCs w:val="14"/>
          <w:b w:val="1"/>
          <w:bCs w:val="1"/>
          <w:color w:val="auto"/>
        </w:rPr>
        <w:t>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2011,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2011, as filed with the Securities and Exchange Commission on the date hereof (the “Report”), I, Michael Coffee,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16, 2011</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ICHAEL</w:t>
      </w:r>
      <w:r>
        <w:rPr>
          <w:rFonts w:ascii="Arial" w:cs="Arial" w:eastAsia="Arial" w:hAnsi="Arial"/>
          <w:sz w:val="16"/>
          <w:szCs w:val="16"/>
          <w:color w:val="auto"/>
        </w:rPr>
        <w:t xml:space="preserve"> C</w:t>
      </w:r>
      <w:r>
        <w:rPr>
          <w:rFonts w:ascii="Arial" w:cs="Arial" w:eastAsia="Arial" w:hAnsi="Arial"/>
          <w:sz w:val="13"/>
          <w:szCs w:val="13"/>
          <w:color w:val="auto"/>
        </w:rPr>
        <w:t>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Coffee</w:t>
      </w:r>
    </w:p>
    <w:p>
      <w:pPr>
        <w:jc w:val="center"/>
        <w:ind w:left="7240"/>
        <w:spacing w:after="0" w:line="223" w:lineRule="auto"/>
        <w:rPr>
          <w:sz w:val="20"/>
          <w:szCs w:val="20"/>
          <w:color w:val="auto"/>
        </w:rPr>
      </w:pPr>
      <w:r>
        <w:rPr>
          <w:rFonts w:ascii="Arial" w:cs="Arial" w:eastAsia="Arial" w:hAnsi="Arial"/>
          <w:sz w:val="14"/>
          <w:szCs w:val="14"/>
          <w:b w:val="1"/>
          <w:bCs w:val="1"/>
          <w:color w:val="auto"/>
        </w:rPr>
        <w:t>Chief Business Officer and Interim Chief</w:t>
      </w:r>
    </w:p>
    <w:p>
      <w:pPr>
        <w:jc w:val="center"/>
        <w:ind w:left="7240"/>
        <w:spacing w:after="0" w:line="222" w:lineRule="auto"/>
        <w:rPr>
          <w:sz w:val="20"/>
          <w:szCs w:val="20"/>
          <w:color w:val="auto"/>
        </w:rPr>
      </w:pPr>
      <w:r>
        <w:rPr>
          <w:rFonts w:ascii="Arial" w:cs="Arial" w:eastAsia="Arial" w:hAnsi="Arial"/>
          <w:sz w:val="14"/>
          <w:szCs w:val="14"/>
          <w:b w:val="1"/>
          <w:bCs w:val="1"/>
          <w:color w:val="auto"/>
        </w:rPr>
        <w:t>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0"/>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9"/>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decimal"/>
      <w:start w:val="1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2019-12-10T22:40:34Z</dcterms:created>
  <dcterms:modified xsi:type="dcterms:W3CDTF">2019-12-10T22:40:34Z</dcterms:modified>
</cp:coreProperties>
</file>