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IWAKI YUICHI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MEDICINOVA,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4275 EXECUTIVE SQUARE,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MEDICINOVA INC</w:t>
              </w:r>
            </w:hyperlink>
            <w:r>
              <w:rPr/>
              <w:t xml:space="preserve"> [ </w:t>
            </w:r>
            <w:r>
              <w:rPr>
                <w:rFonts w:ascii="Times;serif" w:hAnsi="Times;serif"/>
                <w:color w:val="0000FF"/>
                <w:sz w:val="24"/>
                <w:shd w:fill="FFFFFF" w:val="clear"/>
              </w:rPr>
              <w:t>MNOV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7, 2025, the reporting person was granted an option to purchase 450,000 shares of common stock. The option vests based on the satisfaction of certain performance criteria for the fiscal year ended December 31, 2025. Such performance criteria for 2025 were met, resulting in full vesting of the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Yuichi Iwaki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965" TargetMode="External"/><Relationship Id="rId5" Type="http://schemas.openxmlformats.org/officeDocument/2006/relationships/hyperlink" Target="http://www.sec.gov/cgi-bin/browse-edgar?action=getcompany&amp;CIK=00012266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3372</Characters>
  <CharactersWithSpaces>3933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