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193040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3820" w:space="580"/>
            <w:col w:w="688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234315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200" w:lineRule="exact"/>
        <w:rPr>
          <w:sz w:val="24"/>
          <w:szCs w:val="24"/>
          <w:color w:val="auto"/>
        </w:rPr>
      </w:pPr>
    </w:p>
    <w:p>
      <w:pPr>
        <w:spacing w:after="0" w:line="30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MEDICINOVA,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220" w:type="dxa"/>
            <w:vAlign w:val="bottom"/>
          </w:tcPr>
          <w:p>
            <w:pPr>
              <w:jc w:val="center"/>
              <w:ind w:left="41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Incorporation or Organization)</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9"/>
              </w:rPr>
              <w:t>4350 La Jolla Village Drive,</w:t>
            </w:r>
          </w:p>
        </w:tc>
        <w:tc>
          <w:tcPr>
            <w:tcW w:w="522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Suite 950, San Diego, CA</w:t>
            </w:r>
          </w:p>
        </w:tc>
        <w:tc>
          <w:tcPr>
            <w:tcW w:w="522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20" w:type="dxa"/>
            <w:vAlign w:val="bottom"/>
          </w:tcPr>
          <w:p>
            <w:pPr>
              <w:jc w:val="center"/>
              <w:ind w:left="410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380" w:type="dxa"/>
            <w:vAlign w:val="bottom"/>
          </w:tcPr>
          <w:p>
            <w:pPr>
              <w:spacing w:after="0"/>
              <w:rPr>
                <w:sz w:val="24"/>
                <w:szCs w:val="24"/>
                <w:color w:val="auto"/>
              </w:rPr>
            </w:pPr>
          </w:p>
        </w:tc>
        <w:tc>
          <w:tcPr>
            <w:tcW w:w="5220" w:type="dxa"/>
            <w:vAlign w:val="bottom"/>
          </w:tcPr>
          <w:p>
            <w:pPr>
              <w:jc w:val="right"/>
              <w:ind w:right="292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380" w:type="dxa"/>
            <w:vAlign w:val="bottom"/>
          </w:tcPr>
          <w:p>
            <w:pPr>
              <w:spacing w:after="0"/>
              <w:rPr>
                <w:sz w:val="15"/>
                <w:szCs w:val="15"/>
                <w:color w:val="auto"/>
              </w:rPr>
            </w:pPr>
          </w:p>
        </w:tc>
        <w:tc>
          <w:tcPr>
            <w:tcW w:w="5220" w:type="dxa"/>
            <w:vAlign w:val="bottom"/>
          </w:tcPr>
          <w:p>
            <w:pPr>
              <w:jc w:val="center"/>
              <w:ind w:right="180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189230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40" w:lineRule="exact"/>
        <w:rPr>
          <w:sz w:val="24"/>
          <w:szCs w:val="24"/>
          <w:color w:val="auto"/>
        </w:rPr>
      </w:pPr>
    </w:p>
    <w:p>
      <w:pPr>
        <w:spacing w:after="0" w:line="207" w:lineRule="exact"/>
        <w:tabs>
          <w:tab w:leader="none" w:pos="4100" w:val="left"/>
          <w:tab w:leader="none" w:pos="7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4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9, 2007, the registrant had 11,624,581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420" w:type="dxa"/>
            <w:vAlign w:val="bottom"/>
            <w:gridSpan w:val="9"/>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FINANCIAL STATEMENTS</w:t>
              </w:r>
            </w:hyperlink>
          </w:p>
        </w:tc>
        <w:tc>
          <w:tcPr>
            <w:tcW w:w="540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88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MANAGEMENT’S DISCUSSION AND ANALYSIS OF FINANCIAL CONDITION AND   RESULTS OF OPERATIONS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880" w:type="dxa"/>
            <w:vAlign w:val="bottom"/>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CONTROLS AND PROCEDURES</w:t>
              </w:r>
            </w:hyperlink>
          </w:p>
        </w:tc>
        <w:tc>
          <w:tcPr>
            <w:tcW w:w="3440" w:type="dxa"/>
            <w:vAlign w:val="bottom"/>
            <w:tcBorders>
              <w:top w:val="single" w:sz="8" w:color="0000EE"/>
            </w:tcBorders>
            <w:gridSpan w:val="5"/>
          </w:tcPr>
          <w:p>
            <w:pPr>
              <w:spacing w:after="0"/>
              <w:rPr>
                <w:sz w:val="17"/>
                <w:szCs w:val="17"/>
                <w:color w:val="auto"/>
              </w:rPr>
            </w:pPr>
          </w:p>
        </w:tc>
        <w:tc>
          <w:tcPr>
            <w:tcW w:w="29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PART II. OTHER INFORMATION</w:t>
              </w:r>
            </w:hyperlink>
          </w:p>
        </w:tc>
        <w:tc>
          <w:tcPr>
            <w:tcW w:w="772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6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888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RISK FACTORS</w:t>
              </w:r>
            </w:hyperlink>
          </w:p>
        </w:tc>
        <w:tc>
          <w:tcPr>
            <w:tcW w:w="600" w:type="dxa"/>
            <w:vAlign w:val="bottom"/>
            <w:tcBorders>
              <w:top w:val="single" w:sz="8" w:color="0000EE"/>
            </w:tcBorders>
            <w:gridSpan w:val="2"/>
          </w:tcPr>
          <w:p>
            <w:pPr>
              <w:spacing w:after="0"/>
              <w:rPr>
                <w:sz w:val="17"/>
                <w:szCs w:val="17"/>
                <w:color w:val="auto"/>
              </w:rPr>
            </w:pPr>
          </w:p>
        </w:tc>
        <w:tc>
          <w:tcPr>
            <w:tcW w:w="706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UNREGISTERED SALES OF EQUITY SECURITIES AND USE OF PROCEEDS</w:t>
              </w:r>
            </w:hyperlink>
          </w:p>
        </w:tc>
        <w:tc>
          <w:tcPr>
            <w:tcW w:w="29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888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5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SUBMISSION OF MATTERS TO A VOTE OF SECURITY HOLDERS</w:t>
              </w:r>
            </w:hyperlink>
          </w:p>
        </w:tc>
        <w:tc>
          <w:tcPr>
            <w:tcW w:w="37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OTHER INFORMATION</w:t>
              </w:r>
            </w:hyperlink>
          </w:p>
        </w:tc>
        <w:tc>
          <w:tcPr>
            <w:tcW w:w="704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3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888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9">
              <w:r>
                <w:rPr>
                  <w:rFonts w:ascii="Arial" w:cs="Arial" w:eastAsia="Arial" w:hAnsi="Arial"/>
                  <w:sz w:val="18"/>
                  <w:szCs w:val="18"/>
                  <w:b w:val="1"/>
                  <w:bCs w:val="1"/>
                  <w:color w:val="0000EE"/>
                  <w:w w:val="94"/>
                </w:rPr>
                <w:t>SIGNATURES</w:t>
              </w:r>
            </w:hyperlink>
          </w:p>
        </w:tc>
        <w:tc>
          <w:tcPr>
            <w:tcW w:w="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43"/>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10.1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b w:val="1"/>
          <w:bCs w:val="1"/>
          <w:color w:val="auto"/>
        </w:rPr>
        <w:t>EXHIBIT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40" w:type="dxa"/>
            <w:vAlign w:val="bottom"/>
          </w:tcPr>
          <w:p>
            <w:pPr>
              <w:jc w:val="center"/>
              <w:ind w:left="1992"/>
              <w:spacing w:after="0"/>
              <w:rPr>
                <w:sz w:val="20"/>
                <w:szCs w:val="20"/>
                <w:color w:val="auto"/>
              </w:rPr>
            </w:pPr>
            <w:r>
              <w:rPr>
                <w:rFonts w:ascii="Arial" w:cs="Arial" w:eastAsia="Arial" w:hAnsi="Arial"/>
                <w:sz w:val="18"/>
                <w:szCs w:val="18"/>
                <w:b w:val="1"/>
                <w:bCs w:val="1"/>
                <w:color w:val="auto"/>
                <w:w w:val="99"/>
              </w:rPr>
              <w:t>PART I. FINANCIAL INFORMATION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jc w:val="center"/>
              <w:ind w:left="1992"/>
              <w:spacing w:after="0"/>
              <w:rPr>
                <w:sz w:val="20"/>
                <w:szCs w:val="20"/>
                <w:color w:val="auto"/>
              </w:rPr>
            </w:pPr>
            <w:r>
              <w:rPr>
                <w:rFonts w:ascii="Arial" w:cs="Arial" w:eastAsia="Arial" w:hAnsi="Arial"/>
                <w:sz w:val="18"/>
                <w:szCs w:val="18"/>
                <w:b w:val="1"/>
                <w:bCs w:val="1"/>
                <w:color w:val="auto"/>
              </w:rPr>
              <w:t>MEDICINOVA, INC.</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40" w:type="dxa"/>
            <w:vAlign w:val="bottom"/>
          </w:tcPr>
          <w:p>
            <w:pPr>
              <w:jc w:val="center"/>
              <w:ind w:left="2012"/>
              <w:spacing w:after="0"/>
              <w:rPr>
                <w:sz w:val="20"/>
                <w:szCs w:val="20"/>
                <w:color w:val="auto"/>
              </w:rPr>
            </w:pPr>
            <w:r>
              <w:rPr>
                <w:rFonts w:ascii="Arial" w:cs="Arial" w:eastAsia="Arial" w:hAnsi="Arial"/>
                <w:sz w:val="18"/>
                <w:szCs w:val="18"/>
                <w:b w:val="1"/>
                <w:bCs w:val="1"/>
                <w:color w:val="auto"/>
                <w:w w:val="86"/>
              </w:rPr>
              <w:t>(a development stage company)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jc w:val="center"/>
              <w:ind w:left="2012"/>
              <w:spacing w:after="0"/>
              <w:rPr>
                <w:sz w:val="20"/>
                <w:szCs w:val="20"/>
                <w:color w:val="auto"/>
              </w:rPr>
            </w:pPr>
            <w:r>
              <w:rPr>
                <w:rFonts w:ascii="Arial" w:cs="Arial" w:eastAsia="Arial" w:hAnsi="Arial"/>
                <w:sz w:val="18"/>
                <w:szCs w:val="18"/>
                <w:b w:val="1"/>
                <w:bCs w:val="1"/>
                <w:color w:val="auto"/>
                <w:w w:val="96"/>
              </w:rPr>
              <w:t>CONSOLIDATED BALANCE SHEETS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2007</w:t>
            </w: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6,945,974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91,179,092</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95,716,690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7,748,061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6,618,994</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105,873,127</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110,670,180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813,027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4"/>
              </w:rPr>
              <w:t>Other assets</w:t>
            </w:r>
          </w:p>
        </w:tc>
        <w:tc>
          <w:tcPr>
            <w:tcW w:w="7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assets</w:t>
            </w:r>
          </w:p>
        </w:tc>
        <w:tc>
          <w:tcPr>
            <w:tcW w:w="7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106,686,154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111,590,825</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4,323,175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3,828,270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5,329,419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338,373</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408,004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9,990,967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0"/>
              </w:rPr>
              <w:t>Deferred rent</w:t>
            </w:r>
          </w:p>
        </w:tc>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33,104</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20,000,000 shares authorized at March 31, 2007 and December 31, 2006;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11,754,181 and 10,421,985 shares issued at March 31, 2007 and December 31, 2006, respectively</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270,172,160</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258,611,697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(26,265)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129,600 shares at March 31, 2007 and December 31, 2006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(1,437,870)</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(172,057,696)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(156,154,136)</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96,662,083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100,980,908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106,686,154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111,590,825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5"/>
              </w:rPr>
              <w:t>Three months ended March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54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192,204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14,205,245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7,752,250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91,929,197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3,294,569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2,204,709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61,808,709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17,499,814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10,048,840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154,996,327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(17,499,814)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(9,856,636)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(153,438,100)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1,596,254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1,407,153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12,743,526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(15,903,560)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(8,449,483)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(140,694,574)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0"/>
              </w:rPr>
              <w:t>Deemed dividend resulting from beneficial conversion feature on Series C redeemable convertible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(15,903,560)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(8,449,483)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(172,057,696)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common share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11,394,934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9,927,780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w w:val="96"/>
              </w:rPr>
              <w:t>Three months ended March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56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to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(15,903,560)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(8,449,483)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(140,694,574)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604,516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37,744,276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Amortization of premium/discount on marketable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(39,462)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(286,211)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(1,653,600)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property and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(1,079,067)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(7,748,061)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80"/>
              <w:spacing w:after="0"/>
              <w:rPr>
                <w:sz w:val="20"/>
                <w:szCs w:val="20"/>
                <w:color w:val="auto"/>
              </w:rPr>
            </w:pPr>
            <w:r>
              <w:rPr>
                <w:rFonts w:ascii="Arial" w:cs="Arial" w:eastAsia="Arial" w:hAnsi="Arial"/>
                <w:sz w:val="18"/>
                <w:szCs w:val="18"/>
                <w:color w:val="auto"/>
              </w:rPr>
              <w:t>Accounts payable, accrued expenses and deferred rent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(516,215)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1,326,562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9,685,698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338,373</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(16,561,136)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(6,840,754)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(101,411,207)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(2,950,000)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(35,962,631)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(336,443,121)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 available-for-sale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246,891,364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(130,763)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(1,986,553)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4,531,261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(10,282,331)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(91,281,465)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10,641,353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120,859,545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(819,866)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10,641,353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199,638,646</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(1,388,522)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(17,817,951)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6,945,974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37,677,985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6,945,974</w:t>
            </w:r>
          </w:p>
        </w:tc>
        <w:tc>
          <w:tcPr>
            <w:tcW w:w="24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19,860,034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6,945,974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IPO</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 on marketable securities available-for-sale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were incorporated in the state of Delaware in September 2000. We are a biopharmaceutical company focused on acquiring and developing novel, small molecule therapeutics. Through strategic alliances primarily with Japanese pharmaceutical companies, we are developing a diversified portfolio of product candidates, each of which we believe has patent protection, a well-characterized and differentiated therapeutic profile and attractive commercial potential.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of the financial position, results of operations and cash flow for the interim period presented have been included. Operating results for the three months ended March 31, 2007 are not necessarily indicative of the results that may be expected for the year ending December 31, 2007 or for any other period. For further information, see the financial statements and disclosures thereto for the year ended December 31, 2006 in our Annual Report on Form 10-K filed with the Securities and Exchange Commission.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compounds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prepared the accompanying unaudited consolidated financial statements in conformity with accounting principles generally accepted in the United States of America, which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Marketable securities available-for-sale consist of high-grade auction rate securities (“ARS”), corporate debt securities and government sponsored securities. All of the corporate debt securities and the government sponsored securities have contractual maturities of 12 months or less as of March 31, 2007. The ARS have either a stated or perpetual maturity that is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ARS holding periods range from seven to 63 days. As of March 31, 2006, our ARS consisted of $8,300,000 of perpetual securities and $75,125,000 with stated maturity dates ranging from 2021 to 2044 and reset dates of up to 63 days. As of March 31, 2007, our ARS consisted of $4,000,000 of perpetual securities and $74,825,000 with stated maturity dates ranging from 2019 to 2046 and reset dates of up to 63 days.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2007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 2006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9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1480" w:type="dxa"/>
            <w:vAlign w:val="bottom"/>
            <w:gridSpan w:val="5"/>
          </w:tcPr>
          <w:p>
            <w:pPr>
              <w:ind w:left="160"/>
              <w:spacing w:after="0" w:line="142"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2"/>
              </w:rPr>
              <w:t>Gains</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2"/>
              </w:rPr>
              <w:t>Gains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$ 78,825,000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78,825,000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83,425,000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83,425,000</w:t>
            </w:r>
          </w:p>
        </w:tc>
        <w:tc>
          <w:tcPr>
            <w:tcW w:w="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jc w:val="right"/>
              <w:spacing w:after="0"/>
              <w:rPr>
                <w:sz w:val="20"/>
                <w:szCs w:val="20"/>
                <w:color w:val="auto"/>
              </w:rPr>
            </w:pPr>
            <w:r>
              <w:rPr>
                <w:rFonts w:ascii="Arial" w:cs="Arial" w:eastAsia="Arial" w:hAnsi="Arial"/>
                <w:sz w:val="18"/>
                <w:szCs w:val="18"/>
                <w:color w:val="auto"/>
              </w:rPr>
              <w:t>2,988,142</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908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2,989,050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2,948,618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1,372</w:t>
            </w:r>
          </w:p>
        </w:tc>
        <w:tc>
          <w:tcPr>
            <w:tcW w:w="12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2,949,990</w:t>
            </w:r>
          </w:p>
        </w:tc>
        <w:tc>
          <w:tcPr>
            <w:tcW w:w="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securities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9,392,215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(27,173)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9,365,042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(50,577)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9,341,700</w:t>
            </w:r>
          </w:p>
        </w:tc>
        <w:tc>
          <w:tcPr>
            <w:tcW w:w="2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$ 91,205,357</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w w:val="88"/>
              </w:rPr>
              <w:t>$ 908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(27,173)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91,179,092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95,765,895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1,372</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(50,577)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95,716,690</w:t>
            </w:r>
          </w:p>
        </w:tc>
      </w:tr>
      <w:tr>
        <w:trPr>
          <w:trHeight w:val="20"/>
        </w:trPr>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March 31, 2007, the unrealized gains and losses on corporate debt securities and government sponsored securities were primarily caused by recent increases in interest rates and timing. Based on an evaluation of the credit standing of each issuer, management believes it is probable that we will be able to collect all amounts due according to the contractual terms. We had no realized losses on sales of investment securities available-for-sale for the three months ended March 31,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net loss per share applicable to common stockholders is calculated by dividing the net loss by the weighted average number of common shares outstanding for the period, without consideration for common stock equivalents. Diluted net loss per share is computed by dividing the net loss applicable to common stockholders by the weighted average number of common share equivalents outstanding for the period determined using the treasury-stock method. For purposes of this calculation, convertible preferred stock (of which we have none outstanding), stock options, and warrants are considered to be common stock equivalents and are only included in the calculation of diluted net loss per share when their effect is dilutive.</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Common stock equivalents of options to purchase 2,165,791 shares of common stock and warrants to purchase 417,828 shares of common stock and options to purchase 1,144,672 shares of common stock and warrants to purchase 740,470 shares of common stock for the three months ended March 31, 2007 and 2006, respectively, are excluded from the calculations of diluted loss per share for all periods presented because the effect is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We have applied Statement of Financial Accounting Standards (“SFAS”)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which requires that all components of comprehensive income (loss), including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income (loss), be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Comprehensive loss did not differ significantly from net loss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Payments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currently maintain two equity-based compensation plans: (i) the MediciNova, Inc. 2000 General Stock Incentive Plan (the “2000 Plan”) and (ii) the MediciNova, Inc. Amended and Restated 2004 Stock Incentive Plan (the “2004 Plan”). We currently grant stock options to our employees, officers, directors and consultants under the 2004 Plan, the successor to the 2000 Plan. Stock options issued to non-employees were recorded at their fair value as determined in accordance with Emerging Issues Task Force (“EITF”) Issue No. 96-18, </w:t>
      </w:r>
      <w:r>
        <w:rPr>
          <w:rFonts w:ascii="Arial" w:cs="Arial" w:eastAsia="Arial" w:hAnsi="Arial"/>
          <w:sz w:val="16"/>
          <w:szCs w:val="16"/>
          <w:i w:val="1"/>
          <w:iCs w:val="1"/>
          <w:color w:val="auto"/>
        </w:rPr>
        <w:t>Accounting for Equity Instruments that are Issued to Other than Employees for</w:t>
      </w:r>
      <w:r>
        <w:rPr>
          <w:rFonts w:ascii="Arial" w:cs="Arial" w:eastAsia="Arial" w:hAnsi="Arial"/>
          <w:sz w:val="16"/>
          <w:szCs w:val="16"/>
          <w:color w:val="auto"/>
        </w:rPr>
        <w:t xml:space="preserve"> </w:t>
      </w:r>
      <w:r>
        <w:rPr>
          <w:rFonts w:ascii="Arial" w:cs="Arial" w:eastAsia="Arial" w:hAnsi="Arial"/>
          <w:sz w:val="16"/>
          <w:szCs w:val="16"/>
          <w:i w:val="1"/>
          <w:iCs w:val="1"/>
          <w:color w:val="auto"/>
        </w:rPr>
        <w:t>Acquiring, or in Conjunction with Selling, Goods or Services</w:t>
      </w:r>
      <w:r>
        <w:rPr>
          <w:rFonts w:ascii="Arial" w:cs="Arial" w:eastAsia="Arial" w:hAnsi="Arial"/>
          <w:sz w:val="16"/>
          <w:szCs w:val="16"/>
          <w:color w:val="auto"/>
        </w:rPr>
        <w:t>. Effective January 1, 2006, the benefits provided under these Plans constitute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subject to the provisions of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adoption of SFAS No. 123R, our net losses for the three months ended March 31, 2007 and 2006 were higher by approximately $0.9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and $0.6 million, respectively, than if we had continued to account for share-based compensation under Accounting Principles Board (“APB”) Opinion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 25. For the three months ended March 31, 2007 and 2006, share-based compensation expense related to stock options was primarily recorded as a component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general and administrative expense. There were no stock option exercises during the three months ended March 31, 2007. As of March 31, 2007, there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$10.4 million of unamortized compensation cost related to unvested stock option awards, which is expected to be recognized over a remaining weighted-average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vesting period of 3.1 years.</w:t>
      </w:r>
    </w:p>
    <w:p>
      <w:pPr>
        <w:spacing w:after="0" w:line="165"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The exercise price of options to purchase 127,000 shares of common stock granted during the three months ended March 31, 2007 was either equal to market value or at a price above market value on the date of grant and the share-based compensation expense for such stock options is reflected in operating results for the three months ended March 31, 2007. The estimated fair value of each stock option award was determined on the date of grant using the Black-Scholes option valuation model with the following weighted-average assumptions for stock option grants: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85"/>
              </w:rPr>
              <w:t>Three months ended</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Three months ended</w:t>
            </w:r>
          </w:p>
        </w:tc>
      </w:tr>
      <w:tr>
        <w:trPr>
          <w:trHeight w:val="161"/>
        </w:trPr>
        <w:tc>
          <w:tcPr>
            <w:tcW w:w="65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2007</w:t>
            </w:r>
          </w:p>
        </w:tc>
        <w:tc>
          <w:tcPr>
            <w:tcW w:w="1460" w:type="dxa"/>
            <w:vAlign w:val="bottom"/>
          </w:tcPr>
          <w:p>
            <w:pPr>
              <w:spacing w:after="0"/>
              <w:rPr>
                <w:sz w:val="14"/>
                <w:szCs w:val="14"/>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March 31, 2006</w:t>
            </w:r>
          </w:p>
        </w:tc>
        <w:tc>
          <w:tcPr>
            <w:tcW w:w="14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6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4.62%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40" w:type="dxa"/>
            <w:vAlign w:val="bottom"/>
            <w:gridSpan w:val="2"/>
          </w:tcPr>
          <w:p>
            <w:pPr>
              <w:jc w:val="right"/>
              <w:ind w:right="1300"/>
              <w:spacing w:after="0"/>
              <w:rPr>
                <w:sz w:val="20"/>
                <w:szCs w:val="20"/>
                <w:color w:val="auto"/>
              </w:rPr>
            </w:pPr>
            <w:r>
              <w:rPr>
                <w:rFonts w:ascii="Arial" w:cs="Arial" w:eastAsia="Arial" w:hAnsi="Arial"/>
                <w:sz w:val="18"/>
                <w:szCs w:val="18"/>
                <w:color w:val="auto"/>
              </w:rPr>
              <w:t>49.00%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6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2640" w:type="dxa"/>
            <w:vAlign w:val="bottom"/>
            <w:gridSpan w:val="2"/>
          </w:tcPr>
          <w:p>
            <w:pPr>
              <w:jc w:val="right"/>
              <w:ind w:right="1460"/>
              <w:spacing w:after="0"/>
              <w:rPr>
                <w:sz w:val="20"/>
                <w:szCs w:val="20"/>
                <w:color w:val="auto"/>
              </w:rPr>
            </w:pPr>
            <w:r>
              <w:rPr>
                <w:rFonts w:ascii="Arial" w:cs="Arial" w:eastAsia="Arial" w:hAnsi="Arial"/>
                <w:sz w:val="18"/>
                <w:szCs w:val="18"/>
                <w:color w:val="auto"/>
              </w:rPr>
              <w:t>4.00</w:t>
            </w: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our employee stock options. For fiscal year 2007, we expect the volatility of our stock price to decline as we anticipate that the Japan market will have less influence on our stock price volatility. Therefore, we used a weighted-average of the historical stock price volatility of our stock on both the Nasdaq Global Market and the Hercules Market of the Osaka Securities Exchange and the historical stock price volatility of certain peers, assigning the lowest weight to the volatility of our stock price associated with the Japan market, to calculate the expected volatility assumption required for the Black-Scholes model consistent with SFAS No. 123R. For fiscal year 2006, we used a weighted-average of the historical stock price volatility of our stock on the Hercules Market of the Osaka Securities Exchange and the historical stock price volatility of certain peers to calculate the expected volatility assumption required for the Black-Scholes model consistent with SFAS No. 123R. We have not paid any dividends on common stock since our inception and do not anticipate paying dividends on our common stock in the foreseeable future. In fiscal year 2007, the expected life of employee stock options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represents the weighted average of the expected life of our stock options and the expected stock option life of our peer group’s stock options. In fiscal year 2006,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three months ended March 31, 2007 was based on awards ultimately expected to vest, such expense should be reduced for estimated forfeitures. SFAS No. 123R requires forfeitures to be estimated at the time of grant and revised, if necessary, in subsequent periods if actual forfeitures differ from those estimates. Forfeitures have been estimated at 15% based on fiscal year 2006’s turnover rate and certain other facts. In our pro forma information required under SFAS No. 123 for the periods prior to fiscal year 2006, we accounted for forfeitures as they occurred. Our determination of fair value is affected by our stock price, as well as a number of assumptions that require our judgment. The weighted-average fair value of each stock option granted during the three months ended March 31, 2007, estimated as of the grant date using the Black-Scholes option valuation model, was $5.56 per stock option versus $6.62 in fiscal year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July 13, 2006, the Financial Accounting Standards Board issued Interpretation No. 48, </w:t>
      </w:r>
      <w:r>
        <w:rPr>
          <w:rFonts w:ascii="Arial" w:cs="Arial" w:eastAsia="Arial" w:hAnsi="Arial"/>
          <w:sz w:val="16"/>
          <w:szCs w:val="16"/>
          <w:i w:val="1"/>
          <w:iCs w:val="1"/>
          <w:color w:val="auto"/>
        </w:rPr>
        <w:t>Accounting for Uncertainty in Income Taxes—An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109 </w:t>
      </w:r>
      <w:r>
        <w:rPr>
          <w:rFonts w:ascii="Arial" w:cs="Arial" w:eastAsia="Arial" w:hAnsi="Arial"/>
          <w:sz w:val="16"/>
          <w:szCs w:val="16"/>
          <w:color w:val="auto"/>
        </w:rPr>
        <w:t>(“FIN 48”). FIN 48 clarifies the accounting for uncertainty in income taxes recognized in an entity’s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FIN 48 is effective for fiscal years beginning after December 15, 2006.</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adopted the provisions of FIN 48 on January 1, 2007. As a result of the adoption of FIN 48, we had no cumulative effect adjustment and, therefore, no change to the January 1, 2007 balance in retained earnings. At January 1, 2007 and March 31, 2007, we had no unrecognized tax benefits that, if recognized, would affect our effective income tax rate in future periods.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January 1, 2007 and no accrued interest or penalties at March 31,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state tax authorities due to the carryforward of unutilized net operating losses and research and development credits.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adoption of FIN 48 did not impact our financial condition, results of operations or cash flows. At January 1, 2007, we had net deferred tax assets of $37.1 million. The deferred tax assets are primarily composed of federal and state tax net operating loss (“NOL”) carryforwards and federal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not yet determined whether such an ownership change has occurred, however, we plan to complete an Internal Revenue Code Section 382 analysis regarding the limitation of the net operating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losses and research and development credits. When this analysis is completed, we plan to update our unrecognized tax benefits under FIN 48. Therefore, we expect that the unrecognized tax benefits may change within 12 months of this reporting date. At this time, we cannot estimate how much the unrecognized tax benefits may change. Any carryforwards that will expire prior to utilization as a result of such limitations will be removed from deferred tax assets with a corresponding reduction of the valuation allowance. Due to the existence of the valuation allowance, future changes in our unrecognized tax benefits will not impact our effective tax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Effective January 1, 2007, Yuichi Iwaki, M.D., Ph.D., our President and Chief Executive Officer, became a full time employee of the company. On March 30, 2007, our board of directors approved an Executive Employment Agreement for Dr. Iwaki, which we entered into with Dr. Iwaki on April 1, 2007.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March 31, 2007, our board of directors approved the modification of certain stock option grants received by Dr. Iwaki while serving in 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consulting capacity as President and Chief Executive Officer as a result of the change in Dr. Iwaki’s status from consultant to employee. Two nonqualified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(“NSO”) grants received by Dr. Iwaki for 40,000 shares of common stock and 333,503 shares of common stock, which were granted on January 4,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November 12, 2006, respectively, were modified such that the NSO grants were cancelled and new grants of incentive stock options equal in number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NSO grants were granted at the prior exercise prices and with the original vesting schedules approved for the cancelled NSO grants. Pursuant to SFAS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123R, there is no impact to our consolidated financial results related to the modification from nonqualified stock options to incentive stock options as there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incremental value attributed to the modified awards.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From time to time, we may become involved in various disputes and legal proceedings which arise in the ordinary course of business. However, litigation is subject to inherent uncertainties, and an adverse result in these or other matters may arise from time to time that may harm our business. We are not currently aware of any claims or legal proceedings that we believe will have a material adverse affect on our business, financial condition or operating results.</w:t>
      </w:r>
    </w:p>
    <w:p>
      <w:pPr>
        <w:spacing w:after="0" w:line="182" w:lineRule="exact"/>
        <w:rPr>
          <w:sz w:val="20"/>
          <w:szCs w:val="20"/>
          <w:color w:val="auto"/>
        </w:rPr>
      </w:pPr>
    </w:p>
    <w:p>
      <w:pPr>
        <w:ind w:right="966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Public Offering</w:t>
      </w:r>
    </w:p>
    <w:p>
      <w:pPr>
        <w:spacing w:after="0" w:line="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offering expenses totaling $1.4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maintain two equity-based compensation plans: (i) the 2000 Plan and (ii) the 2004 Plan. Each of the 2000 Plan and the 2004 Plan provide for the issuance of equity-based awards to employees, officers, directors and consultants and are administered by our board of directors or a committee thereof. Stock options granted under each plan vest and expire based on periods determined by the board of directors or a committee thereof, but in no event can the expiration date be later than ten years from the date of grant (five years after the date of grant if the grant is an incentive stock option to an employee who owns more than 10% the total combined voting power of all classes of our outstanding stock (a “10% owner”). Stock options may be either incentive stock options or nonqualified stock options. The per share exercise price of an incentive stock option may not be less than 100% of the fair market value of our common stock on the date the option is granted (110% of the fair market value if the grant is to a 10% owner). The per share exercise price of a non qualified stock option may not be less than 85% of the fair market value of our common stock on the date the option is granted.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currently grant stock options to our employees, officers, directors and consultants under the 2004 Plan, the successor to the 2000 Plan. No additional stock options have been or will be issued under the 2000 Plan subsequent to our initial public offering. However, options previously granted under the 2000 Plan will remain outstanding until the earlier of expiration or exercise.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changes in stock options outstanding under the 2000 Plan and 2004 Plan during the three months ended March 31, 2007 is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exercise price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2,038,791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98"/>
              <w:spacing w:after="0"/>
              <w:rPr>
                <w:sz w:val="20"/>
                <w:szCs w:val="20"/>
                <w:color w:val="auto"/>
              </w:rPr>
            </w:pPr>
            <w:r>
              <w:rPr>
                <w:rFonts w:ascii="Arial" w:cs="Arial" w:eastAsia="Arial" w:hAnsi="Arial"/>
                <w:sz w:val="18"/>
                <w:szCs w:val="18"/>
                <w:color w:val="auto"/>
                <w:w w:val="88"/>
              </w:rPr>
              <w:t>12.86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4420" w:type="dxa"/>
            <w:vAlign w:val="bottom"/>
            <w:gridSpan w:val="3"/>
          </w:tcPr>
          <w:p>
            <w:pPr>
              <w:jc w:val="right"/>
              <w:ind w:right="620"/>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98"/>
              <w:spacing w:after="0"/>
              <w:rPr>
                <w:sz w:val="20"/>
                <w:szCs w:val="20"/>
                <w:color w:val="auto"/>
              </w:rPr>
            </w:pPr>
            <w:r>
              <w:rPr>
                <w:rFonts w:ascii="Arial" w:cs="Arial" w:eastAsia="Arial" w:hAnsi="Arial"/>
                <w:sz w:val="18"/>
                <w:szCs w:val="18"/>
                <w:color w:val="auto"/>
                <w:w w:val="88"/>
              </w:rPr>
              <w:t>17.76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Cancelled</w:t>
            </w:r>
          </w:p>
        </w:tc>
        <w:tc>
          <w:tcPr>
            <w:tcW w:w="3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25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4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2,165,791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98"/>
              <w:spacing w:after="0"/>
              <w:rPr>
                <w:sz w:val="20"/>
                <w:szCs w:val="20"/>
                <w:color w:val="auto"/>
              </w:rPr>
            </w:pPr>
            <w:r>
              <w:rPr>
                <w:rFonts w:ascii="Arial" w:cs="Arial" w:eastAsia="Arial" w:hAnsi="Arial"/>
                <w:sz w:val="18"/>
                <w:szCs w:val="18"/>
                <w:color w:val="auto"/>
                <w:w w:val="88"/>
              </w:rPr>
              <w:t>13.14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aggregate intrinsic value of stock options exercised during the three months ended March 31, 2007, outstanding at March 31, 2007 and exercisable at March 31, 2007 was approximately $0, $1,419,740, and $193,627, respectively. Of the total stock options outstanding as of March 31, 2007, options to purchase 479,851 shares of common stock were exercisable, with a weighted average exercise price of $14.07 per share and a weighted average contractual life of 8.6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Warrants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As of March 31, 2007, the number of underlying shares of common stock that could be purchased under the terms of the founders’ warrants was 367,828.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purchase period. At March 31, 2007, 300,000 shares of common stock were available for purchase under the ESPP.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2006 included in our Annual Report on Form 10-K filed with the Securities and Exchange Commission on February 15, 2007. Past operating results are not necessarily indicative of results that may occur in future periods.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will differ from those anticipated in these forward-looking statements as a result of various factors, including those set forth in this Quarterly Report on Form 10-Q under the caption “Item 1A, Risk Factors”, and the differences may be material. Forward-looking statements discuss matters that are not historical facts. Forward-looking statements include, but are not limited to, statements regarding our operating strategy, product development and growth strategy, acquisition strategy, plans, objectives, expectations, clinical trials, internal programs, industry, economic conditions, financial condition, liquidity and capital resources and results of operations and other statements that are not historical facts, including statements preceded by, followed by or that otherwise include the words “believes,” “expects,” “anticipates,” “intends,” “estimates,” “projects,” “can,” “could,” “may,” “will,” “would” or similar expressions. For such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Through strategic alliances primarily with Japanese pharmaceutical companies, we are developing a diversified portfolio of product candidates, each of which we believe has broad patent protection, a well-characterized and differentiated therapeutic profile and attractive commercial potential.</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a development stage company. We have incurred significant net losses since our inception. At March 31, 2007, our accumulated deficit was approximately $172.1 million, including $37.7 million of non-cash stock-based compensation charges related to employee stock-based compensation and founders’ warrants. We expect to incur substantial net losses for the next several years as we continue to develop our existing product development programs and over the long-term as we expand our research and development programs and acquire or in-license products, technologies or businesses that are complementary to our own.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programs consist of:</w:t>
      </w:r>
    </w:p>
    <w:p>
      <w:pPr>
        <w:spacing w:after="0" w:line="90" w:lineRule="exact"/>
        <w:rPr>
          <w:sz w:val="20"/>
          <w:szCs w:val="20"/>
          <w:color w:val="auto"/>
        </w:rPr>
      </w:pPr>
    </w:p>
    <w:p>
      <w:pPr>
        <w:ind w:left="660" w:hanging="314"/>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MN-001 for the treatment of bronchial asthma, for which we completed a Phase II clinical trial in the fourth quarter of 2005 and for which we initiated a Phase III clinical trial in the fourth quarter of 2006;</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initiated a Phase II clinical trial in the fourth quarter of 2006;</w:t>
      </w:r>
    </w:p>
    <w:p>
      <w:pPr>
        <w:spacing w:after="0" w:line="90" w:lineRule="exact"/>
        <w:rPr>
          <w:rFonts w:ascii="Arial" w:cs="Arial" w:eastAsia="Arial" w:hAnsi="Arial"/>
          <w:sz w:val="18"/>
          <w:szCs w:val="18"/>
          <w:color w:val="auto"/>
        </w:rPr>
      </w:pPr>
    </w:p>
    <w:p>
      <w:pPr>
        <w:ind w:left="660" w:right="220" w:hanging="314"/>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MN-166 for the treatment of multiple sclerosis, for which we initiated a two-year randomized, double-blind, placebo-controlled multi-center Phase II clinical trial in Eastern Europe in the third quarter of 2005 and for which we announced positive clinical one-year results in March 2007;</w:t>
      </w:r>
    </w:p>
    <w:p>
      <w:pPr>
        <w:spacing w:after="0" w:line="4" w:lineRule="exact"/>
        <w:rPr>
          <w:rFonts w:ascii="Arial" w:cs="Arial" w:eastAsia="Arial" w:hAnsi="Arial"/>
          <w:sz w:val="16"/>
          <w:szCs w:val="16"/>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200" w:hanging="314"/>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currently have one Phase I clinical trial ongoing in the United States and have completed one Phase I clinical trial during the second quarter of 2006, and for which we currently plan to initiate Phase II/III trials in ovarian and non-small cell lung solid tumor cancers in the second quarter of 2007;</w:t>
      </w:r>
    </w:p>
    <w:p>
      <w:pPr>
        <w:spacing w:after="0" w:line="59" w:lineRule="exact"/>
        <w:rPr>
          <w:rFonts w:ascii="Arial" w:cs="Arial" w:eastAsia="Arial" w:hAnsi="Arial"/>
          <w:sz w:val="18"/>
          <w:szCs w:val="18"/>
          <w:color w:val="auto"/>
        </w:rPr>
      </w:pPr>
    </w:p>
    <w:p>
      <w:pPr>
        <w:ind w:left="660" w:hanging="314"/>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MN-305 for the treatment of Generalized Anxiety Disorder/insomnia, for which we completed a Phase II/III clinical trial for the treatment of Generalized Anxiety Disorder during the second quarter of 2006 and for which we initiated a separate Phase II clinical trial for the treatment of insomnia during the first quarter of 2007;</w:t>
      </w:r>
    </w:p>
    <w:p>
      <w:pPr>
        <w:spacing w:after="0" w:line="59"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a Phase Ib clinical study to investigate the pharmacokinetic profile of MN-221 in healthy pregnant women was initiated in the third quarter of 2006;</w:t>
      </w:r>
    </w:p>
    <w:p>
      <w:pPr>
        <w:spacing w:after="0" w:line="50"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double-blind, randomized, placebo-controlled, single escalating dose Phase I clinical trial in the fourth quarter of 2006 and a Phase I food effects study in the first quarter of 2007;</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stockholder rights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In general, under the stockholder rights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On January 4, 2007, MediciNova Japan, Inc., a wholly-owned subsidiary, was incorporated under the laws of Japan. We established this subsidiary in Toyko, Japan to strengthen business development and investor and public relations activities in Japan and other Asian countries.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16, 2007, we announced results of a Phase II/III clinical trial of MN-001 for the treatment of interstitial cystitis, or IC. Trial results indicated that, while MN-001 was well-tolerated, it did not show a statistically significant clinical benefit compared to placebo on the primary endpoint (to be much or very much improved overall on a patient-rated Global Response Assessment) at the doses tested in this trial (500 mg once or twice a day for eight weeks). Results from this Phase II/III trial indicated that IC patients were more than twice as likely to respond on 500 mg of MN-001 administered twice a day compared to placebo (25% compared to 12%, p=0.04)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January 22, 2007, we announced the initiation of a Phase II clinical study of MN-305 for the treatment of insomnia based on clinical observations of a beneficial therapeutic effect on insomnia in patients with General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Anxiety Disorder, or GAD. In a recently completed Phase II/III randomized, double-blind, placebo-controlled clinical trial of MN-305 in 416 patients with GAD, a statistically significant improvement in the insomnia item of the Hamilton Anxiety Rating Scale was observed in patients treated with 0.5 to 6 mg of MN-</w:t>
      </w:r>
    </w:p>
    <w:p>
      <w:pPr>
        <w:ind w:right="20"/>
        <w:spacing w:after="0" w:line="254" w:lineRule="auto"/>
        <w:rPr>
          <w:sz w:val="20"/>
          <w:szCs w:val="20"/>
          <w:color w:val="auto"/>
        </w:rPr>
      </w:pPr>
      <w:r>
        <w:rPr>
          <w:rFonts w:ascii="Arial" w:cs="Arial" w:eastAsia="Arial" w:hAnsi="Arial"/>
          <w:sz w:val="18"/>
          <w:szCs w:val="18"/>
          <w:color w:val="auto"/>
        </w:rPr>
        <w:t>305 per day. To further test this clinical finding, we initiated a Phase II, randomized, double-blind, placebo-controlled, crossover dose-response study to assess the safety and efficacy of MN-305 in patients with primary insomnia with sleep maintenance difficulties. This study will assess the effects of three dosages of MN-305 (1 mg, 3 mg and 6 mg) and placebo, all administered orally approximately 60 minutes before bedtime in 75 subjects at approximately ten study centers in the United States.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January 29, 2007, we announced a public offering of 1,000,000 shares of common stock at a purchase price of $12.00 per share. On February 1, 2007, we completed the public offering and received aggregate proceeds of approximately $10.6 million, net of underwriting discounts and commissions and certain other costs associated with the offering totaling $1.4 million.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March 27, 2007, we announced one-year results of a Phase II clinical trial of MN-166 that measures both surrogate (radiological) and clinical outcomes over two years of treatment in 297 patients with relapsing multiple sclerosis, or MS. The randomized, double-blind, placebo-controlled trial showed a significant increase in the proportion of patients who remained relapse-free over the first 12 months of treatment with 60 mg per day of MN-166 compared to placebo (p=0.03). The time to first relapse was also significantly increased in patients treated with 60 mg of MN-166 per day compared to placebo (p=0.04). Positive trends were also observed in the annualized relapse rate (p=0.08) and number of relapses (p=0.10) among patients who completed the full first 12 months of treatment with 60 mg of MN-166 per day compared to those patients completing the first 12 months of treatment on placebo. A significant reduction in brain volume loss (p=0.04), as measured by cranial magnetic resonance imaging, or MRI, scans, was observed in patients treated with 60 mg per day of MN-166 compared to placebo. Loss of brain volume on MRI has been shown to correlate with clinical progression and disability in MS patients. Positive trends were also observed in several other radiological outcome measures, including the volume of gadolinium-enhancing (T1) lesions (p=0.09) in patients treated with 60 mg of MN-166 per day compared with placebo. However, no reduction in the cumulative number of active (gadolinium-enhancing (T1) and non-enhancing new/enlarging (T2)) lesions on cranial MRI scans over 12 months of treatment was observed in patients treated with MN-166 compared to placebo, which was the protocol-defined primary endpoint of the study. No clinical or radiological benefit was observed in patients treated with 30 mg per day of MN-166.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any of our product candidates within the next 12 months. Our revenues to date have been generated from development management services under master service agreements with Asahi Kasei Pharma Corporation and Argenes Inc., pursuant to which we bill consulting fees and our pass-through clinical contract costs. The primary cost associated with our revenue is the clinical contract costs we incur and pass-through to our customer. Our agreement with Asahi Kasei Pharma Corporation has been completed, and we are in the process of terminating our agreement with Argenes, Inc. We do not expect to generate any revenue from these agreements over the next 12 months or thereafter.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the feasibility studies, licensing and pre-clinical and clinical development of our eight licensed compounds. These research and development expenses include external costs, such as fees paid to consultants and fees paid to contract research organizations and other third-party service providers and internal costs of compensation and other expenses for research and development personnel, supplies, materials, facility costs and depreciation.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r>
      <w:tr>
        <w:trPr>
          <w:trHeight w:val="136"/>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Candidate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0" w:type="dxa"/>
            <w:vAlign w:val="bottom"/>
            <w:tcBorders>
              <w:bottom w:val="single" w:sz="8" w:color="auto"/>
            </w:tcBorders>
          </w:tcPr>
          <w:p>
            <w:pPr>
              <w:ind w:left="2560"/>
              <w:spacing w:after="0" w:line="129" w:lineRule="exact"/>
              <w:rPr>
                <w:sz w:val="20"/>
                <w:szCs w:val="20"/>
                <w:color w:val="auto"/>
              </w:rPr>
            </w:pPr>
            <w:r>
              <w:rPr>
                <w:rFonts w:ascii="Arial" w:cs="Arial" w:eastAsia="Arial" w:hAnsi="Arial"/>
                <w:sz w:val="14"/>
                <w:szCs w:val="14"/>
                <w:b w:val="1"/>
                <w:bCs w:val="1"/>
                <w:color w:val="auto"/>
              </w:rPr>
              <w:t>Disease/ Indication</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2006</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Bronchial asthma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MN-001</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Interstitial cystitis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1,107</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MN-166</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Multiple sclerosis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1,616</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MN-305</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Generalized Anxiety Disorder/insomnia</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2,405</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Status asthmaticus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MN-221</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Preterm labor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Solid tumor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MN-246</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Urinary incontinence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inflammatory diseases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MN-447</w:t>
            </w:r>
          </w:p>
        </w:tc>
        <w:tc>
          <w:tcPr>
            <w:tcW w:w="6440" w:type="dxa"/>
            <w:vAlign w:val="bottom"/>
            <w:gridSpan w:val="2"/>
          </w:tcPr>
          <w:p>
            <w:pPr>
              <w:ind w:left="240"/>
              <w:spacing w:after="0"/>
              <w:rPr>
                <w:sz w:val="20"/>
                <w:szCs w:val="20"/>
                <w:color w:val="auto"/>
              </w:rPr>
            </w:pPr>
            <w:r>
              <w:rPr>
                <w:rFonts w:ascii="Arial" w:cs="Arial" w:eastAsia="Arial" w:hAnsi="Arial"/>
                <w:sz w:val="18"/>
                <w:szCs w:val="18"/>
                <w:color w:val="auto"/>
              </w:rPr>
              <w:t>Thrombotic disorders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MN-462</w:t>
            </w:r>
          </w:p>
        </w:tc>
        <w:tc>
          <w:tcPr>
            <w:tcW w:w="6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Thrombotic disorders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24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7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14,205</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7,752</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currently we are focused on advancing each of our product development programs,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 We anticipate that we will emphasize continued development of certain product candidates, such as MN-221 and MN-166, and make strategic decisions concerning our other development programs, including the possible limitation of expenditures on certain other development programs or monetization of our ownership of certain product candidates, during the remainder of fiscal year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general and administrative expenses primarily consist of salaries, benefits and consulting and professional fees related to our administrative, finance, human resources, legal, and information systems support functions. In addition, general and administrative expenses include facilities and insurance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 under different assumptions or conditions. Our accounting policies are described in more detail in Note 1 to our consolidated financial statements included in our Annual Report on Form 10-K for the year ending December 31, 2006. Our critical accounting policies and estimates are the same as those noted in our Annual Report on Form 10-K for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year ended December 31, 2006 with the exception of our adoption of the Financial Accounting Standards Board issued Interpretation No. 48,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Uncertainty in Income Taxes—An Interpretation of FASB Statement No. 109 </w:t>
      </w:r>
      <w:r>
        <w:rPr>
          <w:rFonts w:ascii="Arial" w:cs="Arial" w:eastAsia="Arial" w:hAnsi="Arial"/>
          <w:sz w:val="18"/>
          <w:szCs w:val="18"/>
          <w:color w:val="auto"/>
        </w:rPr>
        <w:t>(“FIN 48”) as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subject to taxation in the United States and various state jurisdictions. Our tax years for 2000 and forward are subject to examination by the United States and state tax authorities due to the carryforward of unutilized net operating losses and research and development credits. We adopted the provisions of FIN 48 on January 1, 2007. As a result of the adoption of FIN 48, we had no cumulative effect adjustment, and, therefore, no change to the January 1, 2007 balance in retained earnings. In addition, the adoption of FIN 48 did not impact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There were no revenues for the three months ended March 31, 2007, a decrease of $0.2 million when compared to $0.2 million for the three months ended March 31, 2006. The decrease in revenues was due to a lack of activity under our master services agreement with Argenes, Inc. We are in the process of terminating this agreement with Argenes, Inc. and therefore do not anticipate generating any revenues from this agreement in fiscal year 2007 or thereafter.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Research and development expenses for the three months ended March 31, 2007 were $14.2 million, an increase of $6.4 million when compared to $7.8 million for the three months ended March 31, 2006. The increase in research and development expenses was primarily due to $6.3 million in development program costs related to the advancement of a Phase III clinical trial for MN-001 for the treatment of asthma, $1.7 million in development program costs related to the advancement of a Phase II clinical trial for MN-029 for the treatment of solid tumors and $1.5 million in development program costs related to the advancement of our other development programs but primarily covering our programs for MN-246 for the treatment of urinary incontinence, MN-221 for the treatment of status asthmaticus and MN-305 for the treatment of insomnia, offset by $3.1 million related to the completion of a Phase II clinical trial for MN-001 for the treatment of interstitial cystitis and a Phase II clinical trial for MN-305 for the treatment of GAD.</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that fees paid to external service providers will increase as we continue development of our existing product candidates. In addition, we anticipate that our research and development expenses will continue to increase in future periods as we expend additional capital to conduct clinical trials and develop our product candidates.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 and administrative expenses were $3.3 million for the three months ended March 31, 2007, an increase of $1.1 million when compared to $2.2 million for the three months ended March 31, 2006. The increase was primarily due to $0.6 million in increased administrative compensation (additional headcount and salary increases), $0.2 million increase in stock-based compensation, and $0.3 million in additional fees (professional services and annual corporation fees) related to operating as a dual-listed public company.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administrative organization and incur additional costs for insurance and professional and consulting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fees associated with operating as a dual-listed public company and supporting the future growth of our research and development programs.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Interest income primarily consists of income earned on our cash and investment balances and totaled $1.6 million for the three months ended March 31, 2007, an increase of $0.2 million when compared to $1.4 million for the three months ended March 31, 2006. The increase was primarily due to higher rates of return on our investment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the public sale of our common stock and the exercise of founders’ warrants, net of treasury stock repurchases. Through March 31, 2007, we received estimated net proceeds of $201.3 million from the sale of equity securities and warrant exercises as follows: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2000 and August 2001, we issued and sold 100,000 shares of Series A preferred stock for aggregate net proceeds of $10.0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 shares of Series B preferred stock for aggregate net proceeds of $26.8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September 2, 2004, we issued and sold 2,766,785 shares of Series C preferred stock for aggregate net proceeds of $43.4 million;</w:t>
      </w:r>
    </w:p>
    <w:p>
      <w:pPr>
        <w:spacing w:after="0" w:line="113"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or IPO, of 3,000,000 million shares of common stock for proceeds of $104.5 million, net of underwriting discounts and commissions and offering expenses (including issuance costs for registration statements filed on behalf of restricted stockholders through December 2005);</w:t>
      </w:r>
    </w:p>
    <w:p>
      <w:pPr>
        <w:spacing w:after="0" w:line="59" w:lineRule="exact"/>
        <w:rPr>
          <w:rFonts w:ascii="Arial" w:cs="Arial" w:eastAsia="Arial" w:hAnsi="Arial"/>
          <w:sz w:val="18"/>
          <w:szCs w:val="18"/>
          <w:color w:val="auto"/>
        </w:rPr>
      </w:pPr>
    </w:p>
    <w:p>
      <w:pPr>
        <w:ind w:left="900" w:right="180" w:hanging="325"/>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March 8, 2005, we completed the sale of 157,300 shares of common stock for aggregate proceeds of $5.6 million, net of underwriting discounts and commissions, as a result of the underwriters’ partial exercise of the over-allotment option we granted to them in connection with our IPO;</w:t>
      </w: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March 31, 2007, we had approximately $98.1 million in cash, cash equivalents and marketable securities available for sale compared to $104.1 million at December 31, 2006. We have invested a substantial portion of our available cash in high-grade auction rate securities, corporate debt securities and government sponsored securities. We have adopted an investment policy and established guidelines relating to diversification and maturities of our investments to preserve principal and maintain liquidity.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cash used in operating activities increased to $16.6 million for the three months ended March 31, 2007 from $6.8 million for the three months ended March 31, 2006. This increase was primarily due to the net loss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$15.9 million related to increased research and development expenses for our development programs and increased general and administrative expenses associated with such development programs. Net cash provided by investing activities for the three months ended March 31, 2007 was $4.5 million and primarily consisted of the maturity of marketable securities. Net cash provided by financing activities amounted to $10.6 million for the three months ended March 31, 2007, due to the public offering of 1,000,000 shares of our common stock which was completed on February 1, 2007.</w:t>
      </w:r>
    </w:p>
    <w:p>
      <w:pPr>
        <w:spacing w:after="0" w:line="11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intend to manage our development programs such that our existing cash, cash equivalents and marketable securities as of March 31, 2007 will be sufficient to meet our operating requirements through March 31, 2008. We nevertheless may seek to raise additional capital through the sale of equity or debt securities, the monetization of certain of our existing product candidates or other methods as appropriate.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Interest Rate Risk</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exposure to market risk as a result of changes in interest rates is primarily due to the increase or decrease in the amount of interest income we can earn on our investment portfolio. Our risk associated with fluctuating interest rates is limited to our investments in interest-rate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or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From time to time, we may become involved in various disputes and legal proceedings which arise in the ordinary course of business. However, litigation is subject to inherent uncertainties, and an adverse result in these or other matters may arise from time to time that may harm our business. We are not currently aware of any claims or legal proceedings that we believe will have a material adverse affect on our business, financial condition or operating results.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The following section describes certain risks and uncertainties that may have a material adverse effect on our business, financial condition, results of operations and the market price of our common stock and could cause our actual results to differ materially from recent results or from anticipated future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9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We are a development-stage biopharmaceutical company with a limited operating history. We have incurred significant net losses since our inception. For the three months ended March 31, 2007, we had a net loss of $15.9 million and our accumulated deficit was approximately $172.1 million. Our annual net losses may increase over the next several years as we expand and incur significant clinical development costs related to our product candidates and our infrastructure.</w:t>
      </w:r>
    </w:p>
    <w:p>
      <w:pPr>
        <w:spacing w:after="0" w:line="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expect our research and development expenses to increase in connection with our planned clinical trials for our product candidates and any other product development projects that we may initiate. In addition, we expect our general and administrative expenses to increase as a result of several factors, including our research and development activities and the increased costs associated with operating as a dual-listed public company. Consequently, we expect to continue to incur significant and increasing operating losses for the foreseeable future.</w:t>
      </w:r>
    </w:p>
    <w:p>
      <w:pPr>
        <w:spacing w:after="0" w:line="22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Our agreement with Asahi Kasei Pharma Corporation has been completed, and we are in the process of terminating our agreement with Argenes, Inc. Therefore, we do not expect to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market potential. We may never succeed in these activities, and we may not generate sufficient revenues to continue our business operations or achieve profitability.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51"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MN-001 for bronchial asthma and interstitial cystitis licensed from Kyorin Pharmaceutical;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status asthmaticus and preterm labor licensed from Kissei Pharmaceutical;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MN-305 for anxiety disorders/insomnia licensed from Mitsubishi Pharma Corporation;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license agreements may be terminated if we breach our obligations under the agreements materially and fail to cure a breach within a specified period of time.</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2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suspended or terminated.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Eight of our product candidates are in clinical development, which is the process that is required to receive regulatory approval for commercial sale of a product. Our two most recent product candidates are in preclinical development.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Of the large number of drugs in development, only a small percentage result in the submission of a New Drug Application, or NDA, to the U.S.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we face risks that:</w:t>
      </w:r>
    </w:p>
    <w:p>
      <w:pPr>
        <w:spacing w:after="0" w:line="90"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agree with our proposed development plans or accept the results of completed clinical studies;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314"/>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planned clinical studies may be deemed by the FDA not to be sufficient and our product candidates may require additional development before they can be successful in late stage clinical studies or before the FDA can consider the results from these studies as the basis for approval.</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date, we have regulatory approval to conduct clinical trials for eight of our product development programs. Investigational New Drug, or IND, applications were approved and are active for seven product candidates. We also have Clinical Trial Authorizations, or CTAs, the equivalent of a U.S. IND, approved and active to conduct a Phase II study for MN-166 in patients with multiple sclerosis in five countries in Eastern Europe and a CTA approved in Canada to conduct a Phase I study for MN-246 in healthy subjects.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90" w:lineRule="exact"/>
        <w:rPr>
          <w:sz w:val="20"/>
          <w:szCs w:val="20"/>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approval of an IND from the FDA; and</w:t>
      </w:r>
    </w:p>
    <w:p>
      <w:pPr>
        <w:spacing w:after="0" w:line="90" w:lineRule="exact"/>
        <w:rPr>
          <w:rFonts w:ascii="Arial" w:cs="Arial" w:eastAsia="Arial" w:hAnsi="Arial"/>
          <w:sz w:val="18"/>
          <w:szCs w:val="18"/>
          <w:color w:val="auto"/>
        </w:rPr>
      </w:pPr>
    </w:p>
    <w:p>
      <w:pPr>
        <w:ind w:left="660" w:right="220" w:hanging="314"/>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90" w:lineRule="exact"/>
        <w:rPr>
          <w:sz w:val="20"/>
          <w:szCs w:val="20"/>
          <w:color w:val="auto"/>
        </w:rPr>
      </w:pPr>
    </w:p>
    <w:p>
      <w:pPr>
        <w:ind w:left="660" w:hanging="314"/>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71" w:lineRule="exact"/>
        <w:rPr>
          <w:sz w:val="20"/>
          <w:szCs w:val="20"/>
          <w:color w:val="auto"/>
        </w:rPr>
      </w:pPr>
    </w:p>
    <w:p>
      <w:pPr>
        <w:jc w:val="both"/>
        <w:ind w:right="300" w:firstLine="456"/>
        <w:spacing w:after="0" w:line="255" w:lineRule="auto"/>
        <w:rPr>
          <w:sz w:val="20"/>
          <w:szCs w:val="20"/>
          <w:color w:val="auto"/>
        </w:rPr>
      </w:pPr>
      <w:r>
        <w:rPr>
          <w:rFonts w:ascii="Arial" w:cs="Arial" w:eastAsia="Arial" w:hAnsi="Arial"/>
          <w:sz w:val="18"/>
          <w:szCs w:val="18"/>
          <w:color w:val="auto"/>
        </w:rPr>
        <w:t>Many of the factors described above may also ultimately lead to denial of regulatory approval of a current or potential product candidate. If we do not successfully complete clinical development of our product candidates, we will be unable to market and sell products derived from our drug candidates and to generate revenues from such products. If we experience delays or suspensions in our clinical trials for a product candidate, the commercial prospects for such product candidate will be harmed, we may incur increased costs for development of such product candidate, and our ability to generate product revenues from such product candidate will be delayed.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resources than we do. We may not have the requisite capital resources to consummate product candidate acquisitions or licenses that we identify to fulfill our strategy.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90"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consumed substantial amounts of capital since our inception. From our inception to March 31, 2007, we have an accumulated deficit of $172.1 million. For the three months ended March 31, 2007, we used approximately $16.6 million in net cash to fund our operating activities and additional cash to purchase fixed assets. Our cash and marketable securities totaled approximately $98.1 million at March 31, 2007. Although we intend to manage our development programs such that our existing cash, cash equivalents and marketable securities as of March 31, 2007 will be sufficient to meet our operating requirements through March 31, 2008, we will require significant additional financing to fund our operations thereafter. Our future capital requirements will depend on, and could increase significantly as a result of, many factors, including:</w:t>
      </w:r>
    </w:p>
    <w:p>
      <w:pPr>
        <w:spacing w:after="0" w:line="39"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19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32"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19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4"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A key aspect of our strategy will be to seek collaborations with partners, such as large pharmaceutical companies, that are willing to conduct later-stage clinical trials and further develop and commercialize selected product candidates. To date, we have not entered into any such collaborative arrangements.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By entering into these strategic collaborations, we may rely on our partners for financial resources and for development, regulatory and commercialization expertise. Our partners may fail to develop or effectively commercialize our product candidates because they:</w:t>
      </w:r>
    </w:p>
    <w:p>
      <w:pPr>
        <w:spacing w:after="0" w:line="51"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do not have sufficient resources or decide not to devote the necessary resources due to internal constraints such as limited cash or human resources;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 to pursue a competitive product developed outside of the collaboration;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that the market opportunity is not attractive;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not be able to enter into collaborations on acceptable terms, if at all. We also face competition in our search for partners from other organizations worldwide, many of whom are larger and are able to offer more attractive deals in terms of financial commitments, contribution of human resources, or development, manufacturing, regulatory or commercial expertise and support.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we may not be able to complete development of, or commercialize one or more of, our product candidates. In such event, our ability to generate revenues and achieve or sustain profitability would be significantly hindered.</w:t>
      </w:r>
    </w:p>
    <w:p>
      <w:pPr>
        <w:spacing w:after="0" w:line="22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design and manage our current clinical trials, we do not have the ability to conduct clinical trials directly for our product candidates. We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North Carolina; Paragon, Inc. of Irvine, California; Quintiles, Inc. of Morrisville, North Carolina; and SFBC International of Princeton, New Jersey.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90"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90" w:lineRule="exact"/>
        <w:rPr>
          <w:rFonts w:ascii="Arial" w:cs="Arial" w:eastAsia="Arial" w:hAnsi="Arial"/>
          <w:sz w:val="18"/>
          <w:szCs w:val="18"/>
          <w:color w:val="auto"/>
        </w:rPr>
      </w:pPr>
    </w:p>
    <w:p>
      <w:pPr>
        <w:ind w:left="660" w:right="72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clinical protocols or regulatory requirements or for other reasons.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delay or prevent the commercialization of our product candidates. While we believe that there are numerous alternative sources to provide these services, if we were to seek such alternative sources, we might not be able to enter into replacement arrangements without delays or additional expenditures.</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59"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cost of alternative treatments, including cheaper generic drugs;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candidate likely will not achieve market acceptance and our ability to generate revenues from that product candidate would be substantially reduced.</w:t>
      </w:r>
    </w:p>
    <w:p>
      <w:pPr>
        <w:spacing w:after="0" w:line="22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ability to commercialize our products successfully will depend in significant part on the extent to which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in particular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9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development and regulatory personnel. In addition, we will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San Diego, California, where our offices are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 date, we have not sold, marketed or distributed any pharmaceutical products. If we are successful in developing and obtaining regulatory approvals for any of the product candidates in our programs or acquire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products, we may need to establish sales, marketing and distribution capabilities on our own or with partners. The development of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the products in our programs outside the United States, if we are unable to establish such collaborations, we may be required to market our product candidates outside of the United States directly. In that event, we may need to build a corresponding international sales and marketing capability with technical expertise and with supporting distribution capabilities.</w:t>
      </w:r>
    </w:p>
    <w:p>
      <w:pPr>
        <w:spacing w:after="0" w:line="22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product development programs, achieve milestones under any collaboration agreements, facilitate additional collaborations and pursue other development activities. For example, we intend to hire additional personnel in clinical development, regulatory affairs and corporate development to further strengthen our core competencies.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Similarly, we are likely to hire additional management and administrative personnel to manage our business and affairs as we continue to grow. In addition, we may choose to develop sales, marketing and distribution capabilities for the product candidates in our programs. The scope and timing of these hires is highly uncertain and remains subject to the success of our current product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places additional demands on our limited resources. We may not successfully manage the expansion of our operations and, accordingly, may not achieve our development and commercialization goals.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51"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status of development of our product candidates and, particularly, the timing of any milestone payments to be paid under our licensing agreements;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preclinical or clinical expenses that could fluctuate significantly from period to period;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development programs; however, we have only required the manufacture of our product candidates in very limited volume because we do not have any commercialized products.</w:t>
      </w:r>
    </w:p>
    <w:p>
      <w:pPr>
        <w:spacing w:after="0" w:line="14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or International Convention on Harmonization, or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any change in contract manufacturers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increase successfully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9"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the manufacturers for our product candidates to purchase from third-party suppliers the materials necessary to produce the compounds for our clinical trials and for commercial distribution, if we obtain marketing approval for any of our product candidates. Suppliers may not sell these materials to our manufacturers at the time we need them or on commercially reasonable terms.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product testing and potential regulatory approval of our product candidates would be delayed, significantly impacting our ability to develop the product candidate. If our manufacturers or we are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unable to purchase these materials after regulatory approval has been obtained for our product candidates, the commercial launch of our products would be delayed or there would be a shortage in supply of our products, which would harm our ability to generate revenues and achieve or sustain profitability.</w:t>
      </w:r>
    </w:p>
    <w:p>
      <w:pPr>
        <w:spacing w:after="0" w:line="16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22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have incurred, and expect to continue to incur, increased costs and risks as a result of being a public company, particularly in the context of recently enacted and proposed changes in laws and regulations relating to corporate governance and other matters.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Securities and Exchange Commission, or SEC, and the Nasdaq Global Market. Recently enacted and proposed changes in the laws and regulations affecting public companies, including the provisions of SOX and rules adopted or proposed by the SEC and by the Nasdaq Global Market, have resulted in, and will continue to result in, increased costs to us as we evaluate the implications of these rules and respond to their requirements. We issued an evaluation of our internal control over financial reporting under Section 404 of SOX with our Annual Report on Form 10-K for the year ended December 31, 2006, the preparations for which resulted in increased costs to us, which may continue to be reflected in our costs of operations. Given the risks inherent in the design and operation of internal controls over financial reporting, the effectiveness of our internal controls over financial reporting is uncertain. If our internal controls are not designed or operating effectively, we may not be able to issue an evaluation of our internal control over financial reporting as required or we or our independent registered public accounting firm may determine that our internal control over financial reporting was not effective. In addition, our registered public accounting firm may either disclaim an opinion as it relates to management’s assessment of the effectiveness of our internal controls or may issue an adverse opinion on the effectiveness of our internal controls over financial reporting. Investors may lose confidence in the reliability of our consolidated financial statements, which could cause the market price of our common stock to decline and which could affect our ability to run our business as we otherwise would like to. New rules could also make it more difficult or more costly for us to obtain certain types of insurance, including directors’ and officers’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our board committees, and as executive officers. We cannot predict or estimate the total amount of the costs we may incur or the timing of such costs to comply with these rules and regulations.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There is the risk that our patents may not provide a competitive advantage, including the risk that our patents expire before we obtain regulatory and marketing approval for one or more of our product candidates. Our competitors may develop products similar to ours using methods and technologies that are beyond the scope of our intellectual property rights. Composition of matter patents on active pharmaceutical ingredients may provide protection for pharmaceutical products without regard to formulation, method of use or other type of limitation. For some of our products, patent protection is no longer available for the active pharmaceutical ingredients in such products without regard to specific formulation or method of use. As a result, competitors that obtain the requisite regulatory approval will be able to offer products with the same active ingredient as some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products so long as the competitors do not infringe any method of use, method of manufacture or formulation patents that we hold or have exclusive rights to through our licensors.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be issued from our licensed applications. Issued U.S. patents require the payment of maintenance fees to continue their validity. We typically rely on our licensors to do this and their failure to do so could result in the forfeiture of patents not maintained. Many foreign patent offices also require the payment of periodic annuities to maintain patents and patent applications. As we generally do not maintain control over the payment of annuities, we cannot assure you that our licensors will timely pay such annuities and that the pending patents and patent applications will not become abandoned. As an example, it appears that certain annuities were not paid in a timely manner with respect to foreign patents related to an active metabolite for MN-001. In addition, our licensors may have selected a limited amount of foreign patent protection, and therefore applications have not been filed in, and foreign patents may not have been perfected in, all countries.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4"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and maintain any required or desirable licenses to use certain technologies of third parties, which may be protected by patents;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90"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or issued patents;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90" w:lineRule="exact"/>
        <w:rPr>
          <w:rFonts w:ascii="Arial" w:cs="Arial" w:eastAsia="Arial" w:hAnsi="Arial"/>
          <w:sz w:val="18"/>
          <w:szCs w:val="18"/>
          <w:color w:val="auto"/>
        </w:rPr>
      </w:pPr>
    </w:p>
    <w:p>
      <w:pPr>
        <w:ind w:left="660" w:right="340" w:hanging="314"/>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others. There are many patents relating to chemical compounds and methods of use. If our compounds or their methods of use or manufacture are found to infringe any such patents, we may have to pay significant damages or seek licenses to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 not exist, have not been filed and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4" w:lineRule="exact"/>
        <w:rPr>
          <w:sz w:val="20"/>
          <w:szCs w:val="20"/>
          <w:color w:val="auto"/>
        </w:rPr>
      </w:pPr>
    </w:p>
    <w:p>
      <w:pPr>
        <w:ind w:left="660" w:right="380" w:hanging="314"/>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potentially treble damages and attorneys’ fees, if we are found to have willfully infringed a third party’s patent rights;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 or</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if at all.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our third-party manufacturers, contractors, suppliers, partners and our product candidates are subject to stringent regulation by the FDA and other regulatory agencies in the United States and by comparable authorities in other countries. None of our product candidates can be marketed in the United States until it has completed rigorous preclinical testing and clinical trials and an extensive regulatory clearance process implemented by the FDA.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our ability to generate revenues from the particular product candidate.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 might differ from that required to obtain FDA approval. The regulatory approval process in other countries may include all of the risks detailed above regarding FDA approval in the United States. Approval by the FDA does not automatically lead to the approval of authorities outside of the United States and, similarly, approval by other regulatory authorities outside the United States will not automatically lead to FDA approval. In addition,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8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our proposed sales, marketing and education programs.</w:t>
      </w:r>
    </w:p>
    <w:p>
      <w:pPr>
        <w:spacing w:after="0" w:line="14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2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 action. When an entity is determined to have violated the federal False Claims Act, it may be required to pay up to three times the actual damages sustained by the government, plus civil penalties of between $5,500 to $11,000 for each separate false claim. Various states have also enacted laws modeled after the federal False Claims Act.</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statement in connection with the delivery of or payment for healthcare benefits, items or services. A violation of this statute is a felony and may result in fines or imprisonment.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22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Competition in the pharmaceutical industry is intense, and we expect such competition to continue to increase.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may develop.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many of our target disease areas, potential competitors are working to develop new compounds with different mechanisms of action and attractive efficacy and safety profiles. Many of our competitors have substantially greater financial, human and research and development resources,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collaborators’ use of products in clinical trials and the commercial sale of those products.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However, we will need to increase and expand this coverage as we commence additional clinical trials and larger scale clinical trials and in the event that any of our product candidates is approved for commercial sale. This insurance may be prohibitively expensive or may not fully cover our potential liabilities. Our inability to obtain sufficient insurance coverage at an acceptable cost or otherwise to protect against potential product liability claims could prevent or inhibit the commercialization of products that we or one of our collaborators develop. Product liability claims could have a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our business and results of operations. Liability from such claims could exceed our total assets if we do not prevail in any lawsuit brought by a third party alleging that an injury was caused by one or more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Prior to our listing on the Nasdaq Global Market on December 7, 2006, there had been no active trading market for our common stock in the United States as our common stock had only been listed on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March 31, 2007, our stock has traded as high as approximately $42.00 and as low as approximately $7.25. The following factors, in addition to other risk factors described in this section, may have a significant impact on the market price of our common stock:</w:t>
      </w:r>
    </w:p>
    <w:p>
      <w:pPr>
        <w:spacing w:after="0" w:line="32" w:lineRule="exact"/>
        <w:rPr>
          <w:sz w:val="20"/>
          <w:szCs w:val="20"/>
          <w:color w:val="auto"/>
        </w:rPr>
      </w:pPr>
    </w:p>
    <w:p>
      <w:pPr>
        <w:ind w:left="660" w:right="40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status of our drug candidates, including clinical study results and determinations by regulatory authorities with respect to our drug candidates;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our competitors or us;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or other developments concerning our proprietary rights;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right="800" w:hanging="314"/>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discussions of our business, products, financial performance, prospects, or stock price by the financial and scientific press and online investor communities;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20" w:hanging="314"/>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 In the past, following periods of volatility in the market price of a 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6"/>
          <w:szCs w:val="16"/>
          <w:i w:val="1"/>
          <w:iCs w:val="1"/>
          <w:color w:val="auto"/>
        </w:rPr>
        <w:t>.</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the holders of the shares purchased prior to our initial public offering were to determine to sell all or a significant portion of their shares at one time, there would be significant downward pressure on our stock price and it may be difficult to sell your shares.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March 31, 2007, there were 417,828 warrants outstanding. All of such shares, other than shares held by Dr. Iwaki, may also be sold from time to time in exempt transactions pursuant to Rule 144(k) promulgated by the SEC. The trading volume for our stock is low, with an average trading volume of approximately 6,871 shares per day on the Hercules Market of the Osaka Securities Exchange and 10,359 shares per day on the Nasdaq Global Market during the month of March 2007.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 The warrants held by our founders expire in 2007 and the warrant held by a separate investor expires in 2009. If the foregoing warrants are exercised, our stockholders will experience immediate and substantial dilution.</w:t>
      </w:r>
    </w:p>
    <w:p>
      <w:pPr>
        <w:spacing w:after="0" w:line="20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62" w:lineRule="exact"/>
        <w:rPr>
          <w:sz w:val="20"/>
          <w:szCs w:val="20"/>
          <w:color w:val="auto"/>
        </w:rPr>
      </w:pPr>
    </w:p>
    <w:p>
      <w:pPr>
        <w:ind w:left="660" w:right="12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50"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90" w:lineRule="exact"/>
        <w:rPr>
          <w:rFonts w:ascii="Arial" w:cs="Arial" w:eastAsia="Arial" w:hAnsi="Arial"/>
          <w:sz w:val="18"/>
          <w:szCs w:val="18"/>
          <w:color w:val="auto"/>
        </w:rPr>
      </w:pPr>
    </w:p>
    <w:p>
      <w:pPr>
        <w:ind w:left="660" w:right="800" w:hanging="314"/>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50" w:lineRule="exact"/>
        <w:rPr>
          <w:rFonts w:ascii="Arial" w:cs="Arial" w:eastAsia="Arial" w:hAnsi="Arial"/>
          <w:sz w:val="18"/>
          <w:szCs w:val="18"/>
          <w:color w:val="auto"/>
        </w:rPr>
      </w:pPr>
    </w:p>
    <w:p>
      <w:pPr>
        <w:ind w:left="660" w:right="160" w:hanging="314"/>
        <w:spacing w:after="0" w:line="22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/3% stockholder approval;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effected the initial public offering of our common stock, or IPO, pursuant to a Registration Statement on Form S-1 (File No. 333-119433) that was declared effective by the Securities and Exchange Commission on January 28, 2005.</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2007, we had used approximately $71.2 million of the net proceeds from our IPO to fund our operations, including development of our clinical trials, and we had used $1.3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our existing clinical programs. In addition, we may use a portion of the net proceeds from our IPO to acquire technologies or businesses that are complementary to our own, but we currently have no commitments or agreements relating to any such transaction.</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Annual Meeting of Stockholders was held May 30, 2007. Proxies for the Annual Meeting were solicited pursuant to Regulation 14 under the Securities Exchange Act of 1934. There was no solicitation in opposition to the management’s nominees as listed in the proxy statement for election as directors and both such nominees were elected.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matters voted at the Annual Meeting and the results were as follows:</w:t>
      </w:r>
    </w:p>
    <w:p>
      <w:pPr>
        <w:spacing w:after="0" w:line="90"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elect two Class III directors for a term to expire at the Annual Meeting of Stockholders in 2010 or until their successors are duly elected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qualified.</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For</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Against</w:t>
            </w: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Arlene Morris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7,357,942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514,758</w:t>
            </w: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John K.A. Prendergast, Ph.D.</w:t>
            </w:r>
          </w:p>
        </w:tc>
        <w:tc>
          <w:tcPr>
            <w:tcW w:w="940" w:type="dxa"/>
            <w:vAlign w:val="bottom"/>
          </w:tcPr>
          <w:p>
            <w:pPr>
              <w:jc w:val="right"/>
              <w:spacing w:after="0"/>
              <w:rPr>
                <w:sz w:val="20"/>
                <w:szCs w:val="20"/>
                <w:color w:val="auto"/>
              </w:rPr>
            </w:pPr>
            <w:r>
              <w:rPr>
                <w:rFonts w:ascii="Arial" w:cs="Arial" w:eastAsia="Arial" w:hAnsi="Arial"/>
                <w:sz w:val="18"/>
                <w:szCs w:val="18"/>
                <w:color w:val="auto"/>
              </w:rPr>
              <w:t>7,006,946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865,754</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To ratify the appointment of Ernst &amp; Young LLP as our independent registered public accounting firm for the fiscal year ending December 31, 2007.</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3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Against</w:t>
            </w:r>
          </w:p>
        </w:tc>
        <w:tc>
          <w:tcPr>
            <w:tcW w:w="356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7,358,842</w:t>
            </w:r>
          </w:p>
        </w:tc>
        <w:tc>
          <w:tcPr>
            <w:tcW w:w="35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3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505,058</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To ratify the adoption of a Rights Agreement implementing a stockholder rights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2500" w:type="dxa"/>
            <w:vAlign w:val="bottom"/>
          </w:tcPr>
          <w:p>
            <w:pPr>
              <w:spacing w:after="0"/>
              <w:rPr>
                <w:sz w:val="14"/>
                <w:szCs w:val="14"/>
                <w:color w:val="auto"/>
              </w:rPr>
            </w:pPr>
          </w:p>
        </w:tc>
        <w:tc>
          <w:tcPr>
            <w:tcW w:w="33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Against</w:t>
            </w: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 Non-Vote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6,021,301</w:t>
            </w:r>
          </w:p>
        </w:tc>
        <w:tc>
          <w:tcPr>
            <w:tcW w:w="25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2500"/>
              <w:spacing w:after="0"/>
              <w:rPr>
                <w:sz w:val="20"/>
                <w:szCs w:val="20"/>
                <w:color w:val="auto"/>
              </w:rPr>
            </w:pPr>
            <w:r>
              <w:rPr>
                <w:rFonts w:ascii="Arial" w:cs="Arial" w:eastAsia="Arial" w:hAnsi="Arial"/>
                <w:sz w:val="18"/>
                <w:szCs w:val="18"/>
                <w:color w:val="auto"/>
              </w:rPr>
              <w:t>374,496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507,358</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To approve the adoption of the MediciNova, Inc. 2007 Employee Stock Purchase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2620" w:type="dxa"/>
            <w:vAlign w:val="bottom"/>
          </w:tcPr>
          <w:p>
            <w:pPr>
              <w:spacing w:after="0"/>
              <w:rPr>
                <w:sz w:val="14"/>
                <w:szCs w:val="14"/>
                <w:color w:val="auto"/>
              </w:rPr>
            </w:pPr>
          </w:p>
        </w:tc>
        <w:tc>
          <w:tcPr>
            <w:tcW w:w="324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w:t>
            </w:r>
          </w:p>
        </w:tc>
        <w:tc>
          <w:tcPr>
            <w:tcW w:w="3360" w:type="dxa"/>
            <w:vAlign w:val="bottom"/>
            <w:gridSpan w:val="2"/>
          </w:tcPr>
          <w:p>
            <w:pPr>
              <w:ind w:left="140"/>
              <w:spacing w:after="0"/>
              <w:rPr>
                <w:sz w:val="20"/>
                <w:szCs w:val="20"/>
                <w:color w:val="auto"/>
              </w:rPr>
            </w:pPr>
            <w:r>
              <w:rPr>
                <w:rFonts w:ascii="Arial" w:cs="Arial" w:eastAsia="Arial" w:hAnsi="Arial"/>
                <w:sz w:val="14"/>
                <w:szCs w:val="14"/>
                <w:b w:val="1"/>
                <w:bCs w:val="1"/>
                <w:color w:val="auto"/>
              </w:rPr>
              <w:t>Abstain</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Broker Non-Vote</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6,017,101</w:t>
            </w:r>
          </w:p>
        </w:tc>
        <w:tc>
          <w:tcPr>
            <w:tcW w:w="26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26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854,454</w:t>
            </w:r>
          </w:p>
        </w:tc>
        <w:tc>
          <w:tcPr>
            <w:tcW w:w="26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968,345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8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approve an amendment to the MediciNova, Inc. Amended and Restated 2004 Stock Incentive Plan to increase the authorized number of shares of our common stock that may be granted pursuant to the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For</w:t>
            </w:r>
          </w:p>
        </w:tc>
        <w:tc>
          <w:tcPr>
            <w:tcW w:w="2500" w:type="dxa"/>
            <w:vAlign w:val="bottom"/>
          </w:tcPr>
          <w:p>
            <w:pPr>
              <w:spacing w:after="0"/>
              <w:rPr>
                <w:sz w:val="14"/>
                <w:szCs w:val="14"/>
                <w:color w:val="auto"/>
              </w:rPr>
            </w:pPr>
          </w:p>
        </w:tc>
        <w:tc>
          <w:tcPr>
            <w:tcW w:w="33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Against</w:t>
            </w: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rPr>
              <w:t>Abstain</w:t>
            </w:r>
          </w:p>
        </w:tc>
        <w:tc>
          <w:tcPr>
            <w:tcW w:w="25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 Non-Vote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5,646,001</w:t>
            </w:r>
          </w:p>
        </w:tc>
        <w:tc>
          <w:tcPr>
            <w:tcW w:w="25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ind w:right="2500"/>
              <w:spacing w:after="0"/>
              <w:rPr>
                <w:sz w:val="20"/>
                <w:szCs w:val="20"/>
                <w:color w:val="auto"/>
              </w:rPr>
            </w:pPr>
            <w:r>
              <w:rPr>
                <w:rFonts w:ascii="Arial" w:cs="Arial" w:eastAsia="Arial" w:hAnsi="Arial"/>
                <w:sz w:val="18"/>
                <w:szCs w:val="18"/>
                <w:color w:val="auto"/>
              </w:rPr>
              <w:t>753,196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505,958</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8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10.1(1)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Executive Employment Agreement between MediciNova, Inc. and Yuichi Iwaki, M.D., Ph.D., dated April 1, 2007</w:t>
            </w:r>
          </w:p>
        </w:tc>
        <w:tc>
          <w:tcPr>
            <w:tcW w:w="0" w:type="dxa"/>
            <w:vAlign w:val="bottom"/>
          </w:tcPr>
          <w:p>
            <w:pPr>
              <w:spacing w:after="0"/>
              <w:rPr>
                <w:sz w:val="1"/>
                <w:szCs w:val="1"/>
                <w:color w:val="auto"/>
              </w:rPr>
            </w:pPr>
          </w:p>
        </w:tc>
      </w:tr>
      <w:tr>
        <w:trPr>
          <w:trHeight w:val="275"/>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March 31, 2007.</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the Chief Financial Officer and Principal Accounting Officer pursuant to Section 302 of the Sarbanes-Oxley Act of 2002 for the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March 31, 2007.</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Chief Financial Officer and Principal Accounting Officer pursuant to 18 U.S.C. Section 1350 (Section 906 of the Sarbanes-Oxley</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20" w:right="3020" w:hanging="5612"/>
        <w:spacing w:after="0" w:line="440" w:lineRule="auto"/>
        <w:tabs>
          <w:tab w:leader="none" w:pos="3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an exhibit to our Current Report on Form 8-K filed on April 4, 2007 and incorporated herein by reference. 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80" w:val="left"/>
          <w:tab w:leader="none" w:pos="7840" w:val="left"/>
          <w:tab w:leader="none" w:pos="8180" w:val="left"/>
        </w:tabs>
        <w:rPr>
          <w:sz w:val="20"/>
          <w:szCs w:val="20"/>
          <w:color w:val="auto"/>
        </w:rPr>
      </w:pPr>
      <w:r>
        <w:rPr>
          <w:rFonts w:ascii="Arial" w:cs="Arial" w:eastAsia="Arial" w:hAnsi="Arial"/>
          <w:sz w:val="18"/>
          <w:szCs w:val="18"/>
          <w:color w:val="auto"/>
        </w:rPr>
        <w:t>Date: May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Yuichi Iwaki,</w:t>
      </w:r>
    </w:p>
    <w:p>
      <w:pPr>
        <w:jc w:val="center"/>
        <w:ind w:left="5940"/>
        <w:spacing w:after="0" w:line="221" w:lineRule="auto"/>
        <w:rPr>
          <w:sz w:val="20"/>
          <w:szCs w:val="20"/>
          <w:color w:val="auto"/>
        </w:rPr>
      </w:pPr>
      <w:r>
        <w:rPr>
          <w:rFonts w:ascii="Arial" w:cs="Arial" w:eastAsia="Arial" w:hAnsi="Arial"/>
          <w:sz w:val="14"/>
          <w:szCs w:val="14"/>
          <w:b w:val="1"/>
          <w:bCs w:val="1"/>
          <w:color w:val="auto"/>
        </w:rPr>
        <w:t>M.D., Ph.D. President and Chief Executive Officer</w:t>
      </w:r>
    </w:p>
    <w:p>
      <w:pPr>
        <w:jc w:val="center"/>
        <w:ind w:left="594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8" w:lineRule="exact"/>
        <w:rPr>
          <w:sz w:val="20"/>
          <w:szCs w:val="20"/>
          <w:color w:val="auto"/>
        </w:rPr>
      </w:pPr>
    </w:p>
    <w:p>
      <w:pPr>
        <w:ind w:left="5500"/>
        <w:spacing w:after="0"/>
        <w:tabs>
          <w:tab w:leader="none" w:pos="7700" w:val="left"/>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HINTARO</w:t>
      </w:r>
      <w:r>
        <w:rPr>
          <w:rFonts w:ascii="Arial" w:cs="Arial" w:eastAsia="Arial" w:hAnsi="Arial"/>
          <w:sz w:val="16"/>
          <w:szCs w:val="16"/>
          <w:color w:val="auto"/>
        </w:rPr>
        <w:t xml:space="preserve"> A</w:t>
      </w:r>
      <w:r>
        <w:rPr>
          <w:rFonts w:ascii="Arial" w:cs="Arial" w:eastAsia="Arial" w:hAnsi="Arial"/>
          <w:sz w:val="13"/>
          <w:szCs w:val="13"/>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Shintaro Asako,</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5940"/>
        <w:spacing w:after="0" w:line="221" w:lineRule="auto"/>
        <w:rPr>
          <w:sz w:val="20"/>
          <w:szCs w:val="20"/>
          <w:color w:val="auto"/>
        </w:rPr>
      </w:pPr>
      <w:r>
        <w:rPr>
          <w:rFonts w:ascii="Arial" w:cs="Arial" w:eastAsia="Arial" w:hAnsi="Arial"/>
          <w:sz w:val="14"/>
          <w:szCs w:val="14"/>
          <w:b w:val="1"/>
          <w:bCs w:val="1"/>
          <w:color w:val="auto"/>
        </w:rPr>
        <w:t>as the registrant’s Principal Financial Officer and</w:t>
      </w:r>
    </w:p>
    <w:p>
      <w:pPr>
        <w:jc w:val="center"/>
        <w:ind w:left="5940"/>
        <w:spacing w:after="0"/>
        <w:rPr>
          <w:sz w:val="20"/>
          <w:szCs w:val="20"/>
          <w:color w:val="auto"/>
        </w:rPr>
      </w:pPr>
      <w:r>
        <w:rPr>
          <w:rFonts w:ascii="Arial" w:cs="Arial" w:eastAsia="Arial" w:hAnsi="Arial"/>
          <w:sz w:val="14"/>
          <w:szCs w:val="14"/>
          <w:b w:val="1"/>
          <w:bCs w:val="1"/>
          <w:color w:val="auto"/>
        </w:rPr>
        <w:t>Principal Accounting Officer)</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80"/>
          </w:cols>
          <w:pgMar w:left="240" w:top="459" w:right="8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18"/>
                <w:szCs w:val="18"/>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Executive Employment Agreement between MediciNova, Inc. and Yuichi Iwaki, M.D., Ph.D, dated April 1, 2007</w:t>
            </w:r>
          </w:p>
        </w:tc>
        <w:tc>
          <w:tcPr>
            <w:tcW w:w="0" w:type="dxa"/>
            <w:vAlign w:val="bottom"/>
          </w:tcPr>
          <w:p>
            <w:pPr>
              <w:spacing w:after="0"/>
              <w:rPr>
                <w:sz w:val="1"/>
                <w:szCs w:val="1"/>
                <w:color w:val="auto"/>
              </w:rPr>
            </w:pPr>
          </w:p>
        </w:tc>
      </w:tr>
      <w:tr>
        <w:trPr>
          <w:trHeight w:val="275"/>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 for the period ended March 31, 2007.</w:t>
            </w: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the Chief Financial Officer and Principal Accounting Officer pursuant to Section 302 of the Sarbanes-Oxley Act of 2002 for the</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March 31, 2007.</w:t>
            </w:r>
          </w:p>
        </w:tc>
        <w:tc>
          <w:tcPr>
            <w:tcW w:w="0" w:type="dxa"/>
            <w:vAlign w:val="bottom"/>
          </w:tcPr>
          <w:p>
            <w:pPr>
              <w:spacing w:after="0"/>
              <w:rPr>
                <w:sz w:val="1"/>
                <w:szCs w:val="1"/>
                <w:color w:val="auto"/>
              </w:rPr>
            </w:pPr>
          </w:p>
        </w:tc>
      </w:tr>
      <w:tr>
        <w:trPr>
          <w:trHeight w:val="28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Chief Financial Officer and Principal Accounting Officer pursuant to 18 U.S.C. Section 1350 (Section 906 of the Sarbanes-Oxley</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20" w:right="3280" w:hanging="5612"/>
        <w:spacing w:after="0" w:line="440" w:lineRule="auto"/>
        <w:tabs>
          <w:tab w:leader="none" w:pos="4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as an exhibit to our Current Report on Form 8-K on April 4, 2007 and incorporated herein by reference. 40</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President and Chief Executive Officer of MediciNova, Inc., certify that:</w:t>
      </w:r>
    </w:p>
    <w:p>
      <w:pPr>
        <w:spacing w:after="0" w:line="90"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700" w:firstLine="464"/>
        <w:spacing w:after="0" w:line="268"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460" w:right="360" w:firstLine="443"/>
        <w:spacing w:after="0" w:line="259" w:lineRule="auto"/>
        <w:tabs>
          <w:tab w:leader="none" w:pos="10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60" w:firstLine="443"/>
        <w:spacing w:after="0" w:line="332" w:lineRule="auto"/>
        <w:tabs>
          <w:tab w:leader="none" w:pos="107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w:t>
      </w:r>
    </w:p>
    <w:p>
      <w:pPr>
        <w:jc w:val="center"/>
        <w:ind w:left="7360"/>
        <w:spacing w:after="0" w:line="223" w:lineRule="auto"/>
        <w:rPr>
          <w:sz w:val="20"/>
          <w:szCs w:val="20"/>
          <w:color w:val="auto"/>
        </w:rPr>
      </w:pPr>
      <w:r>
        <w:rPr>
          <w:rFonts w:ascii="Arial" w:cs="Arial" w:eastAsia="Arial" w:hAnsi="Arial"/>
          <w:sz w:val="14"/>
          <w:szCs w:val="14"/>
          <w:b w:val="1"/>
          <w:bCs w:val="1"/>
          <w:color w:val="auto"/>
        </w:rPr>
        <w:t>M.D., Ph.D. 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Section 302 of the Sarbanes-Oxley Act of 2002 for the Period Ended March 31,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and Chief Financial Officer of MediciNova, Inc., certify that:</w:t>
      </w:r>
    </w:p>
    <w:p>
      <w:pPr>
        <w:spacing w:after="0" w:line="90" w:lineRule="exact"/>
        <w:rPr>
          <w:sz w:val="20"/>
          <w:szCs w:val="20"/>
          <w:color w:val="auto"/>
        </w:rPr>
      </w:pPr>
    </w:p>
    <w:p>
      <w:pPr>
        <w:ind w:left="640" w:hanging="17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2007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70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460" w:right="360" w:firstLine="443"/>
        <w:spacing w:after="0" w:line="259" w:lineRule="auto"/>
        <w:tabs>
          <w:tab w:leader="none" w:pos="10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60" w:firstLine="443"/>
        <w:spacing w:after="0" w:line="332" w:lineRule="auto"/>
        <w:tabs>
          <w:tab w:leader="none" w:pos="1078"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line="222" w:lineRule="auto"/>
        <w:rPr>
          <w:sz w:val="20"/>
          <w:szCs w:val="20"/>
          <w:color w:val="auto"/>
        </w:rPr>
      </w:pPr>
      <w:r>
        <w:rPr>
          <w:rFonts w:ascii="Arial" w:cs="Arial" w:eastAsia="Arial" w:hAnsi="Arial"/>
          <w:sz w:val="14"/>
          <w:szCs w:val="14"/>
          <w:b w:val="1"/>
          <w:bCs w:val="1"/>
          <w:color w:val="auto"/>
        </w:rPr>
        <w:t>(Principal Financial Officer and</w:t>
      </w:r>
    </w:p>
    <w:p>
      <w:pPr>
        <w:jc w:val="center"/>
        <w:ind w:left="736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March 31, 2007 (the “Report”), I, Yuichi Iwaki, Chief Executive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2007</w:t>
      </w:r>
    </w:p>
    <w:p>
      <w:pPr>
        <w:spacing w:after="0" w:line="225" w:lineRule="exact"/>
        <w:rPr>
          <w:sz w:val="20"/>
          <w:szCs w:val="20"/>
          <w:color w:val="auto"/>
        </w:rPr>
      </w:pPr>
    </w:p>
    <w:p>
      <w:pPr>
        <w:ind w:left="6860"/>
        <w:spacing w:after="0"/>
        <w:tabs>
          <w:tab w:leader="none" w:pos="856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Yuichi Iwaki,</w:t>
      </w:r>
    </w:p>
    <w:p>
      <w:pPr>
        <w:jc w:val="center"/>
        <w:ind w:left="7360"/>
        <w:spacing w:after="0" w:line="223" w:lineRule="auto"/>
        <w:rPr>
          <w:sz w:val="20"/>
          <w:szCs w:val="20"/>
          <w:color w:val="auto"/>
        </w:rPr>
      </w:pPr>
      <w:r>
        <w:rPr>
          <w:rFonts w:ascii="Arial" w:cs="Arial" w:eastAsia="Arial" w:hAnsi="Arial"/>
          <w:sz w:val="14"/>
          <w:szCs w:val="14"/>
          <w:b w:val="1"/>
          <w:bCs w:val="1"/>
          <w:color w:val="auto"/>
        </w:rPr>
        <w:t>M.D., Ph.D. President and Chief Executive Officer</w:t>
      </w:r>
    </w:p>
    <w:p>
      <w:pPr>
        <w:jc w:val="center"/>
        <w:ind w:left="73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March 31, 2007 (the “Report”), I, Shintaro Asako, Vice President and Chief Financial Officer of MediciNova, Inc., hereby certify pursuant to 18 U.S.C. Section 1350, as adopted pursuant to Section 906 of the Sarbanes-Oxley Act of 2002, that to the best of my knowledge:</w:t>
      </w:r>
    </w:p>
    <w:p>
      <w:pPr>
        <w:spacing w:after="0" w:line="59" w:lineRule="exact"/>
        <w:rPr>
          <w:sz w:val="20"/>
          <w:szCs w:val="20"/>
          <w:color w:val="auto"/>
        </w:rPr>
      </w:pPr>
    </w:p>
    <w:p>
      <w:pPr>
        <w:ind w:left="1080" w:hanging="177"/>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10, 2007</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HINTARO</w:t>
      </w:r>
      <w:r>
        <w:rPr>
          <w:rFonts w:ascii="Arial" w:cs="Arial" w:eastAsia="Arial" w:hAnsi="Arial"/>
          <w:sz w:val="18"/>
          <w:szCs w:val="18"/>
          <w:color w:val="auto"/>
        </w:rPr>
        <w:t xml:space="preserve"> A</w:t>
      </w:r>
      <w:r>
        <w:rPr>
          <w:rFonts w:ascii="Arial" w:cs="Arial" w:eastAsia="Arial" w:hAnsi="Arial"/>
          <w:sz w:val="14"/>
          <w:szCs w:val="14"/>
          <w:color w:val="auto"/>
        </w:rPr>
        <w:t>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Shintaro Asako</w:t>
      </w:r>
    </w:p>
    <w:p>
      <w:pPr>
        <w:jc w:val="center"/>
        <w:ind w:left="736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360"/>
        <w:spacing w:after="0" w:line="222" w:lineRule="auto"/>
        <w:rPr>
          <w:sz w:val="20"/>
          <w:szCs w:val="20"/>
          <w:color w:val="auto"/>
        </w:rPr>
      </w:pPr>
      <w:r>
        <w:rPr>
          <w:rFonts w:ascii="Arial" w:cs="Arial" w:eastAsia="Arial" w:hAnsi="Arial"/>
          <w:sz w:val="14"/>
          <w:szCs w:val="14"/>
          <w:b w:val="1"/>
          <w:bCs w:val="1"/>
          <w:color w:val="auto"/>
        </w:rPr>
        <w:t>(Principal Financial Officer and</w:t>
      </w:r>
    </w:p>
    <w:p>
      <w:pPr>
        <w:jc w:val="center"/>
        <w:ind w:left="736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2019-12-15T06:41:44Z</dcterms:created>
  <dcterms:modified xsi:type="dcterms:W3CDTF">2019-12-15T06:41:44Z</dcterms:modified>
</cp:coreProperties>
</file>