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nov-20250331.htm"/>
      <w:bookmarkStart w:id="1" w:name="ksmnov20250331"/>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 THE QUARTERLY PERIOD ENDED MARCH 31, 2025</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001-33185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33-0927979</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4275 Executive Square,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(858) 373-1500</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380" w:type="dxa"/>
        <w:jc w:val="left"/>
        <w:tblInd w:w="0" w:type="dxa"/>
        <w:tblLayout w:type="fixed"/>
        <w:tblCellMar>
          <w:top w:w="28" w:type="dxa"/>
          <w:left w:w="28" w:type="dxa"/>
          <w:bottom w:w="28" w:type="dxa"/>
          <w:right w:w="28" w:type="dxa"/>
        </w:tblCellMar>
      </w:tblPr>
      <w:tblGrid>
        <w:gridCol w:w="2551"/>
        <w:gridCol w:w="146"/>
        <w:gridCol w:w="1711"/>
        <w:gridCol w:w="146"/>
        <w:gridCol w:w="38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MNOV</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bl>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jc w:val="left"/>
        <w:rPr/>
      </w:pPr>
      <w:r>
        <w:rPr/>
        <w:t> </w:t>
      </w:r>
    </w:p>
    <w:tbl>
      <w:tblPr>
        <w:tblW w:w="4414" w:type="dxa"/>
        <w:jc w:val="left"/>
        <w:tblInd w:w="0" w:type="dxa"/>
        <w:tblLayout w:type="fixed"/>
        <w:tblCellMar>
          <w:top w:w="28" w:type="dxa"/>
          <w:left w:w="28" w:type="dxa"/>
          <w:bottom w:w="28" w:type="dxa"/>
          <w:right w:w="28" w:type="dxa"/>
        </w:tblCellMar>
      </w:tblPr>
      <w:tblGrid>
        <w:gridCol w:w="1666"/>
        <w:gridCol w:w="376"/>
        <w:gridCol w:w="201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May 9, 2025, the registrant had 49,046,246</w:t>
      </w:r>
      <w:r>
        <w:rPr>
          <w:rFonts w:ascii="Times New Roman" w:hAnsi="Times New Roman"/>
          <w:color w:val="000000"/>
          <w:sz w:val="20"/>
        </w:rPr>
        <w:t xml:space="preserve"> </w:t>
      </w:r>
      <w:r>
        <w:rPr>
          <w:rFonts w:ascii="Times New Roman" w:hAnsi="Times New Roman"/>
          <w:color w:val="000000"/>
          <w:sz w:val="16"/>
        </w:rPr>
        <w:t>shares of Common Stock ($0.001 par value) outstanding.</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factors are among those that may cause actual results to differ materially from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raise additional capital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revenues from product sales to continue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 in completing clinical trials or obtaining Food and Drug Administration or foreign regulatory approval for our product candidates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Unsuccessful clinical trials stemming from clinical trial designs, failure to enroll a sufficient number of patients, undesirable side effects and other safety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demonstrate sufficient efficacy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success of our MN-166 (ibudilast) and MN-001 (tipelukast)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commencement or completion of clinical trials or suspension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our licensed rights to develop and commercialize a product candidate as a result of the termination of the underlying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products rendering our product candidates obsolete and noncompetitive;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successfully attract partners and enter into collaborations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conduct clinical trials and to manufacture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market and distribute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if approved, may not gain market acceptance or obtain adequate coverage for third 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concerning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and anticipated fluctuations in our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health epidemics on our business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public concern about the safety of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or foreign exchange restrictions, increased tariffs, foreign currency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quality material for our products may become difficult to obtain or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Strict government regulations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governing the production or marketing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or inability to attract,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political, foreign exchange and other risks associated with international operations.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“MediciNova,” “we,” “us” and “our” refer to MediciNova,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8"/>
        <w:gridCol w:w="331"/>
        <w:gridCol w:w="8409"/>
        <w:gridCol w:w="477"/>
      </w:tblGrid>
      <w:tr>
        <w:trPr/>
        <w:tc>
          <w:tcPr>
            <w:tcW w:w="9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pPr>
            <w:r>
              <w:rPr/>
              <w:t> </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5</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16</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19</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19</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pPr>
            <w:r>
              <w:rPr/>
              <w:t> </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20</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1A.</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20</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tit">
              <w:r>
                <w:rPr>
                  <w:rStyle w:val="InternetLink"/>
                  <w:rFonts w:ascii="Times New Roman" w:hAnsi="Times New Roman"/>
                  <w:color w:val="0000FF"/>
                  <w:sz w:val="20"/>
                  <w:u w:val="single"/>
                </w:rPr>
                <w:t>UNREGISTERED SALES OF EQUITY SECURITIES AND USE OF PROCEEDS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20</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20</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20</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5.</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OTHER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20</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6.</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3" w:name="item_1_consolidated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2"/>
        <w:gridCol w:w="146"/>
        <w:gridCol w:w="211"/>
        <w:gridCol w:w="1201"/>
        <w:gridCol w:w="166"/>
        <w:gridCol w:w="146"/>
        <w:gridCol w:w="211"/>
        <w:gridCol w:w="1201"/>
        <w:gridCol w:w="511"/>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36,571,466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40,359,738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714,541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37,679,307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41,074,279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356,904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52,431,150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55,875,926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1,102,494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1,662,860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2,959,123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3,372,375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$0.001 par value; 100,000,000 shares authorized at March 31, 2025 and December 31, 2024; 49,046,246 and 49,046,246 shares issued and outstanding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479,626,844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479,340,901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(429,615,362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(426,751,242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49,930,476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52,503,551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52,431,150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55,875,926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250" w:type="dxa"/>
        <w:jc w:val="left"/>
        <w:tblInd w:w="0" w:type="dxa"/>
        <w:tblLayout w:type="fixed"/>
        <w:tblCellMar>
          <w:top w:w="28" w:type="dxa"/>
          <w:left w:w="28" w:type="dxa"/>
          <w:bottom w:w="28" w:type="dxa"/>
          <w:right w:w="28" w:type="dxa"/>
        </w:tblCellMar>
      </w:tblPr>
      <w:tblGrid>
        <w:gridCol w:w="5641"/>
        <w:gridCol w:w="146"/>
        <w:gridCol w:w="211"/>
        <w:gridCol w:w="1036"/>
        <w:gridCol w:w="166"/>
        <w:gridCol w:w="146"/>
        <w:gridCol w:w="211"/>
        <w:gridCol w:w="1036"/>
        <w:gridCol w:w="166"/>
        <w:gridCol w:w="4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(2,763,410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5" w:name="condensed_consolidated_statements_stockh"/>
      <w:bookmarkEnd w:id="5"/>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391"/>
      </w:tblGrid>
      <w:tr>
        <w:trPr/>
        <w:tc>
          <w:tcPr>
            <w:tcW w:w="1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479,340,901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(426,751,242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52,503,551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(2,864,120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479,626,844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(429,615,362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49,930,476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478,149,161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(415,701,693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62,378,424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(2,754,518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478,364,591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(418,456,211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59,830,444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142"/>
        <w:gridCol w:w="146"/>
        <w:gridCol w:w="211"/>
        <w:gridCol w:w="1036"/>
        <w:gridCol w:w="166"/>
        <w:gridCol w:w="146"/>
        <w:gridCol w:w="211"/>
        <w:gridCol w:w="1036"/>
        <w:gridCol w:w="1111"/>
      </w:tblGrid>
      <w:tr>
        <w:trPr/>
        <w:tc>
          <w:tcPr>
            <w:tcW w:w="6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(2,754,518</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215,430</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 in carrying amount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49,392</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(551,750</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Accounts payable, accrued liabilities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(781,345</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(50,807</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(3,868,248</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(3,860,643</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50,999,442</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36,571,466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47,138,799</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Interim Financial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metabolic disorders such as nonalcoholic fatty liver disease (NAFLD) and hypertriglycedemia.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statements should be read in conjunction with the audited consolidated financial statements and notes thereto for the year ended December 31, 2024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2024 has been derived from the audited financial statements at that date but does not include all the information and footnotes required by GAAP for complete financial statements.</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 </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operating segment is identified as a component of an enterprise that engages in business activities about which separate discrete financial information and operating results is regularly reviewed by the chief operating decision-maker (CODM) in making decisions regarding resource allocation and assessing performance. The Company's CODM is the senior executive committee which is comprised of the Chief Executive Officer, Chief Medical Officer, and the Chief Financial Officer. The Company operates in a single operating segment – the acquisition and development of small molecule therapeutics for the treatment of serious diseases with unmet medical needs. The CODM assesses performance for the segment and decides how to allocate resources based on consolidated net loss as reported on the statement of operations, after taking into account the Company's strategic priorities, its cash balance, and its expected use of cash. Further, the CODM reviews and utilizes functional expenses (i.e., research, development, and patent expense, and general and administrative) at the consolidated level to manage the Company's operations. Other segment items included in consolidated net loss are stock-based compensation, depreciation and amortization, interest income, other expense, net, and income tax expense, which are reflected in the consolidated statements of operations and comprehensive loss. The measure of segment assets is reported on the consolidated balance sheet as total consolidated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financial information, including significant segment expenses, which are regularly provided to the CODM and included within segment and consolidated net loss:</w:t>
      </w:r>
    </w:p>
    <w:p>
      <w:pPr>
        <w:pStyle w:val="TextBody"/>
        <w:bidi w:val="0"/>
        <w:spacing w:before="120" w:after="283"/>
        <w:jc w:val="left"/>
        <w:rPr/>
      </w:pPr>
      <w:r>
        <w:rPr/>
        <w:t> </w:t>
      </w:r>
    </w:p>
    <w:tbl>
      <w:tblPr>
        <w:tblW w:w="8519" w:type="dxa"/>
        <w:jc w:val="left"/>
        <w:tblInd w:w="0" w:type="dxa"/>
        <w:tblLayout w:type="fixed"/>
        <w:tblCellMar>
          <w:top w:w="28" w:type="dxa"/>
          <w:left w:w="28" w:type="dxa"/>
          <w:bottom w:w="28" w:type="dxa"/>
          <w:right w:w="28" w:type="dxa"/>
        </w:tblCellMar>
      </w:tblPr>
      <w:tblGrid>
        <w:gridCol w:w="5266"/>
        <w:gridCol w:w="146"/>
        <w:gridCol w:w="211"/>
        <w:gridCol w:w="991"/>
        <w:gridCol w:w="166"/>
        <w:gridCol w:w="146"/>
        <w:gridCol w:w="211"/>
        <w:gridCol w:w="991"/>
        <w:gridCol w:w="3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 excluding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2,920,563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3,135,993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(3,135,993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Cash and cash equivalents consist of cash and other highly liquid investments including money market and mutual fund accounts, with original maturities of three months or less from the date of purchase.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Development and Patents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$1.7 million for both the three months ended March 31, 2025 and 2024.</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both the three months ended March 31, 2025 and 2024.</w:t>
      </w:r>
    </w:p>
    <w:p>
      <w:pPr>
        <w:pStyle w:val="TextBody"/>
        <w:bidi w:val="0"/>
        <w:spacing w:before="360" w:after="283"/>
        <w:jc w:val="left"/>
        <w:rPr>
          <w:rFonts w:ascii="Times New Roman" w:hAnsi="Times New Roman"/>
          <w:b/>
          <w:i/>
          <w:color w:val="212529"/>
          <w:sz w:val="20"/>
        </w:rPr>
      </w:pPr>
      <w:r>
        <w:rPr>
          <w:rFonts w:ascii="Times New Roman" w:hAnsi="Times New Roman"/>
          <w:b/>
          <w:i/>
          <w:color w:val="212529"/>
          <w:sz w:val="20"/>
        </w:rPr>
        <w:t>Clinical Trial Accruals and Prepaid Expenses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Leases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(ASU 2023-09)</w:t>
      </w:r>
      <w:r>
        <w:rPr>
          <w:rFonts w:ascii="Times New Roman" w:hAnsi="Times New Roman"/>
          <w:i/>
          <w:color w:val="000000"/>
          <w:sz w:val="20"/>
        </w:rPr>
        <w:t>.</w:t>
      </w:r>
      <w:r>
        <w:rPr>
          <w:rFonts w:ascii="Times New Roman" w:hAnsi="Times New Roman"/>
          <w:color w:val="000000"/>
          <w:sz w:val="20"/>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ASU 2024-03 requires additional disclosure of the nature of expenses included in the financial statements. ASU 2024-03 is effective for fiscal years beginning after December 15, 2026, and interim reporting periods beginning after December 15, 2027. Early adoption is permitted. The Company is currently evaluating the potential impact that this standard will have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Revenue Recognition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9449"/>
      </w:tblGrid>
      <w:tr>
        <w:trPr/>
        <w:tc>
          <w:tcPr>
            <w:tcW w:w="756" w:type="dxa"/>
            <w:tcBorders/>
            <w:vAlign w:val="center"/>
          </w:tcPr>
          <w:p>
            <w:pPr>
              <w:pStyle w:val="TableContents"/>
              <w:bidi w:val="0"/>
              <w:spacing w:before="0" w:after="283"/>
              <w:jc w:val="left"/>
              <w:rPr>
                <w:sz w:val="4"/>
                <w:szCs w:val="4"/>
              </w:rPr>
            </w:pPr>
            <w:r>
              <w:rPr>
                <w:sz w:val="4"/>
                <w:szCs w:val="4"/>
              </w:rPr>
            </w:r>
          </w:p>
        </w:tc>
        <w:tc>
          <w:tcPr>
            <w:tcW w:w="9449" w:type="dxa"/>
            <w:tcBorders/>
            <w:vAlign w:val="center"/>
          </w:tcPr>
          <w:p>
            <w:pPr>
              <w:pStyle w:val="TableContents"/>
              <w:bidi w:val="0"/>
              <w:spacing w:before="0" w:after="283"/>
              <w:jc w:val="left"/>
              <w:rPr>
                <w:sz w:val="4"/>
                <w:szCs w:val="4"/>
              </w:rPr>
            </w:pPr>
            <w:r>
              <w:rPr>
                <w:sz w:val="4"/>
                <w:szCs w:val="4"/>
              </w:rPr>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1: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such as quoted prices in active markets;</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2: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quoted prices for similar items in active markets or quoted prices for identical or similar items in markets that are not active near the measurement date; and</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3: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due to little or no market data, which require the reporting entity to develop its own assumptions.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and approximate fair value of financial instruments as of March 31, 2025 and December 31, 2024, were as follows: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235"/>
        <w:gridCol w:w="1160"/>
        <w:gridCol w:w="146"/>
        <w:gridCol w:w="146"/>
        <w:gridCol w:w="211"/>
        <w:gridCol w:w="1036"/>
        <w:gridCol w:w="146"/>
        <w:gridCol w:w="146"/>
        <w:gridCol w:w="235"/>
        <w:gridCol w:w="1160"/>
        <w:gridCol w:w="146"/>
        <w:gridCol w:w="146"/>
        <w:gridCol w:w="211"/>
        <w:gridCol w:w="1036"/>
        <w:gridCol w:w="146"/>
        <w:gridCol w:w="146"/>
        <w:gridCol w:w="1329"/>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Inputs</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has an initial lease term of 12 months ending May 2025 with an option to extend for an additional two months, after which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be exercised, discounted using the estimated incremental borrowing rate of 6.51%, which is the interest rate that the Company would have to pay to borrow on a collateralized basis over a similar term for an amount equal to the lease payments at initial commencement. The real estate operating leases are included in “Right-of-use asset” on the Company's consolidated balance sheets and represents the Company’s right to use the underlying assets for the lease term. The Company’s obligation to make lease payments are included in "Operating lease liability" and "Other non-current liabilities" on the Company's balance sheets.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Information related to the Company’s right-of-use assets and related lease liabilities are as follows: </w:t>
      </w:r>
    </w:p>
    <w:tbl>
      <w:tblPr>
        <w:tblW w:w="5704"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92" w:type="dxa"/>
        <w:jc w:val="left"/>
        <w:tblInd w:w="0" w:type="dxa"/>
        <w:tblLayout w:type="fixed"/>
        <w:tblCellMar>
          <w:top w:w="28" w:type="dxa"/>
          <w:left w:w="28" w:type="dxa"/>
          <w:bottom w:w="28" w:type="dxa"/>
          <w:right w:w="28" w:type="dxa"/>
        </w:tblCellMar>
      </w:tblPr>
      <w:tblGrid>
        <w:gridCol w:w="4126"/>
        <w:gridCol w:w="146"/>
        <w:gridCol w:w="211"/>
        <w:gridCol w:w="781"/>
        <w:gridCol w:w="271"/>
        <w:gridCol w:w="146"/>
        <w:gridCol w:w="233"/>
        <w:gridCol w:w="86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405,229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284" w:type="dxa"/>
        <w:jc w:val="left"/>
        <w:tblInd w:w="0" w:type="dxa"/>
        <w:tblLayout w:type="fixed"/>
        <w:tblCellMar>
          <w:top w:w="28" w:type="dxa"/>
          <w:left w:w="28" w:type="dxa"/>
          <w:bottom w:w="28" w:type="dxa"/>
          <w:right w:w="28" w:type="dxa"/>
        </w:tblCellMar>
      </w:tblPr>
      <w:tblGrid>
        <w:gridCol w:w="6361"/>
        <w:gridCol w:w="146"/>
        <w:gridCol w:w="146"/>
        <w:gridCol w:w="146"/>
        <w:gridCol w:w="211"/>
        <w:gridCol w:w="781"/>
        <w:gridCol w:w="493"/>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operating lease liabilities as of March 31, 2025 were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164,584</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206,483</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2"/>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302"/>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388,336</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355,058</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and Research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milestone payments have been made under these agreements during the three months ended March 31, 2025 and 2024. For products currently in development, future potential milestone payments based on product development of MN-166 (ibudilast) and MN-001 (tipelukast) are $10 million as of March 31, 2025. For all other products, future potential milestone payments related to development milestones and commercialization milestones totaled $16.5 million as of March 31, 2025.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2013, the Company adopted the 2013 Equity Incentive Plan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2013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2,025,173 shares remain available for future grants under the 2023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March 31, 2025, there were a total of 1,030,000 shares underlying performance options that were subject to vesting based on achievement of corporate objectives and employee performance for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Options granted under the 2023 Plan and the 2013 Plan have terms of ten years from the date of grant unless earlier terminated and generally vest over a one or four year period. The exercise price of all options granted through March 31, 2025 and 2024, was equal to the fair market value of the Company’s common stock on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stock option activity and related information as of March 31, 2025 is as follows:</w:t>
      </w:r>
    </w:p>
    <w:tbl>
      <w:tblPr>
        <w:tblW w:w="6391" w:type="dxa"/>
        <w:jc w:val="left"/>
        <w:tblInd w:w="0" w:type="dxa"/>
        <w:tblLayout w:type="fixed"/>
        <w:tblCellMar>
          <w:top w:w="28" w:type="dxa"/>
          <w:left w:w="28" w:type="dxa"/>
          <w:bottom w:w="28" w:type="dxa"/>
          <w:right w:w="28" w:type="dxa"/>
        </w:tblCellMar>
      </w:tblPr>
      <w:tblGrid>
        <w:gridCol w:w="3001"/>
        <w:gridCol w:w="146"/>
        <w:gridCol w:w="154"/>
        <w:gridCol w:w="986"/>
        <w:gridCol w:w="166"/>
        <w:gridCol w:w="146"/>
        <w:gridCol w:w="453"/>
        <w:gridCol w:w="1002"/>
        <w:gridCol w:w="14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Option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for stock option awards are reflected in total operating expenses for each respective period. The following table summarizes stock-based compensation expense for the three months ended March 31, 2025 and 2024, respectively: </w:t>
      </w:r>
    </w:p>
    <w:p>
      <w:pPr>
        <w:pStyle w:val="TextBody"/>
        <w:bidi w:val="0"/>
        <w:jc w:val="left"/>
        <w:rPr/>
      </w:pPr>
      <w:r>
        <w:rPr/>
        <w:t> </w:t>
      </w:r>
    </w:p>
    <w:tbl>
      <w:tblPr>
        <w:tblW w:w="6210"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three months ended March 31, 2025 and 2024, and to estimate the fair value of performance-based stock options as of March 31, 2025 and 2024. </w:t>
      </w:r>
    </w:p>
    <w:p>
      <w:pPr>
        <w:pStyle w:val="TextBody"/>
        <w:bidi w:val="0"/>
        <w:jc w:val="left"/>
        <w:rPr/>
      </w:pPr>
      <w:r>
        <w:rPr/>
        <w:t> </w:t>
      </w:r>
    </w:p>
    <w:tbl>
      <w:tblPr>
        <w:tblW w:w="5681" w:type="dxa"/>
        <w:jc w:val="left"/>
        <w:tblInd w:w="0" w:type="dxa"/>
        <w:tblLayout w:type="fixed"/>
        <w:tblCellMar>
          <w:top w:w="28" w:type="dxa"/>
          <w:left w:w="28" w:type="dxa"/>
          <w:bottom w:w="28" w:type="dxa"/>
          <w:right w:w="28" w:type="dxa"/>
        </w:tblCellMar>
      </w:tblPr>
      <w:tblGrid>
        <w:gridCol w:w="3136"/>
        <w:gridCol w:w="146"/>
        <w:gridCol w:w="1423"/>
        <w:gridCol w:w="153"/>
        <w:gridCol w:w="823"/>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3.96 - 4.48%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71.62 - 75.66%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74.05%</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4.5 - 5.3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March 31, 2025, there was $1.0 million of unamortized compensation cost related to unvested stock option awards which is expected to be recognized over a remaining weighted-average vesting period of 0.79 years, on a straight-line basis. Such compensation cost will ultimately be adjusted based upon actual performance compared to the corporate objectives as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fair value of each stock option granted during the three months ended March 31, 2025 and 2024, estimated as of the grant date using the Black-Scholes option valuation model, was $1.36 and $1.00 per option, respectively.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Issuance Sales Agreements and Private Placement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shares of common stock were sold under the ATM Agreement in the three months ended March 31, 2025 and 2024, respectively. </w:t>
      </w:r>
    </w:p>
    <w:p>
      <w:pPr>
        <w:pStyle w:val="TextBody"/>
        <w:bidi w:val="0"/>
        <w:spacing w:before="320" w:after="283"/>
        <w:jc w:val="left"/>
        <w:rPr>
          <w:rFonts w:ascii="Times New Roman" w:hAnsi="Times New Roman"/>
          <w:b/>
          <w:color w:val="000000"/>
          <w:sz w:val="20"/>
        </w:rPr>
      </w:pPr>
      <w:r>
        <w:rPr>
          <w:rFonts w:ascii="Times New Roman" w:hAnsi="Times New Roman"/>
          <w:b/>
          <w:color w:val="000000"/>
          <w:sz w:val="20"/>
        </w:rPr>
        <w:t>7.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dilutive outstanding stock options excluded from diluted net loss per common share due to their anti-dilutive effect totaled 7,909,394 shares for the three months ended March 31, 2025 and 8,578,644 shares for the three months ended March 31, 2024.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2024 included in our Annual Report on Form 10-K, as filed with the Securities and Exchange Commission (SEC) on February 19, 2025 (Annual Report on Form 10-K). Past operating results are not necessarily indicative of results that may occur in future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novel therapeutics for the treatment of serious diseases with unmet medical needs and a commercial focus on the United States (U.S.)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metabolic disorders such as nonalcoholic fatty liver disease (NAFLD) and hypertriglycedemia. We were incorporated in Delaware in September 2000.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since our inception. As of March 31, 2025, from inception, our accumulated deficit was $429.6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Pursue the development of MN-166 (ibudilast)</w:t>
      </w:r>
      <w:r>
        <w:rPr>
          <w:color w:val="000000"/>
        </w:rPr>
        <w:t xml:space="preserve"> </w:t>
      </w:r>
      <w:r>
        <w:rPr>
          <w:rFonts w:ascii="Times New Roman" w:hAnsi="Times New Roman"/>
          <w:i/>
          <w:color w:val="000000"/>
          <w:sz w:val="20"/>
        </w:rPr>
        <w:t>for multiple potential indications with the support of non-dilutive financings.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Pursue the development of MN-001 (tipelukast) for fibrotic and other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advance development of MN-001 (tipelukast) through a variety of means, which may include investigator-sponsored trials with or without grant funding as well as trials funded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Consider strategic partnerships with one or more leading pharmaceutical companies to complete product development and successfully commercialize our products.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develop and maintain relationships with pharmaceutical companies that are therapeutic category leaders. We intend to discuss strategic alliances with leading pharmaceutical companies who seek product candidates, such as MN-166 (ibudilast) and MN-001 (tipelukast), which could support our clinical development and product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Development and Patents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2025 as our development programs progress.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tbl>
      <w:tblPr>
        <w:tblW w:w="6660"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571"/>
        <w:gridCol w:w="146"/>
        <w:gridCol w:w="4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MN-166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MN-001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facility and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R&amp;D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development and patent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2024. There have not been any material changes to the critical accounting policies discussed therein during the three months ended March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IPR&amp;D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2024.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2025 and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Development and Patents Expenses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Research, development and patents expenses were $1.8 million for both the three months ended March 31, 2025 and 2024. </w:t>
      </w:r>
      <w:r>
        <w:rPr>
          <w:rFonts w:ascii="Times New Roman" w:hAnsi="Times New Roman"/>
          <w:color w:val="212529"/>
          <w:sz w:val="20"/>
        </w:rPr>
        <w:t>The expense was relatively the same quarter over quarter. Changes were primarily due to an increase in MN-001 related expenses and stock option expense offset by decreased payroll costs from a reduction in headcount.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General and administrative expenses were $1.4 million for both the three months ended March 31, 2025 and 2024. </w:t>
      </w:r>
      <w:r>
        <w:rPr>
          <w:rFonts w:ascii="Times New Roman" w:hAnsi="Times New Roman"/>
          <w:color w:val="212529"/>
          <w:sz w:val="20"/>
        </w:rPr>
        <w:t>The expense was relatively the same quarter over quarter.</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was $0.3 million and $0.4 million for the three months ended March 31, 2025 and 2024, respectively. The decrease of $0.1 million was primarily driven by a decrease in our cash balance generating interest. Interest income consists of interest earned on our cash and cash equivalents and investments.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used in operating activities during the three months ended March 31, 2025 was $3.8 million compared to $3.9 million during the same period in 2024. The $0.1 million change is primarily related to the increased </w:t>
      </w:r>
      <w:r>
        <w:rPr>
          <w:rFonts w:ascii="Times New Roman" w:hAnsi="Times New Roman"/>
          <w:color w:val="212529"/>
          <w:sz w:val="20"/>
        </w:rPr>
        <w:t>net loss and changes in operating assets and liabilities for those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we had available cash and cash equivalents of $36.6 million and working capital of $35.5 million. As of the date of this report, we believe we have working capital sufficient to fund operations at least through May 2026. However, we cannot provide assurance that these capital resources will be sufficient to conduct all our research and development programs as planned. </w:t>
      </w:r>
    </w:p>
    <w:p>
      <w:pPr>
        <w:pStyle w:val="TextBody"/>
        <w:bidi w:val="0"/>
        <w:spacing w:before="240" w:after="283"/>
        <w:jc w:val="left"/>
        <w:rPr>
          <w:rFonts w:ascii="Times New Roman" w:hAnsi="Times New Roman"/>
          <w:sz w:val="20"/>
        </w:rPr>
      </w:pPr>
      <w:r>
        <w:rPr>
          <w:rFonts w:ascii="Times New Roman" w:hAnsi="Times New Roman"/>
          <w:i/>
          <w:color w:val="000000"/>
          <w:sz w:val="20"/>
        </w:rPr>
        <w:t>Equity Financing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shares of common stock were sold under the ATM Agreement in the three months ended March 31, 2025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9" w:name="item_4_controls_procedures"/>
      <w:bookmarkEnd w:id="9"/>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provide reasonable assurance that the information required to be disclosed in our filings under the Securities Exchange Act of 1934, as amended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during our most recent fiscal quarter that has materially affected, or is reasonably likely to materially affect, our internal control over financial reporting.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_or_information"/>
      <w:bookmarkEnd w:id="10"/>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involved in any material legal proceedings as of March 31, 2025.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pStyle w:val="TextBody"/>
        <w:bidi w:val="0"/>
        <w:spacing w:before="360" w:after="283"/>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in Part I, “Item 1A. Risk Factors” in our Annual Report on Form 10-K, for the year ended December 31, 2024,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2024.</w:t>
      </w:r>
    </w:p>
    <w:p>
      <w:pPr>
        <w:pStyle w:val="TextBody"/>
        <w:bidi w:val="0"/>
        <w:spacing w:before="360" w:after="283"/>
        <w:jc w:val="left"/>
        <w:rPr>
          <w:rFonts w:ascii="Times New Roman" w:hAnsi="Times New Roman"/>
          <w:b/>
          <w:color w:val="000000"/>
          <w:sz w:val="20"/>
        </w:rPr>
      </w:pPr>
      <w:bookmarkStart w:id="13" w:name="item_2_unregistered_sales_equity_secut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2025, none of our officers or directors, as defined in Rule 16a-1(f), informed us of the adoption or termination of a Rule 10b5-1 trading arrangement or a non-Rule 10b5-1 trading arrangement, each as defined in Regulation S-K Item 408.</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
        <w:gridCol w:w="146"/>
        <w:gridCol w:w="9195"/>
      </w:tblGrid>
      <w:tr>
        <w:trPr/>
        <w:tc>
          <w:tcPr>
            <w:tcW w:w="8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95" w:type="dxa"/>
            <w:tcBorders/>
            <w:shd w:fill="FFFFFF" w:val="clear"/>
            <w:vAlign w:val="center"/>
          </w:tcPr>
          <w:p>
            <w:pPr>
              <w:pStyle w:val="TableContents"/>
              <w:bidi w:val="0"/>
              <w:spacing w:before="0" w:after="283"/>
              <w:jc w:val="left"/>
              <w:rPr>
                <w:sz w:val="4"/>
                <w:szCs w:val="4"/>
              </w:rPr>
            </w:pPr>
            <w:r>
              <w:rPr>
                <w:sz w:val="4"/>
                <w:szCs w:val="4"/>
              </w:rPr>
            </w:r>
          </w:p>
        </w:tc>
      </w:tr>
      <w:tr>
        <w:trPr/>
        <w:tc>
          <w:tcPr>
            <w:tcW w:w="86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(incorporated by reference to Exhibit 3.1 of the Registrant’s Quarterly Report on Form 10-Q filed with the SEC on August 9, 2012 (File No. 001-33185)).</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by reference to Exhibit 3.1 of the Registrant’s Current Report on Form 8-K filed with the SEC on April 25, 2019 (File No. 001-33185)).</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mnov-ex31_1.htm">
              <w:r>
                <w:rPr>
                  <w:rStyle w:val="InternetLink"/>
                  <w:rFonts w:ascii="Times New Roman" w:hAnsi="Times New Roman"/>
                  <w:color w:val="0000FF"/>
                  <w:sz w:val="20"/>
                </w:rPr>
                <w:t xml:space="preserve"> </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2_1.htm">
              <w:r>
                <w:rPr>
                  <w:rStyle w:val="InternetLink"/>
                  <w:rFonts w:ascii="Times New Roman" w:hAnsi="Times New Roman"/>
                  <w:color w:val="0000FF"/>
                  <w:sz w:val="20"/>
                  <w:u w:val="single"/>
                </w:rPr>
                <w:t>Certification of Principal Executive Officer pursuant to 18 U.S.C. Section 1350 (Section 906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2_2.htm">
              <w:r>
                <w:rPr>
                  <w:rStyle w:val="InternetLink"/>
                  <w:rFonts w:ascii="Times New Roman" w:hAnsi="Times New Roman"/>
                  <w:color w:val="0000FF"/>
                  <w:sz w:val="20"/>
                  <w:u w:val="single"/>
                </w:rPr>
                <w:t>Certification of Principal Financial Officer pursuant to 18 U.S.C. Section 1350 (Section 906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101.INS</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101.SCH</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Filed Herewith</w:t>
      </w:r>
    </w:p>
    <w:p>
      <w:pPr>
        <w:pStyle w:val="TextBody"/>
        <w:bidi w:val="0"/>
        <w:jc w:val="left"/>
        <w:rPr>
          <w:rFonts w:ascii="Times New Roman" w:hAnsi="Times New Roman"/>
          <w:sz w:val="20"/>
        </w:rPr>
      </w:pP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1741"/>
        <w:gridCol w:w="146"/>
        <w:gridCol w:w="406"/>
        <w:gridCol w:w="354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MEDICINOVA,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 xml:space="preserve">ASON </w:t>
            </w:r>
            <w:r>
              <w:rPr>
                <w:rFonts w:ascii="Times New Roman" w:hAnsi="Times New Roman"/>
                <w:color w:val="000000"/>
                <w:sz w:val="20"/>
              </w:rPr>
              <w:t>K</w:t>
            </w:r>
            <w:r>
              <w:rPr>
                <w:rFonts w:ascii="Times New Roman" w:hAnsi="Times New Roman"/>
                <w:color w:val="000000"/>
                <w:sz w:val="15"/>
              </w:rPr>
              <w:t>RUGER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mnov-ex31_1.htm"/>
      <w:bookmarkStart w:id="20" w:name="ksmnov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Executive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Yuichi Iwaki,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March 31, 2025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nov-ex31_2.htm"/>
      <w:bookmarkStart w:id="22" w:name="ksmnov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Financial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Kruger,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March 31, 2025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May 13, 2025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Jason Kruger</w:t>
            </w:r>
            <w:r>
              <w:rPr>
                <w:rFonts w:ascii="Times New Roman" w:hAnsi="Times New Roman"/>
                <w:color w:val="000000"/>
                <w:sz w:val="16"/>
              </w:rPr>
              <w:t xml:space="preserve">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nov-ex32_1.htm"/>
      <w:bookmarkStart w:id="24" w:name="ksmnov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March 31, 2025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May 13, 2025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Yuichi Iwaki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left"/>
        <w:rPr/>
      </w:pPr>
      <w:bookmarkStart w:id="25" w:name="mnov-ex32_2.htm"/>
      <w:bookmarkStart w:id="26" w:name="ksmnovex32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March 31, 2025,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6616/000119312512347932/d344794dex31.htm" TargetMode="External"/><Relationship Id="rId3" Type="http://schemas.openxmlformats.org/officeDocument/2006/relationships/hyperlink" Target="https://www.sec.gov/Archives/edgar/data/1226616/000119312519119751/d727763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10746</Words>
  <Characters>60711</Characters>
  <CharactersWithSpaces>71696</CharactersWithSpaces>
  <Paragraphs>2146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