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3820" w:space="580"/>
            <w:col w:w="688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234315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200" w:lineRule="exact"/>
        <w:rPr>
          <w:sz w:val="24"/>
          <w:szCs w:val="24"/>
          <w:color w:val="auto"/>
        </w:rPr>
      </w:pPr>
    </w:p>
    <w:p>
      <w:pPr>
        <w:spacing w:after="0" w:line="301"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298"/>
        </w:trPr>
        <w:tc>
          <w:tcPr>
            <w:tcW w:w="310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07"/>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552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89"/>
              </w:rPr>
              <w:t>(858) 373-1500</w:t>
            </w: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4"/>
          <w:szCs w:val="24"/>
          <w:color w:val="auto"/>
        </w:rPr>
      </w:pPr>
    </w:p>
    <w:p>
      <w:pPr>
        <w:spacing w:after="0" w:line="207" w:lineRule="exact"/>
        <w:tabs>
          <w:tab w:leader="none" w:pos="4100" w:val="left"/>
          <w:tab w:leader="none" w:pos="7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4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8, 2007, the registrant had 11,947,446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SUBMISSION OF MATTERS TO A VOTE OF SECURITY HOLDERS</w:t>
              </w:r>
            </w:hyperlink>
          </w:p>
        </w:tc>
        <w:tc>
          <w:tcPr>
            <w:tcW w:w="354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OTHER INFORMATION</w:t>
              </w:r>
            </w:hyperlink>
          </w:p>
        </w:tc>
        <w:tc>
          <w:tcPr>
            <w:tcW w:w="68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870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304"/>
        </w:trPr>
        <w:tc>
          <w:tcPr>
            <w:tcW w:w="1360" w:type="dxa"/>
            <w:vAlign w:val="bottom"/>
            <w:gridSpan w:val="2"/>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SIGNATURES</w:t>
              </w:r>
            </w:hyperlink>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3"/>
        </w:trPr>
        <w:tc>
          <w:tcPr>
            <w:tcW w:w="1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gridSpan w:val="10"/>
          </w:tcPr>
          <w:p>
            <w:pPr>
              <w:ind w:left="43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20" w:type="dxa"/>
            <w:vAlign w:val="bottom"/>
          </w:tcPr>
          <w:p>
            <w:pPr>
              <w:jc w:val="center"/>
              <w:ind w:left="1812"/>
              <w:spacing w:after="0"/>
              <w:rPr>
                <w:sz w:val="20"/>
                <w:szCs w:val="20"/>
                <w:color w:val="auto"/>
              </w:rPr>
            </w:pPr>
            <w:r>
              <w:rPr>
                <w:rFonts w:ascii="Arial" w:cs="Arial" w:eastAsia="Arial" w:hAnsi="Arial"/>
                <w:sz w:val="18"/>
                <w:szCs w:val="18"/>
                <w:b w:val="1"/>
                <w:bCs w:val="1"/>
                <w:color w:val="auto"/>
                <w:w w:val="99"/>
              </w:rPr>
              <w:t>PART I. FINANCIAL INFORMATION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20" w:type="dxa"/>
            <w:vAlign w:val="bottom"/>
          </w:tcPr>
          <w:p>
            <w:pPr>
              <w:jc w:val="center"/>
              <w:ind w:left="1812"/>
              <w:spacing w:after="0"/>
              <w:rPr>
                <w:sz w:val="20"/>
                <w:szCs w:val="20"/>
                <w:color w:val="auto"/>
              </w:rPr>
            </w:pPr>
            <w:r>
              <w:rPr>
                <w:rFonts w:ascii="Arial" w:cs="Arial" w:eastAsia="Arial" w:hAnsi="Arial"/>
                <w:sz w:val="18"/>
                <w:szCs w:val="18"/>
                <w:b w:val="1"/>
                <w:bCs w:val="1"/>
                <w:color w:val="auto"/>
              </w:rPr>
              <w:t>MEDICINOVA,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(a development stage company)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20" w:type="dxa"/>
            <w:vAlign w:val="bottom"/>
          </w:tcPr>
          <w:p>
            <w:pPr>
              <w:jc w:val="center"/>
              <w:ind w:left="1832"/>
              <w:spacing w:after="0"/>
              <w:rPr>
                <w:sz w:val="20"/>
                <w:szCs w:val="20"/>
                <w:color w:val="auto"/>
              </w:rPr>
            </w:pPr>
            <w:r>
              <w:rPr>
                <w:rFonts w:ascii="Arial" w:cs="Arial" w:eastAsia="Arial" w:hAnsi="Arial"/>
                <w:sz w:val="18"/>
                <w:szCs w:val="18"/>
                <w:b w:val="1"/>
                <w:bCs w:val="1"/>
                <w:color w:val="auto"/>
                <w:w w:val="96"/>
              </w:rPr>
              <w:t>CONSOLIDATED BALANCE SHEETS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September 30,</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7"/>
              </w:rPr>
              <w:t>(Unaudited)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14,857,335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61,099,316</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95,716,690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6,249,402</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2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82,206,053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110,670,180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800,173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assets</w:t>
            </w:r>
          </w:p>
        </w:tc>
        <w:tc>
          <w:tcPr>
            <w:tcW w:w="75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83,006,226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111,590,825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2,969,735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3,828,270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10,654,120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607,597</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14,231,452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0"/>
              </w:rPr>
              <w:t>Deferred rent</w:t>
            </w: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13,241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Common stock, $0.001 par value; 20,000,000 shares authorized at September 30, 2007 and December 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9"/>
              </w:rPr>
              <w:t>2006; 12,072,027 and 10,421,985 shares issued at September 30, 2007 and December 31, 2006,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12,072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272,210,568</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258,611,697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8,678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w w:val="94"/>
              </w:rPr>
              <w:t>Treasury stock, at cost; 124,581 shares at September 30, 2007 and 129,608 shares at December 31, 2006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(1,404,088)</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(1,437,870)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(202,065,697)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(156,154,136)</w:t>
            </w:r>
          </w:p>
        </w:tc>
        <w:tc>
          <w:tcPr>
            <w:tcW w:w="0" w:type="dxa"/>
            <w:vAlign w:val="bottom"/>
          </w:tcPr>
          <w:p>
            <w:pPr>
              <w:spacing w:after="0"/>
              <w:rPr>
                <w:sz w:val="1"/>
                <w:szCs w:val="1"/>
                <w:color w:val="auto"/>
              </w:rPr>
            </w:pPr>
          </w:p>
        </w:tc>
      </w:tr>
      <w:tr>
        <w:trPr>
          <w:trHeight w:val="230"/>
        </w:trPr>
        <w:tc>
          <w:tcPr>
            <w:tcW w:w="852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68,761,533</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100,980,908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83,006,226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111,590,825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5"/>
          </w:tcPr>
          <w:p>
            <w:pPr>
              <w:jc w:val="right"/>
              <w:ind w:right="106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gridSpan w:val="5"/>
          </w:tcPr>
          <w:p>
            <w:pPr>
              <w:jc w:val="right"/>
              <w:ind w:right="126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8,668,763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7,995,175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40,729,374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22,226,884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118,453,326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2,672,630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2,066,690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8,732,144</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6,497,964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67,246,284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11,341,393</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10,157,301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49,461,518</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28,961,890</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186,958,031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(11,341,393)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(10,061,865)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(49,461,518)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(28,607,578)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(185,399,804)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1,113,210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1,699,325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3,549,957</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4,562,648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14,697,229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(10,228,183)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(8,362,540)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(45,911,561)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(24,044,930)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(170,702,575)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Accretion to redemption value of redeemable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convertible preferred stock</w:t>
            </w:r>
          </w:p>
        </w:tc>
        <w:tc>
          <w:tcPr>
            <w:tcW w:w="14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resulting from beneficial conversion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feature on Series C redeemable convertible preferred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(10,228,183)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(8,362,540)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(45,911,561)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(24,044,930)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(202,065,697)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to compute basic and diluted net loss per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common share</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11,768,001</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10,213,525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11,640,405</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10,075,836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w w:val="90"/>
              </w:rPr>
              <w:t>Nine months ended September 30,</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(45,911,561)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(24,044,930)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(170,702,575)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2,961,929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1,316,214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39,785,763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393,899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(155,983)</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(704,258)</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(1,770,121)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419,592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(948,496)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(6,249,402)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280"/>
              <w:spacing w:after="0"/>
              <w:rPr>
                <w:sz w:val="20"/>
                <w:szCs w:val="20"/>
                <w:color w:val="auto"/>
              </w:rPr>
            </w:pPr>
            <w:r>
              <w:rPr>
                <w:rFonts w:ascii="Arial" w:cs="Arial" w:eastAsia="Arial" w:hAnsi="Arial"/>
                <w:sz w:val="18"/>
                <w:szCs w:val="18"/>
                <w:color w:val="auto"/>
              </w:rPr>
              <w:t>Accounts payable, accrued expenses and deferred rent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3,435,183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3,618,967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13,637,096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(561,805)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607,597</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(38,657,348)</w:t>
            </w:r>
          </w:p>
        </w:tc>
        <w:tc>
          <w:tcPr>
            <w:tcW w:w="1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(21,015,628)</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(123,507,419)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(23,909,045)</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(75,798,406)</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(357,402,166)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 available-for-sale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58,740,285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98,553,000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298,081,649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(385,451)</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(202,605)</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34,507,813</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22,551,989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(61,304,913)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10,672,374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120,890,566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(1,204,349)</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(1,437,870)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10,672,374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(915,349)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199,669,667</w:t>
            </w:r>
          </w:p>
        </w:tc>
        <w:tc>
          <w:tcPr>
            <w:tcW w:w="0" w:type="dxa"/>
            <w:vAlign w:val="bottom"/>
          </w:tcPr>
          <w:p>
            <w:pPr>
              <w:spacing w:after="0"/>
              <w:rPr>
                <w:sz w:val="1"/>
                <w:szCs w:val="1"/>
                <w:color w:val="auto"/>
              </w:rPr>
            </w:pPr>
          </w:p>
        </w:tc>
      </w:tr>
      <w:tr>
        <w:trPr>
          <w:trHeight w:val="221"/>
        </w:trPr>
        <w:tc>
          <w:tcPr>
            <w:tcW w:w="63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6,522,839</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621,012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14,857,335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8,334,496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37,677,985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14,857,335</w:t>
            </w:r>
          </w:p>
        </w:tc>
        <w:tc>
          <w:tcPr>
            <w:tcW w:w="4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38,298,997</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14,857,335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 on marketable securities available-for-sale</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(53,756)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were incorporated in the state of Delaware in September 2000. We are a biopharmaceutical company focused on acquiring and developing novel, small molecule therapeutics for the treatment of diseases with unmet need with a specific focus on the U.S. market. Through strategic alliances primarily with Japanese pharmaceutical companies, we are developing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prepared the accompanying unaudited consolidated financial statements in accordance with accounting principles generally accepted in the United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States of America for interim financial information. Accordingly, they do not include all of the information and disclosures required by generally accepted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principles for complete financial statements. In the opinion of our management, all adjustments (consisting of normal recurring accruals) considered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for a fair presentation of the financial position, results of operations and cash flow for the interim period presented have been included.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three and nine months ended September 30, 2007 are not necessarily indicative of the results that may be expected for the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2007 or for any other period. For further information, see the financial statements and disclosures thereto for the year ended December 31, 2006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filed with the Securities and Exchange Commission.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June 2007, the Financial Accounting Standards Board (the “FASB”) ratified the consensus reached by the Emerging Issues Task Force (“EITF”) in EITF Issue No. 07-3, </w:t>
      </w:r>
      <w:r>
        <w:rPr>
          <w:rFonts w:ascii="Arial" w:cs="Arial" w:eastAsia="Arial" w:hAnsi="Arial"/>
          <w:sz w:val="18"/>
          <w:szCs w:val="18"/>
          <w:i w:val="1"/>
          <w:iCs w:val="1"/>
          <w:color w:val="auto"/>
        </w:rPr>
        <w:t>Accounting for Nonrefundable Advance Payments for Goods or Services Received for Use in Future Research and Development Activities</w:t>
      </w:r>
      <w:r>
        <w:rPr>
          <w:rFonts w:ascii="Arial" w:cs="Arial" w:eastAsia="Arial" w:hAnsi="Arial"/>
          <w:sz w:val="18"/>
          <w:szCs w:val="18"/>
          <w:color w:val="auto"/>
        </w:rPr>
        <w:t>, which requires that nonrefundable advance payments for goods or services that will be used or rendered for future research and development activities be deferred and amortized over the period that the goods are delivered or the related services are performed, subject to an assessment of recoverability. EITF 07-3 will be effective for fiscal years beginning after December 15, 2007, which will be our fiscal year 2008. We believe that the adoption of EITF 07-3 will not have a material impact on our consolidated financial statements.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February 2007, the FASB issued Statement of Financial Accounting Standards (“SFAS”) No. 159, </w:t>
      </w:r>
      <w:r>
        <w:rPr>
          <w:rFonts w:ascii="Arial" w:cs="Arial" w:eastAsia="Arial" w:hAnsi="Arial"/>
          <w:sz w:val="18"/>
          <w:szCs w:val="18"/>
          <w:i w:val="1"/>
          <w:iCs w:val="1"/>
          <w:color w:val="auto"/>
        </w:rPr>
        <w:t>The Fair Value Option for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which allows an entity to voluntarily choose to measure certain financial assets and liabilities at fair value. SFAS No. 159 will be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years beginning after November 15, 2007, which will be our fiscal year 2008. We have not yet evaluated the potential impact of adopting SFAS No. 159 on our consolidated financial statements.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defines fair value, establishes a framework for measuring fair value under GAAP, and expands disclosures about fair value measurements. SFAS No. 157 will be effective for fiscal years beginning after November 15, 2007, which will be our fiscal year 2008. We have not yet evaluated the potential impact of adopting SFAS No. 157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 Available-for-Sale</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Marketable securities available-for-sale consist of high-grade auction rate securities (“ARS”), corporate debt securities and government sponsored securities. All of the government sponsored securities have contractual maturities of 12 months or less as of September 30, 2007. The ARS have either a stated or perpetual maturity that is structured with short-term holding periods. At the end of each holding period, a new auction is held to determine the rate or dividend for the next holding period. We can sell or continue to hold securities at par at each auction. In order for us to sell any ARS, the auction needs to be successful whereby demand in the marketplace exceeds the supply. The length of each holding period is determined at the original issuance of the ARS. ARS holding periods range from seven to 63 days. As of December 31, 2006, our ARS consisted of $8,300,000 of perpetual securities and $75,125,000 with stated maturity dates ranging from 2021 to 2044 and reset dates of up to 63 days. As of September 30, 2007, our ARS consisted of no perpetual securities and $55,250,000 with stated maturity dates ranging from 2009 to 2050 and reset dates of up to 63 days.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September 30, 2007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 2006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96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5"/>
              </w:rPr>
              <w:t>Gross 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2"/>
                <w:szCs w:val="12"/>
                <w:color w:val="auto"/>
              </w:rPr>
            </w:pPr>
          </w:p>
        </w:tc>
        <w:tc>
          <w:tcPr>
            <w:tcW w:w="1560" w:type="dxa"/>
            <w:vAlign w:val="bottom"/>
            <w:gridSpan w:val="6"/>
          </w:tcPr>
          <w:p>
            <w:pPr>
              <w:ind w:left="140"/>
              <w:spacing w:after="0" w:line="142" w:lineRule="exact"/>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9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$ 55,250,000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55,250,000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83,425,000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83,425,000</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2,948,618</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2,949,990</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securities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53,756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5,849,316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9,392,277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(50,577)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9,341,700</w:t>
            </w:r>
          </w:p>
        </w:tc>
        <w:tc>
          <w:tcPr>
            <w:tcW w:w="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89"/>
              </w:rPr>
              <w:t>$ 61,045,560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53,756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61,099,316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95,765,895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1,372</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(50,577)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95,716,690</w:t>
            </w:r>
          </w:p>
        </w:tc>
      </w:tr>
      <w:tr>
        <w:trPr>
          <w:trHeight w:val="20"/>
        </w:trPr>
        <w:tc>
          <w:tcPr>
            <w:tcW w:w="3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As of September 30, 2007, the unrealized gains on government sponsored securities were primarily caused by recent increases in interest rates and timing. Based on an evaluation of the credit standing of each issuer, management believes it is probable that we will be able to collect all amounts due according to the contractual terms. We had no realized losses on sales of investment securities available-for-sale for the three months and nine months ended September 30, 2007.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treasury-stock method. For purposes of this calculation, convertible preferred stock (of which we have none outstanding), stock options and warrants are considered to be common stock equivalents and are only included in the calculation of diluted net loss per share when their effect is dilutive.</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Common stock equivalents of options to purchase 2,039,324 shares of common stock and warrants to purchase 50,000 shares of common stock at September 30, 2007 and common stock equivalents of options to purchase 730,500 shares of common stock and warrants to purchase 777,076 shares of common stock at September 30, 2006 are excluded from the calculations of diluted loss per share for all periods presented because the effect is non-dilutive.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have applied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which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Comprehensive loss did not differ significantly from net loss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currently maintain two equity-based compensation plans: (i) the MediciNova, Inc. 2000 General Stock Incentive Plan (the “2000 Plan”) and (ii) the MediciNova, Inc. Amended and Restated 2004 Stock Incentive Plan (the “2004 Plan”). We currently grant stock options to our employees, officers, directors and consultants under the 2004 Plan, the successor to the 2000 Plan. Stock options issued to non-employees were recorded at their fair value as determined in accordance with EITF Issue No. 96-18, </w:t>
      </w:r>
      <w:r>
        <w:rPr>
          <w:rFonts w:ascii="Arial" w:cs="Arial" w:eastAsia="Arial" w:hAnsi="Arial"/>
          <w:sz w:val="18"/>
          <w:szCs w:val="18"/>
          <w:i w:val="1"/>
          <w:iCs w:val="1"/>
          <w:color w:val="auto"/>
        </w:rPr>
        <w:t>Accounting for Equity Instruments that are Issued to Other than Employees for Acquiring, or in Conjunction with 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or Services. </w:t>
      </w:r>
      <w:r>
        <w:rPr>
          <w:rFonts w:ascii="Arial" w:cs="Arial" w:eastAsia="Arial" w:hAnsi="Arial"/>
          <w:sz w:val="18"/>
          <w:szCs w:val="18"/>
          <w:color w:val="auto"/>
        </w:rPr>
        <w:t>Effective January 1, 2006, the benefits provided under these plans constitute share-based compensation subject to the provisions of SFAS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w:t>
      </w:r>
    </w:p>
    <w:p>
      <w:pPr>
        <w:spacing w:after="0" w:line="14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As a result of the adoption of SFAS No. 123R, our net losses for the three months and nine months ended September 30, 2007 and three months and nine months ended September 30, 2006 were higher by approximately $0.9 million and $3.0 million and $0.2 million and $1.1 million, respectively, than if we had continued to account for share-based compensation under Accounting Principles Board (“APB”) Opinion No. 25. For the three months and nine months ended September 30, 2007 and three months and nine months ended September 30, 2006, share-based compensation expense related to stock options was primarily recorded as a component of general and administrative expense. There were no stock option exercises during the three months and nine months ended September 30, 2007. As of September 30, 2007, there was $8.1 million of unamortized compensation cost related to unvested stock option awards, which is expected to be recognized over a remaining weighted-average vesting period of 2.5 years.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options were granted during the three months ended September 30, 2007. The exercise price of options to purchase 151,000 shares of common stock granted during the nine months ended September 30, 2007 was either equal to market value or at a price above market value on the date of grant, and the share-based compensation expense for such stock options is reflected in operating results for the three months and nine months ended September 30, 2007. The estimated fair value of each stock option award was determined on the date of grant using the Black-Scholes option valuation model with the following weighted-average assumptions for stock option grants: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2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5"/>
              </w:rPr>
              <w:t>Three months ended</w:t>
            </w:r>
          </w:p>
        </w:tc>
        <w:tc>
          <w:tcPr>
            <w:tcW w:w="22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5"/>
              </w:rPr>
              <w:t>Three months ended</w:t>
            </w:r>
          </w:p>
        </w:tc>
        <w:tc>
          <w:tcPr>
            <w:tcW w:w="21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6"/>
              </w:rPr>
              <w:t>Nine months ended</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35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7"/>
              </w:rPr>
              <w:t>September 30, 2007</w:t>
            </w:r>
          </w:p>
        </w:tc>
        <w:tc>
          <w:tcPr>
            <w:tcW w:w="1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7"/>
              </w:rPr>
              <w:t>September 30, 2006</w:t>
            </w:r>
          </w:p>
        </w:tc>
        <w:tc>
          <w:tcPr>
            <w:tcW w:w="1000" w:type="dxa"/>
            <w:vAlign w:val="bottom"/>
          </w:tcPr>
          <w:p>
            <w:pPr>
              <w:spacing w:after="0"/>
              <w:rPr>
                <w:sz w:val="14"/>
                <w:szCs w:val="14"/>
                <w:color w:val="auto"/>
              </w:rPr>
            </w:pPr>
          </w:p>
        </w:tc>
        <w:tc>
          <w:tcPr>
            <w:tcW w:w="21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5"/>
              </w:rPr>
              <w:t>September 30, 2007</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2006</w:t>
            </w:r>
          </w:p>
        </w:tc>
      </w:tr>
      <w:tr>
        <w:trPr>
          <w:trHeight w:val="20"/>
        </w:trPr>
        <w:tc>
          <w:tcPr>
            <w:tcW w:w="3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4.2%</w:t>
            </w:r>
          </w:p>
        </w:tc>
        <w:tc>
          <w:tcPr>
            <w:tcW w:w="2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4.79%</w:t>
            </w:r>
          </w:p>
        </w:tc>
        <w:tc>
          <w:tcPr>
            <w:tcW w:w="21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4.71%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200" w:type="dxa"/>
            <w:vAlign w:val="bottom"/>
            <w:gridSpan w:val="2"/>
          </w:tcPr>
          <w:p>
            <w:pPr>
              <w:jc w:val="right"/>
              <w:ind w:right="860"/>
              <w:spacing w:after="0"/>
              <w:rPr>
                <w:sz w:val="20"/>
                <w:szCs w:val="20"/>
                <w:color w:val="auto"/>
              </w:rPr>
            </w:pPr>
            <w:r>
              <w:rPr>
                <w:rFonts w:ascii="Arial" w:cs="Arial" w:eastAsia="Arial" w:hAnsi="Arial"/>
                <w:sz w:val="18"/>
                <w:szCs w:val="18"/>
                <w:color w:val="auto"/>
              </w:rPr>
              <w:t>69.00%</w:t>
            </w:r>
          </w:p>
        </w:tc>
        <w:tc>
          <w:tcPr>
            <w:tcW w:w="2200" w:type="dxa"/>
            <w:vAlign w:val="bottom"/>
            <w:gridSpan w:val="2"/>
          </w:tcPr>
          <w:p>
            <w:pPr>
              <w:jc w:val="right"/>
              <w:ind w:right="860"/>
              <w:spacing w:after="0"/>
              <w:rPr>
                <w:sz w:val="20"/>
                <w:szCs w:val="20"/>
                <w:color w:val="auto"/>
              </w:rPr>
            </w:pPr>
            <w:r>
              <w:rPr>
                <w:rFonts w:ascii="Arial" w:cs="Arial" w:eastAsia="Arial" w:hAnsi="Arial"/>
                <w:sz w:val="18"/>
                <w:szCs w:val="18"/>
                <w:color w:val="auto"/>
              </w:rPr>
              <w:t>69.00%</w:t>
            </w:r>
          </w:p>
        </w:tc>
        <w:tc>
          <w:tcPr>
            <w:tcW w:w="2160" w:type="dxa"/>
            <w:vAlign w:val="bottom"/>
            <w:gridSpan w:val="2"/>
          </w:tcPr>
          <w:p>
            <w:pPr>
              <w:jc w:val="right"/>
              <w:ind w:right="860"/>
              <w:spacing w:after="0"/>
              <w:rPr>
                <w:sz w:val="20"/>
                <w:szCs w:val="20"/>
                <w:color w:val="auto"/>
              </w:rPr>
            </w:pPr>
            <w:r>
              <w:rPr>
                <w:rFonts w:ascii="Arial" w:cs="Arial" w:eastAsia="Arial" w:hAnsi="Arial"/>
                <w:sz w:val="18"/>
                <w:szCs w:val="18"/>
                <w:color w:val="auto"/>
              </w:rPr>
              <w:t>69.00%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0.00%</w:t>
            </w:r>
          </w:p>
        </w:tc>
        <w:tc>
          <w:tcPr>
            <w:tcW w:w="2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0.00%</w:t>
            </w:r>
          </w:p>
        </w:tc>
        <w:tc>
          <w:tcPr>
            <w:tcW w:w="21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200" w:type="dxa"/>
            <w:vAlign w:val="bottom"/>
            <w:gridSpan w:val="2"/>
          </w:tcPr>
          <w:p>
            <w:pPr>
              <w:jc w:val="right"/>
              <w:ind w:right="1000"/>
              <w:spacing w:after="0"/>
              <w:rPr>
                <w:sz w:val="20"/>
                <w:szCs w:val="20"/>
                <w:color w:val="auto"/>
              </w:rPr>
            </w:pPr>
            <w:r>
              <w:rPr>
                <w:rFonts w:ascii="Arial" w:cs="Arial" w:eastAsia="Arial" w:hAnsi="Arial"/>
                <w:sz w:val="18"/>
                <w:szCs w:val="18"/>
                <w:color w:val="auto"/>
              </w:rPr>
              <w:t>4.0</w:t>
            </w:r>
          </w:p>
        </w:tc>
        <w:tc>
          <w:tcPr>
            <w:tcW w:w="2200" w:type="dxa"/>
            <w:vAlign w:val="bottom"/>
            <w:gridSpan w:val="2"/>
          </w:tcPr>
          <w:p>
            <w:pPr>
              <w:jc w:val="right"/>
              <w:ind w:right="1000"/>
              <w:spacing w:after="0"/>
              <w:rPr>
                <w:sz w:val="20"/>
                <w:szCs w:val="20"/>
                <w:color w:val="auto"/>
              </w:rPr>
            </w:pPr>
            <w:r>
              <w:rPr>
                <w:rFonts w:ascii="Arial" w:cs="Arial" w:eastAsia="Arial" w:hAnsi="Arial"/>
                <w:sz w:val="18"/>
                <w:szCs w:val="18"/>
                <w:color w:val="auto"/>
              </w:rPr>
              <w:t>6.0</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r>
    </w:tbl>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risk-free interest rate assumption is based upon observed interest rates appropriate for the expected term of our employee stock options. The expected volatility is based on the weighted average volatility of our stock price, factoring in changes in the daily share price, the volatility of certain peers within our industry sector and management’s judgment. We have not paid any dividends on our common stock since our inception, and we do not anticipate paying any dividends on our common stock in the foreseeable future. For fiscal year 2007, the expected life of employee stock options represents the weighted average of the expected life of our stock options and the expected stock option life of our peer group’s stock options. For fiscal year 2006, the expected life of employee stock options represents the average of the life of the options and the average vesting period and is a derived output of the simplified method, as allowed under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w:t>
      </w:r>
    </w:p>
    <w:p>
      <w:pPr>
        <w:spacing w:after="0" w:line="118"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As share-based compensation expense recognized in the accompanying consolidated statement of operations for the three months and nine months ended September 30, 2007 was based on awards ultimately expected to vest, such expense should be reduced for estimated forfeitures. SFAS No. 123R requires forfeitures to be estimated at the time of grant and revised, if necessary, in subsequent periods if actual forfeitures differ from those estimates. Forfeitures have been estimated at 15% based on fiscal year 2006’s turnover rate and certain other facts. In our pro forma information required under SFAS No. 123 for the periods prior to fiscal year 2006, we accounted for forfeitures as they occurred. Our determination of fair value is affected by our stock price, as well as a number of assumptions that require management’s judgment. The weighted-average fair value of each stock option granted during the nine months ended September 30, 2007, estimated as of the grant date using the Black-Scholes option valuation model, was $5.27 per stock option, whereas the weighted-average fair value of each stock option granted during the three and nine months ended September 30, 2006 was $6.00 per stock option and $7.40 per stock option,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On July 13, 2006, the FASB issued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FIN 48 clarifies the accounting for uncertainty in income taxes recognized in an entity’s financial statements in 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 FIN 48 is effective for fiscal years beginning after December 15, 2006.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adopted the provisions of FIN 48 on January 1, 2007. As a result of the adoption of FIN 48, we had no cumulative effect adjustment, and therefore, no change to the January 1, 2007 balance in retained earnings. At January 1, 2007 and September 30, 2007, we had no unrecognized tax benefits that, if recognized, would affect our effective income tax rate in future periods.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January 1, 2007 and no accrued interest or penalties at September 30,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taxation in the United States and various state jurisdictions. Our tax years for 2000 and forward are subject to examination by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state tax authorities due to the carryforward of unutilized net operating losses and research and development credits.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adoption of FIN 48 did not impact our consolidated financial condition, results of operations or cash flows. At January 1, 2007, we had net deferred tax assets of $37.1 million. The deferred tax assets are primarily composed of federal and state tax net operating loss (“NOL”) carryfowards and federal and state research and development (“R&amp;D”) credit carryforwards. Due to uncertainties surrounding our ability to generate future taxable income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We have not yet determined whether such an ownership change has occurred; however, we plan to complete an Internal Revenue Code Section 382 analysis regarding the limitation of the net operating losses and research and development credits. When this analysis is completed, we plan to update our unrecognized tax benefits under FIN 48. Therefore, we expect that the unrecognized tax benefits may change within 12 months of this reporting date. At this time, we cannot estimate how much the unrecognized tax benefits may change. Any carryforwards that will expire prior to utilization as a result of such limitations will be removed from deferred tax assets with a corresponding reduction of the valuation allowance. Due to the existence of the valuation allowance, future changes in our unrecognized tax benefits will not impact our effective tax 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Phase III Trial for MN-001, Bronchial Asthma</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June 26, 2007, we announced a strategic initiative to focus our resources on the development and commercialization of two prioritized assets in our development pipeline, MN-221 for the treatment of status asthmaticus and MN-166 for the treatment of multiple sclerosis. As part of this strategy, we terminated the Phase III clinical trial of MN-001 in its current immediate-release formulation in order to continue work on development of a once-per-day oral dosage form of MN-001, which we expect to complete prior to initiating any further Phase III clinical testing of MN-001 for the treatment of bronchial asthma. Our financial results for the three months and nine months ended September 30, 2007 reflect additional research and development expense of $1.3 million and $4.0 million, respectively, based on management’s current estimate of costs required to terminate this clinical trial. We will continue to evaluate this estimate as we proceed with the wind down of this clinical trial, whose completion is anticipated by December 31, 2007.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On April 30, 2007, a participant in one of our clinical trials filed a lawsuit against us, the clinical investigatory site where the individual participated in the clinical trial and the chief investigator at such clinical investigatory site. The complaint alleged that the plaintiff’s daughter suffered permanent injuries </w:t>
      </w:r>
      <w:r>
        <w:rPr>
          <w:rFonts w:ascii="Arial" w:cs="Arial" w:eastAsia="Arial" w:hAnsi="Arial"/>
          <w:sz w:val="16"/>
          <w:szCs w:val="16"/>
          <w:i w:val="1"/>
          <w:iCs w:val="1"/>
          <w:color w:val="auto"/>
        </w:rPr>
        <w:t>in utero</w:t>
      </w:r>
      <w:r>
        <w:rPr>
          <w:rFonts w:ascii="Arial" w:cs="Arial" w:eastAsia="Arial" w:hAnsi="Arial"/>
          <w:sz w:val="16"/>
          <w:szCs w:val="16"/>
          <w:color w:val="auto"/>
        </w:rPr>
        <w:t xml:space="preserve"> as a result of the plaintiff’s participation in our clinical trial. Our insurance carrier assumed defense of this lawsuit, which was settled on September 27, 2007 with no admission of liability. Settlement of the lawsuit did not and will not have a material adverse effect on our business, financial condition or operating results.</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affect on our business, financial condition or operating results.</w:t>
      </w:r>
    </w:p>
    <w:p>
      <w:pPr>
        <w:spacing w:after="0" w:line="182" w:lineRule="exact"/>
        <w:rPr>
          <w:sz w:val="20"/>
          <w:szCs w:val="20"/>
          <w:color w:val="auto"/>
        </w:rPr>
      </w:pPr>
    </w:p>
    <w:p>
      <w:pPr>
        <w:ind w:right="9640" w:firstLine="8"/>
        <w:spacing w:after="0" w:line="391"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non-qualified stock option may not be less than 85% of the fair market value of our common stock on the date the option is granted.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options previously granted under the 2000 Plan will remain outstanding until the earlier of expiration or exercise.</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 summary of the changes in stock options outstanding under the 2000 Plan and 2004 Plan during the nine months ended September 30, 2007 is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86"/>
              </w:rPr>
              <w:t>Weighted average</w:t>
            </w: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2,038,791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Granted</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151,000</w:t>
            </w:r>
          </w:p>
        </w:tc>
        <w:tc>
          <w:tcPr>
            <w:tcW w:w="40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Cancelled</w:t>
            </w:r>
          </w:p>
        </w:tc>
        <w:tc>
          <w:tcPr>
            <w:tcW w:w="288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(150,467)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28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2,039,324</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aggregate intrinsic value of stock options exercised during the nine months ended September 30, 2007, outstanding at September 30, 2007 and exercisable at September 30, 2007 was $0, in each case. Of the total stock options outstanding as of September 30, 2007, options to purchase 665,562 shares of common stock are exercisable, with a weighted average exercise price of $12.61 per share and a weighted average contractual life of 8.0 years.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Warrants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January 2007, a founder exercised warrants to purchase 359,248 shares of our common stock at $1.00 per share in a cashless exercise that resulted in the issuance of 332,196 shares of common stock. In September 2007, a founder exercised warrants to purchase 367,828 shares of our common stock at $1.00 per share in a cashless exercise that resulted in the issuance of 317,571 shares of common stock. At September 30, 2007, no underlying shares of common stock remained subject to purchase under the terms of the founders’ warrants.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MediciNova, Inc. 2007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purchase period. At September 30, 2007, 5,027 shares of common stock had been issued from treasury stock under the ESPP and 294,973 shares of common stock were available for future issuance.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2006 included in our Annual Report on Form 10-K filed with the Securities and Exchange Commission, or SEC, on February 15, 2007. Past operating results are not necessarily indicative of results that may occur in future periods.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this Quarterly Report on Form 10-Q under the caption “Item 1A, Risk Factors” and the differences may be material. Forward-looking statements discuss matters that are not historical facts. Forward-looking statements include, but are not limited to, statements regarding our operating strategy, product development and growth strategy, acquisition strategy, plans, objectives, clinical trials, industry, financial condition, liquidity and capital resources, future performance and other statements that are not historical facts. Such forward-looking statements may include, but are not limited to, statements preceded by, followed by or that otherwise include the words “believes,” “expects,” “anticipates,” “intends,” “estimates,” “projects,” “can,” “could,” “may,” “will,” “would” or similar expressions. For such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need with a specific focus on the U.S. market. Through strategic alliances primarily with Japanese pharmaceutical companies, we are developing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development stage company. We have incurred significant net losses since our inception. At September 30, 2007, from inception, our accumulated deficit was approximately $202.1 million, including $39.8 million of non-cash stock-based compensation charges related to employee stock-based compensation and founders’ warrants. We expect to incur substantial net losses for the next several years as we continue to develop our existing product development programs and over the long-term as we expand our research and development programs and acquire or in-license products, technologies or businesses that are complementary to our own.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prioritized product development programs consist of:</w:t>
      </w:r>
    </w:p>
    <w:p>
      <w:pPr>
        <w:spacing w:after="0" w:line="90" w:lineRule="exact"/>
        <w:rPr>
          <w:sz w:val="20"/>
          <w:szCs w:val="20"/>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MN-221 for the treatment of status asthmaticus, for which we initiated a Phase IIa clinical trial in the fourth quarter of 2006 and announced positive results in the fourth quarter of 2007; and</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MN-166 for the treatment of multiple sclerosis, for which we initiated a Phase II clinical trial in Eastern Europe in the third quarter of 2005 and announced positive clinical one-year results in the first quarter of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product development programs consist of:</w:t>
      </w:r>
    </w:p>
    <w:p>
      <w:pPr>
        <w:spacing w:after="0" w:line="90" w:lineRule="exact"/>
        <w:rPr>
          <w:sz w:val="20"/>
          <w:szCs w:val="20"/>
          <w:color w:val="auto"/>
        </w:rPr>
      </w:pPr>
    </w:p>
    <w:p>
      <w:pPr>
        <w:ind w:left="900" w:right="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in order to focus on the development of a once-per-day oral dosing formulation for MN-001;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currently have one Phase I clinical trial ongoing in the United States (two patients remain on extended treatment);</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MN-305 for the treatment of Generalized Anxiety Disorder/insomnia, for which we completed a Phase II/III clinical trial for the treatment of Generalized Anxiety Disorder in the second quarter of 2006 and initiated a Phase IIa clinical trial for the treatment of insomnia in the first quarter of 2007, the results of which we announced in the fourth quarter of 2007;</w:t>
      </w:r>
    </w:p>
    <w:p>
      <w:pPr>
        <w:spacing w:after="0" w:line="59"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a Phase Ib clinical study to investigate the pharmacokinetic profile of MN-221 in healthy pregnant women not in labor was completed in the second quarter of 2007;</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is in preclinical 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is in preclinical development.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27, 2007, we announced one-year clinical results of a Phase II clinical trial of MN-166 that measures both surrogate (radiological) and clinical outcomes over two years of treatment in 297 patients with relapsing multiple sclerosis, or MS. The randomized, double-blind, placebo-controlled trial showed a significant increase in the proportion of patients who remained relapse-free over the first 12 months of treatment with 60 mg per day of MN-166 compared to placebo (p=0.03). The time to first relapse was also significantly increased in patients treated with 60 mg of MN-166 per day compared to placebo (p=0.04). Positive trends were also observed in the annualized relapse rate (p=0.08) and number of relapses (p=0.10) among patients who completed the full first 12 months of treatment with 60 mg of MN-166 per day compared to those patients completing the first 12 months of treatment on placebo. A significant reduction in brain volume loss (p=0.04), as measured by cranial magnetic resonance imaging, or MRI, scans, was observed in patients treated with 60 mg per day of MN-166 compared to placebo. Loss of brain volume on MRI has been shown to correlate with disease progression and disability in MS patients. Positive trends were also observed in several other radiological outcome measures, including the volume of gadolinium-enhancing (T1) lesions (p=0.09) in patients treated with 60 mg of MN-166 per day compared with placebo. However, no reduction in the cumulative number of active (gadolinium-enhancing (T1) and non-enhancing new/enlarging (T2)) lesions on cranial MRI scans over 12 months of treatment was observed in patients treated with MN-166 compared to placebo, which was the protocol-defined primary endpoint of the study. No clinical or radiological benefit was observed in patients treated with 30 mg per day of MN-166.</w:t>
      </w:r>
    </w:p>
    <w:p>
      <w:pPr>
        <w:spacing w:after="0" w:line="12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June 26, 2007, we announced a strategic initiative to focus our resources on the development and commercialization of two prioritized assets in our development pipeline, MN-221 for the treatment of status asthmaticus and MN-166 for the treatment of MS. As part of this strategy, we terminated the Phase III clinical trial of MN-001 in its current immediate-release formulation of MN-001 in order to continue work on developing a once-a-day oral dosage form, which we expect to complete prior to initiating any further Phase III clinical testing of MN-001 for the treatment of bronchial asthma. As a consequence, the key elements of our revised strategy are to:</w:t>
      </w:r>
    </w:p>
    <w:p>
      <w:pPr>
        <w:spacing w:after="0" w:line="62" w:lineRule="exact"/>
        <w:rPr>
          <w:sz w:val="20"/>
          <w:szCs w:val="20"/>
          <w:color w:val="auto"/>
        </w:rPr>
      </w:pPr>
    </w:p>
    <w:p>
      <w:pPr>
        <w:ind w:left="900" w:right="1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Concentrate on the development of our two prioritized product candidates. We may either commercialize these product candidates ourselves with a targeted sales force, such as in the case of MN-221, or enter into strategic alliances with larger pharmaceutical companies, as we presently intend with MN-166;</w:t>
      </w:r>
    </w:p>
    <w:p>
      <w:pPr>
        <w:spacing w:after="0" w:line="59"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Strategically conduct development activities on the remainder of our diversified pipeline of existing product candidates, to the extent that we deem any further activities necessary, to maximize their value while pursuing a variety of initiatives to monetize these product candidates on appropriate terms;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Opportunistically in-license additional product candidates over the long term by continuing to cultivate and strengthen our business relationships with pharmaceutical companies in Japan and other markets;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Selectively add commercial capabilities as our product development programs mature to support our evolution into a commercial entity and ensure our ability to build a sustainable business.</w:t>
      </w:r>
    </w:p>
    <w:p>
      <w:pPr>
        <w:spacing w:after="0" w:line="132" w:lineRule="exact"/>
        <w:rPr>
          <w:sz w:val="20"/>
          <w:szCs w:val="20"/>
          <w:color w:val="auto"/>
        </w:rPr>
      </w:pPr>
    </w:p>
    <w:p>
      <w:pPr>
        <w:ind w:right="220" w:firstLine="456"/>
        <w:spacing w:after="0" w:line="272" w:lineRule="auto"/>
        <w:rPr>
          <w:sz w:val="20"/>
          <w:szCs w:val="20"/>
          <w:color w:val="auto"/>
        </w:rPr>
      </w:pPr>
      <w:r>
        <w:rPr>
          <w:rFonts w:ascii="Arial" w:cs="Arial" w:eastAsia="Arial" w:hAnsi="Arial"/>
          <w:sz w:val="16"/>
          <w:szCs w:val="16"/>
          <w:color w:val="auto"/>
        </w:rPr>
        <w:t>In October 2007, we announced positive results from a Phase IIa clinical study of MN-221, our novel intravenous product candidate for the treatment of status asthmaticus. The study achieved statistical significance in its primary endpoint of mean change in forced expiratory volume in 1 second, or FEV</w:t>
      </w:r>
      <w:r>
        <w:rPr>
          <w:rFonts w:ascii="Arial" w:cs="Arial" w:eastAsia="Arial" w:hAnsi="Arial"/>
          <w:sz w:val="20"/>
          <w:szCs w:val="20"/>
          <w:color w:val="auto"/>
          <w:vertAlign w:val="subscript"/>
        </w:rPr>
        <w:t>1</w:t>
      </w:r>
      <w:r>
        <w:rPr>
          <w:rFonts w:ascii="Arial" w:cs="Arial" w:eastAsia="Arial" w:hAnsi="Arial"/>
          <w:sz w:val="16"/>
          <w:szCs w:val="16"/>
          <w:color w:val="auto"/>
        </w:rPr>
        <w:t>, from</w:t>
      </w:r>
    </w:p>
    <w:p>
      <w:pPr>
        <w:spacing w:after="0" w:line="4" w:lineRule="exact"/>
        <w:rPr>
          <w:sz w:val="20"/>
          <w:szCs w:val="20"/>
          <w:color w:val="auto"/>
        </w:rPr>
      </w:pPr>
    </w:p>
    <w:p>
      <w:pPr>
        <w:jc w:val="both"/>
        <w:ind w:right="200"/>
        <w:spacing w:after="0" w:line="243" w:lineRule="auto"/>
        <w:rPr>
          <w:sz w:val="20"/>
          <w:szCs w:val="20"/>
          <w:color w:val="auto"/>
        </w:rPr>
      </w:pPr>
      <w:r>
        <w:rPr>
          <w:rFonts w:ascii="Arial" w:cs="Arial" w:eastAsia="Arial" w:hAnsi="Arial"/>
          <w:sz w:val="18"/>
          <w:szCs w:val="18"/>
          <w:color w:val="auto"/>
        </w:rPr>
        <w:t>baseline at 15 minutes (the end of the infusion) at doses of 10, 16, 30 and 60 micrograms/min of MN-221 (p less than or equal to 0.0006) and at the dose of 3.5 micrograms/min (p=0.0106), compared to placebo. There were no clinically significant cardiovascular, electrocardiogram (ECG), or vital sign changes, and no serious adverse effects were observed in this trial.</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October 2007, we announced results from a Phase IIa clinical study of MN-305, our novel product candidate for the treatment of insomnia. The clinical study failed to achieve statistical significance in its primary endpoint of reducing Wake After Sleep Onset (WASO). MN-305 was well tolerated in this study with no clinically significant adverse events observed at any dose tested. There was no evidence of any decrements in psychomotor performance, as assessed in Digit Symbol Substitution and Symbol Copying tests, in patients treated with MN-305. Based on the results of this study, we also announced that we will terminate development of MN-305 for the treatment of insomnia.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12 months. Our revenues to date have been generated from development management services under master service agreements with Asahi Kasei Pharma Corporation and Argenes, Inc., pursuant to which we billed consulting fees and our pass-through clinical contract costs. The primary cost associated with our revenue was the clinical contract costs we incurred and passed-through to our customer. Our agreement with Asahi Kasei Pharma Corporation has been completed, and we terminated our agreement with Argenes, Inc. Therefore, we will not generate any further revenue from these agreements over the next 12 months or thereafter.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the feasibility studies, licensing and pre-clinical and clinical development of our eight licensed compounds. These research and development expenses include external costs, such as fees paid to consultants, contract research organizations and other third parties, and internal costs of compensation and other expenses for research and development personnel, supplies, materials, facility costs and depreciation.</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such costs are included in the “Unallocated” category in the table below. We charge all research and development expenses to operations as incurred.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174"/>
              <w:spacing w:after="0"/>
              <w:rPr>
                <w:sz w:val="20"/>
                <w:szCs w:val="20"/>
                <w:color w:val="auto"/>
              </w:rPr>
            </w:pPr>
            <w:r>
              <w:rPr>
                <w:rFonts w:ascii="Arial" w:cs="Arial" w:eastAsia="Arial" w:hAnsi="Arial"/>
                <w:sz w:val="14"/>
                <w:szCs w:val="14"/>
                <w:b w:val="1"/>
                <w:bCs w:val="1"/>
                <w:color w:val="auto"/>
                <w:w w:val="96"/>
              </w:rPr>
              <w:t>Nine months ended</w:t>
            </w:r>
          </w:p>
        </w:tc>
      </w:t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14"/>
              <w:spacing w:after="0"/>
              <w:rPr>
                <w:sz w:val="20"/>
                <w:szCs w:val="20"/>
                <w:color w:val="auto"/>
              </w:rPr>
            </w:pPr>
            <w:r>
              <w:rPr>
                <w:rFonts w:ascii="Arial" w:cs="Arial" w:eastAsia="Arial" w:hAnsi="Arial"/>
                <w:sz w:val="14"/>
                <w:szCs w:val="14"/>
                <w:b w:val="1"/>
                <w:bCs w:val="1"/>
                <w:color w:val="auto"/>
              </w:rPr>
              <w:t>September 30,</w:t>
            </w:r>
          </w:p>
        </w:tc>
      </w:tr>
      <w:tr>
        <w:trPr>
          <w:trHeight w:val="136"/>
        </w:trPr>
        <w:tc>
          <w:tcPr>
            <w:tcW w:w="8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Candidate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Borders>
              <w:bottom w:val="single" w:sz="8" w:color="auto"/>
            </w:tcBorders>
          </w:tcPr>
          <w:p>
            <w:pPr>
              <w:ind w:left="1500"/>
              <w:spacing w:after="0" w:line="129" w:lineRule="exact"/>
              <w:rPr>
                <w:sz w:val="20"/>
                <w:szCs w:val="20"/>
                <w:color w:val="auto"/>
              </w:rPr>
            </w:pPr>
            <w:r>
              <w:rPr>
                <w:rFonts w:ascii="Arial" w:cs="Arial" w:eastAsia="Arial" w:hAnsi="Arial"/>
                <w:sz w:val="14"/>
                <w:szCs w:val="14"/>
                <w:b w:val="1"/>
                <w:bCs w:val="1"/>
                <w:color w:val="auto"/>
              </w:rPr>
              <w:t>Disease/ Indication</w:t>
            </w:r>
          </w:p>
        </w:tc>
        <w:tc>
          <w:tcPr>
            <w:tcW w:w="4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2006</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2006</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Status asthmaticus</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$ 1,169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MN-166</w:t>
            </w: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Multiple sclerosis</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3,256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2,888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6,813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6,233</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Bronchial asthma</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16,323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MN-001</w:t>
            </w: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Interstitial cystitis</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3,462</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Solid tumors</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MN-305</w:t>
            </w: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Generalized Anxiety Disorder/insomnia</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5,218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3,283</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Preterm labor</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MN-246</w:t>
            </w: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Urinary incontinence</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1,634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2,218</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Thrombotic disorders</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MN-462</w:t>
            </w: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Thrombotic disorders</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SOCC</w:t>
            </w: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Cancer; inflammatory diseases</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1,640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7"/>
        </w:trPr>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r>
      <w:tr>
        <w:trPr>
          <w:trHeight w:val="216"/>
        </w:trPr>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$ 8,669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7,995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40,729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22,227</w:t>
            </w: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Because such expenditures were committed prior to our strategic shift in June 2007, we made substantial research and development expenditures in certain of our product development programs following our decision to focus our resources on our two prioritized product candidates. Adhering to our strategy to focus our resources on our two prioritized assets, MN-221 for the treatment of status asthmaticus and MN-166 for the treatment of MS, and in order to bring these assets substantially forward towards commercialization, we will limit our expenditures on other product development programs to only those activities necessary to maximize the value of such product candidates, while aggressively pursuing a variety of initiatives to monetize such product candidates on appropriate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2006.</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2007 and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There were no revenues for the three months ended September 30, 2007, a decrease of $0.1 million when compared to $0.1 million for the three months ended September 30, 2006. The decrease in revenues was due to a lack of activity under our master services agreement with Argenes, Inc. We terminated our agreement with Argenes, Inc. in June 2007 and therefore will not generate any further revenues from this agreement in fiscal year 2007 or thereafter.</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Research and development expenses for the three months ended September 30, 2007 were $8.7 million, an increase of $0.7 million when compared to $8.0 million for the three months ended September 30, 2006. The increase in research and development expenses was primarily due to $0.4 million related to a market valuation study and consulting expenditures for one of our prioritized assets, $0.2 million in net product development program costs related to the advancement of all of our product development programs and $0.1 million related to increased stock-based compensation.</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Since we have determined to focus our resources on our two prioritized product candidates, MN-221 and MN-166, we expect that our research and development expenses will increase with respect to these two prioritized product candidates in future periods, as we continue development and launch clinical trials in support of potential commercialization of these product candidates, primarily related to fees paid to external service providers for the management and conduct of clinical trials and the performance of data collection and analysis. In contrast, we expect that our research and development expenses will decrease with respect to the remainder of our existing product candidates in future periods, as we will limit expenditures on these product candidates to those development activities necessary to maximize their value for purposes of monetizing these product candidates.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General and administrative expenses were $2.7 million for the three months ended September 30, 2007, an increase of $0.6 million when compared to $2.1 million for the three months ended September 30, 2006. The increase was primarily due to $0.1 million in increased administrative compensation (primarily severance costs) and $0.5 million related to increased stock-based compensation.</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anticipate that our general and administrative expenses will continue to increase in future periods as we expand our infrastructure and incur additional costs for insurance and professional and consulting fees associated with operating as a dual-listed public company and supporting the future growth of our research and development programs and business development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income primarily consisted of income earned on our cash and investment balances and totaled $1.1 million for the three months ended September 30, 2007, a decrease of $0.6 million when compared to $1.7 million for the three months ended September 30, 2006. The decrease was primarily due to a decrease of our investment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2007 and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There were no revenues for the nine months ended September 30, 2007, a decrease of $0.4 million when compared to $0.4 million for the nine months ended September 30, 2006. The decrease in revenues was due to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lack of activity under our master services agreement with Argenes, Inc. We terminated our agreement with Argenes, Inc. in June 2007 and therefore will not generate any further revenues from this agreement in fiscal year 2007 or thereafter.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Research and development expenses for the nine months ended September 30, 2007 were $40.7 million, an increase of $18.5 million when compared to $22.2 million for the nine months ended September 30, 2006. The increase in research and development expenses was primarily due to $13.7 million in product development program costs related to the advancement and announced termination of a Phase III clinical trial for MN-001 for the treatment of bronchial asthma, $4.9 million in product development program costs related to the advancement of a Phase II clinical trial for MN-305 for the treatment of insomnia and $5.8 million in product development program costs related to the advancement of our other product development programs, primarily covering our programs for MN-029 for the treatment of solid tumors and MN-221 for the treatment of status asthmaticus and preterm labor, $0.4 million related to market valuation and consulting for one of our prioritized assets and $0.4 million in increased stock based compensation, offset by $6.7 million related to the completion of a Phase II clinical trial for MN-001 for the treatment of interstitial cystitis and a Phase II clinical trial for MN-305 for the treatment of GAD.</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Since we have determined to focus our resources on our two prioritized product candidates, MN-221 and MN-166, we expect that our research and development expenses will increase with respect to these two prioritized product candidates in future periods, as we continue development and launch clinical trials in support of potential commercialization of these product candidates, primarily related to fees paid to external service providers for the management and conduct of clinical trials and the performance of data collection and analysis. In contrast, we expect that our research and development expenses will decrease with respect to the remainder of our existing product candidates in future periods, as we will limit expenditures on these product candidates to those development activities necessary to maximize their value for purposes of monetizing these product candidates.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were $8.7 million for the nine months ended September 30, 2007, an increase of $2.2 million when compared to $6.5 million for the nine months ended September 30, 2006. The increase was primarily due to $0.9 million in increased administrative compensation (additional headcount, salary increases and severance) and $1.3 million in increased stock-based compensation.</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anticipate that our general and administrative expenses will continue to increase in future periods as we expand our infrastructure and incur additional costs for insurance and professional and consulting fees associated with operating as a dual-listed public company and supporting the future growth of our research and development programs and business development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primarily consisted of income earned on our cash and investment balances and totaled $3.5 million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2007, a decrease of $1.1 million when compared to $4.6 million for the nine months ended September 30, 2006. The decrease was primarily due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decrease of our investment balances.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our inception, our operations have been financed through the private placement of our equity securities, the public sale of our common stock and the exercise of founders’ warrants, net of treasury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repurchases. Through September 30, 2007, we received estimated net proceeds of $201.3 million from the sale of equity securities and warrant and stock option exercises as follows: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2000, we issued and sold 50,000 shares of common stock to founders for aggregate proceeds of $0.1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October 2000 and August 2001, we issued and sold 100,000 shares of Series A preferred stock for aggregate net proceeds of $10.0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 shares of Series B preferred stock for aggregate net proceeds of $26.8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September 2, 2004, we issued and sold 2,766,785 shares of Series C preferred stock for aggregate net proceeds of $43.4 million;</w:t>
      </w:r>
    </w:p>
    <w:p>
      <w:pPr>
        <w:spacing w:after="0" w:line="113" w:lineRule="exact"/>
        <w:rPr>
          <w:rFonts w:ascii="Arial" w:cs="Arial" w:eastAsia="Arial" w:hAnsi="Arial"/>
          <w:sz w:val="16"/>
          <w:szCs w:val="16"/>
          <w:color w:val="auto"/>
        </w:rPr>
      </w:pPr>
    </w:p>
    <w:p>
      <w:pPr>
        <w:ind w:left="900" w:right="2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or IPO, of 3,000,000 million shares of common stock for proceeds of $104.5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900" w:right="180" w:hanging="325"/>
        <w:spacing w:after="0" w:line="35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 March 8, 2005, we completed the sale of 157,300 shares of common stock for aggregate proceeds of $5.6 million, net of underwriting discounts and commissions, as a result of the underwriters’ partial exercise of the over-allotment option we granted to them in connection with our IPO;</w:t>
      </w: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 and</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September 30, 2007, we had approximately $75.9 million in cash, cash equivalents and marketable securities available for sale compared to $104.1 million at December 31, 2006. We have invested a substantial portion of our available cash in high-grade auction rate securities and government sponsored securities. We have adopted an investment policy and established guidelines relating to diversification and maturities of our investments to preserve principal and maintain liquidity.</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Net cash used in operating activities increased to $38.7 million for the nine months ended September 30, 2007 from $21.0 million for the nine months ended September 30, 2006. This increase was primarily due to the net loss of $45.9 million related to increased research and development expenses for our product development programs, termination costs related to our Phase III clinical trial of MN-001 for the treatment of bronchial asthma and increased general and administrative expenses associated with such product development programs. Net cash provided by investing activities for the nine months ended September 30, 2007 was $34.5 million and primarily consisted of the maturity of marketable securities. Net cash provided by financing activities amounted to $10.7 million for the nine months ended September 30, 2007, primarily due to the public offering of 1,000,000 shares of our common stock which was completed on February 1, 2007.</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consumed substantial amounts of capital since our inception. We believe that our existing cash, cash equivalents and marketable securities as of September 30, 2007 will be sufficient to fund our anticipated operating requirements through at least September 30, 2008. Although we believe that our existing capital resources will be sufficient to fund our operating requirements through at least September 30, 2008, including all of our planned research and development activities, we may require significant additional financing in the future to fund our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in, and the costs of, our clinical trials and other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or our commercialization efforts, curtail our efforts to acquire new product candidates or relinquish rights to our technologies or product candidates.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exposure to market risk as a result of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On April 30, 2007, a participant in one of our clinical trials filed a lawsuit against us, the clinical investigatory site where the individual participated in the clinical trial and the chief investigator at such clinical investigatory site. The complaint alleged that the plaintiff’s daughter suffered permanent injuries </w:t>
      </w:r>
      <w:r>
        <w:rPr>
          <w:rFonts w:ascii="Arial" w:cs="Arial" w:eastAsia="Arial" w:hAnsi="Arial"/>
          <w:sz w:val="16"/>
          <w:szCs w:val="16"/>
          <w:i w:val="1"/>
          <w:iCs w:val="1"/>
          <w:color w:val="auto"/>
        </w:rPr>
        <w:t>in utero</w:t>
      </w:r>
      <w:r>
        <w:rPr>
          <w:rFonts w:ascii="Arial" w:cs="Arial" w:eastAsia="Arial" w:hAnsi="Arial"/>
          <w:sz w:val="16"/>
          <w:szCs w:val="16"/>
          <w:color w:val="auto"/>
        </w:rPr>
        <w:t xml:space="preserve"> as a result of the plaintiff’s participation in our clinical trial. Our insurance carrier assumed defense of this lawsuit, which was settled on September 27, 2007 with no admission of liability. Settlement of the lawsuit did not and will not have a material adverse effect on our business, financial condition or operating results.</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affect on our business, financial condition or operating results.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The following section describes certain risks and uncertainties that may have a material adverse effect on our business, financial condition, results of operations and the market price of our common stock and may cause our actual results to differ materially from recent results or from anticipated future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 development-stage biopharmaceutical company with a limited operating history. We have incurred significant net losses since our inception. For the three months and nine months ended September 30, 2007, we had a net loss of $10.2 million and $45.9 million, respectively, and our accumulated deficit was approximately $202.1 million at September 30, 2007. Our annual net losses may increase over the next several years as we expand our infrastructure and incur significant costs related to our product candidates.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expect our research and development expenses to increase in connection with planned clinical trials for our prioritized product candidates and any other development activities that we may initiate. In addition, we expect our general and administrative expenses to increase as a result of several factors, including our research and development activities, our business development activities and the increased costs associated with operating as a dual-listed public company. Consequently, we expect to continue to incur significant and increasing operating losses for the foreseeable future.</w:t>
      </w:r>
    </w:p>
    <w:p>
      <w:pPr>
        <w:spacing w:after="0" w:line="19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received, and do not expect to receive for at least the next several years,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We have completed our agreement with Asahi Kasei Pharma Corporation, and we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must succeed, either alone or with third parties, in developing, obtaining regulatory approval for, manufacturing and marketing drugs with market potential. We may never succeed in these activities, and we may not generate sufficient revenues to continue our business operations or achieve profitability.</w:t>
      </w:r>
    </w:p>
    <w:p>
      <w:pPr>
        <w:spacing w:after="0" w:line="16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currently have no products for sale, and we cannot guarantee that we will ever have any marketable drug products. The research, testing, manufacturing, labeling, approval, selling, marketing and distribution of drug products are subject to extensive regulation by the U.S. Food and Drug Administration, or FDA, and other regulatory authorities in the United States and other countries, which regulations differ from country to country. We are not permitted to market any of our product candidates in the United States until we receive approval of a new drug application, or NDA, for a product candidate from the FDA. Obtaining FDA approval is a lengthy, expensive and uncertain process. We currently have two prioritized product candidates, MN-221 for the treatment of status asthmaticus and MN-166 for the treatment of multiple sclerosis, and our business success currently depends on their successful development and commercialization. We have not submitted an NDA or received marketing approval for either of these two prioritized product candidates.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clinical development programs for MN-221 and MN-166 may not lead to commercial products for a number of reasons, including if our clinical trials fail to demonstrate to the satisfaction of the FDA that these product candidates are safe and effective and, as a result, we may fail to obtain necessary approvals from the FDA and similar foreign regulatory agencies. We may also fail to obtain the necessary approvals if we have inadequate financial or other resources to advance our product candidates through the clinical trial process. Any failure to obtain regulatory approval of MN-221 and MN-166 would have a material and adverse impact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the following ten product candidates:</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MN-221 for status asthmaticus and preterm labor licensed from Kissei Pharmaceutical Co., Ltd.;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 Co., Ltd.;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MN-001 for bronchial asthma and interstitial cystitis licensed from Kyorin Pharmaceutical Co., Ltd.;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 Ltd.;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MN-305 for anxiety disorders/insomnia licensed from Mitsubishi Tanabe Pharma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Tanabe Pharma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MN-447 for thrombotic disorders licensed from Meiji Seika Kaisha, Ltd.;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MN-462 for thrombotic disorders licensed from Meiji Seika Kaisha, Ltd.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Our license agreements may be terminated if we breach our obligations under the agreements materially and fail to cure any such breach within a specified period of time.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manifest a high risk of failure and can be delayed, suspended or terminated.</w:t>
      </w:r>
    </w:p>
    <w:p>
      <w:pPr>
        <w:spacing w:after="0" w:line="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Eight of our product candidates are in clinical development, which is the process that is required to receive regulatory approval for commercial sale of a product. Our two most recent product candidates are in preclinical development. The regulatory approval process is long, complex and costly. It may take years to complete the clinical development necessary to commercialize a drug, and delays or failure can occur at any stage, which may result in our inability to market and sell any products derived from any of our product candidates. For example, in October 2007, we announced that our Phase IIa clinical study of MN-305 for the treatment of insomnia failed to achieve statistical significance in its primary endpoint and, as a result, we are no longer pursuing the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for each of our product candidates, we face many risks, including the risks that:</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not agree with our proposed development plans or accept the results of completed clinical studies; and</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planned clinical studies may be deemed by the FDA not to be sufficient, which would require additional development for the product candidate before it can be evaluated in late stage clinical studies or before the FDA will consider an application for marketing approval.</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 date, we have regulatory authorization to conduct clinical trials for eight of our product development programs. Investigational New Drug, or IND, applications were approved and are active for seven product candidates. We also have Clinical Trial Authorizations, or CTAs, the equivalent of a U.S. IND, approved and active to conduct a Phase II study for MN-166 in patients with multiple sclerosis in five countries in Eastern Europe and CTAs approved in Canada to conduct two Phase I studies for MN-246 in healthy subjects.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 effective IND from the FDA.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90" w:lineRule="exact"/>
        <w:rPr>
          <w:sz w:val="20"/>
          <w:szCs w:val="20"/>
          <w:color w:val="auto"/>
        </w:rPr>
      </w:pPr>
    </w:p>
    <w:p>
      <w:pPr>
        <w:ind w:left="900" w:right="1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6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or</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8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Additionally, changes in regulatory requirements and guidance may occur, and we may need to amend clinical trial protocols to reflect these changes. Amendments may require us to resubmit our clinical trial protocols to institutional review boards for reexamination, which may impact the costs, timing or successful completion of a clinical trial. In light of widely publicized events concerning the safety risk of certain drug products, regulatory authorities, members of Congress,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risk management programs that may, for instance, restrict distribution of drug products. The increased attention to drug safety issues may result in a more cautious approach by the FDA to clinical trials. Data from clinical trials may receive greater scrutiny with respect to safety, which may make the FDA or other regulatory authorities more likely to terminate clinical trials before completion or require longer or additional clinical trials that may result in substantial additional expense and a delay or failure in obtaining approval or approval for a more limited indication than originally sought.</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Many of the factors described above may also ultimately lead to failure to obtain regulatory approval of a current or potential product candidate. If we do not successfully complete clinical development of our product candidates, we will be unable to obtain regulatory approval or to market and sell products derived from our product candidates and to generate revenues from such products. If we experience delays or suspensions in our clinical trials for a product candidate, the commercial prospects for such product candidate will be harmed, we may incur increased costs for development of such product candidate, and our ability to generate revenues from such product candidate will be delayed.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Given that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5620" w:right="2460" w:hanging="5045"/>
        <w:spacing w:after="0" w:line="440" w:lineRule="auto"/>
        <w:tabs>
          <w:tab w:leader="none" w:pos="8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 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we are not successful in identifying and licensing or acquiring other product candidates over the long term, we will not be able to grow our revenues with sales from new products beyond those revenues, if any, from our existing product candidates, and we may fail to achieve or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consumed substantial amounts of capital since our inception. From our inception to September 30, 2007, we have an accumulated deficit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$202.1 million. For the nine months ended September 30, 2007, we used approximately $38.7 million in net cash to fund our operating activities and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cash to purchase fixed assets. Our cash and marketable securities totaled approximately $76.0 million at September 30, 2007. Although we intend to manage our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product development programs such that our existing cash, cash equivalents and marketable securities as of September 30, 2007 will be sufficient to meet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requirements through at least September 30, 2008, we may require significant additional financing to fund our operations thereafter. Our future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requirements will depend on, and could increase significantly as a result of, many factors including:</w:t>
      </w:r>
    </w:p>
    <w:p>
      <w:pPr>
        <w:spacing w:after="0" w:line="8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progress in, and the costs of, our clinical trials and other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w:t>
      </w:r>
    </w:p>
    <w:p>
      <w:pPr>
        <w:spacing w:after="0" w:line="3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terminate or delay or reduce the scope of the product development program, including clinical trials, for one or more of our product candidates;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 or other activities to commercialize a product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19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4"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A key aspect of our strategy will be to seek collaborations with partners, such as large pharmaceutical organizations, that are willing to conduct later-stage clinical trials and further develop and commercialize selected product candidates. To date, we have not entered into any such collaborative arrangements.</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By entering into these strategic collaborations, we may rely on our partners for financial resources and for development, regulatory and commercialization expertise. Our partners may fail to develop or effectively commercialize our product candidates because they:</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do not have sufficient resources or decide not to devote the necessary resources due to internal constraints such as limited cash or human resources;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decide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that the market opportunity is not attractive;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not be able to enter into collaborations on acceptable terms, if at all. The licensors of our MN-221, MN-305 and MN-246 product candidates have a right to co-promote these product candidates pursuant to the terms of their respective license agreements, which may make it more difficult to enter into a collaboration with other third parties. We also face competition in our search for partners from other organizations worldwide, many of whom are larger and are able to offer more attractive deals in terms of financial commitments, contribution of human resources, or development, manufacturing, regulatory or commercial expertise and support.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we may not be able to complete development of, or commercialize one or more of, our product candidates. In such event, our ability to generate revenues and achieve or sustain profitability would be significantly hindered.</w:t>
      </w:r>
    </w:p>
    <w:p>
      <w:pPr>
        <w:spacing w:after="0" w:line="22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Although we design and manage our current clinical trials, we do not have the ability to conduct clinical trials directly for our product candidates. We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organizations, including: Accelsiors CRO and Consultancy Services of Budapest, Hungary; Pharmaceutical Research Associates, Inc. of Lenexa, Kansas; Fulcrum Pharma Developments, Inc. of Durham, North Carolina; Paragon Biomedical, Inc. of Irvine, California; Quintiles, Inc. of Morrisville, North Carolina; PharmaNet, Inc. of Princeton, New Jersey; and Synteract, Inc. of Carlsbad, California.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clinical protocols or regulatory requirements or for other reasons.</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we might not be able to enter into replacement arrangements without delays or additional expenditures if we were to seek such alternative sources.</w:t>
      </w:r>
    </w:p>
    <w:p>
      <w:pPr>
        <w:spacing w:after="0" w:line="18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cost of alternative treatments, including cheaper generic drugs;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the current standard of care or otherwise does not provide patient benefit, that product candidate, if approved for commercial sale by the FDA or other regulatory authorities, likely will not achieve market acceptance and our ability to generate revenues from that product candidate would be substantially reduced.</w:t>
      </w:r>
    </w:p>
    <w:p>
      <w:pPr>
        <w:spacing w:after="0" w:line="18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ability to commercialize our products successfully will depend in significant part on the extent to which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in particular HMOs, are pursuing various ways to reduce pharmaceutical costs, including, for instance,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development and regulatory personnel. In addition, we may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offices are located. Our short operating history and the uncertainties attendant to being a development-stage biopharmaceutical company could impair our ability to attract and retain personnel and impede the achievement of our development and commercialization objectives.</w:t>
      </w:r>
    </w:p>
    <w:p>
      <w:pPr>
        <w:spacing w:after="0" w:line="11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 date, we have not sold, marketed or distributed any pharmaceutical products. If we are successful in developing and obtaining regulatory approvals for any of the product candidates in our product development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programs or acquire other products, we may need to establish sales, marketing and distribution capabilities on our own or with partners. The development of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therefore hindering our ability to generate revenues and achieve or sustain profitability. Although we intend to establish strategic collaborations to market the products in our programs outside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2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will need to expand and effectively manage our staff, operations and facilities in order to advance our product development programs, achieve milestones under any collaboration agreements, facilitate additional collaborations and pursue other development activities. For example, we may hire additional personnel in clinical development, regulatory affairs and business development to further strengthen our core competencies.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Similarly, we are likely to hire additional management and administrative personnel to manage our business and affairs as we continue to grow. In addition, we may choose to develop sales, marketing and distribution capabilities for the product candidates in our programs. The scope and timing of these hires is highly uncertain and remains subject to the success of our current product development programs.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8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particularly, the timing of any milestone payments to be paid under our licensing agreements;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incurrence of preclinical or clinical expenses that could fluctuate significantly from period to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contract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product development programs; however, we have only required the manufacture of our product candidates in very limited volume because we do not have any commercialized products.</w:t>
      </w:r>
    </w:p>
    <w:p>
      <w:pPr>
        <w:spacing w:after="0" w:line="144"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manufacturers are obligated to operate in accordance with FDA-mandated and, in some cases, International Convention on Harmonization, or ICH, current good manufacturing practices, or cGMPs. A failure of any of our contract manufacturers to establish and follow cGMPs and to document their adherence to such practices may lead to significant delays in clinical trials,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increase successfully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we will rely on such manufacturers to purchase such materials to produce the compounds for commercial distribution, if we obtain marketing approval for any of our product candidates. Suppliers may not sell these materials to our manufacturers at the time we need them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ability to develop the product candidate. If our manufacturers or we are unable to purchase these materials after regulatory approval has been obtained for one of our products, the commercial launch of such product would be delayed or there would be a shortage in supply of such product, which would harm our ability to generate revenues and achieve or sustain profitability.</w:t>
      </w:r>
    </w:p>
    <w:p>
      <w:pPr>
        <w:spacing w:after="0" w:line="22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have incurred, and expect to continue to incur, increased costs and risks as a result of being a public company, particularly in the context of recently enacted and proposed changes in laws and regulations relating to corporate governance and other matters.</w:t>
      </w:r>
    </w:p>
    <w:p>
      <w:pPr>
        <w:spacing w:after="0" w:line="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As a public company, we are required to comply with the Sarbanes-Oxley Act of 2002, or SOX, as well as rules and regulations implemented by the SEC and The Nasdaq Stock Market. Recently enacted and proposed changes in the laws and regulations affecting public companies, including the provisions of SOX and rules adopted or proposed by the SEC and by the Nasdaq Stock Market, have resulted in, and will continue to result in, increased costs to us as we evaluate the implications of these rules and respond to their requirements. We issued an evaluation of the effectiveness of our internal control over financial reporting under Section 404 of SOX with our Annual Report on Form 10-K for the year ended December 31, 2006, including the opinion of our independent registered public accounting firm thereon, the preparations for which resulted in increased costs to us, which may continue to be reflected in our costs of operations. Given the risks inherent in the design and operation of internal control over financial reporting, the effectiveness of our internal control over financial reporting is uncertain. If our internal controls are not designed or operating effectively, we may not be able to issue an evaluation of our internal control over financial reporting as required or we or our independent registered public accounting firm may determine that our internal control over financial reporting was not effective. In addition, our registered public accounting firm may either disclaim an opinion as it relates to management’s assessment of the effectiveness of our internal controls or may issue an adverse opinion on the effectiveness of our internal control over financial reporting. Investors may lose confidence in the reliability of our consolidated financial statements, which could cause the market price of our common stock to decline and which could affect our ability to run our business as we otherwise would like to. New rules could also make it more difficult or more costly for us to obtain certain types of insurance, including directors’ and officers’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our board committees, and as executive officers. We cannot predict or estimate the total amount of the costs we may incur or the timing of such costs to comply with these rules and regulations.</w:t>
      </w:r>
    </w:p>
    <w:p>
      <w:pPr>
        <w:spacing w:after="0" w:line="12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corporate governance standards of The Nasdaq Stock Market, a majority of our board of directors and each member of our audit committee must be an independent director. If any vacancies on our board or our audit committee occur that need to be filled by independent directors, we may encounter difficulty in attracting qualified persons to serve on our board and, in particular, our audit committee. If we fail to attract and retain the required number of independent directors, we may be subject to SEC enforcement proceedings and delisting of our common stock from The Nasdaq Global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is the risk that our patents (both those owned by us and those in-licensed) may not provide a competitive advantage, including the risk that our patents expire before we obtain regulatory and marketing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approval for one or more of our product candidates, particularly our in-licensed patents. Also, our competitors may develop products similar to ours using methods and technologies that are beyond the scope of our intellectual property rights. Composition of matter patents on active pharmaceutical ingredients may provide protection for pharmaceutical products without regard to formulation, method of use, or other type of limitation. For some of our product candidates, patent protection is no longer available for the active pharmaceutical ingredients in such product candidates without regard to specific formulation or method of use. For example, we currently do not have any unqualified composition of matter claims for MN-166. As a result, competitors that obtain the requisite regulatory approval will be able to offer products with the same active ingredient as found in some of our products so long as the competitors do not infringe any method of use, method of manufacture or formulation patents that we hold or have exclusive rights to through our licensors.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our licensed patents, 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they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assure you that our licensors will timely pay such annuities and that the granted patents and pending patent applications will not become abandoned. As an example, it appears that certain annuities were not paid in a timely manner with respect to foreign patents licensed under our MN-002 program. In addition, our licensors may have selected a limited amount of foreign patent protection, and therefore applications have not been filed in, and foreign patents may not have been perfected in, all commercially significant countries.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 or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of patents issued to third parties relating to our product candidates. Consequently, no assurance can be given that third-party patents containing claims covering our product candidates, their methods of use or manufacture do not exist or have not been filed and will not be issued in the future.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current or future product candidates that could have a material effect in developing and commercializing one or more of our product candidates. A patent holder could prevent us from importing, making, using or selling the patented compounds. We may need to resort to litigation to enforce our intellectual property rights or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37" w:lineRule="exact"/>
        <w:rPr>
          <w:sz w:val="20"/>
          <w:szCs w:val="20"/>
          <w:color w:val="auto"/>
        </w:rPr>
      </w:pPr>
    </w:p>
    <w:p>
      <w:pPr>
        <w:ind w:left="900" w:right="2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potentially treble damages and attorneys’ fees, if we are found to have willfully infringed a third party’s patent rights;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collaborators having to enter into license arrangements that may not be available on commercially acceptable terms if at all;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commercializing current or future product candidates.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our third-party manufacturers, contractors,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our ability to generate revenues from the particular product candidate.</w:t>
      </w:r>
    </w:p>
    <w:p>
      <w:pPr>
        <w:spacing w:after="0" w:line="145"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FDA Amendments Act of 2007. This new legislation provides FDA with expanded authority over drug products after approval and FDA’s exercise of this authority could result in delays or increased costs during the period of product development, clinical trials and regulatory review and approval, and increased costs to assure compliance with new post-approval regulatory requirements. Furthermore, we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cannot predict the likelihood, nature or extent of government regulation that may arise from this or future legislation or administrative action, either in the United States or abroad.</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and the time required to obtain approval in other countries might differ from that required to obtain FDA approval. The regulatory approval process in other countries may include all of the risks detailed above regarding FDA approval in the United States. Approval by the FDA does not automatically lead to the approval of authorities outside of the United States and, similarly, approval by other regulatory authorities outside the United States will not automatically lead to FDA approval. In addition,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2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successful in achieving approval to market one or more of our product candidates, our operations will be directly, or indirectly through our customers, subject to various state and federal fraud and abuse laws, including, without limitation, the federal Anti-Kickback Statute and False Claims Act. These laws may impact, among other things, our proposed sales, marketing and education programs.</w:t>
      </w:r>
    </w:p>
    <w:p>
      <w:pPr>
        <w:spacing w:after="0" w:line="14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Department of Health and Human Services, Office of Inspector General, or OIG, to issue a series of regulations, known as the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Penalties for violations of the federal Anti-Kickback Statute include criminal penalties and civil sanctions such as fines, imprisonment and possible exclusion from Medicare, Medicaid and other federal healthcare programs. Many states have also adopted laws similar to the federal Anti-Kickback Statute, some of which apply to the referral of patients for healthcare items or services reimbursed by any source, not only the Medicare and Medicaid programs.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federal False Claims Act prohibits persons from knowingly filing or causing to be filed a false claim to, or the knowing use of false statements to obtain payment from, the federal government.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The frequency of filing of qui tam actions has increased significantly in recent years, causing greater numbers of healthcare companies to have to defend a False Claims Act action. When an entity is determined to have violated the federal False Claims Act, it may be required to pay up to three times the actual damages sustained by the government, plus civil penalties between $5,500 to $11,000 for each separate false claim. Various states have also enacted laws modeled after the federal False Claims Act.</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and the curtailment or restructuring of our operations.</w:t>
      </w:r>
    </w:p>
    <w:p>
      <w:pPr>
        <w:spacing w:after="0" w:line="221"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Competition in the pharmaceutical industry is intense, and we expect such competition to continue to increase.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may develop.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of action and attractive efficacy and safety profiles. Many of our competitors have substantially greater financial, human and research and development resources,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2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collaborators’ use of products in clinical trials and the commercial sale of those products.</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However, we will need to increase and expand this coverage as we commence additional clinical trials, as well as larger scale trials, and if our product candidates are approved for commercial sale. This insurance may be prohibitively expensive or may not fully cover our potential liabilities. Our inability to obtain sufficient insurance coverage at an acceptable cost or otherwise to protect against potential product liability claims could prevent or inhibit the regulatory approval or commercialization of products that we or one of our collaborators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Prior to our listing on the Nasdaq Global Market on December 7, 2006, there was no active trading market for our common stock in the United States, as our common stock had only been listed on the Osaka Securities Exchange in Japan. Despite the listing of our common stock on the Nasdaq Global Market in December 2006, trading volume on the Nasdaq Global Market has been light and an active trading market may not develop for our common stock.</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September 30, 2007, our stock has traded as high as approximately $42.00 and as low as approximately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$6.35. The following factors, in addition to other risk factors described in this section, may have a significant impact on the market price of our common stock:</w:t>
      </w:r>
    </w:p>
    <w:p>
      <w:pPr>
        <w:spacing w:after="0" w:line="113" w:lineRule="exact"/>
        <w:rPr>
          <w:sz w:val="20"/>
          <w:szCs w:val="20"/>
          <w:color w:val="auto"/>
        </w:rPr>
      </w:pPr>
    </w:p>
    <w:p>
      <w:pPr>
        <w:ind w:left="900" w:right="3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study results and determinations by regulatory authorities with respect to our drug candidates;</w:t>
      </w:r>
    </w:p>
    <w:p>
      <w:pPr>
        <w:spacing w:after="0" w:line="50" w:lineRule="exact"/>
        <w:rPr>
          <w:rFonts w:ascii="Arial" w:cs="Arial" w:eastAsia="Arial" w:hAnsi="Arial"/>
          <w:sz w:val="18"/>
          <w:szCs w:val="18"/>
          <w:color w:val="auto"/>
        </w:rPr>
      </w:pPr>
    </w:p>
    <w:p>
      <w:pPr>
        <w:ind w:left="900" w:right="10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our competitors or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or other developments concerning our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discussions of our business,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 In the past, following periods of volatility in the market price of a particular company’s securities, securities class action litigation has often been brought against that company. We may become subject to this type of litigation, which is often extremely expensive and diverts management’s attention</w:t>
      </w:r>
      <w:r>
        <w:rPr>
          <w:rFonts w:ascii="Arial" w:cs="Arial" w:eastAsia="Arial" w:hAnsi="Arial"/>
          <w:sz w:val="16"/>
          <w:szCs w:val="16"/>
          <w:i w:val="1"/>
          <w:iCs w:val="1"/>
          <w:color w:val="auto"/>
        </w:rPr>
        <w:t>.</w:t>
      </w:r>
    </w:p>
    <w:p>
      <w:pPr>
        <w:spacing w:after="0" w:line="18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the holders of the shares purchased prior to our initial public offering were to sell all or a significant portion of their shares at one time, there would be significant downward pressure on our stock price and it may be difficult to sell your shares.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issuable upon the exercise of warrants held by three parties, of which warrants held by our two founders that relate to 1,285,657 shares were exercisable at $1.00 per share and a warrant held by a separate investor that relates to 50,000 shares was exercisable at $10.00 per share. At September 30, 2007, there were 50,000 warrants outstanding held by a separate investor. All of the warrants held by our founders have been exercised, and the warrant held by a separate investor expires in May 2009. All of such shares, other than shares held by our affiliates, may also be sold from time to time in exempt transactions pursuant to Rule 144(k) promulgated by the SEC. The trading volume for our stock is low, with an average trading volume of approximately 14,000 shares per day on the Hercules Market of the Osaka Securities Exchange and 11,600 shares per day on the Nasdaq Global Market during the month of September 2007.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 2/3% stockholder approval;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effected the initial public offering of our common stock, or IPO, pursuant to a Registration Statement on Form S-1 (File No. 333-119433) that was declared effective by the SEC on January 28,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of September 30, 2007, we had used approximately $93.2 million of the net proceeds from our IPO to fund our operations, including development of our clinical trials and we had used $1.6 million for acquisitions of property and equipment. Other than the compensation paid to our officers and directors, no proceeds were paid directly to any of our directors or officers (or their associates) or persons owning 10% or more of any class of our equity securities or to any other affiliates. We expect to use a majority of the remainder of the net proceeds from our IPO to continue the development of our existing product development programs. In addition, we may use a portion of the net proceeds from our IPO to acquire technologies or businesses that are complementary to our own, but we currently have no commitments or agreements relating to any such transaction.</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IPO.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IPO. Pending the uses described above, we have invested the net proceeds from our initial public offering in short-term, investment-grade, interest-bearing instruments.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10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0" w:type="dxa"/>
            <w:vAlign w:val="bottom"/>
          </w:tcPr>
          <w:p>
            <w:pPr>
              <w:spacing w:after="0"/>
              <w:rPr>
                <w:sz w:val="1"/>
                <w:szCs w:val="1"/>
                <w:color w:val="auto"/>
              </w:rPr>
            </w:pP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3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10460" w:type="dxa"/>
            <w:vAlign w:val="bottom"/>
            <w:gridSpan w:val="2"/>
          </w:tcPr>
          <w:p>
            <w:pPr>
              <w:ind w:left="80"/>
              <w:spacing w:after="0"/>
              <w:rPr>
                <w:sz w:val="20"/>
                <w:szCs w:val="20"/>
                <w:color w:val="auto"/>
              </w:rPr>
            </w:pPr>
            <w:r>
              <w:rPr>
                <w:rFonts w:ascii="Arial" w:cs="Arial" w:eastAsia="Arial" w:hAnsi="Arial"/>
                <w:sz w:val="18"/>
                <w:szCs w:val="18"/>
                <w:b w:val="1"/>
                <w:bCs w:val="1"/>
                <w:color w:val="auto"/>
              </w:rPr>
              <w:t>SUBMISSION OF MATTERS TO A VOTE OF SECURITY HOLDERS.</w:t>
            </w:r>
          </w:p>
        </w:tc>
        <w:tc>
          <w:tcPr>
            <w:tcW w:w="0" w:type="dxa"/>
            <w:vAlign w:val="bottom"/>
          </w:tcPr>
          <w:p>
            <w:pPr>
              <w:spacing w:after="0"/>
              <w:rPr>
                <w:sz w:val="1"/>
                <w:szCs w:val="1"/>
                <w:color w:val="auto"/>
              </w:rPr>
            </w:pP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3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46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3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9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140" w:type="dxa"/>
            <w:vAlign w:val="bottom"/>
          </w:tcPr>
          <w:p>
            <w:pPr>
              <w:spacing w:after="0" w:line="195" w:lineRule="exact"/>
              <w:rPr>
                <w:sz w:val="20"/>
                <w:szCs w:val="20"/>
                <w:color w:val="auto"/>
              </w:rPr>
            </w:pPr>
            <w:r>
              <w:rPr>
                <w:rFonts w:ascii="Arial" w:cs="Arial" w:eastAsia="Arial" w:hAnsi="Arial"/>
                <w:sz w:val="18"/>
                <w:szCs w:val="18"/>
                <w:color w:val="auto"/>
                <w:w w:val="91"/>
              </w:rPr>
              <w:t>Form of Severance Protection Agreement, dated September 12, 2007, by and between MediciNova, Inc. and certain of its executive officers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by reference to Form 8-K filed September 14, 2007).</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9"/>
              </w:rPr>
              <w:t>Form of Undertaking Concerning Exercise of Stock Options Agreement, dated October 23, 2007, by and between MediciNova, Inc. and certain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of its executive officers (incorporated by reference to Form 8-K filed October 29, 2007).</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 of 2002 for the period ended September 30,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of the Chief Financial Officer pursuant to Section 302 of the Sarbanes-Oxley Act of 2002 for the period ended September 30,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60" w:type="dxa"/>
            <w:vAlign w:val="bottom"/>
            <w:gridSpan w:val="2"/>
          </w:tcPr>
          <w:p>
            <w:pPr>
              <w:ind w:left="46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480" w:val="left"/>
          <w:tab w:leader="none" w:pos="7840" w:val="left"/>
          <w:tab w:leader="none" w:pos="818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Yuichi Iwaki, M.D., Ph.D.</w:t>
      </w:r>
    </w:p>
    <w:p>
      <w:pPr>
        <w:jc w:val="center"/>
        <w:ind w:left="594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5940"/>
        <w:spacing w:after="0" w:line="221"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8" w:lineRule="exact"/>
        <w:rPr>
          <w:sz w:val="20"/>
          <w:szCs w:val="20"/>
          <w:color w:val="auto"/>
        </w:rPr>
      </w:pPr>
    </w:p>
    <w:p>
      <w:pPr>
        <w:ind w:left="5500"/>
        <w:spacing w:after="0"/>
        <w:tabs>
          <w:tab w:leader="none" w:pos="7700" w:val="left"/>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Shintaro Asako</w:t>
      </w:r>
    </w:p>
    <w:p>
      <w:pPr>
        <w:jc w:val="center"/>
        <w:ind w:left="59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80"/>
          </w:cols>
          <w:pgMar w:left="240" w:top="459" w:right="8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jc w:val="center"/>
              <w:ind w:right="1174"/>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10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780" w:type="dxa"/>
            <w:vAlign w:val="bottom"/>
          </w:tcPr>
          <w:p>
            <w:pPr>
              <w:spacing w:after="0"/>
              <w:rPr>
                <w:sz w:val="16"/>
                <w:szCs w:val="16"/>
                <w:color w:val="auto"/>
              </w:rPr>
            </w:pPr>
          </w:p>
        </w:tc>
        <w:tc>
          <w:tcPr>
            <w:tcW w:w="10140" w:type="dxa"/>
            <w:vAlign w:val="bottom"/>
          </w:tcPr>
          <w:p>
            <w:pPr>
              <w:spacing w:after="0" w:line="195" w:lineRule="exact"/>
              <w:rPr>
                <w:sz w:val="20"/>
                <w:szCs w:val="20"/>
                <w:color w:val="auto"/>
              </w:rPr>
            </w:pPr>
            <w:r>
              <w:rPr>
                <w:rFonts w:ascii="Arial" w:cs="Arial" w:eastAsia="Arial" w:hAnsi="Arial"/>
                <w:sz w:val="18"/>
                <w:szCs w:val="18"/>
                <w:color w:val="auto"/>
                <w:w w:val="91"/>
              </w:rPr>
              <w:t>Form of Severance Protection Agreement, dated September 12, 2007, by and between MediciNova, Inc. and certain of its executive officers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by reference to Form 8-K filed September 14, 2007).</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9"/>
              </w:rPr>
              <w:t>Form of Undertaking Concerning Exercise of Stock Options Agreement, dated October 23, 2007, by and between MediciNova, Inc. and certain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of its executive officers (incorporated by reference to Form 8-K filed October 29, 2007).</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 of 2002 for the period ended September 30,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78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of the Chief Financial Officer pursuant to Section 302 of the Sarbanes-Oxley Act of 2002 for the period ended September 30,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78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2007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2007</w:t>
      </w:r>
    </w:p>
    <w:p>
      <w:pPr>
        <w:spacing w:after="0" w:line="225" w:lineRule="exact"/>
        <w:rPr>
          <w:sz w:val="20"/>
          <w:szCs w:val="20"/>
          <w:color w:val="auto"/>
        </w:rPr>
      </w:pPr>
    </w:p>
    <w:p>
      <w:pPr>
        <w:ind w:left="6860"/>
        <w:spacing w:after="0"/>
        <w:tabs>
          <w:tab w:leader="none" w:pos="856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Yuichi Iwaki, M.D., Ph.D.</w:t>
      </w:r>
    </w:p>
    <w:p>
      <w:pPr>
        <w:jc w:val="center"/>
        <w:ind w:left="73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3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2007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2007</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Shintaro Asako</w:t>
      </w:r>
    </w:p>
    <w:p>
      <w:pPr>
        <w:jc w:val="center"/>
        <w:ind w:left="73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3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September 30, 2007 (the “Report”), I, Yuichi Iwaki, Chief Executive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7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2007</w:t>
      </w:r>
    </w:p>
    <w:p>
      <w:pPr>
        <w:spacing w:after="0" w:line="225" w:lineRule="exact"/>
        <w:rPr>
          <w:sz w:val="20"/>
          <w:szCs w:val="20"/>
          <w:color w:val="auto"/>
        </w:rPr>
      </w:pPr>
    </w:p>
    <w:p>
      <w:pPr>
        <w:ind w:left="6860"/>
        <w:spacing w:after="0"/>
        <w:tabs>
          <w:tab w:leader="none" w:pos="856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Yuichi Iwaki, M.D., Ph.D.</w:t>
      </w:r>
    </w:p>
    <w:p>
      <w:pPr>
        <w:jc w:val="center"/>
        <w:ind w:left="73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3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September 30, 2007 (the “Report”), I, Shintaro Asako, Vice President and Chief Financial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7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2007</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Shintaro Asako</w:t>
      </w:r>
    </w:p>
    <w:p>
      <w:pPr>
        <w:jc w:val="center"/>
        <w:ind w:left="73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36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8"/>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2019-12-15T07:38:34Z</dcterms:created>
  <dcterms:modified xsi:type="dcterms:W3CDTF">2019-12-15T07:38:34Z</dcterms:modified>
</cp:coreProperties>
</file>