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156845</wp:posOffset>
            </wp:positionH>
            <wp:positionV relativeFrom="page">
              <wp:posOffset>208280</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-175895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2792730</wp:posOffset>
            </wp:positionH>
            <wp:positionV relativeFrom="paragraph">
              <wp:posOffset>63500</wp:posOffset>
            </wp:positionV>
            <wp:extent cx="1671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2792730</wp:posOffset>
            </wp:positionH>
            <wp:positionV relativeFrom="paragraph">
              <wp:posOffset>62230</wp:posOffset>
            </wp:positionV>
            <wp:extent cx="1671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600" w:hanging="593"/>
        <w:spacing w:after="0"/>
        <w:tabs>
          <w:tab w:leader="none" w:pos="6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45" w:lineRule="exact"/>
        <w:rPr>
          <w:sz w:val="24"/>
          <w:szCs w:val="24"/>
          <w:color w:val="auto"/>
        </w:rPr>
      </w:pPr>
    </w:p>
    <w:p>
      <w:pPr>
        <w:ind w:left="600" w:hanging="593"/>
        <w:spacing w:after="0"/>
        <w:tabs>
          <w:tab w:leader="none" w:pos="6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7" w:lineRule="exact"/>
        <w:rPr>
          <w:sz w:val="24"/>
          <w:szCs w:val="24"/>
          <w:color w:val="auto"/>
        </w:rPr>
      </w:pPr>
    </w:p>
    <w:p>
      <w:pPr>
        <w:ind w:left="4260"/>
        <w:spacing w:after="0"/>
        <w:tabs>
          <w:tab w:leader="none" w:pos="65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2792730</wp:posOffset>
            </wp:positionH>
            <wp:positionV relativeFrom="paragraph">
              <wp:posOffset>57150</wp:posOffset>
            </wp:positionV>
            <wp:extent cx="1671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MEDICINOVA,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2792730</wp:posOffset>
            </wp:positionH>
            <wp:positionV relativeFrom="paragraph">
              <wp:posOffset>46990</wp:posOffset>
            </wp:positionV>
            <wp:extent cx="1671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25" w:lineRule="exact"/>
        <w:rPr>
          <w:sz w:val="24"/>
          <w:szCs w:val="24"/>
          <w:color w:val="auto"/>
        </w:rPr>
      </w:pPr>
    </w:p>
    <w:tbl>
      <w:tblPr>
        <w:tblLayout w:type="fixed"/>
        <w:tblInd w:w="60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4960" w:type="dxa"/>
            <w:vAlign w:val="bottom"/>
            <w:gridSpan w:val="4"/>
          </w:tcPr>
          <w:p>
            <w:pPr>
              <w:jc w:val="center"/>
              <w:ind w:right="4100"/>
              <w:spacing w:after="0"/>
              <w:rPr>
                <w:sz w:val="20"/>
                <w:szCs w:val="20"/>
                <w:color w:val="auto"/>
              </w:rPr>
            </w:pPr>
            <w:r>
              <w:rPr>
                <w:rFonts w:ascii="Arial" w:cs="Arial" w:eastAsia="Arial" w:hAnsi="Arial"/>
                <w:sz w:val="14"/>
                <w:szCs w:val="14"/>
                <w:b w:val="1"/>
                <w:bCs w:val="1"/>
                <w:color w:val="auto"/>
                <w:w w:val="94"/>
              </w:rPr>
              <w:t>Delaware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jc w:val="right"/>
              <w:ind w:right="636"/>
              <w:spacing w:after="0"/>
              <w:rPr>
                <w:sz w:val="20"/>
                <w:szCs w:val="20"/>
                <w:color w:val="auto"/>
              </w:rPr>
            </w:pPr>
            <w:r>
              <w:rPr>
                <w:rFonts w:ascii="Arial" w:cs="Arial" w:eastAsia="Arial" w:hAnsi="Arial"/>
                <w:sz w:val="14"/>
                <w:szCs w:val="14"/>
                <w:b w:val="1"/>
                <w:bCs w:val="1"/>
                <w:color w:val="auto"/>
              </w:rPr>
              <w:t>33-0927979</w:t>
            </w:r>
          </w:p>
        </w:tc>
        <w:tc>
          <w:tcPr>
            <w:tcW w:w="0" w:type="dxa"/>
            <w:vAlign w:val="bottom"/>
          </w:tcPr>
          <w:p>
            <w:pPr>
              <w:spacing w:after="0"/>
              <w:rPr>
                <w:sz w:val="1"/>
                <w:szCs w:val="1"/>
                <w:color w:val="auto"/>
              </w:rPr>
            </w:pPr>
          </w:p>
        </w:tc>
      </w:tr>
      <w:tr>
        <w:trPr>
          <w:trHeight w:val="121"/>
        </w:trPr>
        <w:tc>
          <w:tcPr>
            <w:tcW w:w="6760" w:type="dxa"/>
            <w:vAlign w:val="bottom"/>
            <w:gridSpan w:val="5"/>
          </w:tcPr>
          <w:p>
            <w:pPr>
              <w:jc w:val="center"/>
              <w:ind w:right="2300"/>
              <w:spacing w:after="0" w:line="121" w:lineRule="exact"/>
              <w:rPr>
                <w:sz w:val="20"/>
                <w:szCs w:val="20"/>
                <w:color w:val="auto"/>
              </w:rPr>
            </w:pPr>
            <w:r>
              <w:rPr>
                <w:rFonts w:ascii="Arial" w:cs="Arial" w:eastAsia="Arial" w:hAnsi="Arial"/>
                <w:sz w:val="11"/>
                <w:szCs w:val="11"/>
                <w:b w:val="1"/>
                <w:bCs w:val="1"/>
                <w:color w:val="auto"/>
                <w:w w:val="88"/>
              </w:rPr>
              <w:t>(State or Other Jurisdiction of</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tcPr>
          <w:p>
            <w:pPr>
              <w:jc w:val="center"/>
              <w:ind w:right="296"/>
              <w:spacing w:after="0" w:line="121"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6760" w:type="dxa"/>
            <w:vAlign w:val="bottom"/>
            <w:gridSpan w:val="5"/>
          </w:tcPr>
          <w:p>
            <w:pPr>
              <w:jc w:val="center"/>
              <w:ind w:right="2320"/>
              <w:spacing w:after="0"/>
              <w:rPr>
                <w:sz w:val="20"/>
                <w:szCs w:val="20"/>
                <w:color w:val="auto"/>
              </w:rPr>
            </w:pPr>
            <w:r>
              <w:rPr>
                <w:rFonts w:ascii="Arial" w:cs="Arial" w:eastAsia="Arial" w:hAnsi="Arial"/>
                <w:sz w:val="11"/>
                <w:szCs w:val="11"/>
                <w:b w:val="1"/>
                <w:bCs w:val="1"/>
                <w:color w:val="auto"/>
                <w:w w:val="90"/>
              </w:rPr>
              <w:t>Incorporation or Organization)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jc w:val="center"/>
              <w:ind w:right="276"/>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236"/>
        </w:trPr>
        <w:tc>
          <w:tcPr>
            <w:tcW w:w="6760" w:type="dxa"/>
            <w:vAlign w:val="bottom"/>
            <w:gridSpan w:val="5"/>
          </w:tcPr>
          <w:p>
            <w:pPr>
              <w:jc w:val="center"/>
              <w:ind w:right="2300"/>
              <w:spacing w:after="0"/>
              <w:rPr>
                <w:sz w:val="20"/>
                <w:szCs w:val="20"/>
                <w:color w:val="auto"/>
              </w:rPr>
            </w:pPr>
            <w:r>
              <w:rPr>
                <w:rFonts w:ascii="Arial" w:cs="Arial" w:eastAsia="Arial" w:hAnsi="Arial"/>
                <w:sz w:val="14"/>
                <w:szCs w:val="14"/>
                <w:b w:val="1"/>
                <w:bCs w:val="1"/>
                <w:color w:val="auto"/>
                <w:w w:val="92"/>
              </w:rPr>
              <w:t>4275 Executive Square, Suite 300, La Jolla, CA</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ind w:right="796"/>
              <w:spacing w:after="0"/>
              <w:rPr>
                <w:sz w:val="20"/>
                <w:szCs w:val="20"/>
                <w:color w:val="auto"/>
              </w:rPr>
            </w:pPr>
            <w:r>
              <w:rPr>
                <w:rFonts w:ascii="Arial" w:cs="Arial" w:eastAsia="Arial" w:hAnsi="Arial"/>
                <w:sz w:val="14"/>
                <w:szCs w:val="14"/>
                <w:b w:val="1"/>
                <w:bCs w:val="1"/>
                <w:color w:val="auto"/>
              </w:rPr>
              <w:t>92037</w:t>
            </w:r>
          </w:p>
        </w:tc>
        <w:tc>
          <w:tcPr>
            <w:tcW w:w="0" w:type="dxa"/>
            <w:vAlign w:val="bottom"/>
          </w:tcPr>
          <w:p>
            <w:pPr>
              <w:spacing w:after="0"/>
              <w:rPr>
                <w:sz w:val="1"/>
                <w:szCs w:val="1"/>
                <w:color w:val="auto"/>
              </w:rPr>
            </w:pPr>
          </w:p>
        </w:tc>
      </w:tr>
      <w:tr>
        <w:trPr>
          <w:trHeight w:val="140"/>
        </w:trPr>
        <w:tc>
          <w:tcPr>
            <w:tcW w:w="6760" w:type="dxa"/>
            <w:vAlign w:val="bottom"/>
            <w:gridSpan w:val="5"/>
          </w:tcPr>
          <w:p>
            <w:pPr>
              <w:jc w:val="center"/>
              <w:ind w:right="2320"/>
              <w:spacing w:after="0"/>
              <w:rPr>
                <w:sz w:val="20"/>
                <w:szCs w:val="20"/>
                <w:color w:val="auto"/>
              </w:rPr>
            </w:pPr>
            <w:r>
              <w:rPr>
                <w:rFonts w:ascii="Arial" w:cs="Arial" w:eastAsia="Arial" w:hAnsi="Arial"/>
                <w:sz w:val="11"/>
                <w:szCs w:val="11"/>
                <w:b w:val="1"/>
                <w:bCs w:val="1"/>
                <w:color w:val="auto"/>
                <w:w w:val="87"/>
              </w:rPr>
              <w:t>(Address of Principal Executive Offices)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jc w:val="center"/>
              <w:ind w:right="296"/>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183"/>
        </w:trPr>
        <w:tc>
          <w:tcPr>
            <w:tcW w:w="6420" w:type="dxa"/>
            <w:vAlign w:val="bottom"/>
            <w:gridSpan w:val="4"/>
          </w:tcPr>
          <w:p>
            <w:pPr>
              <w:jc w:val="center"/>
              <w:ind w:left="3735"/>
              <w:spacing w:after="0"/>
              <w:rPr>
                <w:sz w:val="20"/>
                <w:szCs w:val="20"/>
                <w:color w:val="auto"/>
              </w:rPr>
            </w:pPr>
            <w:r>
              <w:rPr>
                <w:rFonts w:ascii="Arial" w:cs="Arial" w:eastAsia="Arial" w:hAnsi="Arial"/>
                <w:sz w:val="14"/>
                <w:szCs w:val="14"/>
                <w:b w:val="1"/>
                <w:bCs w:val="1"/>
                <w:color w:val="auto"/>
                <w:w w:val="93"/>
              </w:rPr>
              <w:t>(858) 373-1500</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20" w:type="dxa"/>
            <w:vAlign w:val="bottom"/>
            <w:gridSpan w:val="5"/>
          </w:tcPr>
          <w:p>
            <w:pPr>
              <w:jc w:val="center"/>
              <w:ind w:left="40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Title of Each Class</w:t>
            </w:r>
          </w:p>
        </w:tc>
        <w:tc>
          <w:tcPr>
            <w:tcW w:w="410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7"/>
              </w:rPr>
              <w:t>Name of Each Exchange on Which Registered</w:t>
            </w:r>
          </w:p>
        </w:tc>
        <w:tc>
          <w:tcPr>
            <w:tcW w:w="0" w:type="dxa"/>
            <w:vAlign w:val="bottom"/>
          </w:tcPr>
          <w:p>
            <w:pPr>
              <w:spacing w:after="0"/>
              <w:rPr>
                <w:sz w:val="1"/>
                <w:szCs w:val="1"/>
                <w:color w:val="auto"/>
              </w:rPr>
            </w:pPr>
          </w:p>
        </w:tc>
      </w:tr>
      <w:tr>
        <w:trPr>
          <w:trHeight w:val="175"/>
        </w:trPr>
        <w:tc>
          <w:tcPr>
            <w:tcW w:w="2660" w:type="dxa"/>
            <w:vAlign w:val="bottom"/>
            <w:gridSpan w:val="2"/>
          </w:tcPr>
          <w:p>
            <w:pPr>
              <w:ind w:left="980"/>
              <w:spacing w:after="0"/>
              <w:rPr>
                <w:sz w:val="20"/>
                <w:szCs w:val="20"/>
                <w:color w:val="auto"/>
              </w:rPr>
            </w:pPr>
            <w:r>
              <w:rPr>
                <w:rFonts w:ascii="Arial" w:cs="Arial" w:eastAsia="Arial" w:hAnsi="Arial"/>
                <w:sz w:val="14"/>
                <w:szCs w:val="14"/>
                <w:color w:val="auto"/>
                <w:w w:val="96"/>
              </w:rPr>
              <w:t>Common Stock, par value $</w:t>
            </w:r>
          </w:p>
        </w:tc>
        <w:tc>
          <w:tcPr>
            <w:tcW w:w="4100" w:type="dxa"/>
            <w:vAlign w:val="bottom"/>
            <w:gridSpan w:val="3"/>
          </w:tcPr>
          <w:p>
            <w:pPr>
              <w:spacing w:after="0"/>
              <w:rPr>
                <w:sz w:val="20"/>
                <w:szCs w:val="20"/>
                <w:color w:val="auto"/>
              </w:rPr>
            </w:pPr>
            <w:r>
              <w:rPr>
                <w:rFonts w:ascii="Arial" w:cs="Arial" w:eastAsia="Arial" w:hAnsi="Arial"/>
                <w:sz w:val="14"/>
                <w:szCs w:val="14"/>
                <w:color w:val="auto"/>
              </w:rPr>
              <w:t>0.001 per share</w:t>
            </w:r>
          </w:p>
        </w:tc>
        <w:tc>
          <w:tcPr>
            <w:tcW w:w="180" w:type="dxa"/>
            <w:vAlign w:val="bottom"/>
          </w:tcPr>
          <w:p>
            <w:pPr>
              <w:spacing w:after="0"/>
              <w:rPr>
                <w:sz w:val="15"/>
                <w:szCs w:val="15"/>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color w:val="auto"/>
                <w:w w:val="97"/>
              </w:rPr>
              <w:t>The NASDAQ Stock Market LLC</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20" w:type="dxa"/>
            <w:vAlign w:val="bottom"/>
            <w:gridSpan w:val="5"/>
          </w:tcPr>
          <w:p>
            <w:pPr>
              <w:jc w:val="center"/>
              <w:ind w:left="428"/>
              <w:spacing w:after="0"/>
              <w:rPr>
                <w:sz w:val="20"/>
                <w:szCs w:val="20"/>
                <w:color w:val="auto"/>
              </w:rPr>
            </w:pPr>
            <w:r>
              <w:rPr>
                <w:rFonts w:ascii="Arial" w:cs="Arial" w:eastAsia="Arial" w:hAnsi="Arial"/>
                <w:sz w:val="14"/>
                <w:szCs w:val="14"/>
                <w:b w:val="1"/>
                <w:bCs w:val="1"/>
                <w:color w:val="auto"/>
                <w:w w:val="90"/>
              </w:rPr>
              <w:t>Securities registered pursuant to Section 12(g) of the Act: None</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1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1740" w:type="dxa"/>
            <w:vAlign w:val="bottom"/>
            <w:vMerge w:val="restart"/>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9"/>
        </w:trPr>
        <w:tc>
          <w:tcPr>
            <w:tcW w:w="676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w w:val="82"/>
              </w:rPr>
              <w:t>Yes</w:t>
            </w:r>
          </w:p>
        </w:tc>
        <w:tc>
          <w:tcPr>
            <w:tcW w:w="22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76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15(d) of the Act.  Yes</w:t>
            </w:r>
          </w:p>
        </w:tc>
        <w:tc>
          <w:tcPr>
            <w:tcW w:w="32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No</w:t>
            </w:r>
          </w:p>
        </w:tc>
        <w:tc>
          <w:tcPr>
            <w:tcW w:w="174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7" w:lineRule="exact"/>
        <w:rPr>
          <w:sz w:val="24"/>
          <w:szCs w:val="24"/>
          <w:color w:val="auto"/>
        </w:rPr>
      </w:pPr>
    </w:p>
    <w:p>
      <w:pPr>
        <w:ind w:firstLine="59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220" w:firstLine="59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firstLine="59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8" w:lineRule="exact"/>
        <w:rPr>
          <w:sz w:val="24"/>
          <w:szCs w:val="24"/>
          <w:color w:val="auto"/>
        </w:rPr>
      </w:pPr>
    </w:p>
    <w:p>
      <w:pPr>
        <w:ind w:right="260" w:firstLine="598"/>
        <w:spacing w:after="0" w:line="28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345" w:right="259" w:bottom="1440" w:gutter="0" w:footer="0" w:header="0"/>
        </w:sectPr>
      </w:pP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4" w:lineRule="exact"/>
        <w:rPr>
          <w:sz w:val="20"/>
          <w:szCs w:val="20"/>
          <w:color w:val="auto"/>
        </w:rPr>
      </w:pPr>
      <w:r>
        <w:rPr>
          <w:rFonts w:ascii="MS PGothic" w:cs="MS PGothic" w:eastAsia="MS PGothic" w:hAnsi="MS PGothic"/>
          <w:sz w:val="12"/>
          <w:szCs w:val="12"/>
          <w:color w:val="auto"/>
        </w:rPr>
        <w:t>☐</w:t>
      </w:r>
    </w:p>
    <w:p>
      <w:pPr>
        <w:spacing w:after="0" w:line="10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4" w:lineRule="exact"/>
        <w:rPr>
          <w:sz w:val="20"/>
          <w:szCs w:val="20"/>
          <w:color w:val="auto"/>
        </w:rPr>
      </w:pPr>
      <w:r>
        <w:rPr>
          <w:rFonts w:ascii="MS PGothic" w:cs="MS PGothic" w:eastAsia="MS PGothic" w:hAnsi="MS PGothic"/>
          <w:sz w:val="12"/>
          <w:szCs w:val="12"/>
          <w:color w:val="auto"/>
        </w:rPr>
        <w:t>☒</w:t>
      </w:r>
    </w:p>
    <w:p>
      <w:pPr>
        <w:spacing w:after="0" w:line="10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76" w:lineRule="exact"/>
        <w:rPr>
          <w:sz w:val="24"/>
          <w:szCs w:val="24"/>
          <w:color w:val="auto"/>
        </w:rPr>
      </w:pPr>
    </w:p>
    <w:p>
      <w:pPr>
        <w:sectPr>
          <w:pgSz w:w="11900" w:h="16838" w:orient="portrait"/>
          <w:cols w:equalWidth="0" w:num="4">
            <w:col w:w="1740" w:space="720"/>
            <w:col w:w="5060" w:space="720"/>
            <w:col w:w="1720" w:space="720"/>
            <w:col w:w="720"/>
          </w:cols>
          <w:pgMar w:left="240" w:top="345" w:right="259" w:bottom="1440" w:gutter="0" w:footer="0" w:header="0"/>
          <w:type w:val="continuous"/>
        </w:sectPr>
      </w:pPr>
    </w:p>
    <w:p>
      <w:pPr>
        <w:ind w:right="180" w:firstLine="59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400"/>
          </w:cols>
          <w:pgMar w:left="240" w:top="345" w:right="259" w:bottom="1440" w:gutter="0" w:footer="0" w:header="0"/>
          <w:type w:val="continuous"/>
        </w:sectPr>
      </w:pPr>
    </w:p>
    <w:p>
      <w:pPr>
        <w:spacing w:after="0" w:line="31" w:lineRule="exact"/>
        <w:rPr>
          <w:sz w:val="24"/>
          <w:szCs w:val="24"/>
          <w:color w:val="auto"/>
        </w:rPr>
      </w:pPr>
    </w:p>
    <w:p>
      <w:pPr>
        <w:ind w:left="60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Securities Exchange Act of 1934).  Yes</w:t>
      </w:r>
    </w:p>
    <w:p>
      <w:pPr>
        <w:spacing w:after="0" w:line="20" w:lineRule="exact"/>
        <w:rPr>
          <w:sz w:val="24"/>
          <w:szCs w:val="24"/>
          <w:color w:val="auto"/>
        </w:rPr>
      </w:pPr>
      <w:r>
        <w:rPr>
          <w:sz w:val="24"/>
          <w:szCs w:val="24"/>
          <w:color w:val="auto"/>
        </w:rPr>
        <w:br w:type="column"/>
      </w:r>
    </w:p>
    <w:p>
      <w:pPr>
        <w:spacing w:after="0" w:line="125"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5"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ectPr>
          <w:pgSz w:w="11900" w:h="16838" w:orient="portrait"/>
          <w:cols w:equalWidth="0" w:num="4">
            <w:col w:w="8500" w:space="60"/>
            <w:col w:w="140" w:space="140"/>
            <w:col w:w="180" w:space="60"/>
            <w:col w:w="2320"/>
          </w:cols>
          <w:pgMar w:left="240" w:top="345" w:right="259" w:bottom="1440" w:gutter="0" w:footer="0" w:header="0"/>
          <w:type w:val="continuous"/>
        </w:sectPr>
      </w:pPr>
    </w:p>
    <w:p>
      <w:pPr>
        <w:jc w:val="both"/>
        <w:ind w:right="60" w:firstLine="598"/>
        <w:spacing w:after="0" w:line="236"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approximately $314,684,033 based on the closing price of the registrant’s common stock on the NASDAQ Global Market of $7.96 per share on June 30, 2018. Shares of common stock held by each executive officer and director and each affiliated entity has been excluded from this calculation. This determination of affiliate status may not be conclusive for other purposes.</w:t>
      </w:r>
    </w:p>
    <w:p>
      <w:pPr>
        <w:spacing w:after="0" w:line="22" w:lineRule="exact"/>
        <w:rPr>
          <w:sz w:val="24"/>
          <w:szCs w:val="24"/>
          <w:color w:val="auto"/>
        </w:rPr>
      </w:pPr>
    </w:p>
    <w:p>
      <w:pPr>
        <w:ind w:left="600"/>
        <w:spacing w:after="0"/>
        <w:rPr>
          <w:sz w:val="20"/>
          <w:szCs w:val="20"/>
          <w:color w:val="auto"/>
        </w:rPr>
      </w:pPr>
      <w:r>
        <w:rPr>
          <w:rFonts w:ascii="Arial" w:cs="Arial" w:eastAsia="Arial" w:hAnsi="Arial"/>
          <w:sz w:val="14"/>
          <w:szCs w:val="14"/>
          <w:color w:val="auto"/>
        </w:rPr>
        <w:t>The number of outstanding shares of the registrant’s common stock, par value $0.001 per share, as of February 12, 2019 was 42,171,810.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1099185</wp:posOffset>
            </wp:positionV>
            <wp:extent cx="728980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45" w:right="25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598"/>
        <w:spacing w:after="0" w:line="250" w:lineRule="auto"/>
        <w:rPr>
          <w:sz w:val="20"/>
          <w:szCs w:val="20"/>
          <w:color w:val="auto"/>
        </w:rPr>
      </w:pPr>
      <w:r>
        <w:rPr>
          <w:rFonts w:ascii="Arial" w:cs="Arial" w:eastAsia="Arial" w:hAnsi="Arial"/>
          <w:sz w:val="14"/>
          <w:szCs w:val="14"/>
          <w:color w:val="auto"/>
        </w:rPr>
        <w:t>Portions of the registrant’s Proxy Statement to be filed with the Securities and Exchange Commission pursuant to Regulation 14A in connection with the registrant’s 2019 Annual Meeting of Stockholders, which will be filed subsequent to the date hereof,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4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88900</wp:posOffset>
            </wp:positionV>
            <wp:extent cx="7247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20"/>
          </w:cols>
          <w:pgMar w:left="240" w:top="17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2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rPr>
              <w:t>MEDICINOVA, INC.</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80" w:type="dxa"/>
            <w:vAlign w:val="bottom"/>
            <w:gridSpan w:val="9"/>
          </w:tcPr>
          <w:p>
            <w:pPr>
              <w:jc w:val="center"/>
              <w:ind w:right="3480"/>
              <w:spacing w:after="0"/>
              <w:rPr>
                <w:sz w:val="20"/>
                <w:szCs w:val="20"/>
                <w:color w:val="auto"/>
              </w:rPr>
            </w:pPr>
            <w:r>
              <w:rPr>
                <w:rFonts w:ascii="Arial" w:cs="Arial" w:eastAsia="Arial" w:hAnsi="Arial"/>
                <w:sz w:val="18"/>
                <w:szCs w:val="18"/>
                <w:b w:val="1"/>
                <w:bCs w:val="1"/>
                <w:color w:val="auto"/>
                <w:w w:val="99"/>
              </w:rPr>
              <w:t>FORM 10-K—ANNUAL REPORT</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80" w:type="dxa"/>
            <w:vAlign w:val="bottom"/>
            <w:gridSpan w:val="11"/>
          </w:tcPr>
          <w:p>
            <w:pPr>
              <w:jc w:val="center"/>
              <w:ind w:right="2360"/>
              <w:spacing w:after="0"/>
              <w:rPr>
                <w:sz w:val="20"/>
                <w:szCs w:val="20"/>
                <w:color w:val="auto"/>
              </w:rPr>
            </w:pPr>
            <w:r>
              <w:rPr>
                <w:rFonts w:ascii="Arial" w:cs="Arial" w:eastAsia="Arial" w:hAnsi="Arial"/>
                <w:sz w:val="18"/>
                <w:szCs w:val="18"/>
                <w:b w:val="1"/>
                <w:bCs w:val="1"/>
                <w:color w:val="auto"/>
                <w:w w:val="89"/>
              </w:rPr>
              <w:t>For the Fiscal Year Ended December 31, 2018</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w w:val="88"/>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4"/>
        </w:trPr>
        <w:tc>
          <w:tcPr>
            <w:tcW w:w="122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89"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8680" w:type="dxa"/>
            <w:vAlign w:val="bottom"/>
            <w:gridSpan w:val="18"/>
          </w:tcPr>
          <w:p>
            <w:pPr>
              <w:spacing w:after="0"/>
              <w:rPr>
                <w:sz w:val="16"/>
                <w:szCs w:val="16"/>
                <w:color w:val="auto"/>
              </w:rPr>
            </w:pPr>
          </w:p>
        </w:tc>
        <w:tc>
          <w:tcPr>
            <w:tcW w:w="780" w:type="dxa"/>
            <w:vAlign w:val="bottom"/>
          </w:tcPr>
          <w:p>
            <w:pPr>
              <w:jc w:val="center"/>
              <w:ind w:left="51"/>
              <w:spacing w:after="0" w:line="189"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195"/>
        </w:trPr>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5"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8420" w:type="dxa"/>
            <w:vAlign w:val="bottom"/>
            <w:gridSpan w:val="16"/>
          </w:tcPr>
          <w:p>
            <w:pPr>
              <w:spacing w:after="0"/>
              <w:rPr>
                <w:sz w:val="16"/>
                <w:szCs w:val="16"/>
                <w:color w:val="auto"/>
              </w:rPr>
            </w:pPr>
          </w:p>
        </w:tc>
        <w:tc>
          <w:tcPr>
            <w:tcW w:w="780" w:type="dxa"/>
            <w:vAlign w:val="bottom"/>
          </w:tcPr>
          <w:p>
            <w:pPr>
              <w:jc w:val="right"/>
              <w:ind w:right="131"/>
              <w:spacing w:after="0" w:line="195"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5"/>
        </w:trPr>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8"/>
          </w:tcPr>
          <w:p>
            <w:pPr>
              <w:spacing w:after="0" w:line="195"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Unresolved Staff Comments</w:t>
              </w:r>
            </w:hyperlink>
          </w:p>
        </w:tc>
        <w:tc>
          <w:tcPr>
            <w:tcW w:w="7280" w:type="dxa"/>
            <w:vAlign w:val="bottom"/>
            <w:gridSpan w:val="11"/>
          </w:tcPr>
          <w:p>
            <w:pPr>
              <w:spacing w:after="0"/>
              <w:rPr>
                <w:sz w:val="16"/>
                <w:szCs w:val="16"/>
                <w:color w:val="auto"/>
              </w:rPr>
            </w:pPr>
          </w:p>
        </w:tc>
        <w:tc>
          <w:tcPr>
            <w:tcW w:w="78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95"/>
        </w:trPr>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Item 2</w:t>
            </w:r>
          </w:p>
        </w:tc>
        <w:tc>
          <w:tcPr>
            <w:tcW w:w="9320" w:type="dxa"/>
            <w:vAlign w:val="bottom"/>
            <w:gridSpan w:val="19"/>
          </w:tcPr>
          <w:p>
            <w:pPr>
              <w:spacing w:after="0" w:line="195" w:lineRule="exact"/>
              <w:rPr>
                <w:rFonts w:ascii="Arial" w:cs="Arial" w:eastAsia="Arial" w:hAnsi="Arial"/>
                <w:sz w:val="18"/>
                <w:szCs w:val="18"/>
                <w:color w:val="0000EE"/>
              </w:rPr>
            </w:pPr>
            <w:hyperlink w:anchor="page49">
              <w:r>
                <w:rPr>
                  <w:rFonts w:ascii="Arial" w:cs="Arial" w:eastAsia="Arial" w:hAnsi="Arial"/>
                  <w:sz w:val="18"/>
                  <w:szCs w:val="18"/>
                  <w:color w:val="0000EE"/>
                </w:rPr>
                <w:t>Properties</w:t>
              </w:r>
            </w:hyperlink>
          </w:p>
        </w:tc>
        <w:tc>
          <w:tcPr>
            <w:tcW w:w="78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Item 3</w:t>
            </w:r>
          </w:p>
        </w:tc>
        <w:tc>
          <w:tcPr>
            <w:tcW w:w="9320" w:type="dxa"/>
            <w:vAlign w:val="bottom"/>
            <w:gridSpan w:val="19"/>
          </w:tcPr>
          <w:p>
            <w:pPr>
              <w:spacing w:after="0" w:line="195" w:lineRule="exact"/>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78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Item 4</w:t>
            </w:r>
          </w:p>
        </w:tc>
        <w:tc>
          <w:tcPr>
            <w:tcW w:w="9320" w:type="dxa"/>
            <w:vAlign w:val="bottom"/>
            <w:gridSpan w:val="19"/>
          </w:tcPr>
          <w:p>
            <w:pPr>
              <w:spacing w:after="0" w:line="195"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78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342"/>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18"/>
                <w:szCs w:val="18"/>
                <w:color w:val="auto"/>
              </w:rPr>
              <w:t>Item 5</w:t>
            </w:r>
          </w:p>
        </w:tc>
        <w:tc>
          <w:tcPr>
            <w:tcW w:w="9320" w:type="dxa"/>
            <w:vAlign w:val="bottom"/>
            <w:gridSpan w:val="19"/>
          </w:tcPr>
          <w:p>
            <w:pPr>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center"/>
              <w:ind w:left="31"/>
              <w:spacing w:after="0" w:line="189"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95"/>
        </w:trPr>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Item 6</w:t>
            </w:r>
          </w:p>
        </w:tc>
        <w:tc>
          <w:tcPr>
            <w:tcW w:w="170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Selected Financial Data</w:t>
              </w:r>
            </w:hyperlink>
          </w:p>
        </w:tc>
        <w:tc>
          <w:tcPr>
            <w:tcW w:w="6320" w:type="dxa"/>
            <w:vAlign w:val="bottom"/>
            <w:tcBorders>
              <w:top w:val="single" w:sz="8" w:color="0000EE"/>
            </w:tcBorders>
            <w:gridSpan w:val="13"/>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195"/>
        </w:trPr>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Item 7</w:t>
            </w:r>
          </w:p>
        </w:tc>
        <w:tc>
          <w:tcPr>
            <w:tcW w:w="6420" w:type="dxa"/>
            <w:vAlign w:val="bottom"/>
            <w:tcBorders>
              <w:bottom w:val="single" w:sz="8" w:color="0000EE"/>
            </w:tcBorders>
            <w:gridSpan w:val="15"/>
          </w:tcPr>
          <w:p>
            <w:pPr>
              <w:spacing w:after="0" w:line="195"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Management’s Discussion and Analysis of Financial Condition and Results of Operations</w:t>
              </w:r>
            </w:hyperlink>
          </w:p>
        </w:tc>
        <w:tc>
          <w:tcPr>
            <w:tcW w:w="2900" w:type="dxa"/>
            <w:vAlign w:val="bottom"/>
            <w:gridSpan w:val="4"/>
          </w:tcPr>
          <w:p>
            <w:pPr>
              <w:spacing w:after="0"/>
              <w:rPr>
                <w:sz w:val="16"/>
                <w:szCs w:val="16"/>
                <w:color w:val="auto"/>
              </w:rPr>
            </w:pPr>
          </w:p>
        </w:tc>
        <w:tc>
          <w:tcPr>
            <w:tcW w:w="78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195"/>
        </w:trPr>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Item 7A</w:t>
            </w:r>
          </w:p>
        </w:tc>
        <w:tc>
          <w:tcPr>
            <w:tcW w:w="9320" w:type="dxa"/>
            <w:vAlign w:val="bottom"/>
            <w:gridSpan w:val="19"/>
          </w:tcPr>
          <w:p>
            <w:pPr>
              <w:spacing w:after="0" w:line="195"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78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195"/>
        </w:trPr>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Item 8</w:t>
            </w:r>
          </w:p>
        </w:tc>
        <w:tc>
          <w:tcPr>
            <w:tcW w:w="4320" w:type="dxa"/>
            <w:vAlign w:val="bottom"/>
            <w:tcBorders>
              <w:top w:val="single" w:sz="8" w:color="0000EE"/>
            </w:tcBorders>
            <w:gridSpan w:val="13"/>
          </w:tcPr>
          <w:p>
            <w:pPr>
              <w:spacing w:after="0" w:line="195" w:lineRule="exact"/>
              <w:rPr>
                <w:rFonts w:ascii="Arial" w:cs="Arial" w:eastAsia="Arial" w:hAnsi="Arial"/>
                <w:sz w:val="18"/>
                <w:szCs w:val="18"/>
                <w:color w:val="0000EE"/>
              </w:rPr>
            </w:pPr>
            <w:hyperlink w:anchor="page60">
              <w:r>
                <w:rPr>
                  <w:rFonts w:ascii="Arial" w:cs="Arial" w:eastAsia="Arial" w:hAnsi="Arial"/>
                  <w:sz w:val="18"/>
                  <w:szCs w:val="18"/>
                  <w:color w:val="0000EE"/>
                </w:rPr>
                <w:t>Financial Statements and Supplementary Data</w:t>
              </w:r>
            </w:hyperlink>
          </w:p>
        </w:tc>
        <w:tc>
          <w:tcPr>
            <w:tcW w:w="5000" w:type="dxa"/>
            <w:vAlign w:val="bottom"/>
            <w:gridSpan w:val="6"/>
          </w:tcPr>
          <w:p>
            <w:pPr>
              <w:spacing w:after="0"/>
              <w:rPr>
                <w:sz w:val="16"/>
                <w:szCs w:val="16"/>
                <w:color w:val="auto"/>
              </w:rPr>
            </w:pPr>
          </w:p>
        </w:tc>
        <w:tc>
          <w:tcPr>
            <w:tcW w:w="78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Item 9</w:t>
            </w:r>
          </w:p>
        </w:tc>
        <w:tc>
          <w:tcPr>
            <w:tcW w:w="9320" w:type="dxa"/>
            <w:vAlign w:val="bottom"/>
            <w:gridSpan w:val="19"/>
          </w:tcPr>
          <w:p>
            <w:pPr>
              <w:spacing w:after="0" w:line="195" w:lineRule="exact"/>
              <w:rPr>
                <w:rFonts w:ascii="Arial" w:cs="Arial" w:eastAsia="Arial" w:hAnsi="Arial"/>
                <w:sz w:val="18"/>
                <w:szCs w:val="18"/>
                <w:color w:val="0000EE"/>
              </w:rPr>
            </w:pPr>
            <w:hyperlink w:anchor="page79">
              <w:r>
                <w:rPr>
                  <w:rFonts w:ascii="Arial" w:cs="Arial" w:eastAsia="Arial" w:hAnsi="Arial"/>
                  <w:sz w:val="18"/>
                  <w:szCs w:val="18"/>
                  <w:color w:val="0000EE"/>
                </w:rPr>
                <w:t>Changes in and Disagreements With Accountants on Accounting and Financial Disclosure</w:t>
              </w:r>
            </w:hyperlink>
          </w:p>
        </w:tc>
        <w:tc>
          <w:tcPr>
            <w:tcW w:w="78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r>
        <w:trPr>
          <w:trHeight w:val="195"/>
        </w:trPr>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Item 9A</w:t>
            </w:r>
          </w:p>
        </w:tc>
        <w:tc>
          <w:tcPr>
            <w:tcW w:w="1760" w:type="dxa"/>
            <w:vAlign w:val="bottom"/>
            <w:tcBorders>
              <w:top w:val="single" w:sz="8" w:color="0000EE"/>
              <w:bottom w:val="single" w:sz="8" w:color="0000EE"/>
            </w:tcBorders>
            <w:gridSpan w:val="6"/>
          </w:tcPr>
          <w:p>
            <w:pPr>
              <w:spacing w:after="0" w:line="195"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Controls and Procedures</w:t>
              </w:r>
            </w:hyperlink>
          </w:p>
        </w:tc>
        <w:tc>
          <w:tcPr>
            <w:tcW w:w="4700" w:type="dxa"/>
            <w:vAlign w:val="bottom"/>
            <w:tcBorders>
              <w:top w:val="single" w:sz="8" w:color="0000EE"/>
            </w:tcBorders>
            <w:gridSpan w:val="10"/>
          </w:tcPr>
          <w:p>
            <w:pPr>
              <w:spacing w:after="0"/>
              <w:rPr>
                <w:sz w:val="16"/>
                <w:szCs w:val="16"/>
                <w:color w:val="auto"/>
              </w:rPr>
            </w:pPr>
          </w:p>
        </w:tc>
        <w:tc>
          <w:tcPr>
            <w:tcW w:w="2860" w:type="dxa"/>
            <w:vAlign w:val="bottom"/>
            <w:gridSpan w:val="3"/>
          </w:tcPr>
          <w:p>
            <w:pPr>
              <w:spacing w:after="0"/>
              <w:rPr>
                <w:sz w:val="16"/>
                <w:szCs w:val="16"/>
                <w:color w:val="auto"/>
              </w:rPr>
            </w:pPr>
          </w:p>
        </w:tc>
        <w:tc>
          <w:tcPr>
            <w:tcW w:w="78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r>
        <w:trPr>
          <w:trHeight w:val="195"/>
        </w:trPr>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Item 9B</w:t>
            </w:r>
          </w:p>
        </w:tc>
        <w:tc>
          <w:tcPr>
            <w:tcW w:w="9320" w:type="dxa"/>
            <w:vAlign w:val="bottom"/>
            <w:gridSpan w:val="19"/>
          </w:tcPr>
          <w:p>
            <w:pPr>
              <w:spacing w:after="0" w:line="195" w:lineRule="exact"/>
              <w:rPr>
                <w:rFonts w:ascii="Arial" w:cs="Arial" w:eastAsia="Arial" w:hAnsi="Arial"/>
                <w:sz w:val="18"/>
                <w:szCs w:val="18"/>
                <w:color w:val="0000EE"/>
              </w:rPr>
            </w:pPr>
            <w:hyperlink w:anchor="page83">
              <w:r>
                <w:rPr>
                  <w:rFonts w:ascii="Arial" w:cs="Arial" w:eastAsia="Arial" w:hAnsi="Arial"/>
                  <w:sz w:val="18"/>
                  <w:szCs w:val="18"/>
                  <w:color w:val="0000EE"/>
                </w:rPr>
                <w:t>Other Information</w:t>
              </w:r>
            </w:hyperlink>
          </w:p>
        </w:tc>
        <w:tc>
          <w:tcPr>
            <w:tcW w:w="78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342"/>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18"/>
                <w:szCs w:val="18"/>
                <w:color w:val="auto"/>
              </w:rPr>
              <w:t>Item 10</w:t>
            </w:r>
          </w:p>
        </w:tc>
        <w:tc>
          <w:tcPr>
            <w:tcW w:w="9320" w:type="dxa"/>
            <w:vAlign w:val="bottom"/>
            <w:gridSpan w:val="19"/>
          </w:tcPr>
          <w:p>
            <w:pPr>
              <w:spacing w:after="0" w:line="189" w:lineRule="exact"/>
              <w:rPr>
                <w:rFonts w:ascii="Arial" w:cs="Arial" w:eastAsia="Arial" w:hAnsi="Arial"/>
                <w:sz w:val="18"/>
                <w:szCs w:val="18"/>
                <w:color w:val="0000EE"/>
              </w:rPr>
            </w:pPr>
            <w:hyperlink w:anchor="page84">
              <w:r>
                <w:rPr>
                  <w:rFonts w:ascii="Arial" w:cs="Arial" w:eastAsia="Arial" w:hAnsi="Arial"/>
                  <w:sz w:val="18"/>
                  <w:szCs w:val="18"/>
                  <w:color w:val="0000EE"/>
                </w:rPr>
                <w:t>Directors, Executive Officers and Corporate Governance</w:t>
              </w:r>
            </w:hyperlink>
          </w:p>
        </w:tc>
        <w:tc>
          <w:tcPr>
            <w:tcW w:w="780" w:type="dxa"/>
            <w:vAlign w:val="bottom"/>
          </w:tcPr>
          <w:p>
            <w:pPr>
              <w:jc w:val="center"/>
              <w:ind w:left="31"/>
              <w:spacing w:after="0" w:line="189" w:lineRule="exact"/>
              <w:rPr>
                <w:sz w:val="20"/>
                <w:szCs w:val="20"/>
                <w:color w:val="auto"/>
              </w:rPr>
            </w:pPr>
            <w:r>
              <w:rPr>
                <w:rFonts w:ascii="Arial" w:cs="Arial" w:eastAsia="Arial" w:hAnsi="Arial"/>
                <w:sz w:val="18"/>
                <w:szCs w:val="18"/>
                <w:color w:val="auto"/>
                <w:w w:val="89"/>
              </w:rPr>
              <w:t>84</w:t>
            </w:r>
          </w:p>
        </w:tc>
        <w:tc>
          <w:tcPr>
            <w:tcW w:w="0" w:type="dxa"/>
            <w:vAlign w:val="bottom"/>
          </w:tcPr>
          <w:p>
            <w:pPr>
              <w:spacing w:after="0"/>
              <w:rPr>
                <w:sz w:val="1"/>
                <w:szCs w:val="1"/>
                <w:color w:val="auto"/>
              </w:rPr>
            </w:pPr>
          </w:p>
        </w:tc>
      </w:tr>
      <w:tr>
        <w:trPr>
          <w:trHeight w:val="195"/>
        </w:trPr>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Executive Compensation</w:t>
              </w:r>
            </w:hyperlink>
          </w:p>
        </w:tc>
        <w:tc>
          <w:tcPr>
            <w:tcW w:w="2260" w:type="dxa"/>
            <w:vAlign w:val="bottom"/>
            <w:tcBorders>
              <w:top w:val="single" w:sz="8" w:color="0000EE"/>
            </w:tcBorders>
            <w:gridSpan w:val="5"/>
          </w:tcPr>
          <w:p>
            <w:pPr>
              <w:spacing w:after="0"/>
              <w:rPr>
                <w:sz w:val="16"/>
                <w:szCs w:val="16"/>
                <w:color w:val="auto"/>
              </w:rPr>
            </w:pPr>
          </w:p>
        </w:tc>
        <w:tc>
          <w:tcPr>
            <w:tcW w:w="5260" w:type="dxa"/>
            <w:vAlign w:val="bottom"/>
            <w:gridSpan w:val="7"/>
          </w:tcPr>
          <w:p>
            <w:pPr>
              <w:spacing w:after="0"/>
              <w:rPr>
                <w:sz w:val="16"/>
                <w:szCs w:val="16"/>
                <w:color w:val="auto"/>
              </w:rPr>
            </w:pPr>
          </w:p>
        </w:tc>
        <w:tc>
          <w:tcPr>
            <w:tcW w:w="78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84</w:t>
            </w:r>
          </w:p>
        </w:tc>
        <w:tc>
          <w:tcPr>
            <w:tcW w:w="0" w:type="dxa"/>
            <w:vAlign w:val="bottom"/>
          </w:tcPr>
          <w:p>
            <w:pPr>
              <w:spacing w:after="0"/>
              <w:rPr>
                <w:sz w:val="1"/>
                <w:szCs w:val="1"/>
                <w:color w:val="auto"/>
              </w:rPr>
            </w:pPr>
          </w:p>
        </w:tc>
      </w:tr>
      <w:tr>
        <w:trPr>
          <w:trHeight w:val="195"/>
        </w:trPr>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Item 12</w:t>
            </w:r>
          </w:p>
        </w:tc>
        <w:tc>
          <w:tcPr>
            <w:tcW w:w="9320" w:type="dxa"/>
            <w:vAlign w:val="bottom"/>
            <w:gridSpan w:val="19"/>
          </w:tcPr>
          <w:p>
            <w:pPr>
              <w:spacing w:after="0" w:line="195" w:lineRule="exact"/>
              <w:rPr>
                <w:rFonts w:ascii="Arial" w:cs="Arial" w:eastAsia="Arial" w:hAnsi="Arial"/>
                <w:sz w:val="18"/>
                <w:szCs w:val="18"/>
                <w:color w:val="0000EE"/>
              </w:rPr>
            </w:pPr>
            <w:hyperlink w:anchor="page84">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84</w:t>
            </w:r>
          </w:p>
        </w:tc>
        <w:tc>
          <w:tcPr>
            <w:tcW w:w="0" w:type="dxa"/>
            <w:vAlign w:val="bottom"/>
          </w:tcPr>
          <w:p>
            <w:pPr>
              <w:spacing w:after="0"/>
              <w:rPr>
                <w:sz w:val="1"/>
                <w:szCs w:val="1"/>
                <w:color w:val="auto"/>
              </w:rPr>
            </w:pPr>
          </w:p>
        </w:tc>
      </w:tr>
      <w:tr>
        <w:trPr>
          <w:trHeight w:val="195"/>
        </w:trPr>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Item 13</w:t>
            </w:r>
          </w:p>
        </w:tc>
        <w:tc>
          <w:tcPr>
            <w:tcW w:w="5420" w:type="dxa"/>
            <w:vAlign w:val="bottom"/>
            <w:tcBorders>
              <w:top w:val="single" w:sz="8" w:color="0000EE"/>
              <w:bottom w:val="single" w:sz="8" w:color="0000EE"/>
            </w:tcBorders>
            <w:gridSpan w:val="14"/>
          </w:tcPr>
          <w:p>
            <w:pPr>
              <w:spacing w:after="0" w:line="195"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Certain Relationships and Related Transactions, and Director Independence</w:t>
              </w:r>
            </w:hyperlink>
          </w:p>
        </w:tc>
        <w:tc>
          <w:tcPr>
            <w:tcW w:w="1820" w:type="dxa"/>
            <w:vAlign w:val="bottom"/>
            <w:tcBorders>
              <w:top w:val="single" w:sz="8" w:color="0000EE"/>
            </w:tcBorders>
            <w:gridSpan w:val="3"/>
          </w:tcPr>
          <w:p>
            <w:pPr>
              <w:spacing w:after="0"/>
              <w:rPr>
                <w:sz w:val="16"/>
                <w:szCs w:val="16"/>
                <w:color w:val="auto"/>
              </w:rPr>
            </w:pPr>
          </w:p>
        </w:tc>
        <w:tc>
          <w:tcPr>
            <w:tcW w:w="2080" w:type="dxa"/>
            <w:vAlign w:val="bottom"/>
            <w:gridSpan w:val="2"/>
          </w:tcPr>
          <w:p>
            <w:pPr>
              <w:spacing w:after="0"/>
              <w:rPr>
                <w:sz w:val="16"/>
                <w:szCs w:val="16"/>
                <w:color w:val="auto"/>
              </w:rPr>
            </w:pPr>
          </w:p>
        </w:tc>
        <w:tc>
          <w:tcPr>
            <w:tcW w:w="78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195"/>
        </w:trPr>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Item 14</w:t>
            </w:r>
          </w:p>
        </w:tc>
        <w:tc>
          <w:tcPr>
            <w:tcW w:w="9320" w:type="dxa"/>
            <w:vAlign w:val="bottom"/>
            <w:gridSpan w:val="19"/>
          </w:tcPr>
          <w:p>
            <w:pPr>
              <w:spacing w:after="0" w:line="195" w:lineRule="exact"/>
              <w:rPr>
                <w:rFonts w:ascii="Arial" w:cs="Arial" w:eastAsia="Arial" w:hAnsi="Arial"/>
                <w:sz w:val="18"/>
                <w:szCs w:val="18"/>
                <w:color w:val="0000EE"/>
              </w:rPr>
            </w:pPr>
            <w:hyperlink w:anchor="page85">
              <w:r>
                <w:rPr>
                  <w:rFonts w:ascii="Arial" w:cs="Arial" w:eastAsia="Arial" w:hAnsi="Arial"/>
                  <w:sz w:val="18"/>
                  <w:szCs w:val="18"/>
                  <w:color w:val="0000EE"/>
                </w:rPr>
                <w:t>Principal Accountant Fees and Services</w:t>
              </w:r>
            </w:hyperlink>
          </w:p>
        </w:tc>
        <w:tc>
          <w:tcPr>
            <w:tcW w:w="780" w:type="dxa"/>
            <w:vAlign w:val="bottom"/>
          </w:tcPr>
          <w:p>
            <w:pPr>
              <w:jc w:val="center"/>
              <w:ind w:left="31"/>
              <w:spacing w:after="0" w:line="195" w:lineRule="exact"/>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342"/>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20" w:type="dxa"/>
            <w:vAlign w:val="bottom"/>
            <w:gridSpan w:val="2"/>
          </w:tcPr>
          <w:p>
            <w:pPr>
              <w:spacing w:after="0" w:line="189" w:lineRule="exact"/>
              <w:rPr>
                <w:sz w:val="20"/>
                <w:szCs w:val="20"/>
                <w:color w:val="auto"/>
              </w:rPr>
            </w:pPr>
            <w:r>
              <w:rPr>
                <w:rFonts w:ascii="Arial" w:cs="Arial" w:eastAsia="Arial" w:hAnsi="Arial"/>
                <w:sz w:val="18"/>
                <w:szCs w:val="18"/>
                <w:color w:val="auto"/>
              </w:rPr>
              <w:t>Item 15</w:t>
            </w:r>
          </w:p>
        </w:tc>
        <w:tc>
          <w:tcPr>
            <w:tcW w:w="9320" w:type="dxa"/>
            <w:vAlign w:val="bottom"/>
            <w:gridSpan w:val="19"/>
          </w:tcPr>
          <w:p>
            <w:pPr>
              <w:spacing w:after="0" w:line="189" w:lineRule="exact"/>
              <w:rPr>
                <w:rFonts w:ascii="Arial" w:cs="Arial" w:eastAsia="Arial" w:hAnsi="Arial"/>
                <w:sz w:val="18"/>
                <w:szCs w:val="18"/>
                <w:color w:val="0000EE"/>
              </w:rPr>
            </w:pPr>
            <w:hyperlink w:anchor="page86">
              <w:r>
                <w:rPr>
                  <w:rFonts w:ascii="Arial" w:cs="Arial" w:eastAsia="Arial" w:hAnsi="Arial"/>
                  <w:sz w:val="18"/>
                  <w:szCs w:val="18"/>
                  <w:color w:val="0000EE"/>
                </w:rPr>
                <w:t>Exhibits and Financial Statement Schedules</w:t>
              </w:r>
            </w:hyperlink>
          </w:p>
        </w:tc>
        <w:tc>
          <w:tcPr>
            <w:tcW w:w="780" w:type="dxa"/>
            <w:vAlign w:val="bottom"/>
          </w:tcPr>
          <w:p>
            <w:pPr>
              <w:jc w:val="center"/>
              <w:ind w:left="31"/>
              <w:spacing w:after="0" w:line="189"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316"/>
        </w:trPr>
        <w:tc>
          <w:tcPr>
            <w:tcW w:w="820" w:type="dxa"/>
            <w:vAlign w:val="bottom"/>
            <w:tcBorders>
              <w:bottom w:val="single" w:sz="8" w:color="0000EE"/>
            </w:tcBorders>
          </w:tcPr>
          <w:p>
            <w:pPr>
              <w:spacing w:after="0"/>
              <w:rPr>
                <w:rFonts w:ascii="Arial" w:cs="Arial" w:eastAsia="Arial" w:hAnsi="Arial"/>
                <w:sz w:val="18"/>
                <w:szCs w:val="18"/>
                <w:b w:val="1"/>
                <w:bCs w:val="1"/>
                <w:color w:val="0000EE"/>
                <w:w w:val="85"/>
              </w:rPr>
            </w:pPr>
            <w:hyperlink w:anchor="page90">
              <w:r>
                <w:rPr>
                  <w:rFonts w:ascii="Arial" w:cs="Arial" w:eastAsia="Arial" w:hAnsi="Arial"/>
                  <w:sz w:val="18"/>
                  <w:szCs w:val="18"/>
                  <w:b w:val="1"/>
                  <w:bCs w:val="1"/>
                  <w:color w:val="0000EE"/>
                  <w:w w:val="85"/>
                </w:rPr>
                <w:t>Signatures</w:t>
              </w:r>
            </w:hyperlink>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jc w:val="center"/>
              <w:ind w:left="31"/>
              <w:spacing w:after="0"/>
              <w:rPr>
                <w:sz w:val="20"/>
                <w:szCs w:val="20"/>
                <w:color w:val="auto"/>
              </w:rPr>
            </w:pPr>
            <w:r>
              <w:rPr>
                <w:rFonts w:ascii="Arial" w:cs="Arial" w:eastAsia="Arial" w:hAnsi="Arial"/>
                <w:sz w:val="18"/>
                <w:szCs w:val="18"/>
                <w:color w:val="auto"/>
                <w:w w:val="89"/>
              </w:rPr>
              <w:t>90</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right="120" w:firstLine="439"/>
        <w:spacing w:after="0" w:line="275" w:lineRule="auto"/>
        <w:rPr>
          <w:sz w:val="20"/>
          <w:szCs w:val="20"/>
          <w:color w:val="auto"/>
        </w:rPr>
      </w:pPr>
      <w:r>
        <w:rPr>
          <w:rFonts w:ascii="Arial" w:cs="Arial" w:eastAsia="Arial" w:hAnsi="Arial"/>
          <w:sz w:val="18"/>
          <w:szCs w:val="18"/>
          <w:color w:val="auto"/>
        </w:rPr>
        <w:t>The MediciNova logo is a registered trademark of MediciNova, Inc. All other product and company names are registered trademarks or trademarks of their respective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7" w:lineRule="exact"/>
        <w:rPr>
          <w:sz w:val="20"/>
          <w:szCs w:val="20"/>
          <w:color w:val="auto"/>
        </w:rPr>
      </w:pPr>
    </w:p>
    <w:p>
      <w:pPr>
        <w:jc w:val="both"/>
        <w:ind w:firstLine="658"/>
        <w:spacing w:after="0" w:line="295" w:lineRule="auto"/>
        <w:rPr>
          <w:sz w:val="20"/>
          <w:szCs w:val="20"/>
          <w:color w:val="auto"/>
        </w:rPr>
      </w:pPr>
      <w:r>
        <w:rPr>
          <w:rFonts w:ascii="Arial" w:cs="Arial" w:eastAsia="Arial" w:hAnsi="Arial"/>
          <w:sz w:val="16"/>
          <w:szCs w:val="16"/>
          <w:i w:val="1"/>
          <w:iCs w:val="1"/>
          <w:color w:val="auto"/>
        </w:rPr>
        <w:t>This Annual Report on Form 10-K includes forward-looking statements that involve a number of risks and uncertainties, many of which are beyond our control.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58" w:lineRule="exact"/>
        <w:rPr>
          <w:sz w:val="20"/>
          <w:szCs w:val="20"/>
          <w:color w:val="auto"/>
        </w:rPr>
      </w:pPr>
    </w:p>
    <w:p>
      <w:pPr>
        <w:jc w:val="both"/>
        <w:ind w:firstLine="658"/>
        <w:spacing w:after="0" w:line="253"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5" w:lineRule="exact"/>
        <w:rPr>
          <w:sz w:val="20"/>
          <w:szCs w:val="20"/>
          <w:color w:val="auto"/>
        </w:rPr>
      </w:pPr>
    </w:p>
    <w:p>
      <w:pPr>
        <w:ind w:left="1180" w:hanging="58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15" w:lineRule="exact"/>
        <w:rPr>
          <w:rFonts w:ascii="Arial" w:cs="Arial" w:eastAsia="Arial" w:hAnsi="Arial"/>
          <w:sz w:val="18"/>
          <w:szCs w:val="18"/>
          <w:color w:val="auto"/>
        </w:rPr>
      </w:pPr>
    </w:p>
    <w:p>
      <w:pPr>
        <w:ind w:left="1180" w:hanging="58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15" w:lineRule="exact"/>
        <w:rPr>
          <w:rFonts w:ascii="Arial" w:cs="Arial" w:eastAsia="Arial" w:hAnsi="Arial"/>
          <w:sz w:val="18"/>
          <w:szCs w:val="18"/>
          <w:color w:val="auto"/>
        </w:rPr>
      </w:pPr>
    </w:p>
    <w:p>
      <w:pPr>
        <w:ind w:left="1180" w:hanging="58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15" w:lineRule="exact"/>
        <w:rPr>
          <w:rFonts w:ascii="Arial" w:cs="Arial" w:eastAsia="Arial" w:hAnsi="Arial"/>
          <w:sz w:val="18"/>
          <w:szCs w:val="18"/>
          <w:color w:val="auto"/>
        </w:rPr>
      </w:pPr>
    </w:p>
    <w:p>
      <w:pPr>
        <w:ind w:left="1180" w:hanging="582"/>
        <w:spacing w:after="0"/>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or delay in completing clinical trials or obtaining FDA or foreign regulatory approval for our product candidates in a timely manner;</w:t>
      </w:r>
    </w:p>
    <w:p>
      <w:pPr>
        <w:spacing w:after="0" w:line="138" w:lineRule="exact"/>
        <w:rPr>
          <w:rFonts w:ascii="Arial" w:cs="Arial" w:eastAsia="Arial" w:hAnsi="Arial"/>
          <w:sz w:val="16"/>
          <w:szCs w:val="16"/>
          <w:color w:val="auto"/>
        </w:rPr>
      </w:pPr>
    </w:p>
    <w:p>
      <w:pPr>
        <w:ind w:left="1180" w:right="180" w:hanging="582"/>
        <w:spacing w:after="0" w:line="275"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62" w:lineRule="exact"/>
        <w:rPr>
          <w:rFonts w:ascii="Arial" w:cs="Arial" w:eastAsia="Arial" w:hAnsi="Arial"/>
          <w:sz w:val="18"/>
          <w:szCs w:val="18"/>
          <w:color w:val="auto"/>
        </w:rPr>
      </w:pPr>
    </w:p>
    <w:p>
      <w:pPr>
        <w:ind w:left="1180" w:hanging="58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5" w:lineRule="exact"/>
        <w:rPr>
          <w:rFonts w:ascii="Arial" w:cs="Arial" w:eastAsia="Arial" w:hAnsi="Arial"/>
          <w:sz w:val="18"/>
          <w:szCs w:val="18"/>
          <w:color w:val="auto"/>
        </w:rPr>
      </w:pPr>
    </w:p>
    <w:p>
      <w:pPr>
        <w:ind w:left="1180" w:hanging="58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15" w:lineRule="exact"/>
        <w:rPr>
          <w:rFonts w:ascii="Arial" w:cs="Arial" w:eastAsia="Arial" w:hAnsi="Arial"/>
          <w:sz w:val="18"/>
          <w:szCs w:val="18"/>
          <w:color w:val="auto"/>
        </w:rPr>
      </w:pPr>
    </w:p>
    <w:p>
      <w:pPr>
        <w:ind w:left="1180" w:hanging="58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15" w:lineRule="exact"/>
        <w:rPr>
          <w:rFonts w:ascii="Arial" w:cs="Arial" w:eastAsia="Arial" w:hAnsi="Arial"/>
          <w:sz w:val="18"/>
          <w:szCs w:val="18"/>
          <w:color w:val="auto"/>
        </w:rPr>
      </w:pPr>
    </w:p>
    <w:p>
      <w:pPr>
        <w:ind w:left="1180" w:right="640" w:hanging="582"/>
        <w:spacing w:after="0" w:line="275"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62" w:lineRule="exact"/>
        <w:rPr>
          <w:rFonts w:ascii="Arial" w:cs="Arial" w:eastAsia="Arial" w:hAnsi="Arial"/>
          <w:sz w:val="18"/>
          <w:szCs w:val="18"/>
          <w:color w:val="auto"/>
        </w:rPr>
      </w:pPr>
    </w:p>
    <w:p>
      <w:pPr>
        <w:ind w:left="1180" w:hanging="58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15" w:lineRule="exact"/>
        <w:rPr>
          <w:rFonts w:ascii="Arial" w:cs="Arial" w:eastAsia="Arial" w:hAnsi="Arial"/>
          <w:sz w:val="18"/>
          <w:szCs w:val="18"/>
          <w:color w:val="auto"/>
        </w:rPr>
      </w:pPr>
    </w:p>
    <w:p>
      <w:pPr>
        <w:ind w:left="1180" w:hanging="58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15" w:lineRule="exact"/>
        <w:rPr>
          <w:rFonts w:ascii="Arial" w:cs="Arial" w:eastAsia="Arial" w:hAnsi="Arial"/>
          <w:sz w:val="18"/>
          <w:szCs w:val="18"/>
          <w:color w:val="auto"/>
        </w:rPr>
      </w:pPr>
    </w:p>
    <w:p>
      <w:pPr>
        <w:ind w:left="1180" w:hanging="58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15" w:lineRule="exact"/>
        <w:rPr>
          <w:rFonts w:ascii="Arial" w:cs="Arial" w:eastAsia="Arial" w:hAnsi="Arial"/>
          <w:sz w:val="18"/>
          <w:szCs w:val="18"/>
          <w:color w:val="auto"/>
        </w:rPr>
      </w:pPr>
    </w:p>
    <w:p>
      <w:pPr>
        <w:ind w:left="1180" w:hanging="58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15" w:lineRule="exact"/>
        <w:rPr>
          <w:rFonts w:ascii="Arial" w:cs="Arial" w:eastAsia="Arial" w:hAnsi="Arial"/>
          <w:sz w:val="18"/>
          <w:szCs w:val="18"/>
          <w:color w:val="auto"/>
        </w:rPr>
      </w:pPr>
    </w:p>
    <w:p>
      <w:pPr>
        <w:ind w:left="1180" w:hanging="582"/>
        <w:spacing w:after="0"/>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if approved, may not gain market acceptance or obtain adequate coverage for third party reimbursement;</w:t>
      </w:r>
    </w:p>
    <w:p>
      <w:pPr>
        <w:spacing w:after="0" w:line="126" w:lineRule="exact"/>
        <w:rPr>
          <w:rFonts w:ascii="Arial" w:cs="Arial" w:eastAsia="Arial" w:hAnsi="Arial"/>
          <w:sz w:val="17"/>
          <w:szCs w:val="17"/>
          <w:color w:val="auto"/>
        </w:rPr>
      </w:pPr>
    </w:p>
    <w:p>
      <w:pPr>
        <w:ind w:left="1180" w:hanging="58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15" w:lineRule="exact"/>
        <w:rPr>
          <w:rFonts w:ascii="Arial" w:cs="Arial" w:eastAsia="Arial" w:hAnsi="Arial"/>
          <w:sz w:val="18"/>
          <w:szCs w:val="18"/>
          <w:color w:val="auto"/>
        </w:rPr>
      </w:pPr>
    </w:p>
    <w:p>
      <w:pPr>
        <w:ind w:left="1180" w:hanging="58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15" w:lineRule="exact"/>
        <w:rPr>
          <w:rFonts w:ascii="Arial" w:cs="Arial" w:eastAsia="Arial" w:hAnsi="Arial"/>
          <w:sz w:val="18"/>
          <w:szCs w:val="18"/>
          <w:color w:val="auto"/>
        </w:rPr>
      </w:pPr>
    </w:p>
    <w:p>
      <w:pPr>
        <w:ind w:left="1180" w:hanging="58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15" w:lineRule="exact"/>
        <w:rPr>
          <w:rFonts w:ascii="Arial" w:cs="Arial" w:eastAsia="Arial" w:hAnsi="Arial"/>
          <w:sz w:val="18"/>
          <w:szCs w:val="18"/>
          <w:color w:val="auto"/>
        </w:rPr>
      </w:pPr>
    </w:p>
    <w:p>
      <w:pPr>
        <w:ind w:left="1180" w:hanging="58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582" w:hanging="582"/>
        <w:spacing w:after="0"/>
        <w:tabs>
          <w:tab w:leader="none" w:pos="58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International trade or foreign exchange restrictions, increased tariffs, foreign currency exchange;</w:t>
      </w:r>
    </w:p>
    <w:p>
      <w:pPr>
        <w:spacing w:after="0" w:line="138" w:lineRule="exact"/>
        <w:rPr>
          <w:rFonts w:ascii="Arial" w:cs="Arial" w:eastAsia="Arial" w:hAnsi="Arial"/>
          <w:sz w:val="16"/>
          <w:szCs w:val="16"/>
          <w:color w:val="auto"/>
        </w:rPr>
      </w:pPr>
    </w:p>
    <w:p>
      <w:pPr>
        <w:ind w:left="582" w:hanging="582"/>
        <w:spacing w:after="0"/>
        <w:tabs>
          <w:tab w:leader="none" w:pos="582"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15" w:lineRule="exact"/>
        <w:rPr>
          <w:rFonts w:ascii="Arial" w:cs="Arial" w:eastAsia="Arial" w:hAnsi="Arial"/>
          <w:sz w:val="18"/>
          <w:szCs w:val="18"/>
          <w:color w:val="auto"/>
        </w:rPr>
      </w:pPr>
    </w:p>
    <w:p>
      <w:pPr>
        <w:ind w:left="582" w:hanging="582"/>
        <w:spacing w:after="0"/>
        <w:tabs>
          <w:tab w:leader="none" w:pos="582"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15" w:lineRule="exact"/>
        <w:rPr>
          <w:rFonts w:ascii="Arial" w:cs="Arial" w:eastAsia="Arial" w:hAnsi="Arial"/>
          <w:sz w:val="18"/>
          <w:szCs w:val="18"/>
          <w:color w:val="auto"/>
        </w:rPr>
      </w:pPr>
    </w:p>
    <w:p>
      <w:pPr>
        <w:ind w:left="582" w:hanging="582"/>
        <w:spacing w:after="0"/>
        <w:tabs>
          <w:tab w:leader="none" w:pos="58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15" w:lineRule="exact"/>
        <w:rPr>
          <w:rFonts w:ascii="Arial" w:cs="Arial" w:eastAsia="Arial" w:hAnsi="Arial"/>
          <w:sz w:val="18"/>
          <w:szCs w:val="18"/>
          <w:color w:val="auto"/>
        </w:rPr>
      </w:pPr>
    </w:p>
    <w:p>
      <w:pPr>
        <w:ind w:left="582" w:hanging="582"/>
        <w:spacing w:after="0"/>
        <w:tabs>
          <w:tab w:leader="none" w:pos="582"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15" w:lineRule="exact"/>
        <w:rPr>
          <w:rFonts w:ascii="Arial" w:cs="Arial" w:eastAsia="Arial" w:hAnsi="Arial"/>
          <w:sz w:val="18"/>
          <w:szCs w:val="18"/>
          <w:color w:val="auto"/>
        </w:rPr>
      </w:pPr>
    </w:p>
    <w:p>
      <w:pPr>
        <w:ind w:left="582" w:hanging="582"/>
        <w:spacing w:after="0"/>
        <w:tabs>
          <w:tab w:leader="none" w:pos="582"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political, foreign exchange and other risks associated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6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69850</wp:posOffset>
            </wp:positionV>
            <wp:extent cx="728980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9621"/>
          </w:cols>
          <w:pgMar w:left="838" w:top="125"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We are a biopharmaceutical company focused on developing novel, small molecule therapeutics for the treatment of serious diseases with unmet medical needs and a commercial focus on the United States market. Our current strategy is to focus our development activities on MN-166 (ibudilast) for neurological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MN-166 (ibudilast) is currently in development for several different neurological diseases as described below.</w:t>
      </w:r>
    </w:p>
    <w:p>
      <w:pPr>
        <w:spacing w:after="0" w:line="223" w:lineRule="exact"/>
        <w:rPr>
          <w:sz w:val="20"/>
          <w:szCs w:val="20"/>
          <w:color w:val="auto"/>
        </w:rPr>
      </w:pPr>
    </w:p>
    <w:p>
      <w:pPr>
        <w:ind w:left="860" w:right="260" w:hanging="423"/>
        <w:spacing w:after="0" w:line="262"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Progressive Multiple Sclerosis: </w:t>
      </w:r>
      <w:r>
        <w:rPr>
          <w:rFonts w:ascii="Arial" w:cs="Arial" w:eastAsia="Arial" w:hAnsi="Arial"/>
          <w:sz w:val="18"/>
          <w:szCs w:val="18"/>
          <w:color w:val="auto"/>
        </w:rPr>
        <w:t>We completed a Phase 2b clinical trial of MN-166 (ibudilast) for the treatment of relapsing multiple sclerosis</w:t>
      </w:r>
      <w:r>
        <w:rPr>
          <w:rFonts w:ascii="Arial" w:cs="Arial" w:eastAsia="Arial" w:hAnsi="Arial"/>
          <w:sz w:val="18"/>
          <w:szCs w:val="18"/>
          <w:i w:val="1"/>
          <w:iCs w:val="1"/>
          <w:color w:val="auto"/>
        </w:rPr>
        <w:t xml:space="preserve"> </w:t>
      </w:r>
      <w:r>
        <w:rPr>
          <w:rFonts w:ascii="Arial" w:cs="Arial" w:eastAsia="Arial" w:hAnsi="Arial"/>
          <w:sz w:val="18"/>
          <w:szCs w:val="18"/>
          <w:color w:val="auto"/>
        </w:rPr>
        <w:t>(MS), in which positive safety and neuroprotective efficacy indicators were observed. The data from this trial indicated that MN-166 (ibudilast) may have potential in the treatment of progressive MS.</w:t>
      </w:r>
    </w:p>
    <w:p>
      <w:pPr>
        <w:spacing w:after="0" w:line="181" w:lineRule="exact"/>
        <w:rPr>
          <w:rFonts w:ascii="Arial" w:cs="Arial" w:eastAsia="Arial" w:hAnsi="Arial"/>
          <w:sz w:val="18"/>
          <w:szCs w:val="18"/>
          <w:color w:val="auto"/>
        </w:rPr>
      </w:pPr>
    </w:p>
    <w:p>
      <w:pPr>
        <w:ind w:left="880" w:right="100"/>
        <w:spacing w:after="0" w:line="267" w:lineRule="auto"/>
        <w:rPr>
          <w:rFonts w:ascii="Arial" w:cs="Arial" w:eastAsia="Arial" w:hAnsi="Arial"/>
          <w:sz w:val="18"/>
          <w:szCs w:val="18"/>
          <w:color w:val="auto"/>
        </w:rPr>
      </w:pPr>
      <w:r>
        <w:rPr>
          <w:rFonts w:ascii="Arial" w:cs="Arial" w:eastAsia="Arial" w:hAnsi="Arial"/>
          <w:sz w:val="17"/>
          <w:szCs w:val="17"/>
          <w:color w:val="auto"/>
        </w:rPr>
        <w:t>We partnered with investigators on a Phase 2b clinical trial of MN-166 (ibudilast) in primary progressive and secondary progressive MS which was conducted by NeuroNEXT and funded by the National Institute of Health’s (NIH) National Institute of Neurological Diseases and Stroke (NINDS). This progressive MS trial, known as SPRINT-MS, completed randomization of 255 subjects in 2015, which exceeded the goal of 250 subjects that were planned for participation.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 = 0.74), as measured by EDSS (Expanded Disability Status Scale). Results of the SPRINT-MS Phase 2b clinical trial of MN-166 (ibudilast) in progressive MS were published in the New England Journal of Medicine in August 2018.</w:t>
      </w:r>
    </w:p>
    <w:p>
      <w:pPr>
        <w:spacing w:after="0" w:line="183" w:lineRule="exact"/>
        <w:rPr>
          <w:rFonts w:ascii="Arial" w:cs="Arial" w:eastAsia="Arial" w:hAnsi="Arial"/>
          <w:sz w:val="18"/>
          <w:szCs w:val="18"/>
          <w:color w:val="auto"/>
        </w:rPr>
      </w:pPr>
    </w:p>
    <w:p>
      <w:pPr>
        <w:ind w:left="880" w:right="300"/>
        <w:spacing w:after="0" w:line="275" w:lineRule="auto"/>
        <w:rPr>
          <w:rFonts w:ascii="Arial" w:cs="Arial" w:eastAsia="Arial" w:hAnsi="Arial"/>
          <w:sz w:val="18"/>
          <w:szCs w:val="18"/>
          <w:color w:val="auto"/>
        </w:rPr>
      </w:pPr>
      <w:r>
        <w:rPr>
          <w:rFonts w:ascii="Arial" w:cs="Arial" w:eastAsia="Arial" w:hAnsi="Arial"/>
          <w:sz w:val="18"/>
          <w:szCs w:val="18"/>
          <w:color w:val="auto"/>
        </w:rPr>
        <w:t>The United States Food and Drug Administration (FDA) has granted Fast Track designation for the development of MN-166 (ibudilast) for the treatment of patients with progressive MS.</w:t>
      </w:r>
    </w:p>
    <w:p>
      <w:pPr>
        <w:spacing w:after="0" w:line="170" w:lineRule="exact"/>
        <w:rPr>
          <w:rFonts w:ascii="Arial" w:cs="Arial" w:eastAsia="Arial" w:hAnsi="Arial"/>
          <w:sz w:val="18"/>
          <w:szCs w:val="18"/>
          <w:color w:val="auto"/>
        </w:rPr>
      </w:pPr>
    </w:p>
    <w:p>
      <w:pPr>
        <w:ind w:left="860" w:hanging="423"/>
        <w:spacing w:after="0" w:line="252"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Amyotrophic Lateral Sclerosis (ALS): </w:t>
      </w:r>
      <w:r>
        <w:rPr>
          <w:rFonts w:ascii="Arial" w:cs="Arial" w:eastAsia="Arial" w:hAnsi="Arial"/>
          <w:sz w:val="18"/>
          <w:szCs w:val="18"/>
          <w:color w:val="auto"/>
        </w:rPr>
        <w:t>We initiated a clinical trial of MN-166 (ibudilast) in amyotrophic lateral sclerosis (ALS) in the second half</w:t>
      </w:r>
      <w:r>
        <w:rPr>
          <w:rFonts w:ascii="Arial" w:cs="Arial" w:eastAsia="Arial" w:hAnsi="Arial"/>
          <w:sz w:val="18"/>
          <w:szCs w:val="18"/>
          <w:i w:val="1"/>
          <w:iCs w:val="1"/>
          <w:color w:val="auto"/>
        </w:rPr>
        <w:t xml:space="preserve"> </w:t>
      </w:r>
      <w:r>
        <w:rPr>
          <w:rFonts w:ascii="Arial" w:cs="Arial" w:eastAsia="Arial" w:hAnsi="Arial"/>
          <w:sz w:val="18"/>
          <w:szCs w:val="18"/>
          <w:color w:val="auto"/>
        </w:rPr>
        <w:t>of 2014, and this trial was completed during the second half of 2017. In December 2017, we announced positive top-line results from this trial. The trial achieved the primary endpoint of safety and tolerability. In addition, there was a higher rate of responders on the ALSFRS-R total score in the MN-166 (ibudilast) group compared to the placebo group. The Amyotrophic Lateral Sclerosis Functional Rating Scale-Revised (ALSFRS-R) total score measures the functional activity of an ALS subject. In July 2018, we announced data from ad-hoc subgroup analyses in ALS subjects who had either bulbar onset or upper limb onset. In September 2018, we received feedback from the FDA regarding our Phase 3 clinical development plan for MN-166 (ibudilast) in ALS. In January 2019, we received a Notice of Allowance from the U.S. Patent and Trademark Office for a pending patent application which covers the combination of MN-166 (ibudilast) and riluzole for the treatment of ALS and other neurodegenerative diseases.</w:t>
      </w:r>
    </w:p>
    <w:p>
      <w:pPr>
        <w:spacing w:after="0" w:line="192" w:lineRule="exact"/>
        <w:rPr>
          <w:sz w:val="20"/>
          <w:szCs w:val="20"/>
          <w:color w:val="auto"/>
        </w:rPr>
      </w:pPr>
    </w:p>
    <w:p>
      <w:pPr>
        <w:ind w:left="880" w:right="140"/>
        <w:spacing w:after="0" w:line="262" w:lineRule="auto"/>
        <w:rPr>
          <w:sz w:val="20"/>
          <w:szCs w:val="20"/>
          <w:color w:val="auto"/>
        </w:rPr>
      </w:pPr>
      <w:r>
        <w:rPr>
          <w:rFonts w:ascii="Arial" w:cs="Arial" w:eastAsia="Arial" w:hAnsi="Arial"/>
          <w:sz w:val="18"/>
          <w:szCs w:val="18"/>
          <w:color w:val="auto"/>
        </w:rPr>
        <w:t>We have collaborated with Massachusetts General Hospital (MGH) to conduct a clinical trial to study the effects of MN-166 (ibudilast) on reducing brain microglial activation in ALS subjects which can be monitored by a biomarker. This ongoing clinical trial, which we refer to as the ALS / Biomarker study, will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680"/>
        <w:spacing w:after="0"/>
        <w:rPr>
          <w:sz w:val="20"/>
          <w:szCs w:val="20"/>
          <w:color w:val="auto"/>
        </w:rPr>
      </w:pPr>
      <w:r>
        <w:rPr>
          <w:rFonts w:ascii="Arial" w:cs="Arial" w:eastAsia="Arial" w:hAnsi="Arial"/>
          <w:sz w:val="18"/>
          <w:szCs w:val="18"/>
          <w:color w:val="auto"/>
        </w:rPr>
        <w:t>also evaluate several clinical outcomes. In July 2018, we announced that the ALS / Biomarker study was fully enrolled.</w:t>
      </w:r>
    </w:p>
    <w:p>
      <w:pPr>
        <w:spacing w:after="0" w:line="223" w:lineRule="exact"/>
        <w:rPr>
          <w:sz w:val="20"/>
          <w:szCs w:val="20"/>
          <w:color w:val="auto"/>
        </w:rPr>
      </w:pPr>
    </w:p>
    <w:p>
      <w:pPr>
        <w:ind w:left="680"/>
        <w:spacing w:after="0" w:line="262" w:lineRule="auto"/>
        <w:rPr>
          <w:sz w:val="20"/>
          <w:szCs w:val="20"/>
          <w:color w:val="auto"/>
        </w:rPr>
      </w:pPr>
      <w:r>
        <w:rPr>
          <w:rFonts w:ascii="Arial" w:cs="Arial" w:eastAsia="Arial" w:hAnsi="Arial"/>
          <w:sz w:val="18"/>
          <w:szCs w:val="18"/>
          <w:color w:val="auto"/>
        </w:rPr>
        <w:t>The FDA has granted Fast Track designation to MN-166 (ibudilast) for the treatment of ALS as well as Orphan-Drug designation for the treatment of ALS, which will provide seven years of marketing exclusivity if it is approved for ALS. The European Commission also granted Orphan Medicinal Product Designation for MN-166 (ibudilast) for the treatment of ALS.</w:t>
      </w:r>
    </w:p>
    <w:p>
      <w:pPr>
        <w:spacing w:after="0" w:line="181" w:lineRule="exact"/>
        <w:rPr>
          <w:sz w:val="20"/>
          <w:szCs w:val="20"/>
          <w:color w:val="auto"/>
        </w:rPr>
      </w:pPr>
    </w:p>
    <w:p>
      <w:pPr>
        <w:ind w:left="460" w:right="40" w:hanging="32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Substance Dependence and Addiction:</w:t>
      </w:r>
      <w:r>
        <w:rPr>
          <w:rFonts w:ascii="Arial" w:cs="Arial" w:eastAsia="Arial" w:hAnsi="Arial"/>
          <w:sz w:val="18"/>
          <w:szCs w:val="18"/>
          <w:color w:val="auto"/>
        </w:rPr>
        <w:t xml:space="preserve"> In the area of addiction, the National Institute on Drug Abuse (NIDA) funded a Phase 2 clinical trial studying the use of MN-166 (ibudilast) for the treatment of methamphetamine addiction. In collaboration with the University of California, Los Angeles (UCLA), this clinical trial commenced in 2013 and enrollment was completed in September 2017. In March 2018, we announced that this trial did not meet the primary endpoint of methamphetamine abstinence confirmed via urine drug screens during the final two weeks of treatment. In November 2017, we announced a collaboration with Oregon Health &amp; Science University to initiate a biomarker study for evaluating MN-166 (ibudilast) in methamphetamine use disorder and this trial is ongoing.</w:t>
      </w:r>
    </w:p>
    <w:p>
      <w:pPr>
        <w:spacing w:after="0" w:line="96" w:lineRule="exact"/>
        <w:rPr>
          <w:sz w:val="20"/>
          <w:szCs w:val="20"/>
          <w:color w:val="auto"/>
        </w:rPr>
      </w:pPr>
    </w:p>
    <w:p>
      <w:pPr>
        <w:ind w:left="680" w:right="20"/>
        <w:spacing w:after="0" w:line="255" w:lineRule="auto"/>
        <w:rPr>
          <w:sz w:val="20"/>
          <w:szCs w:val="20"/>
          <w:color w:val="auto"/>
        </w:rPr>
      </w:pPr>
      <w:r>
        <w:rPr>
          <w:rFonts w:ascii="Arial" w:cs="Arial" w:eastAsia="Arial" w:hAnsi="Arial"/>
          <w:sz w:val="18"/>
          <w:szCs w:val="18"/>
          <w:color w:val="auto"/>
        </w:rPr>
        <w:t>Investigators at Columbia University and the New York State Psychiatric Institute (NYSPI) previously completed a Phase 1b/2a clinical trial of MN-166 (ibudilast) in opioid withdrawal that was funded by NIDA. Investigators at Columbia University and the NYSPI also conducted a NIDA-funded, Phase 2a clinical trial to evaluate the efficacy of MN-166 (ibudilast) in the treatment of patients addicted to prescription opioids or heroin. In March 2016, we announced that positive findings from the results of this completed study in opioid dependence were presented at the Behavior, Biology and Chemistry: Translational Research in Addiction Meeting.</w:t>
      </w:r>
    </w:p>
    <w:p>
      <w:pPr>
        <w:spacing w:after="0" w:line="189" w:lineRule="exact"/>
        <w:rPr>
          <w:sz w:val="20"/>
          <w:szCs w:val="20"/>
          <w:color w:val="auto"/>
        </w:rPr>
      </w:pPr>
    </w:p>
    <w:p>
      <w:pPr>
        <w:ind w:left="680" w:right="60"/>
        <w:spacing w:after="0" w:line="272" w:lineRule="auto"/>
        <w:rPr>
          <w:sz w:val="20"/>
          <w:szCs w:val="20"/>
          <w:color w:val="auto"/>
        </w:rPr>
      </w:pPr>
      <w:r>
        <w:rPr>
          <w:rFonts w:ascii="Arial" w:cs="Arial" w:eastAsia="Arial" w:hAnsi="Arial"/>
          <w:sz w:val="17"/>
          <w:szCs w:val="17"/>
          <w:color w:val="auto"/>
        </w:rPr>
        <w:t>Researchers at UCLA were granted approval and funding by the National Institute on Alcoholism and Alcohol Abuse (NIAAA) for a clinical trial to evaluate MN-166 (ibudilast) for the treatment of alcohol dependence. This clinical trial has been completed and results were presented at the American College of Neuropsychopharmacology (ACNP)’s 54th Annual Meeting in December 2015. In May 2018, we announced a new NIDA-funded clinical trial of MN-166 (ibudilast) in alcohol dependence and withdrawal in collaboration with researchers at UCLA and this trial is ongoing. In August 2018, we announced a new NIAAA-funded Phase 2b clinical trial of MN-166 (ibudilast) which will evaluate heavy drinking days in subjects with alcohol dependence in collaboration with researchers at UCLA and this trial is ongoing.</w:t>
      </w:r>
    </w:p>
    <w:p>
      <w:pPr>
        <w:spacing w:after="0" w:line="175" w:lineRule="exact"/>
        <w:rPr>
          <w:sz w:val="20"/>
          <w:szCs w:val="20"/>
          <w:color w:val="auto"/>
        </w:rPr>
      </w:pPr>
    </w:p>
    <w:p>
      <w:pPr>
        <w:ind w:left="460" w:right="440" w:hanging="32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Chemotherapy-Induced Peripheral Neuropathy:</w:t>
      </w:r>
      <w:r>
        <w:rPr>
          <w:rFonts w:ascii="Arial" w:cs="Arial" w:eastAsia="Arial" w:hAnsi="Arial"/>
          <w:sz w:val="18"/>
          <w:szCs w:val="18"/>
          <w:color w:val="auto"/>
        </w:rPr>
        <w:t xml:space="preserve"> In March 2018, we announced plans to initiate a clinical trial to evaluate MN-166 (ibudilast) in chemotherapy-induced peripheral neuropathy, which is funded by the University of Sydney Concord Cancer Centre in Australia, and this trial is ongoing.</w:t>
      </w:r>
    </w:p>
    <w:p>
      <w:pPr>
        <w:spacing w:after="0" w:line="181" w:lineRule="exact"/>
        <w:rPr>
          <w:sz w:val="20"/>
          <w:szCs w:val="20"/>
          <w:color w:val="auto"/>
        </w:rPr>
      </w:pPr>
    </w:p>
    <w:p>
      <w:pPr>
        <w:ind w:left="460" w:right="100" w:hanging="32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Degenerative Cervical Myelopathy:</w:t>
      </w:r>
      <w:r>
        <w:rPr>
          <w:rFonts w:ascii="Arial" w:cs="Arial" w:eastAsia="Arial" w:hAnsi="Arial"/>
          <w:sz w:val="18"/>
          <w:szCs w:val="18"/>
          <w:color w:val="auto"/>
        </w:rPr>
        <w:t xml:space="preserve"> In August 2018, we announced plans to initiate a clinical trial of MN-166 (ibudilast) in degenerative cervical myelopathy (DCM) in collaboration with the University of Cambridge. The trial is funded by a grant from the National Institute for Health Research (NIHR) in the United Kingdom (UK) and enrollment is expected to begin in mid-2019.</w:t>
      </w:r>
    </w:p>
    <w:p>
      <w:pPr>
        <w:spacing w:after="0" w:line="181" w:lineRule="exact"/>
        <w:rPr>
          <w:sz w:val="20"/>
          <w:szCs w:val="20"/>
          <w:color w:val="auto"/>
        </w:rPr>
      </w:pPr>
    </w:p>
    <w:p>
      <w:pPr>
        <w:ind w:left="460" w:right="240" w:hanging="321"/>
        <w:spacing w:after="0" w:line="217" w:lineRule="exact"/>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Glioblastoma:</w:t>
      </w:r>
      <w:r>
        <w:rPr>
          <w:rFonts w:ascii="Arial" w:cs="Arial" w:eastAsia="Arial" w:hAnsi="Arial"/>
          <w:sz w:val="16"/>
          <w:szCs w:val="16"/>
          <w:color w:val="auto"/>
        </w:rPr>
        <w:t xml:space="preserve"> We have initiated clinical development to evaluate MN-166 (ibudilast) for the treatment of glioblastoma. In June 2017, we announced positive results from an animal model study that examined the potential clinical efficacy of MN-166 (ibudilast) for the treatment of glioblastoma. These results were presented at the 2017 American Society of Clinical Oncology (ASCO) Annual Meeting. In May 2018, we announced that the Investigational New Drug Application (IND) for MN-166 (ibudilast) for treatment of glioblastoma was accepted and opened with the FDA.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(TMZ, Temodar</w:t>
      </w:r>
      <w:r>
        <w:rPr>
          <w:rFonts w:ascii="MS PGothic" w:cs="MS PGothic" w:eastAsia="MS PGothic" w:hAnsi="MS PGothic"/>
          <w:sz w:val="16"/>
          <w:szCs w:val="16"/>
          <w:color w:val="auto"/>
        </w:rPr>
        <w:t>‑</w:t>
      </w:r>
      <w:r>
        <w:rPr>
          <w:rFonts w:ascii="Arial" w:cs="Arial" w:eastAsia="Arial" w:hAnsi="Arial"/>
          <w:sz w:val="16"/>
          <w:szCs w:val="16"/>
          <w:color w:val="auto"/>
        </w:rPr>
        <w:t>®) for the treatment of recurrent glioblastoma at the Dana-Farber Cancer Institute in Boston.</w:t>
      </w:r>
    </w:p>
    <w:p>
      <w:pPr>
        <w:spacing w:after="0" w:line="205"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MN-001 (tipelukast) is currently in development for fibrotic diseases including nonalcoholic steatohepatitis (NASH) and idiopathic pulmonary fibrosis (IPF), which are described below.</w:t>
      </w:r>
    </w:p>
    <w:p>
      <w:pPr>
        <w:spacing w:after="0" w:line="17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69850</wp:posOffset>
            </wp:positionV>
            <wp:extent cx="728980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200"/>
          </w:cols>
          <w:pgMar w:left="440" w:top="125" w:right="259" w:bottom="1440" w:gutter="0" w:footer="0" w:header="0"/>
        </w:sectPr>
      </w:pPr>
    </w:p>
    <w:bookmarkStart w:id="7" w:name="page8"/>
    <w:bookmarkEnd w:id="7"/>
    <w:p>
      <w:pPr>
        <w:ind w:left="660" w:hanging="32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Nonalcoholic Steatohepatitis (NASH) and Nonalcoholic Fatty Liver Disease (NAFLD):</w:t>
      </w:r>
      <w:r>
        <w:rPr>
          <w:rFonts w:ascii="Arial" w:cs="Arial" w:eastAsia="Arial" w:hAnsi="Arial"/>
          <w:sz w:val="17"/>
          <w:szCs w:val="17"/>
          <w:color w:val="auto"/>
        </w:rPr>
        <w:t xml:space="preserve"> We announced positive results of MN-001 (tipelukast) in two different NASH mouse models in 2014 and we opened the IND (Investigational New Drug) application for MN-001 (tipelukast) for the treatment of NASH with the FDA in 2015. The FDA subsequently granted Fast Track designation to MN-001 (tipelukast) for the treatment of patients with NASH with fibrosis. We then initiated a clinical trial to investigate MN-001 (tipelukast) for the treatment of hypertriglyceridemia in NASH and NAFLD patients. In April 2018, we announced that we would terminate this trial early after positive results from an interim analysis in which MN-001 (tipelukast) significantly reduced mean serum triglycerides, a primary endpoint. This data was presented at the International Liver Congress 2018, the 53rd annual meeting of the European Association for the Study of the Liver (EASL) in Paris, France in April 2018.</w:t>
      </w:r>
    </w:p>
    <w:p>
      <w:pPr>
        <w:spacing w:after="0" w:line="85" w:lineRule="exact"/>
        <w:rPr>
          <w:sz w:val="20"/>
          <w:szCs w:val="20"/>
          <w:color w:val="auto"/>
        </w:rPr>
      </w:pPr>
    </w:p>
    <w:p>
      <w:pPr>
        <w:jc w:val="both"/>
        <w:ind w:left="660" w:right="40" w:hanging="321"/>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Idiopathic Pulmonary Fibrosis (IPF):</w:t>
      </w:r>
      <w:r>
        <w:rPr>
          <w:rFonts w:ascii="Arial" w:cs="Arial" w:eastAsia="Arial" w:hAnsi="Arial"/>
          <w:sz w:val="16"/>
          <w:szCs w:val="16"/>
          <w:color w:val="auto"/>
        </w:rPr>
        <w:t xml:space="preserve"> In 2014, we announced positive results of MN-001 (tipelukast) in a mouse model of pulmonary fibrosis. The FDA subsequently granted Orphan-Drug designation to MN-001 (tipelukast) for treatment of IPF which will provide seven years of marketing exclusivity if MN-001 (tipelukast) is approved for IPF. The FDA granted Fast Track designation to MN-001 (tipelukast) for the treatment of patients with IPF in September 2015. We then initiated a Phase 2 clinical trial of MN-001 (tipelukast) to treat IPF and this trial is currently enrolling patients.</w:t>
      </w:r>
    </w:p>
    <w:p>
      <w:pPr>
        <w:spacing w:after="0" w:line="15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completed a Phase 2 clinical trial of MN-221 (bedoradrine) for the treatment of acute exacerbations of asthma treated in the emergency room and conducted an End-of-Phase 2 meeting with the United States Food and Drug Administration (FDA) in October 2012. In that meeting, the FDA identified the risk/benefit profile of MN-221 (bedoradrine) as a focal point for further development and advised that a clinical outcome, such as a reduction in hospitalizations, would need to be a pivotal trial primary endpoint. We believe the appropriate clinical development for MN-221 (bedoradrine) would involve conducting dose regimen and acute exacerbations of asthma trial design optimization studies prior to commencing pivotal trials. We are working to identify a partner for financial support before further clinical development is commenced.</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acquired licenses to MN-166 (ibudilast), MN-001 (tipelukast), MN-221 (bedoradrine), and MN-029 (denibulin) for the development of these product candidates. We have pursued development of these product candidates in various indications including progressive MS, ALS, chemotherapy-induced peripheral neuropathy, degenerative cervical myelopathy, glioblastoma, various addictions, NASH and NAFLD, IPF, acute exacerbations of asthma, and solid tumor cancers.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7" w:lineRule="exact"/>
        <w:rPr>
          <w:sz w:val="20"/>
          <w:szCs w:val="20"/>
          <w:color w:val="auto"/>
        </w:rPr>
      </w:pPr>
    </w:p>
    <w:p>
      <w:pPr>
        <w:ind w:right="100" w:firstLine="439"/>
        <w:spacing w:after="0" w:line="275"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170" w:lineRule="exact"/>
        <w:rPr>
          <w:sz w:val="20"/>
          <w:szCs w:val="20"/>
          <w:color w:val="auto"/>
        </w:rPr>
      </w:pPr>
    </w:p>
    <w:p>
      <w:pPr>
        <w:ind w:left="860" w:hanging="423"/>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222" w:lineRule="exact"/>
        <w:rPr>
          <w:rFonts w:ascii="Arial" w:cs="Arial" w:eastAsia="Arial" w:hAnsi="Arial"/>
          <w:sz w:val="18"/>
          <w:szCs w:val="18"/>
          <w:color w:val="auto"/>
        </w:rPr>
      </w:pPr>
    </w:p>
    <w:p>
      <w:pPr>
        <w:ind w:left="880"/>
        <w:spacing w:after="0" w:line="253"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have funded portions of some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NIH. In addition, we contributed financially to the clinical trial of MN-166 (ibudilast) for the treatment of ALS as well as the ongoing ALS / Biomarker study. We intend to pursue additional strategic alliances to help support further clinical development of MN-166 (ibudilast).</w:t>
      </w:r>
    </w:p>
    <w:p>
      <w:pPr>
        <w:spacing w:after="0" w:line="191" w:lineRule="exact"/>
        <w:rPr>
          <w:rFonts w:ascii="Arial" w:cs="Arial" w:eastAsia="Arial" w:hAnsi="Arial"/>
          <w:sz w:val="18"/>
          <w:szCs w:val="18"/>
          <w:color w:val="auto"/>
        </w:rPr>
      </w:pPr>
    </w:p>
    <w:p>
      <w:pPr>
        <w:ind w:left="860" w:hanging="423"/>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and other diseases.</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8" w:name="page9"/>
    <w:bookmarkEnd w:id="8"/>
    <w:p>
      <w:pPr>
        <w:ind w:left="880" w:right="260"/>
        <w:spacing w:after="0" w:line="275" w:lineRule="auto"/>
        <w:rPr>
          <w:sz w:val="20"/>
          <w:szCs w:val="20"/>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170" w:lineRule="exact"/>
        <w:rPr>
          <w:sz w:val="20"/>
          <w:szCs w:val="20"/>
          <w:color w:val="auto"/>
        </w:rPr>
      </w:pPr>
    </w:p>
    <w:p>
      <w:pPr>
        <w:ind w:left="860" w:right="60" w:hanging="423"/>
        <w:spacing w:after="0" w:line="275"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late-stage product development and successfully commercialize our products.</w:t>
      </w:r>
    </w:p>
    <w:p>
      <w:pPr>
        <w:spacing w:after="0" w:line="170" w:lineRule="exact"/>
        <w:rPr>
          <w:rFonts w:ascii="Arial" w:cs="Arial" w:eastAsia="Arial" w:hAnsi="Arial"/>
          <w:sz w:val="18"/>
          <w:szCs w:val="18"/>
          <w:color w:val="auto"/>
        </w:rPr>
      </w:pPr>
    </w:p>
    <w:p>
      <w:pPr>
        <w:ind w:left="880" w:right="20"/>
        <w:spacing w:after="0" w:line="257" w:lineRule="auto"/>
        <w:rPr>
          <w:rFonts w:ascii="Arial" w:cs="Arial" w:eastAsia="Arial" w:hAnsi="Arial"/>
          <w:sz w:val="18"/>
          <w:szCs w:val="18"/>
          <w:color w:val="auto"/>
        </w:rPr>
      </w:pPr>
      <w:r>
        <w:rPr>
          <w:rFonts w:ascii="Arial" w:cs="Arial" w:eastAsia="Arial" w:hAnsi="Arial"/>
          <w:sz w:val="18"/>
          <w:szCs w:val="18"/>
          <w:color w:val="auto"/>
        </w:rPr>
        <w:t>We develop and maintain relationships with pharmaceutical companies that are therapeutic category leaders. Upon completion of proof-of-concept Phase 2 clinical trials, we intend to discuss strategic alliances with leading pharmaceutical companies who seek late-stage product candidates, such as MN-166 (ibudilast), MN-001 (tipelukast), MN-221 (bedoradrine) and MN-029, which could support further clinical development and product commercialization.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 and Programs</w:t>
      </w:r>
    </w:p>
    <w:p>
      <w:pPr>
        <w:spacing w:after="0" w:line="227" w:lineRule="exact"/>
        <w:rPr>
          <w:sz w:val="20"/>
          <w:szCs w:val="20"/>
          <w:color w:val="auto"/>
        </w:rPr>
      </w:pPr>
    </w:p>
    <w:p>
      <w:pPr>
        <w:ind w:right="260" w:firstLine="439"/>
        <w:spacing w:after="0" w:line="262" w:lineRule="auto"/>
        <w:rPr>
          <w:sz w:val="20"/>
          <w:szCs w:val="20"/>
          <w:color w:val="auto"/>
        </w:rPr>
      </w:pPr>
      <w:r>
        <w:rPr>
          <w:rFonts w:ascii="Arial" w:cs="Arial" w:eastAsia="Arial" w:hAnsi="Arial"/>
          <w:sz w:val="18"/>
          <w:szCs w:val="18"/>
          <w:color w:val="auto"/>
        </w:rPr>
        <w:t>Our product development programs address diseases that we believe are not well served by currently available therapies and represent significant commercial opportunities. We believe that we have product candidates that offer innovative therapeutic approaches that may provide significant advantages relative to current therapies.</w:t>
      </w:r>
    </w:p>
    <w:p>
      <w:pPr>
        <w:spacing w:after="0" w:line="181" w:lineRule="exact"/>
        <w:rPr>
          <w:sz w:val="20"/>
          <w:szCs w:val="20"/>
          <w:color w:val="auto"/>
        </w:rPr>
      </w:pPr>
    </w:p>
    <w:p>
      <w:pPr>
        <w:ind w:right="280" w:firstLine="439"/>
        <w:spacing w:after="0" w:line="257" w:lineRule="auto"/>
        <w:rPr>
          <w:sz w:val="20"/>
          <w:szCs w:val="20"/>
          <w:color w:val="auto"/>
        </w:rPr>
      </w:pPr>
      <w:r>
        <w:rPr>
          <w:rFonts w:ascii="Arial" w:cs="Arial" w:eastAsia="Arial" w:hAnsi="Arial"/>
          <w:sz w:val="18"/>
          <w:szCs w:val="18"/>
          <w:color w:val="auto"/>
        </w:rPr>
        <w:t>Our product acquisitions have focused primarily on product candidates with significant preclinical and early clinical testing data that have been developed by the licensors outside of the United States. We utilize the existing data in preparing Investigational New Drug (INDs) Applications or their foreign equivalents, and in designing and implementing additional preclinical or clinical trials to advance the development programs in the United States or abroad.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are the details of our product development programs: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w:t>
      </w:r>
    </w:p>
    <w:p>
      <w:pPr>
        <w:spacing w:after="0" w:line="223" w:lineRule="exact"/>
        <w:rPr>
          <w:sz w:val="20"/>
          <w:szCs w:val="20"/>
          <w:color w:val="auto"/>
        </w:rPr>
      </w:pPr>
    </w:p>
    <w:p>
      <w:pPr>
        <w:ind w:right="160" w:firstLine="439"/>
        <w:spacing w:after="0" w:line="295" w:lineRule="auto"/>
        <w:rPr>
          <w:sz w:val="20"/>
          <w:szCs w:val="20"/>
          <w:color w:val="auto"/>
        </w:rPr>
      </w:pPr>
      <w:r>
        <w:rPr>
          <w:rFonts w:ascii="Arial" w:cs="Arial" w:eastAsia="Arial" w:hAnsi="Arial"/>
          <w:sz w:val="16"/>
          <w:szCs w:val="16"/>
          <w:color w:val="auto"/>
        </w:rPr>
        <w:t>MN-166 (ibudilast) is a novel, first-in-class, oral, anti-inflammatory and neuroprotective agent. MN-166 (ibudilast) inhibits macrophage migration inhibitory factor (MIF) and certain phosphodiesterases (PDEs). MN-166 (ibudilast) also attenuates activated glia cells, which play a major role in certain neurological conditions. While it has been in use for more than 20 years in Japan and Korea for the treatment of asthma and post-stroke dizziness, we are developing MN-166 (ibudilast) for the treatment of primary progressive and secondary progressive MS, ALS, chemotherapy-induced peripheral neuropathy, degenerative cervical myelopathy, glioblastoma, and substance dependence. We licensed MN-166 (ibudilast) from Kyorin Pharmaceuticals (Kyorin) in 2004.</w:t>
      </w:r>
    </w:p>
    <w:p>
      <w:pPr>
        <w:spacing w:after="0" w:line="158" w:lineRule="exact"/>
        <w:rPr>
          <w:sz w:val="20"/>
          <w:szCs w:val="20"/>
          <w:color w:val="auto"/>
        </w:rPr>
      </w:pPr>
    </w:p>
    <w:p>
      <w:pPr>
        <w:ind w:right="20" w:firstLine="439"/>
        <w:spacing w:after="0" w:line="295" w:lineRule="auto"/>
        <w:rPr>
          <w:sz w:val="20"/>
          <w:szCs w:val="20"/>
          <w:color w:val="auto"/>
        </w:rPr>
      </w:pPr>
      <w:r>
        <w:rPr>
          <w:rFonts w:ascii="Arial" w:cs="Arial" w:eastAsia="Arial" w:hAnsi="Arial"/>
          <w:sz w:val="16"/>
          <w:szCs w:val="16"/>
          <w:color w:val="auto"/>
        </w:rPr>
        <w:t>The FDA has granted Fast Track designations to MN-166 (ibudilast) for three separate indications: the treatment of progressive MS, the treatment of ALS, and the treatment of methamphetamine dependence. Fast track designation is a process designed to facilitate the development and expedite the review of drugs that are intended to treat serious diseases and have the potential to fill an unmet medical need. An important feature of the FDA’s Fast Track program is that it emphasizes early and frequent communication between the FDA and the sponsor throughout the entire drug development and review process to improve the efficiency of product development. Accordingly, Fast Track status can potentially lead to a shortened timeline to ultimate drug approval.</w:t>
      </w:r>
    </w:p>
    <w:p>
      <w:pPr>
        <w:spacing w:after="0" w:line="158" w:lineRule="exact"/>
        <w:rPr>
          <w:sz w:val="20"/>
          <w:szCs w:val="20"/>
          <w:color w:val="auto"/>
        </w:rPr>
      </w:pPr>
    </w:p>
    <w:p>
      <w:pPr>
        <w:ind w:firstLine="439"/>
        <w:spacing w:after="0" w:line="277" w:lineRule="auto"/>
        <w:rPr>
          <w:sz w:val="20"/>
          <w:szCs w:val="20"/>
          <w:color w:val="auto"/>
        </w:rPr>
      </w:pPr>
      <w:r>
        <w:rPr>
          <w:rFonts w:ascii="Arial" w:cs="Arial" w:eastAsia="Arial" w:hAnsi="Arial"/>
          <w:sz w:val="17"/>
          <w:szCs w:val="17"/>
          <w:color w:val="auto"/>
        </w:rPr>
        <w:t>The FDA has granted Orphan-Drug designation to MN-166 (ibudilast) for the treatment of ALS, which will provide seven years of marketing exclusivity if it is approved for ALS in the U.S. The European Commission also granted Orphan Medicinal Product Designation for MN-166 (ibudilast) for the treatment of ALS which offers potential benefits including 10 years of marketing exclusivity if it is approved for ALS in Europe. The FDA has also granted Orphan-Drug designation to MN-166 (ibudilast) as adjunctive therapy to temozolomide for the treatment of glioblastoma.</w:t>
      </w:r>
    </w:p>
    <w:p>
      <w:pPr>
        <w:spacing w:after="0" w:line="172" w:lineRule="exact"/>
        <w:rPr>
          <w:sz w:val="20"/>
          <w:szCs w:val="20"/>
          <w:color w:val="auto"/>
        </w:rPr>
      </w:pPr>
    </w:p>
    <w:p>
      <w:pPr>
        <w:ind w:right="380" w:firstLine="439"/>
        <w:spacing w:after="0" w:line="257" w:lineRule="auto"/>
        <w:rPr>
          <w:sz w:val="20"/>
          <w:szCs w:val="20"/>
          <w:color w:val="auto"/>
        </w:rPr>
      </w:pPr>
      <w:r>
        <w:rPr>
          <w:rFonts w:ascii="Arial" w:cs="Arial" w:eastAsia="Arial" w:hAnsi="Arial"/>
          <w:sz w:val="18"/>
          <w:szCs w:val="18"/>
          <w:color w:val="auto"/>
        </w:rPr>
        <w:t>We have filed patent applications for multiple uses of MN-166 (ibudilast) for the treatment of neurological conditions. Some of the patent estate has received allowance in the United States and foreign countries. For example, we have been granted separate U.S. patents that cover the use of MN-166 (ibudilast) for the treatment of progressive MS, for the treatment of ALS, for the treatment of drug addiction or dependence, and for the treatment of neuropathic pain.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left="500"/>
        <w:spacing w:after="0"/>
        <w:rPr>
          <w:sz w:val="20"/>
          <w:szCs w:val="20"/>
          <w:color w:val="auto"/>
        </w:rPr>
      </w:pPr>
      <w:r>
        <w:rPr>
          <w:rFonts w:ascii="Arial" w:cs="Arial" w:eastAsia="Arial" w:hAnsi="Arial"/>
          <w:sz w:val="17"/>
          <w:szCs w:val="17"/>
          <w:i w:val="1"/>
          <w:iCs w:val="1"/>
          <w:color w:val="auto"/>
        </w:rPr>
        <w:t xml:space="preserve">Primary and Secondary Progressive Multiple Sclerosis: </w:t>
      </w:r>
      <w:r>
        <w:rPr>
          <w:rFonts w:ascii="Arial" w:cs="Arial" w:eastAsia="Arial" w:hAnsi="Arial"/>
          <w:sz w:val="17"/>
          <w:szCs w:val="17"/>
          <w:color w:val="auto"/>
        </w:rPr>
        <w:t>MS is a complex disease with predominantly unknown etiology and affects approximately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2.3 million people worldwide, according to the National Multiple Sclerosis Society, or NMSS. Also, according to NMSS, approximately 85 percent of people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with MS are initially diagnosed with relapsing-remitting MS, or RRMS, and most people who are initially diagnosed with RRMS will eventually transition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secondary progressive MS, or SPMS. About 15 percent of people with MS are diagnosed with primary progressive MS, or PPMS. There is only one approved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drug for PPMS and it is administered by intravenous infusion. There are no approved drugs generally considered safe and efficacious for SPMS in the absence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of relapses. There is a significant medical need for a safe, effective, and conveniently administered therapy for patients with PPMS and SPMS. MN-166</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(ibudilast) may meet these needs.</w:t>
      </w:r>
    </w:p>
    <w:p>
      <w:pPr>
        <w:spacing w:after="0" w:line="208" w:lineRule="exact"/>
        <w:rPr>
          <w:sz w:val="20"/>
          <w:szCs w:val="20"/>
          <w:color w:val="auto"/>
        </w:rPr>
      </w:pPr>
    </w:p>
    <w:p>
      <w:pPr>
        <w:ind w:right="60" w:firstLine="439"/>
        <w:spacing w:after="0" w:line="267" w:lineRule="auto"/>
        <w:rPr>
          <w:sz w:val="20"/>
          <w:szCs w:val="20"/>
          <w:color w:val="auto"/>
        </w:rPr>
      </w:pPr>
      <w:r>
        <w:rPr>
          <w:rFonts w:ascii="Arial" w:cs="Arial" w:eastAsia="Arial" w:hAnsi="Arial"/>
          <w:sz w:val="17"/>
          <w:szCs w:val="17"/>
          <w:color w:val="auto"/>
        </w:rPr>
        <w:t>Based on promising results from a Phase 2 trial in relapsing MS completed in 2008, investigators from NeuroNEXT, a NIH-funded Phase 2 clinical trial network, evaluated MN-166 (ibudilast) in PPMS and SPMS patients in the United States. SPRINT-MS is the name of the Phase 2b, randomized, double-blind, placebo-controlled trial that evaluated the safety and tolerability of MN-166 (ibudilast) (up to 100 mg/day) in PPMS and SPMS patients. Recruitment and enrollment at 28 medical centers in the United States commenced in late 2013 and randomization of 255 subjects was completed in June 2015.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 = 0.74), as measured by EDSS (Expanded Disability Status Scale). Results of the SPRINT-MS Phase 2b clinical trial of MN-166 (ibudilast) in progressive MS were published in the New England Journal of Medicine in August 2018. We were granted Fast Track designation from the FDA for MN-166 (ibudilast) for the treatment of progressive MS in 2016.</w:t>
      </w:r>
    </w:p>
    <w:p>
      <w:pPr>
        <w:spacing w:after="0" w:line="181"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i w:val="1"/>
          <w:iCs w:val="1"/>
          <w:color w:val="auto"/>
        </w:rPr>
        <w:t xml:space="preserve">Amyotrophic Lateral Sclerosis (ALS): </w:t>
      </w:r>
      <w:r>
        <w:rPr>
          <w:rFonts w:ascii="Arial" w:cs="Arial" w:eastAsia="Arial" w:hAnsi="Arial"/>
          <w:sz w:val="18"/>
          <w:szCs w:val="18"/>
          <w:color w:val="auto"/>
        </w:rPr>
        <w:t>ALS, also known as Lou Gehrig’s disease, is a progressive neurodegenerative disease that affects nerve cells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brain and the spinal cord. The nerves lose the ability to trigger specific muscles, which causes the muscles to become weak. As a result, ALS affects voluntary movement and patients in the later stages of the disease may become totally paralyzed. Average life expectancy of an ALS patient is three years from diagnosis. According to the ALS Association, there are approximately 20,000 ALS patients in the United States and approximately 5,000 people in the United States are diagnosed with ALS each year.</w:t>
      </w:r>
    </w:p>
    <w:p>
      <w:pPr>
        <w:spacing w:after="0" w:line="189" w:lineRule="exact"/>
        <w:rPr>
          <w:sz w:val="20"/>
          <w:szCs w:val="20"/>
          <w:color w:val="auto"/>
        </w:rPr>
      </w:pPr>
    </w:p>
    <w:p>
      <w:pPr>
        <w:ind w:right="160" w:firstLine="439"/>
        <w:spacing w:after="0" w:line="254" w:lineRule="auto"/>
        <w:rPr>
          <w:sz w:val="20"/>
          <w:szCs w:val="20"/>
          <w:color w:val="auto"/>
        </w:rPr>
      </w:pPr>
      <w:r>
        <w:rPr>
          <w:rFonts w:ascii="Arial" w:cs="Arial" w:eastAsia="Arial" w:hAnsi="Arial"/>
          <w:sz w:val="18"/>
          <w:szCs w:val="18"/>
          <w:color w:val="auto"/>
        </w:rPr>
        <w:t>We have worked with Carolinas Neuromuscular/ALS-MDA Center at Carolinas HealthCare System Neurosciences Institute, which has conducted a clinical trial of MN-166 (ibudilast) in ALS. The trial was a randomized, double-blind, placebo-controlled study which included a six-month treatment period followed by a six-month open-label extension. The study evaluated the safety and tolerability of MN-166 (ibudilast) 60 mg/day versus placebo when administered in combination with riluzole in subjects with ALS, as well as several efficacy endpoints. Subject enrollment began in October 2014. In April 2016, we announced that interim efficacy data from a mid-study analysis of the clinical trial of MN-166 (ibudilast) in ALS was presented at the American Academy of Neurology (AAN) 68th Annual Meeting.</w:t>
      </w:r>
    </w:p>
    <w:p>
      <w:pPr>
        <w:spacing w:after="0" w:line="190" w:lineRule="exact"/>
        <w:rPr>
          <w:sz w:val="20"/>
          <w:szCs w:val="20"/>
          <w:color w:val="auto"/>
        </w:rPr>
      </w:pPr>
    </w:p>
    <w:p>
      <w:pPr>
        <w:ind w:right="20" w:firstLine="439"/>
        <w:spacing w:after="0" w:line="269" w:lineRule="auto"/>
        <w:rPr>
          <w:sz w:val="20"/>
          <w:szCs w:val="20"/>
          <w:color w:val="auto"/>
        </w:rPr>
      </w:pPr>
      <w:r>
        <w:rPr>
          <w:rFonts w:ascii="Arial" w:cs="Arial" w:eastAsia="Arial" w:hAnsi="Arial"/>
          <w:sz w:val="17"/>
          <w:szCs w:val="17"/>
          <w:color w:val="auto"/>
        </w:rPr>
        <w:t>In December 2017, we announced positive top-line results from the ALS trial at Carolinas Neuromuscular/ALS-MDA Center. The trial achieved the primary endpoint of safety and tolerability. In addition, there was a higher rate of responders on the ALSFRS-R total score in the MN-166 (ibudilast) group compared to the placebo group. The Amyotrophic Lateral Sclerosis Functional Rating Scale-Revised (ALSFRS-R) total score measures the functional activity of an ALS subject. There was also a higher rate of responders on the ALSAQ-5 score in the MN-166 (ibudilast) group compared to the placebo group. The Amyotrophic Lateral Sclerosis Assessment Questionnaire (ALSAQ-5) score measures the physical mobility, activities of daily living and independence, eating and drinking, communication, and emotional functioning of an ALS subject. In July 2018, we announced data from ad-hoc subgroup analyses in subjects who had either bulbar onset or upper limb onset in the ALS trial at Carolinas Neuromuscular/ALS-MDA Center. In September 2018, we received feedback from the FDA regarding our Phase 3 clinical development plan for MN-166 (ibudilast) in ALS.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ind w:right="60" w:firstLine="439"/>
        <w:spacing w:after="0" w:line="253" w:lineRule="auto"/>
        <w:rPr>
          <w:sz w:val="20"/>
          <w:szCs w:val="20"/>
          <w:color w:val="auto"/>
        </w:rPr>
      </w:pPr>
      <w:r>
        <w:rPr>
          <w:rFonts w:ascii="Arial" w:cs="Arial" w:eastAsia="Arial" w:hAnsi="Arial"/>
          <w:sz w:val="18"/>
          <w:szCs w:val="18"/>
          <w:color w:val="auto"/>
        </w:rPr>
        <w:t>In December 2015, we announced that the FDA granted Fast Track designation to MN-166 (ibudilast) for the treatment of patients with ALS. In March 2016, we announced that we received a Notice of Allowance from the United States Patent and Trademark Office (PTO) for a new patent which covers MN-166 (ibudilast) for the treatment of ALS. In October 2016, we announced that the FDA granted Orphan-Drug designation to MN-166 (ibudilast) for the treatment of ALS, which will provide seven years of marketing exclusivity if it is approved for ALS. In December 2016, we announced that the European Commission granted Orphan Medicinal Product Designation for MN-166 (ibudilast) for the treatment of ALS. In January 2019, we received a Notice of Allowance from the U.S. PTO for a pending patent application which covers the combination of MN-166 (ibudilast) and riluzole for the treatment of ALS and other neurodegenerative diseases.</w:t>
      </w:r>
    </w:p>
    <w:p>
      <w:pPr>
        <w:spacing w:after="0" w:line="191" w:lineRule="exact"/>
        <w:rPr>
          <w:sz w:val="20"/>
          <w:szCs w:val="20"/>
          <w:color w:val="auto"/>
        </w:rPr>
      </w:pPr>
    </w:p>
    <w:p>
      <w:pPr>
        <w:ind w:right="140" w:firstLine="439"/>
        <w:spacing w:after="0" w:line="255" w:lineRule="auto"/>
        <w:rPr>
          <w:sz w:val="20"/>
          <w:szCs w:val="20"/>
          <w:color w:val="auto"/>
        </w:rPr>
      </w:pPr>
      <w:r>
        <w:rPr>
          <w:rFonts w:ascii="Arial" w:cs="Arial" w:eastAsia="Arial" w:hAnsi="Arial"/>
          <w:sz w:val="18"/>
          <w:szCs w:val="18"/>
          <w:color w:val="auto"/>
        </w:rPr>
        <w:t>In February 2016, we entered into an agreement to collaborate with Massachusetts General Hospital (MGH) to study the effects of MN-166 (ibudilast) on reducing brain microglial activation in ALS subjects measured by a positron emission tomography (PET) biomarker. This ongoing clinical trial, which we refer to as the ALS / Biomarker study, will also evaluate safety and tolerability as well as several clinical outcomes including ALS functional rating scale (ALSFRS-R), slow vital capacity (SVC), and muscle strength measured by hand-held dynamometry (HHD). In July 2018, we announced that the ALS / Biomarker study was fully enrolled.</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Methamphetamine Addiction: </w:t>
      </w:r>
      <w:r>
        <w:rPr>
          <w:rFonts w:ascii="Arial" w:cs="Arial" w:eastAsia="Arial" w:hAnsi="Arial"/>
          <w:sz w:val="16"/>
          <w:szCs w:val="16"/>
          <w:color w:val="auto"/>
        </w:rPr>
        <w:t>Methamphetamine is a central nervous system stimulant drug that is similar in structure to amphetamine. It is a Schedule</w:t>
      </w:r>
    </w:p>
    <w:p>
      <w:pPr>
        <w:spacing w:after="0" w:line="45" w:lineRule="exact"/>
        <w:rPr>
          <w:sz w:val="20"/>
          <w:szCs w:val="20"/>
          <w:color w:val="auto"/>
        </w:rPr>
      </w:pPr>
    </w:p>
    <w:p>
      <w:pPr>
        <w:ind w:firstLine="7"/>
        <w:spacing w:after="0" w:line="283" w:lineRule="auto"/>
        <w:tabs>
          <w:tab w:leader="none" w:pos="164" w:val="left"/>
        </w:tabs>
        <w:numPr>
          <w:ilvl w:val="0"/>
          <w:numId w:val="8"/>
        </w:numPr>
        <w:rPr>
          <w:rFonts w:ascii="Arial" w:cs="Arial" w:eastAsia="Arial" w:hAnsi="Arial"/>
          <w:sz w:val="16"/>
          <w:szCs w:val="16"/>
          <w:color w:val="auto"/>
        </w:rPr>
      </w:pPr>
      <w:r>
        <w:rPr>
          <w:rFonts w:ascii="Arial" w:cs="Arial" w:eastAsia="Arial" w:hAnsi="Arial"/>
          <w:sz w:val="16"/>
          <w:szCs w:val="16"/>
          <w:color w:val="auto"/>
        </w:rPr>
        <w:t>drug, meaning that it has high abuse potential and low therapeutic potential. According to the Substance Abuse and Mental Health Services Administration’s (SAMHSA) 2017 National Survey on Drug Use and Health, there are approximately 964,000 people aged 12 or older with methamphetamine use disorder (includes those with dependence or abuse) in the United States. According to the Rand Corporation, the estimate of the economic burden in the United States of methamphetamine use, based on the most recent year for which data are available, is approximately $23.4 billion. Currently, there is no pharmaceutical treatment approved for methamphetamine dependence. Based on non-clinical results of the effects of MN-166 (ibudilast) in an animal model of methamphetamine relapse, investigators at UCLA conducted a Phase 1b clinical trial funded by NIDA to examine the safety and preliminary efficacy of MN-166 (ibudilast) in non-treatment-seeking, methamphetamine-dependent users in an inpatient trial that was completed in 2012. Subsequently, UCLA investigators received NIDA grant funding for a Phase 2 clinical trial to evaluate MN-166 (ibudilast) in methamphetamine-dependent users in an outpatient trial setting that commenced in 2013. In March 2018, we announced that this trial did not meet the primary endpoint of methamphetamine abstinence confirmed via urine drug screens during the final two weeks of treatment. In November 2017, we announced a collaboration with Oregon Health &amp; Science University to initiate a biomarker study to evaluate MN-166 (ibudilast) in methamphetamine use disorder and this study is ongoing. We were granted Fast Track designation from the FDA for MN-166 (ibudilast) for the treatment of methamphetamine dependence in 2013.</w:t>
      </w:r>
    </w:p>
    <w:p>
      <w:pPr>
        <w:spacing w:after="0" w:line="175" w:lineRule="exact"/>
        <w:rPr>
          <w:sz w:val="20"/>
          <w:szCs w:val="20"/>
          <w:color w:val="auto"/>
        </w:rPr>
      </w:pPr>
    </w:p>
    <w:p>
      <w:pPr>
        <w:ind w:right="80" w:firstLine="439"/>
        <w:spacing w:after="0" w:line="286" w:lineRule="auto"/>
        <w:rPr>
          <w:sz w:val="20"/>
          <w:szCs w:val="20"/>
          <w:color w:val="auto"/>
        </w:rPr>
      </w:pPr>
      <w:r>
        <w:rPr>
          <w:rFonts w:ascii="Arial" w:cs="Arial" w:eastAsia="Arial" w:hAnsi="Arial"/>
          <w:sz w:val="16"/>
          <w:szCs w:val="16"/>
          <w:i w:val="1"/>
          <w:iCs w:val="1"/>
          <w:color w:val="auto"/>
        </w:rPr>
        <w:t xml:space="preserve">Opioid Withdrawal and Dependency: </w:t>
      </w:r>
      <w:r>
        <w:rPr>
          <w:rFonts w:ascii="Arial" w:cs="Arial" w:eastAsia="Arial" w:hAnsi="Arial"/>
          <w:sz w:val="16"/>
          <w:szCs w:val="16"/>
          <w:color w:val="auto"/>
        </w:rPr>
        <w:t>According to the SAMHSA’s 2017 National Survey on Drug Use and Health, there are approximately 1.7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people aged 12 or older with pain reliever use disorder (includes those with dependence or abuse) and approximately 652,000 people aged 12 or older with heroin use disorder (includes those with dependence or abuse) in the United States. Access to prescription opioids has recently become more difficult due to more stringent policies on prescribing opioids. An unintended consequence of this policy is increased use of heroin. Heroin is attractive to prescription opioid addicts because it is less expensive and more accessible than prescription opioids. Heroin poses serious health issues, such as risk of HIV and Hepatitis C infection, overdose and death (Knopf, 2012). There is an urgent, significant unmet medical need for a safe, effective non-addictive, non-opioid therapy for the treatment of prescription opioid and heroin addiction. Investigators at Columbia University and NYSPI previously completed a NIDA-funded, randomized, double-blind, placebo-controlled in-unit Phase 1b/2a clinical trial to evaluate the ability of MN-166 (ibudilast) to reduce opioid withdrawal symptoms in humans. Subsequently, investigators at Columbia University and NYSPI conducted a NIDA-funded Phase 2a clinical trial of MN-166 (ibudilast) for the treatment of prescription opioid or heroin dependence. In March 2016, we announced that positive findings from the results of this completed study in opioid dependence were presented at the Behavior, Biology and Chemistry: Translational Research in Addiction Meeting.</w:t>
      </w:r>
    </w:p>
    <w:p>
      <w:pPr>
        <w:spacing w:after="0" w:line="166" w:lineRule="exact"/>
        <w:rPr>
          <w:sz w:val="20"/>
          <w:szCs w:val="20"/>
          <w:color w:val="auto"/>
        </w:rPr>
      </w:pPr>
    </w:p>
    <w:p>
      <w:pPr>
        <w:ind w:right="40" w:firstLine="439"/>
        <w:spacing w:after="0" w:line="309" w:lineRule="auto"/>
        <w:rPr>
          <w:sz w:val="20"/>
          <w:szCs w:val="20"/>
          <w:color w:val="auto"/>
        </w:rPr>
      </w:pPr>
      <w:r>
        <w:rPr>
          <w:rFonts w:ascii="Arial" w:cs="Arial" w:eastAsia="Arial" w:hAnsi="Arial"/>
          <w:sz w:val="16"/>
          <w:szCs w:val="16"/>
          <w:i w:val="1"/>
          <w:iCs w:val="1"/>
          <w:color w:val="auto"/>
        </w:rPr>
        <w:t xml:space="preserve">Alcohol Addiction: </w:t>
      </w:r>
      <w:r>
        <w:rPr>
          <w:rFonts w:ascii="Arial" w:cs="Arial" w:eastAsia="Arial" w:hAnsi="Arial"/>
          <w:sz w:val="16"/>
          <w:szCs w:val="16"/>
          <w:color w:val="auto"/>
        </w:rPr>
        <w:t>According to SAMHSA’s 2017 National Survey on Drug Use and Health, there are approximately 14.5 million people aged 12 or</w:t>
      </w:r>
      <w:r>
        <w:rPr>
          <w:rFonts w:ascii="Arial" w:cs="Arial" w:eastAsia="Arial" w:hAnsi="Arial"/>
          <w:sz w:val="16"/>
          <w:szCs w:val="16"/>
          <w:i w:val="1"/>
          <w:iCs w:val="1"/>
          <w:color w:val="auto"/>
        </w:rPr>
        <w:t xml:space="preserve"> </w:t>
      </w:r>
      <w:r>
        <w:rPr>
          <w:rFonts w:ascii="Arial" w:cs="Arial" w:eastAsia="Arial" w:hAnsi="Arial"/>
          <w:sz w:val="16"/>
          <w:szCs w:val="16"/>
          <w:color w:val="auto"/>
        </w:rPr>
        <w:t>older with alcohol use disorder (includes those with dependence or abuse) in the United States. The Centers for Disease Control and Prevention (CDC) reports that excessive alcohol use cost the United States $249 billion in 2010, the latest year for which complete data are available. Medicines that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spacing w:after="0" w:line="271" w:lineRule="auto"/>
        <w:rPr>
          <w:sz w:val="20"/>
          <w:szCs w:val="20"/>
          <w:color w:val="auto"/>
        </w:rPr>
      </w:pPr>
      <w:r>
        <w:rPr>
          <w:rFonts w:ascii="Arial" w:cs="Arial" w:eastAsia="Arial" w:hAnsi="Arial"/>
          <w:sz w:val="16"/>
          <w:szCs w:val="16"/>
          <w:color w:val="auto"/>
        </w:rPr>
        <w:t xml:space="preserve">have been approved by the FDA to treat alcohol dependence include Antabuse </w:t>
      </w:r>
      <w:r>
        <w:rPr>
          <w:rFonts w:ascii="Arial" w:cs="Arial" w:eastAsia="Arial" w:hAnsi="Arial"/>
          <w:sz w:val="27"/>
          <w:szCs w:val="27"/>
          <w:color w:val="auto"/>
          <w:vertAlign w:val="superscript"/>
        </w:rPr>
        <w:t>®</w:t>
      </w:r>
      <w:r>
        <w:rPr>
          <w:rFonts w:ascii="Arial" w:cs="Arial" w:eastAsia="Arial" w:hAnsi="Arial"/>
          <w:sz w:val="16"/>
          <w:szCs w:val="16"/>
          <w:color w:val="auto"/>
        </w:rPr>
        <w:t xml:space="preserve">, Vivitrol </w:t>
      </w:r>
      <w:r>
        <w:rPr>
          <w:rFonts w:ascii="Arial" w:cs="Arial" w:eastAsia="Arial" w:hAnsi="Arial"/>
          <w:sz w:val="27"/>
          <w:szCs w:val="27"/>
          <w:color w:val="auto"/>
          <w:vertAlign w:val="superscript"/>
        </w:rPr>
        <w:t>®</w:t>
      </w:r>
      <w:r>
        <w:rPr>
          <w:rFonts w:ascii="Arial" w:cs="Arial" w:eastAsia="Arial" w:hAnsi="Arial"/>
          <w:sz w:val="16"/>
          <w:szCs w:val="16"/>
          <w:color w:val="auto"/>
        </w:rPr>
        <w:t xml:space="preserve">, Campral </w:t>
      </w:r>
      <w:r>
        <w:rPr>
          <w:rFonts w:ascii="Arial" w:cs="Arial" w:eastAsia="Arial" w:hAnsi="Arial"/>
          <w:sz w:val="27"/>
          <w:szCs w:val="27"/>
          <w:color w:val="auto"/>
          <w:vertAlign w:val="superscript"/>
        </w:rPr>
        <w:t>®</w:t>
      </w:r>
      <w:r>
        <w:rPr>
          <w:rFonts w:ascii="Arial" w:cs="Arial" w:eastAsia="Arial" w:hAnsi="Arial"/>
          <w:sz w:val="16"/>
          <w:szCs w:val="16"/>
          <w:color w:val="auto"/>
        </w:rPr>
        <w:t xml:space="preserve"> and Revia </w:t>
      </w:r>
      <w:r>
        <w:rPr>
          <w:rFonts w:ascii="Arial" w:cs="Arial" w:eastAsia="Arial" w:hAnsi="Arial"/>
          <w:sz w:val="27"/>
          <w:szCs w:val="27"/>
          <w:color w:val="auto"/>
          <w:vertAlign w:val="superscript"/>
        </w:rPr>
        <w:t>®</w:t>
      </w:r>
      <w:r>
        <w:rPr>
          <w:rFonts w:ascii="Arial" w:cs="Arial" w:eastAsia="Arial" w:hAnsi="Arial"/>
          <w:sz w:val="16"/>
          <w:szCs w:val="16"/>
          <w:color w:val="auto"/>
        </w:rPr>
        <w:t xml:space="preserve">. However, the search for a safe and effective drug remains elusive due to limited success of these FDA-approved compounds (Witkiewitz </w:t>
      </w:r>
      <w:r>
        <w:rPr>
          <w:rFonts w:ascii="Arial" w:cs="Arial" w:eastAsia="Arial" w:hAnsi="Arial"/>
          <w:sz w:val="16"/>
          <w:szCs w:val="16"/>
          <w:i w:val="1"/>
          <w:iCs w:val="1"/>
          <w:color w:val="auto"/>
        </w:rPr>
        <w:t>et al</w:t>
      </w:r>
      <w:r>
        <w:rPr>
          <w:rFonts w:ascii="Arial" w:cs="Arial" w:eastAsia="Arial" w:hAnsi="Arial"/>
          <w:sz w:val="16"/>
          <w:szCs w:val="16"/>
          <w:color w:val="auto"/>
        </w:rPr>
        <w:t xml:space="preserve">., 2012). In a non-clinical trial (Bell </w:t>
      </w:r>
      <w:r>
        <w:rPr>
          <w:rFonts w:ascii="Arial" w:cs="Arial" w:eastAsia="Arial" w:hAnsi="Arial"/>
          <w:sz w:val="16"/>
          <w:szCs w:val="16"/>
          <w:i w:val="1"/>
          <w:iCs w:val="1"/>
          <w:color w:val="auto"/>
        </w:rPr>
        <w:t>et al</w:t>
      </w:r>
      <w:r>
        <w:rPr>
          <w:rFonts w:ascii="Arial" w:cs="Arial" w:eastAsia="Arial" w:hAnsi="Arial"/>
          <w:sz w:val="16"/>
          <w:szCs w:val="16"/>
          <w:color w:val="auto"/>
        </w:rPr>
        <w:t>., 2013), MN-166 (ibudilast) was examined in rats and mice and was found to reduce alcohol drinking in alcohol-preferring P rats and high-alcohol drinking (HAD1) rats by 50%, and in mice made dependent on alcohol at doses which had no effect on non-dependent mice. Investigators at UCLA received funding from the NIAAA to conduct a study to evaluate MN-166 (ibudilast) in a randomized, double-blind, placebo-controlled within-subject crossover design to determine the safety, tolerability and initial human laboratory efficacy of MN-166 (ibudilast) in a sample of 24 non-treatment seeking individuals with either alcohol abuse or dependence. The study was initiated in early 2014 and completed enrollment of 24 subjects in June 2015. Results of the alcohol dependence study were presented at the American College of Neuropsychopharmacology (ACNP)’s 54th Annual Meeting in December 2015. MN-166 (ibudilast), but not placebo, significantly decreased basal, daily alcohol craving over the course of the study (p&lt;0.05). MN-166 (ibudilast) did not affect cue- and stress-induced alcohol craving. However, MN-166 (ibudilast) increased positive mood during both the cue reactivity and stress procedures. MN-166 (ibudilast) was safe and well-tolerated during the study. In May 2018, we announced plans to initiate an NIH-funded clinical trial of MN-166 (ibudilast) in alcohol dependence and withdrawal in collaboration with researchers at UCLA. This clinical trial, which is currently ongoing, is evaluating whether MN-166 (ibudilast) reduces basal level negative affect during abstinence, and in doing so, will interfere with alcohol-induced blunting of negative affectivity. In August 2018, we announced a new NIAAA-funded Phase 2b clinical trial of MN-166 (ibudilast) in alcohol dependence in collaboration with researchers at UCLA. This clinical trial, which is currently ongoing, is evaluating whether MN-166 (ibudilast) will decrease the percentage of heavy drinking days (defined as ≥ 5 drinks for men and ≥ 4 drinks for women), as compared to placebo, over the course of the 12-week trial.</w:t>
      </w:r>
    </w:p>
    <w:p>
      <w:pPr>
        <w:spacing w:after="0" w:line="185" w:lineRule="exact"/>
        <w:rPr>
          <w:sz w:val="20"/>
          <w:szCs w:val="20"/>
          <w:color w:val="auto"/>
        </w:rPr>
      </w:pPr>
    </w:p>
    <w:p>
      <w:pPr>
        <w:ind w:right="100" w:firstLine="439"/>
        <w:spacing w:after="0" w:line="286" w:lineRule="auto"/>
        <w:rPr>
          <w:sz w:val="20"/>
          <w:szCs w:val="20"/>
          <w:color w:val="auto"/>
        </w:rPr>
      </w:pPr>
      <w:r>
        <w:rPr>
          <w:rFonts w:ascii="Arial" w:cs="Arial" w:eastAsia="Arial" w:hAnsi="Arial"/>
          <w:sz w:val="16"/>
          <w:szCs w:val="16"/>
          <w:i w:val="1"/>
          <w:iCs w:val="1"/>
          <w:color w:val="auto"/>
        </w:rPr>
        <w:t xml:space="preserve">Chemotherapy-Induced Peripheral Neuropathy: </w:t>
      </w:r>
      <w:r>
        <w:rPr>
          <w:rFonts w:ascii="Arial" w:cs="Arial" w:eastAsia="Arial" w:hAnsi="Arial"/>
          <w:sz w:val="16"/>
          <w:szCs w:val="16"/>
          <w:color w:val="auto"/>
        </w:rPr>
        <w:t>Peripheral neuropathy is a set of symptoms caused by damage to peripheral nerves, the nerves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away from the brain and spinal cord. Some of the chemotherapy and other drugs used to treat cancer can damage peripheral nerves which carry sensations to the brain and control the movement of the arms and legs. This damage results in chemotherapy-induced peripheral neuropathy (CIPN) which can be a disabling side effect of cancer treatment. Common symptoms of CIPN include pain, burning, tingling, loss of feeling, coordination and balance problems, muscle weakness, trouble swallowing and passing urine, constipation, and blood pressure changes. Severe CIPN may require chemotherapy dose reduction or cessation. According to a meta-analysis which included more than 4,000 patients, CIPN prevalence was 68% when measured in the first month after chemotherapy, 60% at 3 months, and 30% at 6 months or more (“Incidence, prevalence, and predictors of chemotherapy-induced peripheral neuropathy: A systematic review and meta-analysis,” Seretny M et al 2014). In March 2018, we announced plans to initiate a clinical trial to evaluate MN-166 (ibudilast) in chemotherapy-induced peripheral neuropathy which is funded by the University of Sydney Concord Cancer Centre in Australia. This is an ongoing, open-label, sequential cross-over pilot study assessing acute neurotoxicity, chemotherapy-induced peripheral neuropathy, and drug interactions of MN-166 (ibudilast) in patients with metastatic gastrointestinal cancer (colorectal cancer and upper gastrointestinal cancers) who are receiving oxaliplatin.</w:t>
      </w:r>
    </w:p>
    <w:p>
      <w:pPr>
        <w:spacing w:after="0" w:line="166" w:lineRule="exact"/>
        <w:rPr>
          <w:sz w:val="20"/>
          <w:szCs w:val="20"/>
          <w:color w:val="auto"/>
        </w:rPr>
      </w:pPr>
    </w:p>
    <w:p>
      <w:pPr>
        <w:ind w:right="20" w:firstLine="439"/>
        <w:spacing w:after="0" w:line="268" w:lineRule="auto"/>
        <w:rPr>
          <w:sz w:val="20"/>
          <w:szCs w:val="20"/>
          <w:color w:val="auto"/>
        </w:rPr>
      </w:pPr>
      <w:r>
        <w:rPr>
          <w:rFonts w:ascii="Arial" w:cs="Arial" w:eastAsia="Arial" w:hAnsi="Arial"/>
          <w:sz w:val="17"/>
          <w:szCs w:val="17"/>
          <w:i w:val="1"/>
          <w:iCs w:val="1"/>
          <w:color w:val="auto"/>
        </w:rPr>
        <w:t xml:space="preserve">Degenerative Cervical Myelopathy: </w:t>
      </w:r>
      <w:r>
        <w:rPr>
          <w:rFonts w:ascii="Arial" w:cs="Arial" w:eastAsia="Arial" w:hAnsi="Arial"/>
          <w:sz w:val="17"/>
          <w:szCs w:val="17"/>
          <w:color w:val="auto"/>
        </w:rPr>
        <w:t>Degenerative cervical myelopathy (DCM), also known as cervical spondylotic myelopathy, involves spinal cord</w:t>
      </w:r>
      <w:r>
        <w:rPr>
          <w:rFonts w:ascii="Arial" w:cs="Arial" w:eastAsia="Arial" w:hAnsi="Arial"/>
          <w:sz w:val="17"/>
          <w:szCs w:val="17"/>
          <w:i w:val="1"/>
          <w:iCs w:val="1"/>
          <w:color w:val="auto"/>
        </w:rPr>
        <w:t xml:space="preserve"> </w:t>
      </w:r>
      <w:r>
        <w:rPr>
          <w:rFonts w:ascii="Arial" w:cs="Arial" w:eastAsia="Arial" w:hAnsi="Arial"/>
          <w:sz w:val="17"/>
          <w:szCs w:val="17"/>
          <w:color w:val="auto"/>
        </w:rPr>
        <w:t>dysfunction from compression in the neck. Degenerative cervical myelopathy is the most common form of spinal cord impairment in adults and results in disability and reduced quality of life. Patients report neurological symptoms such as pain and numbness in limbs, poor coordination, imbalance, and bladder problems. According to the American Association of Neurological Surgeons, more than 200,000 cervical procedures are performed each year to relieve compression on the spinal cord or nerve roots. There are no pharmaceuticals approved for the treatment of DCM. In August 2018, we announced plans to initiate a clinical trial of MN-166 (ibudilast) in DCM in collaboration with the University of Cambridge. The trial, which is funded by a grant from the National Institute for Health Research (NIHR) in the United Kingdom (UK), will evaluate MN-166 (ibudilast) as an adjuvant treatment for DCM following spinal surgery to determine whether MN-166 (ibudilast) is more effective than placebo in improving outcomes after spinal surgery. The primary endpoint is the modified Japanese Orthopaedic Association (mJOA) Score, which evaluates motor dysfunction in upper and lower extremities, loss of sensation, and bladder sphincter dysfunction, at 6 months after surgery.</w:t>
      </w:r>
    </w:p>
    <w:p>
      <w:pPr>
        <w:spacing w:after="0" w:line="180" w:lineRule="exact"/>
        <w:rPr>
          <w:sz w:val="20"/>
          <w:szCs w:val="20"/>
          <w:color w:val="auto"/>
        </w:rPr>
      </w:pPr>
    </w:p>
    <w:p>
      <w:pPr>
        <w:ind w:right="340" w:firstLine="439"/>
        <w:spacing w:after="0" w:line="275" w:lineRule="auto"/>
        <w:rPr>
          <w:sz w:val="20"/>
          <w:szCs w:val="20"/>
          <w:color w:val="auto"/>
        </w:rPr>
      </w:pPr>
      <w:r>
        <w:rPr>
          <w:rFonts w:ascii="Arial" w:cs="Arial" w:eastAsia="Arial" w:hAnsi="Arial"/>
          <w:sz w:val="18"/>
          <w:szCs w:val="18"/>
          <w:i w:val="1"/>
          <w:iCs w:val="1"/>
          <w:color w:val="auto"/>
        </w:rPr>
        <w:t xml:space="preserve">Glioblastoma: </w:t>
      </w:r>
      <w:r>
        <w:rPr>
          <w:rFonts w:ascii="Arial" w:cs="Arial" w:eastAsia="Arial" w:hAnsi="Arial"/>
          <w:sz w:val="18"/>
          <w:szCs w:val="18"/>
          <w:color w:val="auto"/>
        </w:rPr>
        <w:t>According to the American Association of Neurological Surgeons, glioblastoma is an aggressive brain tumor that develops from glial</w:t>
      </w:r>
      <w:r>
        <w:rPr>
          <w:rFonts w:ascii="Arial" w:cs="Arial" w:eastAsia="Arial" w:hAnsi="Arial"/>
          <w:sz w:val="18"/>
          <w:szCs w:val="18"/>
          <w:i w:val="1"/>
          <w:iCs w:val="1"/>
          <w:color w:val="auto"/>
        </w:rPr>
        <w:t xml:space="preserve"> </w:t>
      </w:r>
      <w:r>
        <w:rPr>
          <w:rFonts w:ascii="Arial" w:cs="Arial" w:eastAsia="Arial" w:hAnsi="Arial"/>
          <w:sz w:val="18"/>
          <w:szCs w:val="18"/>
          <w:color w:val="auto"/>
        </w:rPr>
        <w:t>cells (astrocytes and oligodendrocytes), grows rapidly, and commonly spreads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line="216" w:lineRule="exact"/>
        <w:rPr>
          <w:sz w:val="20"/>
          <w:szCs w:val="20"/>
          <w:color w:val="auto"/>
        </w:rPr>
      </w:pPr>
      <w:r>
        <w:rPr>
          <w:rFonts w:ascii="Arial" w:cs="Arial" w:eastAsia="Arial" w:hAnsi="Arial"/>
          <w:sz w:val="16"/>
          <w:szCs w:val="16"/>
          <w:color w:val="auto"/>
        </w:rPr>
        <w:t>into nearby brain tissue. The American Brain Tumor Association reports that glioblastomas represent about 15% of all primary brain tumors and 56% of all gliomas. Glioblastoma has the highest number of cases of all malignant tumors, with an estimated 12,760 new cases predicted for 2018. Median survival is about 14.6 months for adults with more aggressive glioblastoma treated with temozolomide and radiation therapy. In June 2017, we announced positive results from an animal model study that examined the potential clinical efficacy of MN-166 (ibudilast) for the treatment of glioblastoma which were presented at the 2017 American Society of Clinical Oncology (ASCO) Annual Meeting. Results of the glioblastoma mouse model study showed that median survival was higher in the group that received combination treatment with MN-166 (ibudilast) plus temozolomide compared to the group that received temozolomide alone. In May 2018, we announced that the Investigational New Drug Application (IND) for MN-166 (ibudilast) for treatment of glioblastoma was accepted and opened with the FDA. We were also informed by the FDA that the proposed clinical investigation of MN-166 (ibudilast) in combination with temozolomide for treatment of glioblastoma may proceed.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(TMZ, Temodar</w:t>
      </w:r>
      <w:r>
        <w:rPr>
          <w:rFonts w:ascii="MS PGothic" w:cs="MS PGothic" w:eastAsia="MS PGothic" w:hAnsi="MS PGothic"/>
          <w:sz w:val="16"/>
          <w:szCs w:val="16"/>
          <w:color w:val="auto"/>
        </w:rPr>
        <w:t>‑</w:t>
      </w:r>
      <w:r>
        <w:rPr>
          <w:rFonts w:ascii="Arial" w:cs="Arial" w:eastAsia="Arial" w:hAnsi="Arial"/>
          <w:sz w:val="16"/>
          <w:szCs w:val="16"/>
          <w:color w:val="auto"/>
        </w:rPr>
        <w:t>®) for the treatment of recurrent glioblastoma at the Dana-Farber Cancer Institute in Boston.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w:t>
      </w:r>
    </w:p>
    <w:p>
      <w:pPr>
        <w:spacing w:after="0" w:line="223" w:lineRule="exact"/>
        <w:rPr>
          <w:sz w:val="20"/>
          <w:szCs w:val="20"/>
          <w:color w:val="auto"/>
        </w:rPr>
      </w:pPr>
    </w:p>
    <w:p>
      <w:pPr>
        <w:ind w:right="180" w:firstLine="439"/>
        <w:spacing w:after="0" w:line="255" w:lineRule="auto"/>
        <w:rPr>
          <w:sz w:val="20"/>
          <w:szCs w:val="20"/>
          <w:color w:val="auto"/>
        </w:rPr>
      </w:pPr>
      <w:r>
        <w:rPr>
          <w:rFonts w:ascii="Arial" w:cs="Arial" w:eastAsia="Arial" w:hAnsi="Arial"/>
          <w:sz w:val="18"/>
          <w:szCs w:val="18"/>
          <w:color w:val="auto"/>
        </w:rPr>
        <w:t>MN-221 (bedoradrine) is a novel, highly selective ß</w:t>
      </w:r>
      <w:r>
        <w:rPr>
          <w:rFonts w:ascii="Arial" w:cs="Arial" w:eastAsia="Arial" w:hAnsi="Arial"/>
          <w:sz w:val="15"/>
          <w:szCs w:val="15"/>
          <w:color w:val="auto"/>
        </w:rPr>
        <w:t>2</w:t>
      </w:r>
      <w:r>
        <w:rPr>
          <w:rFonts w:ascii="Arial" w:cs="Arial" w:eastAsia="Arial" w:hAnsi="Arial"/>
          <w:sz w:val="18"/>
          <w:szCs w:val="18"/>
          <w:color w:val="auto"/>
        </w:rPr>
        <w:t>-adrenergic receptor agonist which has been developed for the treatment of acute exacerbations of asthma. We licensed MN-221 (bedoradrine) from Kissei Pharmaceutical Co., Ltd. (Kissei) in February 2004. Current inhaled beta-agonist treatments for asthma exacerbations are limited by bronchoconstriction or insufficient airflow due to inflammation and airway constriction, which reduces the amount of inhaled drug that can get into the lungs. In addition, the amount of inhaled treatments a patient can tolerate is limited due to the potential for cardiovascular side effects (</w:t>
      </w:r>
      <w:r>
        <w:rPr>
          <w:rFonts w:ascii="Arial" w:cs="Arial" w:eastAsia="Arial" w:hAnsi="Arial"/>
          <w:sz w:val="18"/>
          <w:szCs w:val="18"/>
          <w:i w:val="1"/>
          <w:iCs w:val="1"/>
          <w:color w:val="auto"/>
        </w:rPr>
        <w:t>e.g.</w:t>
      </w:r>
      <w:r>
        <w:rPr>
          <w:rFonts w:ascii="Arial" w:cs="Arial" w:eastAsia="Arial" w:hAnsi="Arial"/>
          <w:sz w:val="18"/>
          <w:szCs w:val="18"/>
          <w:color w:val="auto"/>
        </w:rPr>
        <w:t xml:space="preserve"> increased heart rate).</w:t>
      </w:r>
    </w:p>
    <w:p>
      <w:pPr>
        <w:spacing w:after="0" w:line="189"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 xml:space="preserve">MN-221 (bedoradrine) is designed to treat acute exacerbations of asthma via intravenous (i.v.) infusion, bypassing constricted airways to deliver the drug to the lungs. Preclinical studies showed MN-221 (bedoradrine) to have a high affinity for the ß </w:t>
      </w:r>
      <w:r>
        <w:rPr>
          <w:rFonts w:ascii="Arial" w:cs="Arial" w:eastAsia="Arial" w:hAnsi="Arial"/>
          <w:sz w:val="15"/>
          <w:szCs w:val="15"/>
          <w:color w:val="auto"/>
        </w:rPr>
        <w:t>2</w:t>
      </w:r>
      <w:r>
        <w:rPr>
          <w:rFonts w:ascii="Arial" w:cs="Arial" w:eastAsia="Arial" w:hAnsi="Arial"/>
          <w:sz w:val="18"/>
          <w:szCs w:val="18"/>
          <w:color w:val="auto"/>
        </w:rPr>
        <w:t xml:space="preserve"> -adrenergic receptor, found primarily in the lungs, and a much lower affinity for the ß </w:t>
      </w:r>
      <w:r>
        <w:rPr>
          <w:rFonts w:ascii="Arial" w:cs="Arial" w:eastAsia="Arial" w:hAnsi="Arial"/>
          <w:sz w:val="15"/>
          <w:szCs w:val="15"/>
          <w:color w:val="auto"/>
        </w:rPr>
        <w:t>1</w:t>
      </w:r>
      <w:r>
        <w:rPr>
          <w:rFonts w:ascii="Arial" w:cs="Arial" w:eastAsia="Arial" w:hAnsi="Arial"/>
          <w:sz w:val="18"/>
          <w:szCs w:val="18"/>
          <w:color w:val="auto"/>
        </w:rPr>
        <w:t xml:space="preserve"> -adrenergic receptor found primarily in cardiac tissue. MN-221 (bedoradrine)’s improved delivery to the lungs and its cardiac safety profile has potential to help fill an unmet need for patients with acute exacerbations of asthma, helping them to breathe easier and avoid a costly hospital stay.</w:t>
      </w:r>
    </w:p>
    <w:p>
      <w:pPr>
        <w:spacing w:after="0" w:line="189" w:lineRule="exact"/>
        <w:rPr>
          <w:sz w:val="20"/>
          <w:szCs w:val="20"/>
          <w:color w:val="auto"/>
        </w:rPr>
      </w:pPr>
    </w:p>
    <w:p>
      <w:pPr>
        <w:ind w:right="200" w:firstLine="439"/>
        <w:spacing w:after="0" w:line="300" w:lineRule="auto"/>
        <w:rPr>
          <w:sz w:val="20"/>
          <w:szCs w:val="20"/>
          <w:color w:val="auto"/>
        </w:rPr>
      </w:pPr>
      <w:r>
        <w:rPr>
          <w:rFonts w:ascii="Arial" w:cs="Arial" w:eastAsia="Arial" w:hAnsi="Arial"/>
          <w:sz w:val="16"/>
          <w:szCs w:val="16"/>
          <w:i w:val="1"/>
          <w:iCs w:val="1"/>
          <w:color w:val="auto"/>
        </w:rPr>
        <w:t xml:space="preserve">Acute Exacerbation of Asthma: </w:t>
      </w:r>
      <w:r>
        <w:rPr>
          <w:rFonts w:ascii="Arial" w:cs="Arial" w:eastAsia="Arial" w:hAnsi="Arial"/>
          <w:sz w:val="16"/>
          <w:szCs w:val="16"/>
          <w:color w:val="auto"/>
        </w:rPr>
        <w:t>According to the most recent data available from the United States National Center for Health Statistics, there were</w:t>
      </w:r>
      <w:r>
        <w:rPr>
          <w:rFonts w:ascii="Arial" w:cs="Arial" w:eastAsia="Arial" w:hAnsi="Arial"/>
          <w:sz w:val="16"/>
          <w:szCs w:val="16"/>
          <w:i w:val="1"/>
          <w:iCs w:val="1"/>
          <w:color w:val="auto"/>
        </w:rPr>
        <w:t xml:space="preserve"> </w:t>
      </w:r>
      <w:r>
        <w:rPr>
          <w:rFonts w:ascii="Arial" w:cs="Arial" w:eastAsia="Arial" w:hAnsi="Arial"/>
          <w:sz w:val="16"/>
          <w:szCs w:val="16"/>
          <w:color w:val="auto"/>
        </w:rPr>
        <w:t>1.74 million emergency department visits due to asthma in 2015, 439,000 hospitalizations due to asthma in 2010 (the most recent year for which data is available), and 3,518 deaths due to asthma in 2016. According to the United States National Heart, Lung and Blood Institute, the direct costs associated with hospital care due to asthma were estimated at $5.5 billion in the United States in 2010 (the most recent year for which data is available).</w:t>
      </w:r>
    </w:p>
    <w:p>
      <w:pPr>
        <w:spacing w:after="0" w:line="154" w:lineRule="exact"/>
        <w:rPr>
          <w:sz w:val="20"/>
          <w:szCs w:val="20"/>
          <w:color w:val="auto"/>
        </w:rPr>
      </w:pPr>
    </w:p>
    <w:p>
      <w:pPr>
        <w:ind w:right="40" w:firstLine="439"/>
        <w:spacing w:after="0" w:line="267" w:lineRule="auto"/>
        <w:rPr>
          <w:sz w:val="20"/>
          <w:szCs w:val="20"/>
          <w:color w:val="auto"/>
        </w:rPr>
      </w:pPr>
      <w:r>
        <w:rPr>
          <w:rFonts w:ascii="Arial" w:cs="Arial" w:eastAsia="Arial" w:hAnsi="Arial"/>
          <w:sz w:val="17"/>
          <w:szCs w:val="17"/>
          <w:color w:val="auto"/>
        </w:rPr>
        <w:t xml:space="preserve">We completed a Phase 2b randomized, double-blind, placebo-controlled clinical trial (N=175) evaluating MN-221 (bedoradrine) in patients with acute exacerbations of asthma in the emergency department setting. MN-221 (bedoradrine) did not statistically meet the primary endpoint, improvement in FEV </w:t>
      </w:r>
      <w:r>
        <w:rPr>
          <w:rFonts w:ascii="Arial" w:cs="Arial" w:eastAsia="Arial" w:hAnsi="Arial"/>
          <w:sz w:val="14"/>
          <w:szCs w:val="14"/>
          <w:color w:val="auto"/>
        </w:rPr>
        <w:t>1</w:t>
      </w:r>
      <w:r>
        <w:rPr>
          <w:rFonts w:ascii="Arial" w:cs="Arial" w:eastAsia="Arial" w:hAnsi="Arial"/>
          <w:sz w:val="17"/>
          <w:szCs w:val="17"/>
          <w:color w:val="auto"/>
        </w:rPr>
        <w:t xml:space="preserve"> (Forced Expiratory Volume in One Second) compared to placebo. However, MN-221 (bedoradrine) treatment demonstrated statistically significant improvements in endpoints associated with Dyspnea Index scores. MN-221 (bedoradrine) treatment significantly increased (improved) the change from baseline in Dyspnea Index scale score over Hours 0-3 compared to placebo (based on AUC [0-3 hr], p = 0.0405), significantly increased the change from baseline in Dyspnea Index scale scores at Hour 2 compared to placebo (based on mean score, p = 0.0042), and significantly increased the percentage of subjects who had improvement in the Dyspnea Index score ≥ 1 point at Hour 2 compared to placebo (p = 0.0323). A post-hoc analysis was performed to evaluate the Treatment Failure rate defined as the number of subjects who were either hospitalized or who returned to the emergency department during the course of the study. In subjects who received corticosteroids greater than 3 hours prior to study drug infusion, the number of treatment failures was significantly greater in the placebo group (74%) versus the MN-221 (bedoradrine) group (43%), p=0.0489. No safety/tolerability issues of clinical significance were observed.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both"/>
        <w:ind w:right="140" w:firstLine="439"/>
        <w:spacing w:after="0" w:line="300" w:lineRule="auto"/>
        <w:rPr>
          <w:sz w:val="20"/>
          <w:szCs w:val="20"/>
          <w:color w:val="auto"/>
        </w:rPr>
      </w:pPr>
      <w:r>
        <w:rPr>
          <w:rFonts w:ascii="Arial" w:cs="Arial" w:eastAsia="Arial" w:hAnsi="Arial"/>
          <w:sz w:val="16"/>
          <w:szCs w:val="16"/>
          <w:color w:val="auto"/>
        </w:rPr>
        <w:t>In October 2012, we met with the FDA to review future development of this product candidate. The FDA identified the risk/benefit profile of MN-221 (bedoradrine) as a focal point for further development and advised that a clinical outcome, such as a reduction in hospitalizations, would need to be a pivotal trial primary endpoint. We have decided that any future MN-221 (bedoradrine) development will be designed based on the feedback received from the FDA and that any future MN-221 (bedoradrine) clinical trial development for asthma will be partner-dependent from a funding perspective.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w:t>
      </w:r>
    </w:p>
    <w:p>
      <w:pPr>
        <w:spacing w:after="0" w:line="223" w:lineRule="exact"/>
        <w:rPr>
          <w:sz w:val="20"/>
          <w:szCs w:val="20"/>
          <w:color w:val="auto"/>
        </w:rPr>
      </w:pPr>
    </w:p>
    <w:p>
      <w:pPr>
        <w:ind w:right="100" w:firstLine="439"/>
        <w:spacing w:after="0" w:line="268" w:lineRule="auto"/>
        <w:rPr>
          <w:sz w:val="20"/>
          <w:szCs w:val="20"/>
          <w:color w:val="auto"/>
        </w:rPr>
      </w:pPr>
      <w:r>
        <w:rPr>
          <w:rFonts w:ascii="Arial" w:cs="Arial" w:eastAsia="Arial" w:hAnsi="Arial"/>
          <w:sz w:val="17"/>
          <w:szCs w:val="17"/>
          <w:color w:val="auto"/>
        </w:rPr>
        <w:t>MN-001 (tipelukast) is a novel, orally bioavailable small molecule compound which exerts its effects through several mechanisms to produce its anti-fibrotic and anti-inflammatory activity in preclinical models, including leukotriene (LT) receptor antagonism, inhibition of PDEs (mainly 3 and 4), and inhibition of 5-lipoxygenase (5-LO). The 5-LO/LT pathway has been postulated as a pathogenic factor in fibrosis development and the inhibitory effect of MN-001 (tipelukast) on 5-LO and the 5-LO/LT pathway is considered to be a novel approach to treat fibrosis. MN-001 (tipelukast) has been shown to down-regulate expression of genes that promote fibrosis including LOXL2, Collagen Type 1 and TIMP-1. MN-001 (tipelukast) has also been shown to down-regulate expression of genes that promote inflammation including CCR2 and MCP-1. In addition, histopathological data shows that MN-001 (tipelukast) reduces fibrosis in multiple animal models. We licensed MN-001 (tipelukast) from Kyorin in 2002. In addition to granting MN-001 (tipelukast) Fast Track designation for the treatment of NASH with fibrosis, the FDA has also granted MN-001 (tipelukast) Orphan-Drug designation and Fast Track designation for treatment of idiopathic pulmonary fibrosis (IPF).</w:t>
      </w:r>
    </w:p>
    <w:p>
      <w:pPr>
        <w:spacing w:after="0" w:line="184" w:lineRule="exact"/>
        <w:rPr>
          <w:sz w:val="20"/>
          <w:szCs w:val="20"/>
          <w:color w:val="auto"/>
        </w:rPr>
      </w:pPr>
    </w:p>
    <w:p>
      <w:pPr>
        <w:ind w:right="620" w:firstLine="439"/>
        <w:spacing w:after="0" w:line="305" w:lineRule="auto"/>
        <w:rPr>
          <w:sz w:val="20"/>
          <w:szCs w:val="20"/>
          <w:color w:val="auto"/>
        </w:rPr>
      </w:pPr>
      <w:r>
        <w:rPr>
          <w:rFonts w:ascii="Arial" w:cs="Arial" w:eastAsia="Arial" w:hAnsi="Arial"/>
          <w:sz w:val="17"/>
          <w:szCs w:val="17"/>
          <w:color w:val="auto"/>
        </w:rPr>
        <w:t>Previously, we evaluated MN-001 (tipelukast) for its potential clinical efficacy in asthma and completed a Phase 2 study in asthma with positive results. MN-001 (tipelukast) has been exposed to more than 600 subjects and is considered generally safe and well-tolerated.</w:t>
      </w:r>
    </w:p>
    <w:p>
      <w:pPr>
        <w:spacing w:after="0" w:line="148" w:lineRule="exact"/>
        <w:rPr>
          <w:sz w:val="20"/>
          <w:szCs w:val="20"/>
          <w:color w:val="auto"/>
        </w:rPr>
      </w:pPr>
    </w:p>
    <w:p>
      <w:pPr>
        <w:ind w:firstLine="439"/>
        <w:spacing w:after="0" w:line="270" w:lineRule="auto"/>
        <w:rPr>
          <w:sz w:val="20"/>
          <w:szCs w:val="20"/>
          <w:color w:val="auto"/>
        </w:rPr>
      </w:pPr>
      <w:r>
        <w:rPr>
          <w:rFonts w:ascii="Arial" w:cs="Arial" w:eastAsia="Arial" w:hAnsi="Arial"/>
          <w:sz w:val="17"/>
          <w:szCs w:val="17"/>
          <w:i w:val="1"/>
          <w:iCs w:val="1"/>
          <w:color w:val="auto"/>
        </w:rPr>
        <w:t>Nonalcoholic Steatohepatitis (NASH) and Nonalcoholic Fatty Liver Disease (NAFLD)</w:t>
      </w:r>
      <w:r>
        <w:rPr>
          <w:rFonts w:ascii="Arial" w:cs="Arial" w:eastAsia="Arial" w:hAnsi="Arial"/>
          <w:sz w:val="17"/>
          <w:szCs w:val="17"/>
          <w:color w:val="auto"/>
        </w:rPr>
        <w:t>: Nonalcoholic steatohepatitis (NASH) is a condition in which</w:t>
      </w:r>
      <w:r>
        <w:rPr>
          <w:rFonts w:ascii="Arial" w:cs="Arial" w:eastAsia="Arial" w:hAnsi="Arial"/>
          <w:sz w:val="17"/>
          <w:szCs w:val="17"/>
          <w:i w:val="1"/>
          <w:iCs w:val="1"/>
          <w:color w:val="auto"/>
        </w:rPr>
        <w:t xml:space="preserve"> </w:t>
      </w:r>
      <w:r>
        <w:rPr>
          <w:rFonts w:ascii="Arial" w:cs="Arial" w:eastAsia="Arial" w:hAnsi="Arial"/>
          <w:sz w:val="17"/>
          <w:szCs w:val="17"/>
          <w:color w:val="auto"/>
        </w:rPr>
        <w:t>there is fat in the liver along with inflammation and damage to liver cells. NASH is a common liver disease that resembles alcoholic liver disease but occurs in people who drink little or no alcohol. According to the United States National Institute of Diabetes and Digestive and Kidney Diseases (NIDDK), NASH prevalence in adults in the United States is 3-12%, and an additional 30-40% of adult Americans have nonalcoholic fatty liver disease (NAFLD). The underlying cause of NASH is unclear, but it most often occurs in persons who are middle-aged and overweight or obese. Many patients with NASH have elevated serum lipids, diabetes or pre-diabetes. Progression of NASH can lead to liver cirrhosis. Liver transplantation is the only treatment for advanced cirrhosis with liver failure. At this time, there is no pharmaceutical treatment approved for NASH.</w:t>
      </w:r>
    </w:p>
    <w:p>
      <w:pPr>
        <w:spacing w:after="0" w:line="179" w:lineRule="exact"/>
        <w:rPr>
          <w:sz w:val="20"/>
          <w:szCs w:val="20"/>
          <w:color w:val="auto"/>
        </w:rPr>
      </w:pPr>
    </w:p>
    <w:p>
      <w:pPr>
        <w:ind w:right="20" w:firstLine="439"/>
        <w:spacing w:after="0" w:line="284" w:lineRule="auto"/>
        <w:rPr>
          <w:sz w:val="20"/>
          <w:szCs w:val="20"/>
          <w:color w:val="auto"/>
        </w:rPr>
      </w:pPr>
      <w:r>
        <w:rPr>
          <w:rFonts w:ascii="Arial" w:cs="Arial" w:eastAsia="Arial" w:hAnsi="Arial"/>
          <w:sz w:val="16"/>
          <w:szCs w:val="16"/>
          <w:color w:val="auto"/>
        </w:rPr>
        <w:t>We completed a pre-clinical study evaluating the potential clinical efficacy of MN-001 (tipelukast) for the treatment of NASH. MN-001 (tipelukast) administered orally once daily (10, 30, and 100 mg/kg for three weeks) was evaluated in the STAM™ (NASH-HCC) mouse model of NASH, as measured by liver biochemistry and histopathology, NAFLD activity score (NAS), and percent of fibrosis and gene expression. MN-001 (tipelukast), in a dose-dependent manner, significantly reduced fibrosis area compared with placebo (p&lt;0.01) as demonstrated by a reduction in liver hydroxyproline content, supporting the anti-fibrotic properties of MN-001 (tipelukast). MN-001 (tipelukast) significantly improved NAS (p&lt;0.01). MN-001 (tipelukast), in this animal model, improved NASH pathology by inhibiting hepatocyte damage (p&lt;0.01) and ballooning (p&lt;0.01). At the same time, MN-001 (tipelukast) was also shown to reduce certain gene expression levels in the liver, thus implying that MN-001 (tipelukast) reduces the formation of fibrosis in the NASH model. We completed a second preclinical study that examined the potential clinical efficacy of MN-001 (tipelukast) for the treatment of advanced NASH. This study used mice in more advanced stages of NASH as compared to the first study of MN-001 (tipelukast) in a NASH mouse model. MN-001 (tipelukast) showed anti-NASH and anti-fibrotic effects in the advanced NASH mouse model. NAFLD activity score (NAS) was significantly reduced in the MN-001 (tipelukast)-treated group compared to the non-treated group (p&lt;0.001). The reduction was observed consistently in all NAS components including hepatocyte ballooning score (p&lt;0.001), lobular inflammation score (p&lt;0.01), and steatosis score (p&lt;0.05). Percent fibrosis area was also reduced in the MN-001 (tipelukast) treated group (p&lt;0.01). In addition, alpha-SMA-positive staining area was significantly reduced in the MN-001 (tipelukast)-treated group (p&lt;0.001). Collectively, these results provided compelling evidence that MN-001 (tipelukast) warrants further evaluation for the treatment of NASH in humans. We have an open IND and the FDA has approved two different Phase 2 clinical trial protocols for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4" w:name="page15"/>
    <w:bookmarkEnd w:id="14"/>
    <w:p>
      <w:pPr>
        <w:ind w:right="40"/>
        <w:spacing w:after="0" w:line="270" w:lineRule="auto"/>
        <w:rPr>
          <w:sz w:val="20"/>
          <w:szCs w:val="20"/>
          <w:color w:val="auto"/>
        </w:rPr>
      </w:pPr>
      <w:r>
        <w:rPr>
          <w:rFonts w:ascii="Arial" w:cs="Arial" w:eastAsia="Arial" w:hAnsi="Arial"/>
          <w:sz w:val="17"/>
          <w:szCs w:val="17"/>
          <w:color w:val="auto"/>
        </w:rPr>
        <w:t>MN-001 (tipelukast) for the treatment of NASH in the United States. In April 2018, we announced that we would terminate early the Phase 2 clinical trial of MN-001 (tipelukast) in NASH and NAFLD patients with hypertriglyceridemia based on the significant positive results from an interim analysis. This data was presented at the International Liver Congress 2018, the 53rd annual meeting of the European Association for the Study of the Liver (EASL) in Paris, France in April 2018. MN-001 (tipelukast) significantly reduced mean serum triglycerides by 135.7 mg/dL, resulting in a 41.3% reduction (p=0.02), which includes the data from the 15 subjects who completed 8 weeks of treatment. Excluding one outlier with an extremely high triglyceride level of 1288 mg/dL before treatment, MN-001 (tipelukast) significantly reduced mean serum triglycerides by 74.9 mg/dL, resulting in a 28.8% reduction (p=0.00006). The FDA has granted Fast Track designation to MN-001 (tipelukast) for the treatment of patients with NASH with fibrosis.</w:t>
      </w:r>
    </w:p>
    <w:p>
      <w:pPr>
        <w:spacing w:after="0" w:line="179" w:lineRule="exact"/>
        <w:rPr>
          <w:sz w:val="20"/>
          <w:szCs w:val="20"/>
          <w:color w:val="auto"/>
        </w:rPr>
      </w:pPr>
    </w:p>
    <w:p>
      <w:pPr>
        <w:ind w:right="140" w:firstLine="439"/>
        <w:spacing w:after="0" w:line="274" w:lineRule="auto"/>
        <w:rPr>
          <w:sz w:val="20"/>
          <w:szCs w:val="20"/>
          <w:color w:val="auto"/>
        </w:rPr>
      </w:pPr>
      <w:r>
        <w:rPr>
          <w:rFonts w:ascii="Arial" w:cs="Arial" w:eastAsia="Arial" w:hAnsi="Arial"/>
          <w:sz w:val="17"/>
          <w:szCs w:val="17"/>
          <w:i w:val="1"/>
          <w:iCs w:val="1"/>
          <w:color w:val="auto"/>
        </w:rPr>
        <w:t xml:space="preserve">Idiopathic Pulmonary Fibrosis (IPF): </w:t>
      </w:r>
      <w:r>
        <w:rPr>
          <w:rFonts w:ascii="Arial" w:cs="Arial" w:eastAsia="Arial" w:hAnsi="Arial"/>
          <w:sz w:val="17"/>
          <w:szCs w:val="17"/>
          <w:color w:val="auto"/>
        </w:rPr>
        <w:t>Pulmonary fibrosis (PF) is a progressive disease characterized by scarring of the lungs that thickens the lining,</w:t>
      </w:r>
      <w:r>
        <w:rPr>
          <w:rFonts w:ascii="Arial" w:cs="Arial" w:eastAsia="Arial" w:hAnsi="Arial"/>
          <w:sz w:val="17"/>
          <w:szCs w:val="17"/>
          <w:i w:val="1"/>
          <w:iCs w:val="1"/>
          <w:color w:val="auto"/>
        </w:rPr>
        <w:t xml:space="preserve"> </w:t>
      </w:r>
      <w:r>
        <w:rPr>
          <w:rFonts w:ascii="Arial" w:cs="Arial" w:eastAsia="Arial" w:hAnsi="Arial"/>
          <w:sz w:val="17"/>
          <w:szCs w:val="17"/>
          <w:color w:val="auto"/>
        </w:rPr>
        <w:t>causing an irreversible loss of the tissue's ability to transport oxygen. The causes of PF vary and can be due to anti-cancer drug therapy or exposure to chemicals. Idiopathic pulmonary fibrosis (IPF) is one type of PF without a clear cause. According to the Pulmonary Fibrosis Foundation, IPF affects between 132,000 – 200,000 people in the United States, and an estimated 50,000 new cases are diagnosed annually. The prognosis for IPF is poor with a median survival of only two to three years following diagnosis and more than two-thirds of IPF patients die within five years.</w:t>
      </w:r>
    </w:p>
    <w:p>
      <w:pPr>
        <w:spacing w:after="0" w:line="173" w:lineRule="exact"/>
        <w:rPr>
          <w:sz w:val="20"/>
          <w:szCs w:val="20"/>
          <w:color w:val="auto"/>
        </w:rPr>
      </w:pPr>
    </w:p>
    <w:p>
      <w:pPr>
        <w:ind w:right="220" w:firstLine="439"/>
        <w:spacing w:after="0" w:line="286" w:lineRule="auto"/>
        <w:rPr>
          <w:sz w:val="20"/>
          <w:szCs w:val="20"/>
          <w:color w:val="auto"/>
        </w:rPr>
      </w:pPr>
      <w:r>
        <w:rPr>
          <w:rFonts w:ascii="Arial" w:cs="Arial" w:eastAsia="Arial" w:hAnsi="Arial"/>
          <w:sz w:val="16"/>
          <w:szCs w:val="16"/>
          <w:color w:val="auto"/>
        </w:rPr>
        <w:t>We completed a pre-clinical study evaluating the potential clinical efficacy of MN-001 (tipelukast) for the treatment of pulmonary fibrosis. MN-001 (tipelukast), which was administered orally once daily (30, 100 and 300 mg/kg) for two weeks, was evaluated in a mouse model of bleomycin-induced pulmonary fibrosis (PF) as measured by CT evaluation of lung density, degree of pulmonary fibrosis using the Ashcroft score based on histopathological staining, and hydroxyproline content, which is an indicator of fibrosis or storage of collagen in tissue. MN-001 (tipelukast) significantly decreased the Ashcroft score compared to Vehicle group (p&lt;0.05) after two weeks of treatment and MN-001 (tipelukast) reduced lung density when compared to the Vehicle-treated group. Moreover, lung hydroxyproline content was significantly reduced compared to the Vehicle group (p&lt;0.01). These results show that treatment with MN-001 (tipelukast) has significant anti-fibrogenic effects in bleomycin-induced pulmonary fibrosis in mice. We have an open IND and the FDA approved a Phase 2 clinical trial protocol for MN-001 (tipelukast) for the treatment of IPF in the United States. A Phase 2 clinical trial of MN-001 (tipelukast) in IPF is currently ongoing at Penn State. The FDA has granted Orphan-Drug designation to MN-001 (tipelukast) for treatment of IPF. Orphan-Drug designation will provide seven years of marketing exclusivity for MN-001 (tipelukast) for the treatment of IPF if it is approved for this indication. The FDA has also granted Fast Track designation to MN-001 (tipelukast) for the treatment of patients with IPF.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w:t>
      </w:r>
    </w:p>
    <w:p>
      <w:pPr>
        <w:spacing w:after="0" w:line="223" w:lineRule="exact"/>
        <w:rPr>
          <w:sz w:val="20"/>
          <w:szCs w:val="20"/>
          <w:color w:val="auto"/>
        </w:rPr>
      </w:pPr>
    </w:p>
    <w:p>
      <w:pPr>
        <w:ind w:right="80" w:firstLine="439"/>
        <w:spacing w:after="0" w:line="309" w:lineRule="auto"/>
        <w:rPr>
          <w:sz w:val="20"/>
          <w:szCs w:val="20"/>
          <w:color w:val="auto"/>
        </w:rPr>
      </w:pPr>
      <w:r>
        <w:rPr>
          <w:rFonts w:ascii="Arial" w:cs="Arial" w:eastAsia="Arial" w:hAnsi="Arial"/>
          <w:sz w:val="16"/>
          <w:szCs w:val="16"/>
          <w:color w:val="auto"/>
        </w:rPr>
        <w:t>MN-029 (denibulin) is a novel tubulin binding agent (TBA) under development for the treatment of solid tumors. It exerts its activity through reversible inhibition of tubulin polymerization resulting in disruption of the cell cytoskeleton, which causes the cancer cells to deform in shape and ultimately leads to extensive central necrosis of the solid tumor. We licensed MN-029 (denibulin) from Angiogene Pharmaceuticals, Ltd. (Angiogene) in 2002.</w:t>
      </w:r>
    </w:p>
    <w:p>
      <w:pPr>
        <w:spacing w:after="0" w:line="149" w:lineRule="exact"/>
        <w:rPr>
          <w:sz w:val="20"/>
          <w:szCs w:val="20"/>
          <w:color w:val="auto"/>
        </w:rPr>
      </w:pPr>
    </w:p>
    <w:p>
      <w:pPr>
        <w:ind w:firstLine="439"/>
        <w:spacing w:after="0" w:line="253" w:lineRule="auto"/>
        <w:rPr>
          <w:sz w:val="20"/>
          <w:szCs w:val="20"/>
          <w:color w:val="auto"/>
        </w:rPr>
      </w:pPr>
      <w:r>
        <w:rPr>
          <w:rFonts w:ascii="Arial" w:cs="Arial" w:eastAsia="Arial" w:hAnsi="Arial"/>
          <w:sz w:val="18"/>
          <w:szCs w:val="18"/>
          <w:color w:val="auto"/>
        </w:rPr>
        <w:t xml:space="preserve">Several preclinical pharmacology studies have assessed the mechanism of action and anti-tumor activity of MN-029 (denibulin)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rodent models of breast adenocarcinoma, colon carcinoma, lung carcinoma and KHT sarcoma. In these studies, MN-029 (denibulin) damaged poorly formed tumor blood vessels by weakening tumor blood vessel walls and causing leakage, clotting and eventual vascular shutdown within the tumor, in addition to the direct effect over tumor cells. These studies suggest that MN-029 (denibulin) acts quickly and is rapidly cleared from the body, which may reduce the potential for some adverse effects commonly associated with chemotherapy. Shutdown of tumor blood flow in tumor models was confirmed through the use of dynamic contrast-enhanced magnetic resonance imaging. In two Phase I clinical studies we conducted, MN-029 (denibulin) was well-tolerated at doses that reduced tumor blood flow.</w:t>
      </w:r>
    </w:p>
    <w:p>
      <w:pPr>
        <w:spacing w:after="0" w:line="191" w:lineRule="exact"/>
        <w:rPr>
          <w:sz w:val="20"/>
          <w:szCs w:val="20"/>
          <w:color w:val="auto"/>
        </w:rPr>
      </w:pPr>
    </w:p>
    <w:p>
      <w:pPr>
        <w:jc w:val="both"/>
        <w:ind w:right="120" w:firstLine="439"/>
        <w:spacing w:after="0" w:line="309" w:lineRule="auto"/>
        <w:rPr>
          <w:sz w:val="20"/>
          <w:szCs w:val="20"/>
          <w:color w:val="auto"/>
        </w:rPr>
      </w:pPr>
      <w:r>
        <w:rPr>
          <w:rFonts w:ascii="Arial" w:cs="Arial" w:eastAsia="Arial" w:hAnsi="Arial"/>
          <w:sz w:val="16"/>
          <w:szCs w:val="16"/>
          <w:color w:val="auto"/>
        </w:rPr>
        <w:t>The first Phase 1 trial determined the safety, tolerability, and maximum tolerated dose (MTD) level of single doses of MN-029 (denibulin) given every three weeks in 34 subjects with refractory cancer. The MTD was determined to be 180 mg/m</w:t>
      </w:r>
      <w:r>
        <w:rPr>
          <w:rFonts w:ascii="Arial" w:cs="Arial" w:eastAsia="Arial" w:hAnsi="Arial"/>
          <w:sz w:val="13"/>
          <w:szCs w:val="13"/>
          <w:color w:val="auto"/>
        </w:rPr>
        <w:t>2</w:t>
      </w:r>
      <w:r>
        <w:rPr>
          <w:rFonts w:ascii="Arial" w:cs="Arial" w:eastAsia="Arial" w:hAnsi="Arial"/>
          <w:sz w:val="16"/>
          <w:szCs w:val="16"/>
          <w:color w:val="auto"/>
        </w:rPr>
        <w:t xml:space="preserve"> and appeared to be safe as a single i.v. dose administered every three weeks for as many as 25 cycles. There were no clinically significant changes in routine laboratory assessments, vital signs, or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ind w:right="40"/>
        <w:spacing w:after="0" w:line="277" w:lineRule="auto"/>
        <w:rPr>
          <w:sz w:val="20"/>
          <w:szCs w:val="20"/>
          <w:color w:val="auto"/>
        </w:rPr>
      </w:pPr>
      <w:r>
        <w:rPr>
          <w:rFonts w:ascii="Arial" w:cs="Arial" w:eastAsia="Arial" w:hAnsi="Arial"/>
          <w:sz w:val="17"/>
          <w:szCs w:val="17"/>
          <w:color w:val="auto"/>
        </w:rPr>
        <w:t xml:space="preserve">ECG monitoring. The most commonly reported adverse events (AEs) were similar to other chemotherapies—vomiting, nausea, diarrhea, and fatigue. There were a total of nine serious adverse events (SAEs) and study discontinuations due to AEs. In a preliminary evaluation of anti-tumor activity, no patient had a complete response or partial response; however stable disease was seen in 12 patients. MN-029 (denibulin) had a desired vascular effect in seven of 11 patients that were administered drug at dose levels of ≥120 mg/m </w:t>
      </w:r>
      <w:r>
        <w:rPr>
          <w:rFonts w:ascii="Arial" w:cs="Arial" w:eastAsia="Arial" w:hAnsi="Arial"/>
          <w:sz w:val="14"/>
          <w:szCs w:val="14"/>
          <w:color w:val="auto"/>
        </w:rPr>
        <w:t>2</w:t>
      </w:r>
      <w:r>
        <w:rPr>
          <w:rFonts w:ascii="Arial" w:cs="Arial" w:eastAsia="Arial" w:hAnsi="Arial"/>
          <w:sz w:val="17"/>
          <w:szCs w:val="17"/>
          <w:color w:val="auto"/>
        </w:rPr>
        <w:t>. Nine patients continued into extended cycles of treatment.</w:t>
      </w:r>
    </w:p>
    <w:p>
      <w:pPr>
        <w:spacing w:after="0" w:line="172" w:lineRule="exact"/>
        <w:rPr>
          <w:sz w:val="20"/>
          <w:szCs w:val="20"/>
          <w:color w:val="auto"/>
        </w:rPr>
      </w:pPr>
    </w:p>
    <w:p>
      <w:pPr>
        <w:ind w:right="80" w:firstLine="439"/>
        <w:spacing w:after="0" w:line="290" w:lineRule="auto"/>
        <w:rPr>
          <w:sz w:val="20"/>
          <w:szCs w:val="20"/>
          <w:color w:val="auto"/>
        </w:rPr>
      </w:pPr>
      <w:r>
        <w:rPr>
          <w:rFonts w:ascii="Arial" w:cs="Arial" w:eastAsia="Arial" w:hAnsi="Arial"/>
          <w:sz w:val="16"/>
          <w:szCs w:val="16"/>
          <w:color w:val="auto"/>
        </w:rPr>
        <w:t xml:space="preserve">The second Phase 1 study was conducted to determine the safety, tolerability and MTD of single doses of MN-029 (denibulin) given every seven days for a total of three doses (Days 1, 8 and 15), followed by 13-day recovery (Days 16-28) in subjects with advanced/metastatic solid tumor cancer. Subjects who tolerated treatment with MN-029 (denibulin) could receive additional cycles. All 20 subjects reported at least one AE related to study drug. The most common AEs considered related to study drug were vomiting, nausea, arthralgia and headache. There were no clinically significant changes in routine laboratory assessments, vital signs or ECG monitoring. There was one SAE considered unrelated to study drug. Consistent with the previous Phase 1 trial, MN-029 (denibulin) up to dose levels of 180 mg/m </w:t>
      </w:r>
      <w:r>
        <w:rPr>
          <w:rFonts w:ascii="Arial" w:cs="Arial" w:eastAsia="Arial" w:hAnsi="Arial"/>
          <w:sz w:val="13"/>
          <w:szCs w:val="13"/>
          <w:color w:val="auto"/>
        </w:rPr>
        <w:t>2</w:t>
      </w:r>
      <w:r>
        <w:rPr>
          <w:rFonts w:ascii="Arial" w:cs="Arial" w:eastAsia="Arial" w:hAnsi="Arial"/>
          <w:sz w:val="16"/>
          <w:szCs w:val="16"/>
          <w:color w:val="auto"/>
        </w:rPr>
        <w:t xml:space="preserve"> appeared to be safe and well tolerated. One subject had a partial response which lasted for 74 days. Stable disease was observed in seven subjects. The results suggested an effect of MN-029 (denibulin) on vascular perfusion; however, a larger sample size is warranted.</w:t>
      </w:r>
    </w:p>
    <w:p>
      <w:pPr>
        <w:spacing w:after="0" w:line="162" w:lineRule="exact"/>
        <w:rPr>
          <w:sz w:val="20"/>
          <w:szCs w:val="20"/>
          <w:color w:val="auto"/>
        </w:rPr>
      </w:pPr>
    </w:p>
    <w:p>
      <w:pPr>
        <w:ind w:right="60" w:firstLine="439"/>
        <w:spacing w:after="0" w:line="257" w:lineRule="auto"/>
        <w:rPr>
          <w:sz w:val="20"/>
          <w:szCs w:val="20"/>
          <w:color w:val="auto"/>
        </w:rPr>
      </w:pPr>
      <w:r>
        <w:rPr>
          <w:rFonts w:ascii="Arial" w:cs="Arial" w:eastAsia="Arial" w:hAnsi="Arial"/>
          <w:sz w:val="18"/>
          <w:szCs w:val="18"/>
          <w:color w:val="auto"/>
        </w:rPr>
        <w:t>In January 2014, we were granted a new patent from the United States Patent and Trademark Office which covers MN-029 (denibulin) di-hydrochloride. The patent, which will expire no earlier than July 2032, has claims that cover a compound, pharmaceutical composition and method of treating certain cell proliferation diseases, including solid tumors, based on denibulin di-hydrochloride. We have filed patent applications based on this U.S. patent in certain foreign countries, and most of them have been granted.</w:t>
      </w: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Table 1 Product Candidates and Programs—MN-166 (ibudilast)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40" w:type="dxa"/>
            <w:vAlign w:val="bottom"/>
          </w:tcPr>
          <w:p>
            <w:pPr>
              <w:ind w:left="140"/>
              <w:spacing w:after="0"/>
              <w:rPr>
                <w:sz w:val="20"/>
                <w:szCs w:val="20"/>
                <w:color w:val="auto"/>
              </w:rPr>
            </w:pPr>
            <w:r>
              <w:rPr>
                <w:rFonts w:ascii="Arial" w:cs="Arial" w:eastAsia="Arial" w:hAnsi="Arial"/>
                <w:sz w:val="14"/>
                <w:szCs w:val="14"/>
                <w:color w:val="auto"/>
              </w:rPr>
              <w:t>Principal Investigator /Institution</w:t>
            </w:r>
          </w:p>
        </w:tc>
        <w:tc>
          <w:tcPr>
            <w:tcW w:w="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6"/>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Indication</w:t>
            </w:r>
          </w:p>
        </w:tc>
        <w:tc>
          <w:tcPr>
            <w:tcW w:w="360" w:type="dxa"/>
            <w:vAlign w:val="bottom"/>
          </w:tcPr>
          <w:p>
            <w:pPr>
              <w:spacing w:after="0"/>
              <w:rPr>
                <w:sz w:val="14"/>
                <w:szCs w:val="14"/>
                <w:color w:val="auto"/>
              </w:rPr>
            </w:pPr>
          </w:p>
        </w:tc>
        <w:tc>
          <w:tcPr>
            <w:tcW w:w="35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Clinical Study</w:t>
            </w:r>
          </w:p>
        </w:tc>
        <w:tc>
          <w:tcPr>
            <w:tcW w:w="180" w:type="dxa"/>
            <w:vAlign w:val="bottom"/>
          </w:tcPr>
          <w:p>
            <w:pPr>
              <w:spacing w:after="0"/>
              <w:rPr>
                <w:sz w:val="14"/>
                <w:szCs w:val="14"/>
                <w:color w:val="auto"/>
              </w:rPr>
            </w:pPr>
          </w:p>
        </w:tc>
        <w:tc>
          <w:tcPr>
            <w:tcW w:w="3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/Funding Agency(s)</w:t>
            </w:r>
          </w:p>
        </w:tc>
        <w:tc>
          <w:tcPr>
            <w:tcW w:w="60" w:type="dxa"/>
            <w:vAlign w:val="bottom"/>
          </w:tcPr>
          <w:p>
            <w:pPr>
              <w:spacing w:after="0"/>
              <w:rPr>
                <w:sz w:val="14"/>
                <w:szCs w:val="14"/>
                <w:color w:val="auto"/>
              </w:rPr>
            </w:pPr>
          </w:p>
        </w:tc>
        <w:tc>
          <w:tcPr>
            <w:tcW w:w="17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Status</w:t>
            </w:r>
          </w:p>
        </w:tc>
        <w:tc>
          <w:tcPr>
            <w:tcW w:w="20" w:type="dxa"/>
            <w:vAlign w:val="bottom"/>
          </w:tcPr>
          <w:p>
            <w:pPr>
              <w:spacing w:after="0"/>
              <w:rPr>
                <w:sz w:val="14"/>
                <w:szCs w:val="14"/>
                <w:color w:val="auto"/>
              </w:rPr>
            </w:pPr>
          </w:p>
        </w:tc>
      </w:tr>
      <w:tr>
        <w:trPr>
          <w:trHeight w:val="315"/>
        </w:trPr>
        <w:tc>
          <w:tcPr>
            <w:tcW w:w="2040" w:type="dxa"/>
            <w:vAlign w:val="bottom"/>
          </w:tcPr>
          <w:p>
            <w:pPr>
              <w:spacing w:after="0"/>
              <w:rPr>
                <w:sz w:val="20"/>
                <w:szCs w:val="20"/>
                <w:color w:val="auto"/>
              </w:rPr>
            </w:pPr>
            <w:r>
              <w:rPr>
                <w:rFonts w:ascii="Arial" w:cs="Arial" w:eastAsia="Arial" w:hAnsi="Arial"/>
                <w:sz w:val="18"/>
                <w:szCs w:val="18"/>
                <w:color w:val="auto"/>
              </w:rPr>
              <w:t>Primary Progressive and</w:t>
            </w:r>
          </w:p>
        </w:tc>
        <w:tc>
          <w:tcPr>
            <w:tcW w:w="4040" w:type="dxa"/>
            <w:vAlign w:val="bottom"/>
            <w:gridSpan w:val="3"/>
          </w:tcPr>
          <w:p>
            <w:pPr>
              <w:ind w:left="360"/>
              <w:spacing w:after="0"/>
              <w:rPr>
                <w:sz w:val="20"/>
                <w:szCs w:val="20"/>
                <w:color w:val="auto"/>
              </w:rPr>
            </w:pPr>
            <w:r>
              <w:rPr>
                <w:rFonts w:ascii="Arial" w:cs="Arial" w:eastAsia="Arial" w:hAnsi="Arial"/>
                <w:sz w:val="18"/>
                <w:szCs w:val="18"/>
                <w:color w:val="auto"/>
              </w:rPr>
              <w:t>A Randomized, Double-Blind, Placebo-</w:t>
            </w:r>
          </w:p>
        </w:tc>
        <w:tc>
          <w:tcPr>
            <w:tcW w:w="3540" w:type="dxa"/>
            <w:vAlign w:val="bottom"/>
          </w:tcPr>
          <w:p>
            <w:pPr>
              <w:ind w:left="20"/>
              <w:spacing w:after="0"/>
              <w:rPr>
                <w:sz w:val="20"/>
                <w:szCs w:val="20"/>
                <w:color w:val="auto"/>
              </w:rPr>
            </w:pPr>
            <w:r>
              <w:rPr>
                <w:rFonts w:ascii="Arial" w:cs="Arial" w:eastAsia="Arial" w:hAnsi="Arial"/>
                <w:sz w:val="18"/>
                <w:szCs w:val="18"/>
                <w:color w:val="auto"/>
              </w:rPr>
              <w:t>Robert J. Fox, M.D., M.S., FAAN</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Completed</w:t>
            </w:r>
          </w:p>
        </w:tc>
        <w:tc>
          <w:tcPr>
            <w:tcW w:w="20" w:type="dxa"/>
            <w:vAlign w:val="bottom"/>
          </w:tcPr>
          <w:p>
            <w:pPr>
              <w:spacing w:after="0"/>
              <w:rPr>
                <w:sz w:val="24"/>
                <w:szCs w:val="24"/>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8"/>
                <w:szCs w:val="18"/>
                <w:color w:val="auto"/>
              </w:rPr>
              <w:t>Secondary Progressive</w:t>
            </w:r>
          </w:p>
        </w:tc>
        <w:tc>
          <w:tcPr>
            <w:tcW w:w="4040" w:type="dxa"/>
            <w:vAlign w:val="bottom"/>
            <w:gridSpan w:val="3"/>
          </w:tcPr>
          <w:p>
            <w:pPr>
              <w:ind w:left="360"/>
              <w:spacing w:after="0"/>
              <w:rPr>
                <w:sz w:val="20"/>
                <w:szCs w:val="20"/>
                <w:color w:val="auto"/>
              </w:rPr>
            </w:pPr>
            <w:r>
              <w:rPr>
                <w:rFonts w:ascii="Arial" w:cs="Arial" w:eastAsia="Arial" w:hAnsi="Arial"/>
                <w:sz w:val="18"/>
                <w:szCs w:val="18"/>
                <w:color w:val="auto"/>
              </w:rPr>
              <w:t>Controlled Study to Evaluate the Safety,</w:t>
            </w:r>
          </w:p>
        </w:tc>
        <w:tc>
          <w:tcPr>
            <w:tcW w:w="3540" w:type="dxa"/>
            <w:vAlign w:val="bottom"/>
          </w:tcPr>
          <w:p>
            <w:pPr>
              <w:ind w:left="20"/>
              <w:spacing w:after="0"/>
              <w:rPr>
                <w:sz w:val="20"/>
                <w:szCs w:val="20"/>
                <w:color w:val="auto"/>
              </w:rPr>
            </w:pPr>
            <w:r>
              <w:rPr>
                <w:rFonts w:ascii="Arial" w:cs="Arial" w:eastAsia="Arial" w:hAnsi="Arial"/>
                <w:sz w:val="18"/>
                <w:szCs w:val="18"/>
                <w:color w:val="auto"/>
              </w:rPr>
              <w:t>Cleveland Clinic</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8"/>
                <w:szCs w:val="18"/>
                <w:color w:val="auto"/>
              </w:rPr>
              <w:t>Multiple Sclerosis</w:t>
            </w:r>
          </w:p>
        </w:tc>
        <w:tc>
          <w:tcPr>
            <w:tcW w:w="4040" w:type="dxa"/>
            <w:vAlign w:val="bottom"/>
            <w:gridSpan w:val="3"/>
          </w:tcPr>
          <w:p>
            <w:pPr>
              <w:ind w:left="360"/>
              <w:spacing w:after="0"/>
              <w:rPr>
                <w:sz w:val="20"/>
                <w:szCs w:val="20"/>
                <w:color w:val="auto"/>
              </w:rPr>
            </w:pPr>
            <w:r>
              <w:rPr>
                <w:rFonts w:ascii="Arial" w:cs="Arial" w:eastAsia="Arial" w:hAnsi="Arial"/>
                <w:sz w:val="18"/>
                <w:szCs w:val="18"/>
                <w:color w:val="auto"/>
              </w:rPr>
              <w:t>Tolerability and Activity of Ibudilast (MN-166</w:t>
            </w:r>
          </w:p>
        </w:tc>
        <w:tc>
          <w:tcPr>
            <w:tcW w:w="3540" w:type="dxa"/>
            <w:vAlign w:val="bottom"/>
          </w:tcPr>
          <w:p>
            <w:pPr>
              <w:ind w:left="20"/>
              <w:spacing w:after="0"/>
              <w:rPr>
                <w:sz w:val="20"/>
                <w:szCs w:val="20"/>
                <w:color w:val="auto"/>
              </w:rPr>
            </w:pPr>
            <w:r>
              <w:rPr>
                <w:rFonts w:ascii="Arial" w:cs="Arial" w:eastAsia="Arial" w:hAnsi="Arial"/>
                <w:sz w:val="18"/>
                <w:szCs w:val="18"/>
                <w:color w:val="auto"/>
                <w:w w:val="92"/>
              </w:rPr>
              <w:t>National Institute on Neurological Diseases and</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040" w:type="dxa"/>
            <w:vAlign w:val="bottom"/>
          </w:tcPr>
          <w:p>
            <w:pPr>
              <w:spacing w:after="0"/>
              <w:rPr>
                <w:sz w:val="18"/>
                <w:szCs w:val="18"/>
                <w:color w:val="auto"/>
              </w:rPr>
            </w:pPr>
          </w:p>
        </w:tc>
        <w:tc>
          <w:tcPr>
            <w:tcW w:w="4040" w:type="dxa"/>
            <w:vAlign w:val="bottom"/>
            <w:gridSpan w:val="3"/>
          </w:tcPr>
          <w:p>
            <w:pPr>
              <w:ind w:left="360"/>
              <w:spacing w:after="0"/>
              <w:rPr>
                <w:sz w:val="20"/>
                <w:szCs w:val="20"/>
                <w:color w:val="auto"/>
              </w:rPr>
            </w:pPr>
            <w:r>
              <w:rPr>
                <w:rFonts w:ascii="Arial" w:cs="Arial" w:eastAsia="Arial" w:hAnsi="Arial"/>
                <w:sz w:val="18"/>
                <w:szCs w:val="18"/>
                <w:color w:val="auto"/>
              </w:rPr>
              <w:t>(ibudilast)) in Subjects with Progressive</w:t>
            </w:r>
          </w:p>
        </w:tc>
        <w:tc>
          <w:tcPr>
            <w:tcW w:w="3540" w:type="dxa"/>
            <w:vAlign w:val="bottom"/>
          </w:tcPr>
          <w:p>
            <w:pPr>
              <w:ind w:left="20"/>
              <w:spacing w:after="0"/>
              <w:rPr>
                <w:sz w:val="20"/>
                <w:szCs w:val="20"/>
                <w:color w:val="auto"/>
              </w:rPr>
            </w:pPr>
            <w:r>
              <w:rPr>
                <w:rFonts w:ascii="Arial" w:cs="Arial" w:eastAsia="Arial" w:hAnsi="Arial"/>
                <w:sz w:val="18"/>
                <w:szCs w:val="18"/>
                <w:color w:val="auto"/>
              </w:rPr>
              <w:t>Stroke</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40" w:type="dxa"/>
            <w:vAlign w:val="bottom"/>
          </w:tcPr>
          <w:p>
            <w:pPr>
              <w:spacing w:after="0"/>
              <w:rPr>
                <w:sz w:val="19"/>
                <w:szCs w:val="19"/>
                <w:color w:val="auto"/>
              </w:rPr>
            </w:pPr>
          </w:p>
        </w:tc>
        <w:tc>
          <w:tcPr>
            <w:tcW w:w="4040" w:type="dxa"/>
            <w:vAlign w:val="bottom"/>
            <w:gridSpan w:val="3"/>
          </w:tcPr>
          <w:p>
            <w:pPr>
              <w:ind w:left="360"/>
              <w:spacing w:after="0"/>
              <w:rPr>
                <w:sz w:val="20"/>
                <w:szCs w:val="20"/>
                <w:color w:val="auto"/>
              </w:rPr>
            </w:pPr>
            <w:r>
              <w:rPr>
                <w:rFonts w:ascii="Arial" w:cs="Arial" w:eastAsia="Arial" w:hAnsi="Arial"/>
                <w:sz w:val="18"/>
                <w:szCs w:val="18"/>
                <w:color w:val="auto"/>
              </w:rPr>
              <w:t>Multiple Sclerosis</w:t>
            </w:r>
          </w:p>
        </w:tc>
        <w:tc>
          <w:tcPr>
            <w:tcW w:w="3540" w:type="dxa"/>
            <w:vAlign w:val="bottom"/>
          </w:tcPr>
          <w:p>
            <w:pPr>
              <w:ind w:left="20"/>
              <w:spacing w:after="0"/>
              <w:rPr>
                <w:sz w:val="20"/>
                <w:szCs w:val="20"/>
                <w:color w:val="auto"/>
              </w:rPr>
            </w:pPr>
            <w:r>
              <w:rPr>
                <w:rFonts w:ascii="Arial" w:cs="Arial" w:eastAsia="Arial" w:hAnsi="Arial"/>
                <w:sz w:val="18"/>
                <w:szCs w:val="18"/>
                <w:color w:val="auto"/>
              </w:rPr>
              <w:t>MediciNova, Inc.</w:t>
            </w: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1"/>
        </w:trPr>
        <w:tc>
          <w:tcPr>
            <w:tcW w:w="2040" w:type="dxa"/>
            <w:vAlign w:val="bottom"/>
          </w:tcPr>
          <w:p>
            <w:pPr>
              <w:spacing w:after="0"/>
              <w:rPr>
                <w:sz w:val="20"/>
                <w:szCs w:val="20"/>
                <w:color w:val="auto"/>
              </w:rPr>
            </w:pPr>
            <w:r>
              <w:rPr>
                <w:rFonts w:ascii="Arial" w:cs="Arial" w:eastAsia="Arial" w:hAnsi="Arial"/>
                <w:sz w:val="18"/>
                <w:szCs w:val="18"/>
                <w:color w:val="auto"/>
              </w:rPr>
              <w:t>Amyotrophic Lateral</w:t>
            </w:r>
          </w:p>
        </w:tc>
        <w:tc>
          <w:tcPr>
            <w:tcW w:w="4040" w:type="dxa"/>
            <w:vAlign w:val="bottom"/>
            <w:gridSpan w:val="3"/>
          </w:tcPr>
          <w:p>
            <w:pPr>
              <w:ind w:left="360"/>
              <w:spacing w:after="0"/>
              <w:rPr>
                <w:sz w:val="20"/>
                <w:szCs w:val="20"/>
                <w:color w:val="auto"/>
              </w:rPr>
            </w:pPr>
            <w:r>
              <w:rPr>
                <w:rFonts w:ascii="Arial" w:cs="Arial" w:eastAsia="Arial" w:hAnsi="Arial"/>
                <w:sz w:val="18"/>
                <w:szCs w:val="18"/>
                <w:color w:val="auto"/>
              </w:rPr>
              <w:t>A Single-Center, Randomized, Double-Blind,</w:t>
            </w:r>
          </w:p>
        </w:tc>
        <w:tc>
          <w:tcPr>
            <w:tcW w:w="3540" w:type="dxa"/>
            <w:vAlign w:val="bottom"/>
          </w:tcPr>
          <w:p>
            <w:pPr>
              <w:ind w:left="20"/>
              <w:spacing w:after="0"/>
              <w:rPr>
                <w:sz w:val="20"/>
                <w:szCs w:val="20"/>
                <w:color w:val="auto"/>
              </w:rPr>
            </w:pPr>
            <w:r>
              <w:rPr>
                <w:rFonts w:ascii="Arial" w:cs="Arial" w:eastAsia="Arial" w:hAnsi="Arial"/>
                <w:sz w:val="18"/>
                <w:szCs w:val="18"/>
                <w:color w:val="auto"/>
              </w:rPr>
              <w:t>Benjamin R. Brooks, M.D.</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Completed</w:t>
            </w:r>
          </w:p>
        </w:tc>
        <w:tc>
          <w:tcPr>
            <w:tcW w:w="20" w:type="dxa"/>
            <w:vAlign w:val="bottom"/>
          </w:tcPr>
          <w:p>
            <w:pPr>
              <w:spacing w:after="0"/>
              <w:rPr>
                <w:sz w:val="24"/>
                <w:szCs w:val="24"/>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8"/>
                <w:szCs w:val="18"/>
                <w:color w:val="auto"/>
              </w:rPr>
              <w:t>Sclerosis (ALS)</w:t>
            </w:r>
          </w:p>
        </w:tc>
        <w:tc>
          <w:tcPr>
            <w:tcW w:w="4040" w:type="dxa"/>
            <w:vAlign w:val="bottom"/>
            <w:gridSpan w:val="3"/>
          </w:tcPr>
          <w:p>
            <w:pPr>
              <w:ind w:left="360"/>
              <w:spacing w:after="0"/>
              <w:rPr>
                <w:sz w:val="20"/>
                <w:szCs w:val="20"/>
                <w:color w:val="auto"/>
              </w:rPr>
            </w:pPr>
            <w:r>
              <w:rPr>
                <w:rFonts w:ascii="Arial" w:cs="Arial" w:eastAsia="Arial" w:hAnsi="Arial"/>
                <w:sz w:val="18"/>
                <w:szCs w:val="18"/>
                <w:color w:val="auto"/>
              </w:rPr>
              <w:t>Placebo-Controlled, Six Month Clinical Trial</w:t>
            </w:r>
          </w:p>
        </w:tc>
        <w:tc>
          <w:tcPr>
            <w:tcW w:w="3540" w:type="dxa"/>
            <w:vAlign w:val="bottom"/>
          </w:tcPr>
          <w:p>
            <w:pPr>
              <w:ind w:left="20"/>
              <w:spacing w:after="0"/>
              <w:rPr>
                <w:sz w:val="20"/>
                <w:szCs w:val="20"/>
                <w:color w:val="auto"/>
              </w:rPr>
            </w:pPr>
            <w:r>
              <w:rPr>
                <w:rFonts w:ascii="Arial" w:cs="Arial" w:eastAsia="Arial" w:hAnsi="Arial"/>
                <w:sz w:val="18"/>
                <w:szCs w:val="18"/>
                <w:color w:val="auto"/>
                <w:w w:val="96"/>
              </w:rPr>
              <w:t>Carolinas HealthCare System Neurosciences</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040" w:type="dxa"/>
            <w:vAlign w:val="bottom"/>
          </w:tcPr>
          <w:p>
            <w:pPr>
              <w:spacing w:after="0"/>
              <w:rPr>
                <w:sz w:val="18"/>
                <w:szCs w:val="18"/>
                <w:color w:val="auto"/>
              </w:rPr>
            </w:pPr>
          </w:p>
        </w:tc>
        <w:tc>
          <w:tcPr>
            <w:tcW w:w="4040" w:type="dxa"/>
            <w:vAlign w:val="bottom"/>
            <w:gridSpan w:val="3"/>
          </w:tcPr>
          <w:p>
            <w:pPr>
              <w:ind w:left="360"/>
              <w:spacing w:after="0"/>
              <w:rPr>
                <w:sz w:val="20"/>
                <w:szCs w:val="20"/>
                <w:color w:val="auto"/>
              </w:rPr>
            </w:pPr>
            <w:r>
              <w:rPr>
                <w:rFonts w:ascii="Arial" w:cs="Arial" w:eastAsia="Arial" w:hAnsi="Arial"/>
                <w:sz w:val="18"/>
                <w:szCs w:val="18"/>
                <w:color w:val="auto"/>
              </w:rPr>
              <w:t>Followed by an Open-Label Extension to</w:t>
            </w:r>
          </w:p>
        </w:tc>
        <w:tc>
          <w:tcPr>
            <w:tcW w:w="3540" w:type="dxa"/>
            <w:vAlign w:val="bottom"/>
          </w:tcPr>
          <w:p>
            <w:pPr>
              <w:ind w:left="20"/>
              <w:spacing w:after="0"/>
              <w:rPr>
                <w:sz w:val="20"/>
                <w:szCs w:val="20"/>
                <w:color w:val="auto"/>
              </w:rPr>
            </w:pPr>
            <w:r>
              <w:rPr>
                <w:rFonts w:ascii="Arial" w:cs="Arial" w:eastAsia="Arial" w:hAnsi="Arial"/>
                <w:sz w:val="18"/>
                <w:szCs w:val="18"/>
                <w:color w:val="auto"/>
              </w:rPr>
              <w:t>Institute</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040" w:type="dxa"/>
            <w:vAlign w:val="bottom"/>
          </w:tcPr>
          <w:p>
            <w:pPr>
              <w:spacing w:after="0"/>
              <w:rPr>
                <w:sz w:val="18"/>
                <w:szCs w:val="18"/>
                <w:color w:val="auto"/>
              </w:rPr>
            </w:pPr>
          </w:p>
        </w:tc>
        <w:tc>
          <w:tcPr>
            <w:tcW w:w="4040" w:type="dxa"/>
            <w:vAlign w:val="bottom"/>
            <w:gridSpan w:val="3"/>
          </w:tcPr>
          <w:p>
            <w:pPr>
              <w:ind w:left="360"/>
              <w:spacing w:after="0"/>
              <w:rPr>
                <w:sz w:val="20"/>
                <w:szCs w:val="20"/>
                <w:color w:val="auto"/>
              </w:rPr>
            </w:pPr>
            <w:r>
              <w:rPr>
                <w:rFonts w:ascii="Arial" w:cs="Arial" w:eastAsia="Arial" w:hAnsi="Arial"/>
                <w:sz w:val="18"/>
                <w:szCs w:val="18"/>
                <w:color w:val="auto"/>
              </w:rPr>
              <w:t>Evaluate the Safety, Tolerability, and Clinical</w:t>
            </w:r>
          </w:p>
        </w:tc>
        <w:tc>
          <w:tcPr>
            <w:tcW w:w="3540" w:type="dxa"/>
            <w:vAlign w:val="bottom"/>
          </w:tcPr>
          <w:p>
            <w:pPr>
              <w:ind w:left="20"/>
              <w:spacing w:after="0"/>
              <w:rPr>
                <w:sz w:val="20"/>
                <w:szCs w:val="20"/>
                <w:color w:val="auto"/>
              </w:rPr>
            </w:pPr>
            <w:r>
              <w:rPr>
                <w:rFonts w:ascii="Arial" w:cs="Arial" w:eastAsia="Arial" w:hAnsi="Arial"/>
                <w:sz w:val="18"/>
                <w:szCs w:val="18"/>
                <w:color w:val="auto"/>
              </w:rPr>
              <w:t>MediciNova, Inc.</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040" w:type="dxa"/>
            <w:vAlign w:val="bottom"/>
          </w:tcPr>
          <w:p>
            <w:pPr>
              <w:spacing w:after="0"/>
              <w:rPr>
                <w:sz w:val="18"/>
                <w:szCs w:val="18"/>
                <w:color w:val="auto"/>
              </w:rPr>
            </w:pPr>
          </w:p>
        </w:tc>
        <w:tc>
          <w:tcPr>
            <w:tcW w:w="4040" w:type="dxa"/>
            <w:vAlign w:val="bottom"/>
            <w:gridSpan w:val="3"/>
          </w:tcPr>
          <w:p>
            <w:pPr>
              <w:ind w:left="360"/>
              <w:spacing w:after="0"/>
              <w:rPr>
                <w:sz w:val="20"/>
                <w:szCs w:val="20"/>
                <w:color w:val="auto"/>
              </w:rPr>
            </w:pPr>
            <w:r>
              <w:rPr>
                <w:rFonts w:ascii="Arial" w:cs="Arial" w:eastAsia="Arial" w:hAnsi="Arial"/>
                <w:sz w:val="18"/>
                <w:szCs w:val="18"/>
                <w:color w:val="auto"/>
                <w:w w:val="97"/>
              </w:rPr>
              <w:t>Endpoint Responsiveness of Ibudilast (MN-166</w:t>
            </w:r>
          </w:p>
        </w:tc>
        <w:tc>
          <w:tcPr>
            <w:tcW w:w="3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040" w:type="dxa"/>
            <w:vAlign w:val="bottom"/>
          </w:tcPr>
          <w:p>
            <w:pPr>
              <w:spacing w:after="0"/>
              <w:rPr>
                <w:sz w:val="18"/>
                <w:szCs w:val="18"/>
                <w:color w:val="auto"/>
              </w:rPr>
            </w:pPr>
          </w:p>
        </w:tc>
        <w:tc>
          <w:tcPr>
            <w:tcW w:w="4040" w:type="dxa"/>
            <w:vAlign w:val="bottom"/>
            <w:gridSpan w:val="3"/>
          </w:tcPr>
          <w:p>
            <w:pPr>
              <w:ind w:left="360"/>
              <w:spacing w:after="0"/>
              <w:rPr>
                <w:sz w:val="20"/>
                <w:szCs w:val="20"/>
                <w:color w:val="auto"/>
              </w:rPr>
            </w:pPr>
            <w:r>
              <w:rPr>
                <w:rFonts w:ascii="Arial" w:cs="Arial" w:eastAsia="Arial" w:hAnsi="Arial"/>
                <w:sz w:val="18"/>
                <w:szCs w:val="18"/>
                <w:color w:val="auto"/>
              </w:rPr>
              <w:t>(ibudilast)) in Subjects with Amyotrophic</w:t>
            </w:r>
          </w:p>
        </w:tc>
        <w:tc>
          <w:tcPr>
            <w:tcW w:w="3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40" w:type="dxa"/>
            <w:vAlign w:val="bottom"/>
          </w:tcPr>
          <w:p>
            <w:pPr>
              <w:spacing w:after="0"/>
              <w:rPr>
                <w:sz w:val="19"/>
                <w:szCs w:val="19"/>
                <w:color w:val="auto"/>
              </w:rPr>
            </w:pPr>
          </w:p>
        </w:tc>
        <w:tc>
          <w:tcPr>
            <w:tcW w:w="4040" w:type="dxa"/>
            <w:vAlign w:val="bottom"/>
            <w:gridSpan w:val="3"/>
          </w:tcPr>
          <w:p>
            <w:pPr>
              <w:ind w:left="360"/>
              <w:spacing w:after="0"/>
              <w:rPr>
                <w:sz w:val="20"/>
                <w:szCs w:val="20"/>
                <w:color w:val="auto"/>
              </w:rPr>
            </w:pPr>
            <w:r>
              <w:rPr>
                <w:rFonts w:ascii="Arial" w:cs="Arial" w:eastAsia="Arial" w:hAnsi="Arial"/>
                <w:sz w:val="18"/>
                <w:szCs w:val="18"/>
                <w:color w:val="auto"/>
              </w:rPr>
              <w:t>Lateral Sclerosis (ALS)</w:t>
            </w:r>
          </w:p>
        </w:tc>
        <w:tc>
          <w:tcPr>
            <w:tcW w:w="3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1"/>
        </w:trPr>
        <w:tc>
          <w:tcPr>
            <w:tcW w:w="2040" w:type="dxa"/>
            <w:vAlign w:val="bottom"/>
          </w:tcPr>
          <w:p>
            <w:pPr>
              <w:spacing w:after="0"/>
              <w:rPr>
                <w:sz w:val="20"/>
                <w:szCs w:val="20"/>
                <w:color w:val="auto"/>
              </w:rPr>
            </w:pPr>
            <w:r>
              <w:rPr>
                <w:rFonts w:ascii="Arial" w:cs="Arial" w:eastAsia="Arial" w:hAnsi="Arial"/>
                <w:sz w:val="18"/>
                <w:szCs w:val="18"/>
                <w:color w:val="auto"/>
              </w:rPr>
              <w:t>ALS / Biomarker</w:t>
            </w:r>
          </w:p>
        </w:tc>
        <w:tc>
          <w:tcPr>
            <w:tcW w:w="4040" w:type="dxa"/>
            <w:vAlign w:val="bottom"/>
            <w:gridSpan w:val="3"/>
          </w:tcPr>
          <w:p>
            <w:pPr>
              <w:ind w:left="360"/>
              <w:spacing w:after="0"/>
              <w:rPr>
                <w:sz w:val="20"/>
                <w:szCs w:val="20"/>
                <w:color w:val="auto"/>
              </w:rPr>
            </w:pPr>
            <w:r>
              <w:rPr>
                <w:rFonts w:ascii="Arial" w:cs="Arial" w:eastAsia="Arial" w:hAnsi="Arial"/>
                <w:sz w:val="18"/>
                <w:szCs w:val="18"/>
                <w:color w:val="auto"/>
              </w:rPr>
              <w:t>A Biomarker Study to Evaluate MN-166</w:t>
            </w:r>
          </w:p>
        </w:tc>
        <w:tc>
          <w:tcPr>
            <w:tcW w:w="3540" w:type="dxa"/>
            <w:vAlign w:val="bottom"/>
          </w:tcPr>
          <w:p>
            <w:pPr>
              <w:ind w:left="20"/>
              <w:spacing w:after="0"/>
              <w:rPr>
                <w:sz w:val="20"/>
                <w:szCs w:val="20"/>
                <w:color w:val="auto"/>
              </w:rPr>
            </w:pPr>
            <w:r>
              <w:rPr>
                <w:rFonts w:ascii="Arial" w:cs="Arial" w:eastAsia="Arial" w:hAnsi="Arial"/>
                <w:sz w:val="18"/>
                <w:szCs w:val="18"/>
                <w:color w:val="auto"/>
              </w:rPr>
              <w:t>Nazem Atassi, M.D., MMSc</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Ongoing</w:t>
            </w:r>
          </w:p>
        </w:tc>
        <w:tc>
          <w:tcPr>
            <w:tcW w:w="20" w:type="dxa"/>
            <w:vAlign w:val="bottom"/>
          </w:tcPr>
          <w:p>
            <w:pPr>
              <w:spacing w:after="0"/>
              <w:rPr>
                <w:sz w:val="24"/>
                <w:szCs w:val="24"/>
                <w:color w:val="auto"/>
              </w:rPr>
            </w:pPr>
          </w:p>
        </w:tc>
      </w:tr>
      <w:tr>
        <w:trPr>
          <w:trHeight w:val="215"/>
        </w:trPr>
        <w:tc>
          <w:tcPr>
            <w:tcW w:w="2040" w:type="dxa"/>
            <w:vAlign w:val="bottom"/>
          </w:tcPr>
          <w:p>
            <w:pPr>
              <w:spacing w:after="0"/>
              <w:rPr>
                <w:sz w:val="18"/>
                <w:szCs w:val="18"/>
                <w:color w:val="auto"/>
              </w:rPr>
            </w:pPr>
          </w:p>
        </w:tc>
        <w:tc>
          <w:tcPr>
            <w:tcW w:w="4040" w:type="dxa"/>
            <w:vAlign w:val="bottom"/>
            <w:gridSpan w:val="3"/>
          </w:tcPr>
          <w:p>
            <w:pPr>
              <w:ind w:left="360"/>
              <w:spacing w:after="0"/>
              <w:rPr>
                <w:sz w:val="20"/>
                <w:szCs w:val="20"/>
                <w:color w:val="auto"/>
              </w:rPr>
            </w:pPr>
            <w:r>
              <w:rPr>
                <w:rFonts w:ascii="Arial" w:cs="Arial" w:eastAsia="Arial" w:hAnsi="Arial"/>
                <w:sz w:val="18"/>
                <w:szCs w:val="18"/>
                <w:color w:val="auto"/>
              </w:rPr>
              <w:t>(ibudilast) (Ibudilast) in Subjects with</w:t>
            </w:r>
          </w:p>
        </w:tc>
        <w:tc>
          <w:tcPr>
            <w:tcW w:w="3540" w:type="dxa"/>
            <w:vAlign w:val="bottom"/>
          </w:tcPr>
          <w:p>
            <w:pPr>
              <w:ind w:left="20"/>
              <w:spacing w:after="0"/>
              <w:rPr>
                <w:sz w:val="20"/>
                <w:szCs w:val="20"/>
                <w:color w:val="auto"/>
              </w:rPr>
            </w:pPr>
            <w:r>
              <w:rPr>
                <w:rFonts w:ascii="Arial" w:cs="Arial" w:eastAsia="Arial" w:hAnsi="Arial"/>
                <w:sz w:val="18"/>
                <w:szCs w:val="18"/>
                <w:color w:val="auto"/>
              </w:rPr>
              <w:t>Massachusetts General Hospital</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40" w:type="dxa"/>
            <w:vAlign w:val="bottom"/>
          </w:tcPr>
          <w:p>
            <w:pPr>
              <w:spacing w:after="0"/>
              <w:rPr>
                <w:sz w:val="19"/>
                <w:szCs w:val="19"/>
                <w:color w:val="auto"/>
              </w:rPr>
            </w:pPr>
          </w:p>
        </w:tc>
        <w:tc>
          <w:tcPr>
            <w:tcW w:w="4040" w:type="dxa"/>
            <w:vAlign w:val="bottom"/>
            <w:gridSpan w:val="3"/>
          </w:tcPr>
          <w:p>
            <w:pPr>
              <w:ind w:left="360"/>
              <w:spacing w:after="0"/>
              <w:rPr>
                <w:sz w:val="20"/>
                <w:szCs w:val="20"/>
                <w:color w:val="auto"/>
              </w:rPr>
            </w:pPr>
            <w:r>
              <w:rPr>
                <w:rFonts w:ascii="Arial" w:cs="Arial" w:eastAsia="Arial" w:hAnsi="Arial"/>
                <w:sz w:val="18"/>
                <w:szCs w:val="18"/>
                <w:color w:val="auto"/>
              </w:rPr>
              <w:t>Amyotrophic Literal Sclerosis (ALS)</w:t>
            </w:r>
          </w:p>
        </w:tc>
        <w:tc>
          <w:tcPr>
            <w:tcW w:w="3540" w:type="dxa"/>
            <w:vAlign w:val="bottom"/>
          </w:tcPr>
          <w:p>
            <w:pPr>
              <w:ind w:left="20"/>
              <w:spacing w:after="0"/>
              <w:rPr>
                <w:sz w:val="20"/>
                <w:szCs w:val="20"/>
                <w:color w:val="auto"/>
              </w:rPr>
            </w:pPr>
            <w:r>
              <w:rPr>
                <w:rFonts w:ascii="Arial" w:cs="Arial" w:eastAsia="Arial" w:hAnsi="Arial"/>
                <w:sz w:val="18"/>
                <w:szCs w:val="18"/>
                <w:color w:val="auto"/>
              </w:rPr>
              <w:t>MediciNova, Inc.</w:t>
            </w: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51"/>
        </w:trPr>
        <w:tc>
          <w:tcPr>
            <w:tcW w:w="2040" w:type="dxa"/>
            <w:vAlign w:val="bottom"/>
          </w:tcPr>
          <w:p>
            <w:pPr>
              <w:spacing w:after="0"/>
              <w:rPr>
                <w:sz w:val="24"/>
                <w:szCs w:val="24"/>
                <w:color w:val="auto"/>
              </w:rPr>
            </w:pPr>
          </w:p>
        </w:tc>
        <w:tc>
          <w:tcPr>
            <w:tcW w:w="3860" w:type="dxa"/>
            <w:vAlign w:val="bottom"/>
            <w:gridSpan w:val="2"/>
          </w:tcPr>
          <w:p>
            <w:pPr>
              <w:ind w:left="358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20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5"/>
        </w:trPr>
        <w:tc>
          <w:tcPr>
            <w:tcW w:w="2040" w:type="dxa"/>
            <w:vAlign w:val="bottom"/>
          </w:tcPr>
          <w:p>
            <w:pPr>
              <w:spacing w:after="0"/>
              <w:rPr>
                <w:sz w:val="20"/>
                <w:szCs w:val="20"/>
                <w:color w:val="auto"/>
              </w:rPr>
            </w:pPr>
            <w:r>
              <w:rPr>
                <w:rFonts w:ascii="Arial" w:cs="Arial" w:eastAsia="Arial" w:hAnsi="Arial"/>
                <w:sz w:val="18"/>
                <w:szCs w:val="18"/>
                <w:color w:val="auto"/>
              </w:rPr>
              <w:t>Degenerative Cervical</w:t>
            </w:r>
          </w:p>
        </w:tc>
        <w:tc>
          <w:tcPr>
            <w:tcW w:w="3900" w:type="dxa"/>
            <w:vAlign w:val="bottom"/>
          </w:tcPr>
          <w:p>
            <w:pPr>
              <w:ind w:left="360"/>
              <w:spacing w:after="0"/>
              <w:rPr>
                <w:sz w:val="20"/>
                <w:szCs w:val="20"/>
                <w:color w:val="auto"/>
              </w:rPr>
            </w:pPr>
            <w:r>
              <w:rPr>
                <w:rFonts w:ascii="Arial" w:cs="Arial" w:eastAsia="Arial" w:hAnsi="Arial"/>
                <w:sz w:val="18"/>
                <w:szCs w:val="18"/>
                <w:color w:val="auto"/>
              </w:rPr>
              <w:t>A multi-centre, double-blind, randomised,</w:t>
            </w:r>
          </w:p>
        </w:tc>
        <w:tc>
          <w:tcPr>
            <w:tcW w:w="3220" w:type="dxa"/>
            <w:vAlign w:val="bottom"/>
          </w:tcPr>
          <w:p>
            <w:pPr>
              <w:ind w:left="160"/>
              <w:spacing w:after="0"/>
              <w:rPr>
                <w:sz w:val="20"/>
                <w:szCs w:val="20"/>
                <w:color w:val="auto"/>
              </w:rPr>
            </w:pPr>
            <w:r>
              <w:rPr>
                <w:rFonts w:ascii="Arial" w:cs="Arial" w:eastAsia="Arial" w:hAnsi="Arial"/>
                <w:sz w:val="18"/>
                <w:szCs w:val="18"/>
                <w:color w:val="auto"/>
              </w:rPr>
              <w:t>Dr. Mark Kotter</w:t>
            </w:r>
          </w:p>
        </w:tc>
        <w:tc>
          <w:tcPr>
            <w:tcW w:w="1780" w:type="dxa"/>
            <w:vAlign w:val="bottom"/>
          </w:tcPr>
          <w:p>
            <w:pPr>
              <w:ind w:left="520"/>
              <w:spacing w:after="0"/>
              <w:rPr>
                <w:sz w:val="20"/>
                <w:szCs w:val="20"/>
                <w:color w:val="auto"/>
              </w:rPr>
            </w:pPr>
            <w:r>
              <w:rPr>
                <w:rFonts w:ascii="Arial" w:cs="Arial" w:eastAsia="Arial" w:hAnsi="Arial"/>
                <w:sz w:val="18"/>
                <w:szCs w:val="18"/>
                <w:color w:val="auto"/>
              </w:rPr>
              <w:t>Enrollment</w:t>
            </w:r>
          </w:p>
        </w:tc>
      </w:tr>
      <w:tr>
        <w:trPr>
          <w:trHeight w:val="215"/>
        </w:trPr>
        <w:tc>
          <w:tcPr>
            <w:tcW w:w="2040" w:type="dxa"/>
            <w:vAlign w:val="bottom"/>
          </w:tcPr>
          <w:p>
            <w:pPr>
              <w:spacing w:after="0"/>
              <w:rPr>
                <w:sz w:val="20"/>
                <w:szCs w:val="20"/>
                <w:color w:val="auto"/>
              </w:rPr>
            </w:pPr>
            <w:r>
              <w:rPr>
                <w:rFonts w:ascii="Arial" w:cs="Arial" w:eastAsia="Arial" w:hAnsi="Arial"/>
                <w:sz w:val="18"/>
                <w:szCs w:val="18"/>
                <w:color w:val="auto"/>
              </w:rPr>
              <w:t>Myelopathy</w:t>
            </w:r>
          </w:p>
        </w:tc>
        <w:tc>
          <w:tcPr>
            <w:tcW w:w="3900" w:type="dxa"/>
            <w:vAlign w:val="bottom"/>
          </w:tcPr>
          <w:p>
            <w:pPr>
              <w:ind w:left="360"/>
              <w:spacing w:after="0"/>
              <w:rPr>
                <w:sz w:val="20"/>
                <w:szCs w:val="20"/>
                <w:color w:val="auto"/>
              </w:rPr>
            </w:pPr>
            <w:r>
              <w:rPr>
                <w:rFonts w:ascii="Arial" w:cs="Arial" w:eastAsia="Arial" w:hAnsi="Arial"/>
                <w:sz w:val="18"/>
                <w:szCs w:val="18"/>
                <w:color w:val="auto"/>
                <w:w w:val="97"/>
              </w:rPr>
              <w:t>placebo-controlled trial assessing the efficacy</w:t>
            </w:r>
          </w:p>
        </w:tc>
        <w:tc>
          <w:tcPr>
            <w:tcW w:w="3220" w:type="dxa"/>
            <w:vAlign w:val="bottom"/>
          </w:tcPr>
          <w:p>
            <w:pPr>
              <w:ind w:left="160"/>
              <w:spacing w:after="0"/>
              <w:rPr>
                <w:sz w:val="20"/>
                <w:szCs w:val="20"/>
                <w:color w:val="auto"/>
              </w:rPr>
            </w:pPr>
            <w:r>
              <w:rPr>
                <w:rFonts w:ascii="Arial" w:cs="Arial" w:eastAsia="Arial" w:hAnsi="Arial"/>
                <w:sz w:val="18"/>
                <w:szCs w:val="18"/>
                <w:color w:val="auto"/>
              </w:rPr>
              <w:t>University of Cambridge</w:t>
            </w:r>
          </w:p>
        </w:tc>
        <w:tc>
          <w:tcPr>
            <w:tcW w:w="1780" w:type="dxa"/>
            <w:vAlign w:val="bottom"/>
          </w:tcPr>
          <w:p>
            <w:pPr>
              <w:ind w:left="520"/>
              <w:spacing w:after="0"/>
              <w:rPr>
                <w:sz w:val="20"/>
                <w:szCs w:val="20"/>
                <w:color w:val="auto"/>
              </w:rPr>
            </w:pPr>
            <w:r>
              <w:rPr>
                <w:rFonts w:ascii="Arial" w:cs="Arial" w:eastAsia="Arial" w:hAnsi="Arial"/>
                <w:sz w:val="18"/>
                <w:szCs w:val="18"/>
                <w:color w:val="auto"/>
                <w:w w:val="87"/>
              </w:rPr>
              <w:t>expected to begin</w:t>
            </w:r>
          </w:p>
        </w:tc>
      </w:tr>
      <w:tr>
        <w:trPr>
          <w:trHeight w:val="215"/>
        </w:trPr>
        <w:tc>
          <w:tcPr>
            <w:tcW w:w="2040" w:type="dxa"/>
            <w:vAlign w:val="bottom"/>
          </w:tcPr>
          <w:p>
            <w:pPr>
              <w:spacing w:after="0"/>
              <w:rPr>
                <w:sz w:val="18"/>
                <w:szCs w:val="18"/>
                <w:color w:val="auto"/>
              </w:rPr>
            </w:pPr>
          </w:p>
        </w:tc>
        <w:tc>
          <w:tcPr>
            <w:tcW w:w="3900" w:type="dxa"/>
            <w:vAlign w:val="bottom"/>
          </w:tcPr>
          <w:p>
            <w:pPr>
              <w:ind w:left="360"/>
              <w:spacing w:after="0"/>
              <w:rPr>
                <w:sz w:val="20"/>
                <w:szCs w:val="20"/>
                <w:color w:val="auto"/>
              </w:rPr>
            </w:pPr>
            <w:r>
              <w:rPr>
                <w:rFonts w:ascii="Arial" w:cs="Arial" w:eastAsia="Arial" w:hAnsi="Arial"/>
                <w:sz w:val="18"/>
                <w:szCs w:val="18"/>
                <w:color w:val="auto"/>
              </w:rPr>
              <w:t>of Ibudilast as an adjuvant treatment to</w:t>
            </w:r>
          </w:p>
        </w:tc>
        <w:tc>
          <w:tcPr>
            <w:tcW w:w="5000" w:type="dxa"/>
            <w:vAlign w:val="bottom"/>
            <w:gridSpan w:val="2"/>
          </w:tcPr>
          <w:p>
            <w:pPr>
              <w:ind w:left="160"/>
              <w:spacing w:after="0"/>
              <w:rPr>
                <w:sz w:val="20"/>
                <w:szCs w:val="20"/>
                <w:color w:val="auto"/>
              </w:rPr>
            </w:pPr>
            <w:r>
              <w:rPr>
                <w:rFonts w:ascii="Arial" w:cs="Arial" w:eastAsia="Arial" w:hAnsi="Arial"/>
                <w:sz w:val="18"/>
                <w:szCs w:val="18"/>
                <w:color w:val="auto"/>
              </w:rPr>
              <w:t>National Institute for Health Research (NIHR) in in mid-2019</w:t>
            </w:r>
          </w:p>
        </w:tc>
      </w:tr>
      <w:tr>
        <w:trPr>
          <w:trHeight w:val="215"/>
        </w:trPr>
        <w:tc>
          <w:tcPr>
            <w:tcW w:w="2040" w:type="dxa"/>
            <w:vAlign w:val="bottom"/>
          </w:tcPr>
          <w:p>
            <w:pPr>
              <w:spacing w:after="0"/>
              <w:rPr>
                <w:sz w:val="18"/>
                <w:szCs w:val="18"/>
                <w:color w:val="auto"/>
              </w:rPr>
            </w:pPr>
          </w:p>
        </w:tc>
        <w:tc>
          <w:tcPr>
            <w:tcW w:w="3900" w:type="dxa"/>
            <w:vAlign w:val="bottom"/>
          </w:tcPr>
          <w:p>
            <w:pPr>
              <w:ind w:left="360"/>
              <w:spacing w:after="0"/>
              <w:rPr>
                <w:sz w:val="20"/>
                <w:szCs w:val="20"/>
                <w:color w:val="auto"/>
              </w:rPr>
            </w:pPr>
            <w:r>
              <w:rPr>
                <w:rFonts w:ascii="Arial" w:cs="Arial" w:eastAsia="Arial" w:hAnsi="Arial"/>
                <w:sz w:val="18"/>
                <w:szCs w:val="18"/>
                <w:color w:val="auto"/>
              </w:rPr>
              <w:t>decompressive surgery for degenerative</w:t>
            </w:r>
          </w:p>
        </w:tc>
        <w:tc>
          <w:tcPr>
            <w:tcW w:w="3220" w:type="dxa"/>
            <w:vAlign w:val="bottom"/>
          </w:tcPr>
          <w:p>
            <w:pPr>
              <w:ind w:left="160"/>
              <w:spacing w:after="0"/>
              <w:rPr>
                <w:sz w:val="20"/>
                <w:szCs w:val="20"/>
                <w:color w:val="auto"/>
              </w:rPr>
            </w:pPr>
            <w:r>
              <w:rPr>
                <w:rFonts w:ascii="Arial" w:cs="Arial" w:eastAsia="Arial" w:hAnsi="Arial"/>
                <w:sz w:val="18"/>
                <w:szCs w:val="18"/>
                <w:color w:val="auto"/>
              </w:rPr>
              <w:t>the U.K.</w:t>
            </w:r>
          </w:p>
        </w:tc>
        <w:tc>
          <w:tcPr>
            <w:tcW w:w="1780" w:type="dxa"/>
            <w:vAlign w:val="bottom"/>
          </w:tcPr>
          <w:p>
            <w:pPr>
              <w:spacing w:after="0"/>
              <w:rPr>
                <w:sz w:val="18"/>
                <w:szCs w:val="18"/>
                <w:color w:val="auto"/>
              </w:rPr>
            </w:pPr>
          </w:p>
        </w:tc>
      </w:tr>
      <w:tr>
        <w:trPr>
          <w:trHeight w:val="229"/>
        </w:trPr>
        <w:tc>
          <w:tcPr>
            <w:tcW w:w="2040" w:type="dxa"/>
            <w:vAlign w:val="bottom"/>
          </w:tcPr>
          <w:p>
            <w:pPr>
              <w:spacing w:after="0"/>
              <w:rPr>
                <w:sz w:val="19"/>
                <w:szCs w:val="19"/>
                <w:color w:val="auto"/>
              </w:rPr>
            </w:pPr>
          </w:p>
        </w:tc>
        <w:tc>
          <w:tcPr>
            <w:tcW w:w="3900" w:type="dxa"/>
            <w:vAlign w:val="bottom"/>
          </w:tcPr>
          <w:p>
            <w:pPr>
              <w:ind w:left="360"/>
              <w:spacing w:after="0"/>
              <w:rPr>
                <w:sz w:val="20"/>
                <w:szCs w:val="20"/>
                <w:color w:val="auto"/>
              </w:rPr>
            </w:pPr>
            <w:r>
              <w:rPr>
                <w:rFonts w:ascii="Arial" w:cs="Arial" w:eastAsia="Arial" w:hAnsi="Arial"/>
                <w:sz w:val="18"/>
                <w:szCs w:val="18"/>
                <w:color w:val="auto"/>
              </w:rPr>
              <w:t>cervical myelopathy</w:t>
            </w:r>
          </w:p>
        </w:tc>
        <w:tc>
          <w:tcPr>
            <w:tcW w:w="3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36"/>
        </w:trPr>
        <w:tc>
          <w:tcPr>
            <w:tcW w:w="2040" w:type="dxa"/>
            <w:vAlign w:val="bottom"/>
          </w:tcPr>
          <w:p>
            <w:pPr>
              <w:spacing w:after="0"/>
              <w:rPr>
                <w:sz w:val="20"/>
                <w:szCs w:val="20"/>
                <w:color w:val="auto"/>
              </w:rPr>
            </w:pPr>
            <w:r>
              <w:rPr>
                <w:rFonts w:ascii="Arial" w:cs="Arial" w:eastAsia="Arial" w:hAnsi="Arial"/>
                <w:sz w:val="18"/>
                <w:szCs w:val="18"/>
                <w:color w:val="auto"/>
              </w:rPr>
              <w:t>Chemotherapy-Induced</w:t>
            </w:r>
          </w:p>
        </w:tc>
        <w:tc>
          <w:tcPr>
            <w:tcW w:w="3900" w:type="dxa"/>
            <w:vAlign w:val="bottom"/>
          </w:tcPr>
          <w:p>
            <w:pPr>
              <w:ind w:left="360"/>
              <w:spacing w:after="0"/>
              <w:rPr>
                <w:sz w:val="20"/>
                <w:szCs w:val="20"/>
                <w:color w:val="auto"/>
              </w:rPr>
            </w:pPr>
            <w:r>
              <w:rPr>
                <w:rFonts w:ascii="Arial" w:cs="Arial" w:eastAsia="Arial" w:hAnsi="Arial"/>
                <w:sz w:val="18"/>
                <w:szCs w:val="18"/>
                <w:color w:val="auto"/>
                <w:w w:val="96"/>
              </w:rPr>
              <w:t>A pilot study evaluating the impact of ibudilast</w:t>
            </w:r>
          </w:p>
        </w:tc>
        <w:tc>
          <w:tcPr>
            <w:tcW w:w="3220" w:type="dxa"/>
            <w:vAlign w:val="bottom"/>
          </w:tcPr>
          <w:p>
            <w:pPr>
              <w:ind w:left="160"/>
              <w:spacing w:after="0"/>
              <w:rPr>
                <w:sz w:val="20"/>
                <w:szCs w:val="20"/>
                <w:color w:val="auto"/>
              </w:rPr>
            </w:pPr>
            <w:r>
              <w:rPr>
                <w:rFonts w:ascii="Arial" w:cs="Arial" w:eastAsia="Arial" w:hAnsi="Arial"/>
                <w:sz w:val="18"/>
                <w:szCs w:val="18"/>
                <w:color w:val="auto"/>
              </w:rPr>
              <w:t>Dr. Janette Vardy</w:t>
            </w:r>
          </w:p>
        </w:tc>
        <w:tc>
          <w:tcPr>
            <w:tcW w:w="1780" w:type="dxa"/>
            <w:vAlign w:val="bottom"/>
          </w:tcPr>
          <w:p>
            <w:pPr>
              <w:ind w:left="520"/>
              <w:spacing w:after="0"/>
              <w:rPr>
                <w:sz w:val="20"/>
                <w:szCs w:val="20"/>
                <w:color w:val="auto"/>
              </w:rPr>
            </w:pPr>
            <w:r>
              <w:rPr>
                <w:rFonts w:ascii="Arial" w:cs="Arial" w:eastAsia="Arial" w:hAnsi="Arial"/>
                <w:sz w:val="18"/>
                <w:szCs w:val="18"/>
                <w:color w:val="auto"/>
              </w:rPr>
              <w:t>Ongoing</w:t>
            </w:r>
          </w:p>
        </w:tc>
      </w:tr>
      <w:tr>
        <w:trPr>
          <w:trHeight w:val="215"/>
        </w:trPr>
        <w:tc>
          <w:tcPr>
            <w:tcW w:w="2040" w:type="dxa"/>
            <w:vAlign w:val="bottom"/>
          </w:tcPr>
          <w:p>
            <w:pPr>
              <w:spacing w:after="0"/>
              <w:rPr>
                <w:sz w:val="20"/>
                <w:szCs w:val="20"/>
                <w:color w:val="auto"/>
              </w:rPr>
            </w:pPr>
            <w:r>
              <w:rPr>
                <w:rFonts w:ascii="Arial" w:cs="Arial" w:eastAsia="Arial" w:hAnsi="Arial"/>
                <w:sz w:val="18"/>
                <w:szCs w:val="18"/>
                <w:color w:val="auto"/>
              </w:rPr>
              <w:t>Peripheral Neuropathy</w:t>
            </w:r>
          </w:p>
        </w:tc>
        <w:tc>
          <w:tcPr>
            <w:tcW w:w="3900" w:type="dxa"/>
            <w:vAlign w:val="bottom"/>
          </w:tcPr>
          <w:p>
            <w:pPr>
              <w:ind w:left="360"/>
              <w:spacing w:after="0"/>
              <w:rPr>
                <w:sz w:val="20"/>
                <w:szCs w:val="20"/>
                <w:color w:val="auto"/>
              </w:rPr>
            </w:pPr>
            <w:r>
              <w:rPr>
                <w:rFonts w:ascii="Arial" w:cs="Arial" w:eastAsia="Arial" w:hAnsi="Arial"/>
                <w:sz w:val="18"/>
                <w:szCs w:val="18"/>
                <w:color w:val="auto"/>
                <w:w w:val="96"/>
              </w:rPr>
              <w:t>on prevention of chemotherapy-induced acute</w:t>
            </w:r>
          </w:p>
        </w:tc>
        <w:tc>
          <w:tcPr>
            <w:tcW w:w="3220" w:type="dxa"/>
            <w:vAlign w:val="bottom"/>
          </w:tcPr>
          <w:p>
            <w:pPr>
              <w:ind w:left="160"/>
              <w:spacing w:after="0"/>
              <w:rPr>
                <w:sz w:val="20"/>
                <w:szCs w:val="20"/>
                <w:color w:val="auto"/>
              </w:rPr>
            </w:pPr>
            <w:r>
              <w:rPr>
                <w:rFonts w:ascii="Arial" w:cs="Arial" w:eastAsia="Arial" w:hAnsi="Arial"/>
                <w:sz w:val="18"/>
                <w:szCs w:val="18"/>
                <w:color w:val="auto"/>
              </w:rPr>
              <w:t>University of Sydney</w:t>
            </w:r>
          </w:p>
        </w:tc>
        <w:tc>
          <w:tcPr>
            <w:tcW w:w="1780" w:type="dxa"/>
            <w:vAlign w:val="bottom"/>
          </w:tcPr>
          <w:p>
            <w:pPr>
              <w:spacing w:after="0"/>
              <w:rPr>
                <w:sz w:val="18"/>
                <w:szCs w:val="18"/>
                <w:color w:val="auto"/>
              </w:rPr>
            </w:pPr>
          </w:p>
        </w:tc>
      </w:tr>
      <w:tr>
        <w:trPr>
          <w:trHeight w:val="215"/>
        </w:trPr>
        <w:tc>
          <w:tcPr>
            <w:tcW w:w="2040" w:type="dxa"/>
            <w:vAlign w:val="bottom"/>
          </w:tcPr>
          <w:p>
            <w:pPr>
              <w:spacing w:after="0"/>
              <w:rPr>
                <w:sz w:val="18"/>
                <w:szCs w:val="18"/>
                <w:color w:val="auto"/>
              </w:rPr>
            </w:pPr>
          </w:p>
        </w:tc>
        <w:tc>
          <w:tcPr>
            <w:tcW w:w="3900" w:type="dxa"/>
            <w:vAlign w:val="bottom"/>
          </w:tcPr>
          <w:p>
            <w:pPr>
              <w:ind w:left="360"/>
              <w:spacing w:after="0"/>
              <w:rPr>
                <w:sz w:val="20"/>
                <w:szCs w:val="20"/>
                <w:color w:val="auto"/>
              </w:rPr>
            </w:pPr>
            <w:r>
              <w:rPr>
                <w:rFonts w:ascii="Arial" w:cs="Arial" w:eastAsia="Arial" w:hAnsi="Arial"/>
                <w:sz w:val="18"/>
                <w:szCs w:val="18"/>
                <w:color w:val="auto"/>
                <w:w w:val="95"/>
              </w:rPr>
              <w:t>neurotoxicity and evaluating pharmacokinetics</w:t>
            </w:r>
          </w:p>
        </w:tc>
        <w:tc>
          <w:tcPr>
            <w:tcW w:w="3220" w:type="dxa"/>
            <w:vAlign w:val="bottom"/>
          </w:tcPr>
          <w:p>
            <w:pPr>
              <w:ind w:left="160"/>
              <w:spacing w:after="0"/>
              <w:rPr>
                <w:sz w:val="20"/>
                <w:szCs w:val="20"/>
                <w:color w:val="auto"/>
              </w:rPr>
            </w:pPr>
            <w:r>
              <w:rPr>
                <w:rFonts w:ascii="Arial" w:cs="Arial" w:eastAsia="Arial" w:hAnsi="Arial"/>
                <w:sz w:val="18"/>
                <w:szCs w:val="18"/>
                <w:color w:val="auto"/>
              </w:rPr>
              <w:t>Concord Cancer Centre in Australia</w:t>
            </w:r>
          </w:p>
        </w:tc>
        <w:tc>
          <w:tcPr>
            <w:tcW w:w="1780" w:type="dxa"/>
            <w:vAlign w:val="bottom"/>
          </w:tcPr>
          <w:p>
            <w:pPr>
              <w:spacing w:after="0"/>
              <w:rPr>
                <w:sz w:val="18"/>
                <w:szCs w:val="18"/>
                <w:color w:val="auto"/>
              </w:rPr>
            </w:pPr>
          </w:p>
        </w:tc>
      </w:tr>
      <w:tr>
        <w:trPr>
          <w:trHeight w:val="215"/>
        </w:trPr>
        <w:tc>
          <w:tcPr>
            <w:tcW w:w="2040" w:type="dxa"/>
            <w:vAlign w:val="bottom"/>
          </w:tcPr>
          <w:p>
            <w:pPr>
              <w:spacing w:after="0"/>
              <w:rPr>
                <w:sz w:val="18"/>
                <w:szCs w:val="18"/>
                <w:color w:val="auto"/>
              </w:rPr>
            </w:pPr>
          </w:p>
        </w:tc>
        <w:tc>
          <w:tcPr>
            <w:tcW w:w="3900" w:type="dxa"/>
            <w:vAlign w:val="bottom"/>
          </w:tcPr>
          <w:p>
            <w:pPr>
              <w:ind w:left="360"/>
              <w:spacing w:after="0"/>
              <w:rPr>
                <w:sz w:val="20"/>
                <w:szCs w:val="20"/>
                <w:color w:val="auto"/>
              </w:rPr>
            </w:pPr>
            <w:r>
              <w:rPr>
                <w:rFonts w:ascii="Arial" w:cs="Arial" w:eastAsia="Arial" w:hAnsi="Arial"/>
                <w:sz w:val="18"/>
                <w:szCs w:val="18"/>
                <w:color w:val="auto"/>
              </w:rPr>
              <w:t>with oxaliplatin in gastro-intestinal cancer</w:t>
            </w:r>
          </w:p>
        </w:tc>
        <w:tc>
          <w:tcPr>
            <w:tcW w:w="32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9"/>
        </w:trPr>
        <w:tc>
          <w:tcPr>
            <w:tcW w:w="2040" w:type="dxa"/>
            <w:vAlign w:val="bottom"/>
          </w:tcPr>
          <w:p>
            <w:pPr>
              <w:spacing w:after="0"/>
              <w:rPr>
                <w:sz w:val="19"/>
                <w:szCs w:val="19"/>
                <w:color w:val="auto"/>
              </w:rPr>
            </w:pPr>
          </w:p>
        </w:tc>
        <w:tc>
          <w:tcPr>
            <w:tcW w:w="3900" w:type="dxa"/>
            <w:vAlign w:val="bottom"/>
          </w:tcPr>
          <w:p>
            <w:pPr>
              <w:ind w:left="360"/>
              <w:spacing w:after="0"/>
              <w:rPr>
                <w:sz w:val="20"/>
                <w:szCs w:val="20"/>
                <w:color w:val="auto"/>
              </w:rPr>
            </w:pPr>
            <w:r>
              <w:rPr>
                <w:rFonts w:ascii="Arial" w:cs="Arial" w:eastAsia="Arial" w:hAnsi="Arial"/>
                <w:sz w:val="18"/>
                <w:szCs w:val="18"/>
                <w:color w:val="auto"/>
              </w:rPr>
              <w:t>patients receiving oxaliplatin</w:t>
            </w:r>
          </w:p>
        </w:tc>
        <w:tc>
          <w:tcPr>
            <w:tcW w:w="322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2380" w:val="left"/>
          <w:tab w:leader="none" w:pos="6080" w:val="left"/>
          <w:tab w:leader="none" w:pos="9660" w:val="left"/>
        </w:tabs>
        <w:rPr>
          <w:sz w:val="20"/>
          <w:szCs w:val="20"/>
          <w:color w:val="auto"/>
        </w:rPr>
      </w:pPr>
      <w:r>
        <w:rPr>
          <w:rFonts w:ascii="Arial" w:cs="Arial" w:eastAsia="Arial" w:hAnsi="Arial"/>
          <w:sz w:val="18"/>
          <w:szCs w:val="18"/>
          <w:color w:val="auto"/>
        </w:rPr>
        <w:t>Glioblastoma</w:t>
      </w:r>
      <w:r>
        <w:rPr>
          <w:sz w:val="20"/>
          <w:szCs w:val="20"/>
          <w:color w:val="auto"/>
        </w:rPr>
        <w:tab/>
      </w:r>
      <w:r>
        <w:rPr>
          <w:rFonts w:ascii="Arial" w:cs="Arial" w:eastAsia="Arial" w:hAnsi="Arial"/>
          <w:sz w:val="18"/>
          <w:szCs w:val="18"/>
          <w:color w:val="auto"/>
        </w:rPr>
        <w:t>Phase 1b/2a Multi-center, Open-label, Dose</w:t>
      </w:r>
      <w:r>
        <w:rPr>
          <w:sz w:val="20"/>
          <w:szCs w:val="20"/>
          <w:color w:val="auto"/>
        </w:rPr>
        <w:tab/>
      </w:r>
      <w:r>
        <w:rPr>
          <w:rFonts w:ascii="Arial" w:cs="Arial" w:eastAsia="Arial" w:hAnsi="Arial"/>
          <w:sz w:val="18"/>
          <w:szCs w:val="18"/>
          <w:color w:val="auto"/>
        </w:rPr>
        <w:t>Patrick Y. Wen, M.D.,</w:t>
      </w:r>
      <w:r>
        <w:rPr>
          <w:sz w:val="20"/>
          <w:szCs w:val="20"/>
          <w:color w:val="auto"/>
        </w:rPr>
        <w:tab/>
      </w:r>
      <w:r>
        <w:rPr>
          <w:rFonts w:ascii="Arial" w:cs="Arial" w:eastAsia="Arial" w:hAnsi="Arial"/>
          <w:sz w:val="16"/>
          <w:szCs w:val="16"/>
          <w:color w:val="auto"/>
        </w:rPr>
        <w:t>Ongoing</w:t>
      </w:r>
    </w:p>
    <w:p>
      <w:pPr>
        <w:spacing w:after="0" w:line="22" w:lineRule="exact"/>
        <w:rPr>
          <w:sz w:val="20"/>
          <w:szCs w:val="20"/>
          <w:color w:val="auto"/>
        </w:rPr>
      </w:pPr>
    </w:p>
    <w:p>
      <w:pPr>
        <w:ind w:left="2400"/>
        <w:spacing w:after="0"/>
        <w:tabs>
          <w:tab w:leader="none" w:pos="6080" w:val="left"/>
        </w:tabs>
        <w:rPr>
          <w:sz w:val="20"/>
          <w:szCs w:val="20"/>
          <w:color w:val="auto"/>
        </w:rPr>
      </w:pPr>
      <w:r>
        <w:rPr>
          <w:rFonts w:ascii="Arial" w:cs="Arial" w:eastAsia="Arial" w:hAnsi="Arial"/>
          <w:sz w:val="18"/>
          <w:szCs w:val="18"/>
          <w:color w:val="auto"/>
        </w:rPr>
        <w:t>Escalation Study to Evaluate the Safety,</w:t>
      </w:r>
      <w:r>
        <w:rPr>
          <w:sz w:val="20"/>
          <w:szCs w:val="20"/>
          <w:color w:val="auto"/>
        </w:rPr>
        <w:tab/>
      </w:r>
      <w:r>
        <w:rPr>
          <w:rFonts w:ascii="Arial" w:cs="Arial" w:eastAsia="Arial" w:hAnsi="Arial"/>
          <w:sz w:val="16"/>
          <w:szCs w:val="16"/>
          <w:color w:val="auto"/>
        </w:rPr>
        <w:t>Dana-Farber Cancer Institute</w:t>
      </w:r>
    </w:p>
    <w:p>
      <w:pPr>
        <w:spacing w:after="0" w:line="8" w:lineRule="exact"/>
        <w:rPr>
          <w:sz w:val="20"/>
          <w:szCs w:val="20"/>
          <w:color w:val="auto"/>
        </w:rPr>
      </w:pPr>
    </w:p>
    <w:p>
      <w:pPr>
        <w:ind w:left="2400"/>
        <w:spacing w:after="0"/>
        <w:tabs>
          <w:tab w:leader="none" w:pos="6080" w:val="left"/>
        </w:tabs>
        <w:rPr>
          <w:sz w:val="20"/>
          <w:szCs w:val="20"/>
          <w:color w:val="auto"/>
        </w:rPr>
      </w:pPr>
      <w:r>
        <w:rPr>
          <w:rFonts w:ascii="Arial" w:cs="Arial" w:eastAsia="Arial" w:hAnsi="Arial"/>
          <w:sz w:val="18"/>
          <w:szCs w:val="18"/>
          <w:color w:val="auto"/>
        </w:rPr>
        <w:t>Tolerability and Efficacy of MN-166 (ibudilast)</w:t>
      </w:r>
      <w:r>
        <w:rPr>
          <w:sz w:val="20"/>
          <w:szCs w:val="20"/>
          <w:color w:val="auto"/>
        </w:rPr>
        <w:tab/>
      </w:r>
      <w:r>
        <w:rPr>
          <w:rFonts w:ascii="Arial" w:cs="Arial" w:eastAsia="Arial" w:hAnsi="Arial"/>
          <w:sz w:val="16"/>
          <w:szCs w:val="16"/>
          <w:color w:val="auto"/>
        </w:rPr>
        <w:t>Kerrie McDonald, Ph.D.,</w:t>
      </w:r>
    </w:p>
    <w:p>
      <w:pPr>
        <w:spacing w:after="0" w:line="8" w:lineRule="exact"/>
        <w:rPr>
          <w:sz w:val="20"/>
          <w:szCs w:val="20"/>
          <w:color w:val="auto"/>
        </w:rPr>
      </w:pPr>
    </w:p>
    <w:p>
      <w:pPr>
        <w:ind w:left="2400"/>
        <w:spacing w:after="0"/>
        <w:tabs>
          <w:tab w:leader="none" w:pos="6080" w:val="left"/>
        </w:tabs>
        <w:rPr>
          <w:sz w:val="20"/>
          <w:szCs w:val="20"/>
          <w:color w:val="auto"/>
        </w:rPr>
      </w:pPr>
      <w:r>
        <w:rPr>
          <w:rFonts w:ascii="Arial" w:cs="Arial" w:eastAsia="Arial" w:hAnsi="Arial"/>
          <w:sz w:val="18"/>
          <w:szCs w:val="18"/>
          <w:color w:val="auto"/>
        </w:rPr>
        <w:t>and Temozolomide Combination Treatment in</w:t>
      </w:r>
      <w:r>
        <w:rPr>
          <w:sz w:val="20"/>
          <w:szCs w:val="20"/>
          <w:color w:val="auto"/>
        </w:rPr>
        <w:tab/>
      </w:r>
      <w:r>
        <w:rPr>
          <w:rFonts w:ascii="Arial" w:cs="Arial" w:eastAsia="Arial" w:hAnsi="Arial"/>
          <w:sz w:val="16"/>
          <w:szCs w:val="16"/>
          <w:color w:val="auto"/>
        </w:rPr>
        <w:t>University of New South Wales</w:t>
      </w:r>
    </w:p>
    <w:p>
      <w:pPr>
        <w:spacing w:after="0" w:line="8" w:lineRule="exact"/>
        <w:rPr>
          <w:sz w:val="20"/>
          <w:szCs w:val="20"/>
          <w:color w:val="auto"/>
        </w:rPr>
      </w:pPr>
    </w:p>
    <w:p>
      <w:pPr>
        <w:ind w:left="2400"/>
        <w:spacing w:after="0"/>
        <w:tabs>
          <w:tab w:leader="none" w:pos="6080" w:val="left"/>
        </w:tabs>
        <w:rPr>
          <w:sz w:val="20"/>
          <w:szCs w:val="20"/>
          <w:color w:val="auto"/>
        </w:rPr>
      </w:pPr>
      <w:r>
        <w:rPr>
          <w:rFonts w:ascii="Arial" w:cs="Arial" w:eastAsia="Arial" w:hAnsi="Arial"/>
          <w:sz w:val="18"/>
          <w:szCs w:val="18"/>
          <w:color w:val="auto"/>
        </w:rPr>
        <w:t>Patients With Recurrent Glioblastoma</w:t>
      </w:r>
      <w:r>
        <w:rPr>
          <w:sz w:val="20"/>
          <w:szCs w:val="20"/>
          <w:color w:val="auto"/>
        </w:rPr>
        <w:tab/>
      </w:r>
      <w:r>
        <w:rPr>
          <w:rFonts w:ascii="Arial" w:cs="Arial" w:eastAsia="Arial" w:hAnsi="Arial"/>
          <w:sz w:val="16"/>
          <w:szCs w:val="16"/>
          <w:color w:val="auto"/>
        </w:rPr>
        <w:t>MediciNova, Inc.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Substance Dependence /</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Addiction:</w:t>
      </w:r>
    </w:p>
    <w:p>
      <w:pPr>
        <w:sectPr>
          <w:pgSz w:w="11900" w:h="16838" w:orient="portrait"/>
          <w:cols w:equalWidth="0" w:num="1">
            <w:col w:w="10940"/>
          </w:cols>
          <w:pgMar w:left="240" w:top="125" w:right="719" w:bottom="1440" w:gutter="0" w:footer="0" w:header="0"/>
        </w:sectPr>
      </w:pPr>
    </w:p>
    <w:p>
      <w:pPr>
        <w:spacing w:after="0" w:line="329"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Methamphetamine</w:t>
      </w:r>
      <w:r>
        <w:rPr>
          <w:sz w:val="20"/>
          <w:szCs w:val="20"/>
          <w:color w:val="auto"/>
        </w:rPr>
        <w:tab/>
      </w:r>
      <w:r>
        <w:rPr>
          <w:rFonts w:ascii="Arial" w:cs="Arial" w:eastAsia="Arial" w:hAnsi="Arial"/>
          <w:sz w:val="18"/>
          <w:szCs w:val="18"/>
          <w:color w:val="auto"/>
        </w:rPr>
        <w:t>Randomized Trial of Ibudilast for</w:t>
      </w:r>
    </w:p>
    <w:p>
      <w:pPr>
        <w:spacing w:after="0" w:line="22"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Dependence</w:t>
      </w:r>
      <w:r>
        <w:rPr>
          <w:sz w:val="20"/>
          <w:szCs w:val="20"/>
          <w:color w:val="auto"/>
        </w:rPr>
        <w:tab/>
      </w:r>
      <w:r>
        <w:rPr>
          <w:rFonts w:ascii="Arial" w:cs="Arial" w:eastAsia="Arial" w:hAnsi="Arial"/>
          <w:sz w:val="18"/>
          <w:szCs w:val="18"/>
          <w:color w:val="auto"/>
        </w:rPr>
        <w:t>Methamphetamine Dependence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Methamphetamine</w:t>
      </w:r>
      <w:r>
        <w:rPr>
          <w:sz w:val="20"/>
          <w:szCs w:val="20"/>
          <w:color w:val="auto"/>
        </w:rPr>
        <w:tab/>
      </w:r>
      <w:r>
        <w:rPr>
          <w:rFonts w:ascii="Arial" w:cs="Arial" w:eastAsia="Arial" w:hAnsi="Arial"/>
          <w:sz w:val="18"/>
          <w:szCs w:val="18"/>
          <w:color w:val="auto"/>
        </w:rPr>
        <w:t>Effect of Ibudilast on Neuroinflammation in</w:t>
      </w:r>
    </w:p>
    <w:p>
      <w:pPr>
        <w:spacing w:after="0" w:line="22"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Dependence / Biomarker</w:t>
      </w:r>
      <w:r>
        <w:rPr>
          <w:sz w:val="20"/>
          <w:szCs w:val="20"/>
          <w:color w:val="auto"/>
        </w:rPr>
        <w:tab/>
      </w:r>
      <w:r>
        <w:rPr>
          <w:rFonts w:ascii="Arial" w:cs="Arial" w:eastAsia="Arial" w:hAnsi="Arial"/>
          <w:sz w:val="16"/>
          <w:szCs w:val="16"/>
          <w:color w:val="auto"/>
        </w:rPr>
        <w:t>Methamphetamine Users</w:t>
      </w:r>
    </w:p>
    <w:p>
      <w:pPr>
        <w:spacing w:after="0" w:line="200" w:lineRule="exact"/>
        <w:rPr>
          <w:sz w:val="20"/>
          <w:szCs w:val="20"/>
          <w:color w:val="auto"/>
        </w:rPr>
      </w:pPr>
    </w:p>
    <w:p>
      <w:pPr>
        <w:spacing w:after="0" w:line="223"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Opioid Dependence</w:t>
      </w:r>
      <w:r>
        <w:rPr>
          <w:sz w:val="20"/>
          <w:szCs w:val="20"/>
          <w:color w:val="auto"/>
        </w:rPr>
        <w:tab/>
      </w:r>
      <w:r>
        <w:rPr>
          <w:rFonts w:ascii="Arial" w:cs="Arial" w:eastAsia="Arial" w:hAnsi="Arial"/>
          <w:sz w:val="16"/>
          <w:szCs w:val="16"/>
          <w:color w:val="auto"/>
        </w:rPr>
        <w:t>Effects of Ibudilast (MN-166 (ibudilast)), a Glial</w:t>
      </w:r>
    </w:p>
    <w:p>
      <w:pPr>
        <w:spacing w:after="0" w:line="2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Activation Inhibitor, on Oxycodone Self-</w:t>
      </w:r>
    </w:p>
    <w:p>
      <w:pPr>
        <w:spacing w:after="0" w:line="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Administration in Opioid Abusers</w:t>
      </w:r>
    </w:p>
    <w:p>
      <w:pPr>
        <w:spacing w:after="0" w:line="200" w:lineRule="exact"/>
        <w:rPr>
          <w:sz w:val="20"/>
          <w:szCs w:val="20"/>
          <w:color w:val="auto"/>
        </w:rPr>
      </w:pPr>
    </w:p>
    <w:p>
      <w:pPr>
        <w:spacing w:after="0" w:line="223"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Alcohol Dependence</w:t>
      </w:r>
      <w:r>
        <w:rPr>
          <w:sz w:val="20"/>
          <w:szCs w:val="20"/>
          <w:color w:val="auto"/>
        </w:rPr>
        <w:tab/>
      </w:r>
      <w:r>
        <w:rPr>
          <w:rFonts w:ascii="Arial" w:cs="Arial" w:eastAsia="Arial" w:hAnsi="Arial"/>
          <w:sz w:val="16"/>
          <w:szCs w:val="16"/>
          <w:color w:val="auto"/>
        </w:rPr>
        <w:t>Development of Ibudilast (MN-166 (ibudilast))</w:t>
      </w:r>
    </w:p>
    <w:p>
      <w:pPr>
        <w:spacing w:after="0" w:line="2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as a Novel Treatment for Alcoholism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tabs>
          <w:tab w:leader="none" w:pos="3560" w:val="left"/>
        </w:tabs>
        <w:rPr>
          <w:sz w:val="20"/>
          <w:szCs w:val="20"/>
          <w:color w:val="auto"/>
        </w:rPr>
      </w:pPr>
      <w:r>
        <w:rPr>
          <w:rFonts w:ascii="Arial" w:cs="Arial" w:eastAsia="Arial" w:hAnsi="Arial"/>
          <w:sz w:val="18"/>
          <w:szCs w:val="18"/>
          <w:color w:val="auto"/>
        </w:rPr>
        <w:t>Keith Heinzerling, M.D., MPH</w:t>
      </w:r>
      <w:r>
        <w:rPr>
          <w:sz w:val="20"/>
          <w:szCs w:val="20"/>
          <w:color w:val="auto"/>
        </w:rPr>
        <w:tab/>
      </w:r>
      <w:r>
        <w:rPr>
          <w:rFonts w:ascii="Arial" w:cs="Arial" w:eastAsia="Arial" w:hAnsi="Arial"/>
          <w:sz w:val="16"/>
          <w:szCs w:val="16"/>
          <w:color w:val="auto"/>
        </w:rPr>
        <w:t>Completed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UCLA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Drug Abuse</w:t>
      </w:r>
    </w:p>
    <w:p>
      <w:pPr>
        <w:spacing w:after="0" w:line="200" w:lineRule="exact"/>
        <w:rPr>
          <w:sz w:val="20"/>
          <w:szCs w:val="20"/>
          <w:color w:val="auto"/>
        </w:rPr>
      </w:pPr>
    </w:p>
    <w:p>
      <w:pPr>
        <w:spacing w:after="0" w:line="223" w:lineRule="exact"/>
        <w:rPr>
          <w:sz w:val="20"/>
          <w:szCs w:val="20"/>
          <w:color w:val="auto"/>
        </w:rPr>
      </w:pPr>
    </w:p>
    <w:p>
      <w:pPr>
        <w:spacing w:after="0"/>
        <w:tabs>
          <w:tab w:leader="none" w:pos="3560" w:val="left"/>
        </w:tabs>
        <w:rPr>
          <w:sz w:val="20"/>
          <w:szCs w:val="20"/>
          <w:color w:val="auto"/>
        </w:rPr>
      </w:pPr>
      <w:r>
        <w:rPr>
          <w:rFonts w:ascii="Arial" w:cs="Arial" w:eastAsia="Arial" w:hAnsi="Arial"/>
          <w:sz w:val="18"/>
          <w:szCs w:val="18"/>
          <w:color w:val="auto"/>
        </w:rPr>
        <w:t>Milky Kohno, Ph.D. and</w:t>
      </w:r>
      <w:r>
        <w:rPr>
          <w:sz w:val="20"/>
          <w:szCs w:val="20"/>
          <w:color w:val="auto"/>
        </w:rPr>
        <w:tab/>
      </w:r>
      <w:r>
        <w:rPr>
          <w:rFonts w:ascii="Arial" w:cs="Arial" w:eastAsia="Arial" w:hAnsi="Arial"/>
          <w:sz w:val="16"/>
          <w:szCs w:val="16"/>
          <w:color w:val="auto"/>
        </w:rPr>
        <w:t>Ongoing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William Hoffman, M.D., Ph.D.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Oregon Health &amp; Science Univ.</w:t>
      </w:r>
    </w:p>
    <w:p>
      <w:pPr>
        <w:spacing w:after="0" w:line="208" w:lineRule="exact"/>
        <w:rPr>
          <w:sz w:val="20"/>
          <w:szCs w:val="20"/>
          <w:color w:val="auto"/>
        </w:rPr>
      </w:pPr>
    </w:p>
    <w:p>
      <w:pPr>
        <w:spacing w:after="0"/>
        <w:tabs>
          <w:tab w:leader="none" w:pos="3560" w:val="left"/>
        </w:tabs>
        <w:rPr>
          <w:sz w:val="20"/>
          <w:szCs w:val="20"/>
          <w:color w:val="auto"/>
        </w:rPr>
      </w:pPr>
      <w:r>
        <w:rPr>
          <w:rFonts w:ascii="Arial" w:cs="Arial" w:eastAsia="Arial" w:hAnsi="Arial"/>
          <w:sz w:val="18"/>
          <w:szCs w:val="18"/>
          <w:color w:val="auto"/>
        </w:rPr>
        <w:t>Sandra D. Comer, Ph.D.</w:t>
      </w:r>
      <w:r>
        <w:rPr>
          <w:sz w:val="20"/>
          <w:szCs w:val="20"/>
          <w:color w:val="auto"/>
        </w:rPr>
        <w:tab/>
      </w:r>
      <w:r>
        <w:rPr>
          <w:rFonts w:ascii="Arial" w:cs="Arial" w:eastAsia="Arial" w:hAnsi="Arial"/>
          <w:sz w:val="16"/>
          <w:szCs w:val="16"/>
          <w:color w:val="auto"/>
        </w:rPr>
        <w:t>Completed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Columbia University/NYSPI</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Drug Abuse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208" w:lineRule="exact"/>
        <w:rPr>
          <w:sz w:val="20"/>
          <w:szCs w:val="20"/>
          <w:color w:val="auto"/>
        </w:rPr>
      </w:pPr>
    </w:p>
    <w:p>
      <w:pPr>
        <w:spacing w:after="0"/>
        <w:tabs>
          <w:tab w:leader="none" w:pos="3560" w:val="left"/>
        </w:tabs>
        <w:rPr>
          <w:sz w:val="20"/>
          <w:szCs w:val="20"/>
          <w:color w:val="auto"/>
        </w:rPr>
      </w:pPr>
      <w:r>
        <w:rPr>
          <w:rFonts w:ascii="Arial" w:cs="Arial" w:eastAsia="Arial" w:hAnsi="Arial"/>
          <w:sz w:val="18"/>
          <w:szCs w:val="18"/>
          <w:color w:val="auto"/>
        </w:rPr>
        <w:t>Lara Ray, Ph.D.</w:t>
      </w:r>
      <w:r>
        <w:rPr>
          <w:sz w:val="20"/>
          <w:szCs w:val="20"/>
          <w:color w:val="auto"/>
        </w:rPr>
        <w:tab/>
      </w:r>
      <w:r>
        <w:rPr>
          <w:rFonts w:ascii="Arial" w:cs="Arial" w:eastAsia="Arial" w:hAnsi="Arial"/>
          <w:sz w:val="16"/>
          <w:szCs w:val="16"/>
          <w:color w:val="auto"/>
        </w:rPr>
        <w:t>Completed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UCLA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Alcohol Abuse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and Alcoholism</w:t>
      </w:r>
    </w:p>
    <w:p>
      <w:pPr>
        <w:sectPr>
          <w:pgSz w:w="11900" w:h="16838" w:orient="portrait"/>
          <w:cols w:equalWidth="0" w:num="2">
            <w:col w:w="5900" w:space="200"/>
            <w:col w:w="4840"/>
          </w:cols>
          <w:pgMar w:left="240" w:top="125" w:right="71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15"/>
        </w:trPr>
        <w:tc>
          <w:tcPr>
            <w:tcW w:w="2100" w:type="dxa"/>
            <w:vAlign w:val="bottom"/>
          </w:tcPr>
          <w:p>
            <w:pPr>
              <w:spacing w:after="0"/>
              <w:rPr>
                <w:sz w:val="20"/>
                <w:szCs w:val="20"/>
                <w:color w:val="auto"/>
              </w:rPr>
            </w:pPr>
            <w:r>
              <w:rPr>
                <w:rFonts w:ascii="Arial" w:cs="Arial" w:eastAsia="Arial" w:hAnsi="Arial"/>
                <w:sz w:val="18"/>
                <w:szCs w:val="18"/>
                <w:color w:val="auto"/>
              </w:rPr>
              <w:t>Alcohol Dependence and</w:t>
            </w:r>
          </w:p>
        </w:tc>
        <w:tc>
          <w:tcPr>
            <w:tcW w:w="1660" w:type="dxa"/>
            <w:vAlign w:val="bottom"/>
          </w:tcPr>
          <w:p>
            <w:pPr>
              <w:ind w:left="300"/>
              <w:spacing w:after="0"/>
              <w:rPr>
                <w:sz w:val="20"/>
                <w:szCs w:val="20"/>
                <w:color w:val="auto"/>
              </w:rPr>
            </w:pPr>
            <w:r>
              <w:rPr>
                <w:rFonts w:ascii="Arial" w:cs="Arial" w:eastAsia="Arial" w:hAnsi="Arial"/>
                <w:sz w:val="18"/>
                <w:szCs w:val="18"/>
                <w:color w:val="auto"/>
                <w:w w:val="94"/>
              </w:rPr>
              <w:t>Ibudilast (MN-166</w:t>
            </w:r>
          </w:p>
        </w:tc>
        <w:tc>
          <w:tcPr>
            <w:tcW w:w="2220" w:type="dxa"/>
            <w:vAlign w:val="bottom"/>
          </w:tcPr>
          <w:p>
            <w:pPr>
              <w:ind w:left="20"/>
              <w:spacing w:after="0"/>
              <w:rPr>
                <w:sz w:val="20"/>
                <w:szCs w:val="20"/>
                <w:color w:val="auto"/>
              </w:rPr>
            </w:pPr>
            <w:r>
              <w:rPr>
                <w:rFonts w:ascii="Arial" w:cs="Arial" w:eastAsia="Arial" w:hAnsi="Arial"/>
                <w:sz w:val="18"/>
                <w:szCs w:val="18"/>
                <w:color w:val="auto"/>
                <w:w w:val="99"/>
              </w:rPr>
              <w:t>(ibudilast)) and Withdrawal-</w:t>
            </w:r>
          </w:p>
        </w:tc>
        <w:tc>
          <w:tcPr>
            <w:tcW w:w="3200" w:type="dxa"/>
            <w:vAlign w:val="bottom"/>
          </w:tcPr>
          <w:p>
            <w:pPr>
              <w:ind w:left="120"/>
              <w:spacing w:after="0"/>
              <w:rPr>
                <w:sz w:val="20"/>
                <w:szCs w:val="20"/>
                <w:color w:val="auto"/>
              </w:rPr>
            </w:pPr>
            <w:r>
              <w:rPr>
                <w:rFonts w:ascii="Arial" w:cs="Arial" w:eastAsia="Arial" w:hAnsi="Arial"/>
                <w:sz w:val="18"/>
                <w:szCs w:val="18"/>
                <w:color w:val="auto"/>
              </w:rPr>
              <w:t>Lara Ray, Ph.D.</w:t>
            </w:r>
          </w:p>
        </w:tc>
        <w:tc>
          <w:tcPr>
            <w:tcW w:w="1120" w:type="dxa"/>
            <w:vAlign w:val="bottom"/>
          </w:tcPr>
          <w:p>
            <w:pPr>
              <w:ind w:left="500"/>
              <w:spacing w:after="0"/>
              <w:rPr>
                <w:sz w:val="20"/>
                <w:szCs w:val="20"/>
                <w:color w:val="auto"/>
              </w:rPr>
            </w:pPr>
            <w:r>
              <w:rPr>
                <w:rFonts w:ascii="Arial" w:cs="Arial" w:eastAsia="Arial" w:hAnsi="Arial"/>
                <w:sz w:val="18"/>
                <w:szCs w:val="18"/>
                <w:color w:val="auto"/>
                <w:w w:val="88"/>
              </w:rPr>
              <w:t>Ongoing</w:t>
            </w:r>
          </w:p>
        </w:tc>
      </w:tr>
      <w:tr>
        <w:trPr>
          <w:trHeight w:val="215"/>
        </w:trPr>
        <w:tc>
          <w:tcPr>
            <w:tcW w:w="2100" w:type="dxa"/>
            <w:vAlign w:val="bottom"/>
          </w:tcPr>
          <w:p>
            <w:pPr>
              <w:spacing w:after="0"/>
              <w:rPr>
                <w:sz w:val="20"/>
                <w:szCs w:val="20"/>
                <w:color w:val="auto"/>
              </w:rPr>
            </w:pPr>
            <w:r>
              <w:rPr>
                <w:rFonts w:ascii="Arial" w:cs="Arial" w:eastAsia="Arial" w:hAnsi="Arial"/>
                <w:sz w:val="18"/>
                <w:szCs w:val="18"/>
                <w:color w:val="auto"/>
              </w:rPr>
              <w:t>Withdrawal</w:t>
            </w:r>
          </w:p>
        </w:tc>
        <w:tc>
          <w:tcPr>
            <w:tcW w:w="1660" w:type="dxa"/>
            <w:vAlign w:val="bottom"/>
          </w:tcPr>
          <w:p>
            <w:pPr>
              <w:ind w:left="300"/>
              <w:spacing w:after="0"/>
              <w:rPr>
                <w:sz w:val="20"/>
                <w:szCs w:val="20"/>
                <w:color w:val="auto"/>
              </w:rPr>
            </w:pPr>
            <w:r>
              <w:rPr>
                <w:rFonts w:ascii="Arial" w:cs="Arial" w:eastAsia="Arial" w:hAnsi="Arial"/>
                <w:sz w:val="18"/>
                <w:szCs w:val="18"/>
                <w:color w:val="auto"/>
                <w:w w:val="90"/>
              </w:rPr>
              <w:t>Related Dysphoria</w:t>
            </w:r>
          </w:p>
        </w:tc>
        <w:tc>
          <w:tcPr>
            <w:tcW w:w="222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UCLA</w:t>
            </w:r>
          </w:p>
        </w:tc>
        <w:tc>
          <w:tcPr>
            <w:tcW w:w="1120" w:type="dxa"/>
            <w:vAlign w:val="bottom"/>
          </w:tcPr>
          <w:p>
            <w:pPr>
              <w:spacing w:after="0"/>
              <w:rPr>
                <w:sz w:val="18"/>
                <w:szCs w:val="18"/>
                <w:color w:val="auto"/>
              </w:rPr>
            </w:pPr>
          </w:p>
        </w:tc>
      </w:tr>
      <w:tr>
        <w:trPr>
          <w:trHeight w:val="229"/>
        </w:trPr>
        <w:tc>
          <w:tcPr>
            <w:tcW w:w="2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National Institute on Drug Abuse</w:t>
            </w:r>
          </w:p>
        </w:tc>
        <w:tc>
          <w:tcPr>
            <w:tcW w:w="1120" w:type="dxa"/>
            <w:vAlign w:val="bottom"/>
          </w:tcPr>
          <w:p>
            <w:pPr>
              <w:spacing w:after="0"/>
              <w:rPr>
                <w:sz w:val="19"/>
                <w:szCs w:val="19"/>
                <w:color w:val="auto"/>
              </w:rPr>
            </w:pPr>
          </w:p>
        </w:tc>
      </w:tr>
      <w:tr>
        <w:trPr>
          <w:trHeight w:val="415"/>
        </w:trPr>
        <w:tc>
          <w:tcPr>
            <w:tcW w:w="2100" w:type="dxa"/>
            <w:vAlign w:val="bottom"/>
          </w:tcPr>
          <w:p>
            <w:pPr>
              <w:spacing w:after="0"/>
              <w:rPr>
                <w:sz w:val="20"/>
                <w:szCs w:val="20"/>
                <w:color w:val="auto"/>
              </w:rPr>
            </w:pPr>
            <w:r>
              <w:rPr>
                <w:rFonts w:ascii="Arial" w:cs="Arial" w:eastAsia="Arial" w:hAnsi="Arial"/>
                <w:sz w:val="18"/>
                <w:szCs w:val="18"/>
                <w:color w:val="auto"/>
              </w:rPr>
              <w:t>Alcohol Dependence</w:t>
            </w:r>
          </w:p>
        </w:tc>
        <w:tc>
          <w:tcPr>
            <w:tcW w:w="1660" w:type="dxa"/>
            <w:vAlign w:val="bottom"/>
          </w:tcPr>
          <w:p>
            <w:pPr>
              <w:ind w:left="300"/>
              <w:spacing w:after="0"/>
              <w:rPr>
                <w:sz w:val="20"/>
                <w:szCs w:val="20"/>
                <w:color w:val="auto"/>
              </w:rPr>
            </w:pPr>
            <w:r>
              <w:rPr>
                <w:rFonts w:ascii="Arial" w:cs="Arial" w:eastAsia="Arial" w:hAnsi="Arial"/>
                <w:sz w:val="18"/>
                <w:szCs w:val="18"/>
                <w:color w:val="auto"/>
                <w:w w:val="94"/>
              </w:rPr>
              <w:t>Ibudilast (MN-166</w:t>
            </w:r>
          </w:p>
        </w:tc>
        <w:tc>
          <w:tcPr>
            <w:tcW w:w="2220" w:type="dxa"/>
            <w:vAlign w:val="bottom"/>
          </w:tcPr>
          <w:p>
            <w:pPr>
              <w:ind w:left="20"/>
              <w:spacing w:after="0"/>
              <w:rPr>
                <w:sz w:val="20"/>
                <w:szCs w:val="20"/>
                <w:color w:val="auto"/>
              </w:rPr>
            </w:pPr>
            <w:r>
              <w:rPr>
                <w:rFonts w:ascii="Arial" w:cs="Arial" w:eastAsia="Arial" w:hAnsi="Arial"/>
                <w:sz w:val="18"/>
                <w:szCs w:val="18"/>
                <w:color w:val="auto"/>
                <w:w w:val="95"/>
              </w:rPr>
              <w:t>(ibudilast)) for the Treatment</w:t>
            </w:r>
          </w:p>
        </w:tc>
        <w:tc>
          <w:tcPr>
            <w:tcW w:w="3200" w:type="dxa"/>
            <w:vAlign w:val="bottom"/>
          </w:tcPr>
          <w:p>
            <w:pPr>
              <w:ind w:left="120"/>
              <w:spacing w:after="0"/>
              <w:rPr>
                <w:sz w:val="20"/>
                <w:szCs w:val="20"/>
                <w:color w:val="auto"/>
              </w:rPr>
            </w:pPr>
            <w:r>
              <w:rPr>
                <w:rFonts w:ascii="Arial" w:cs="Arial" w:eastAsia="Arial" w:hAnsi="Arial"/>
                <w:sz w:val="18"/>
                <w:szCs w:val="18"/>
                <w:color w:val="auto"/>
              </w:rPr>
              <w:t>Lara Ray, Ph.D.</w:t>
            </w:r>
          </w:p>
        </w:tc>
        <w:tc>
          <w:tcPr>
            <w:tcW w:w="1120" w:type="dxa"/>
            <w:vAlign w:val="bottom"/>
          </w:tcPr>
          <w:p>
            <w:pPr>
              <w:ind w:left="500"/>
              <w:spacing w:after="0"/>
              <w:rPr>
                <w:sz w:val="20"/>
                <w:szCs w:val="20"/>
                <w:color w:val="auto"/>
              </w:rPr>
            </w:pPr>
            <w:r>
              <w:rPr>
                <w:rFonts w:ascii="Arial" w:cs="Arial" w:eastAsia="Arial" w:hAnsi="Arial"/>
                <w:sz w:val="18"/>
                <w:szCs w:val="18"/>
                <w:color w:val="auto"/>
                <w:w w:val="88"/>
              </w:rPr>
              <w:t>Ongoing</w:t>
            </w:r>
          </w:p>
        </w:tc>
      </w:tr>
      <w:tr>
        <w:trPr>
          <w:trHeight w:val="215"/>
        </w:trPr>
        <w:tc>
          <w:tcPr>
            <w:tcW w:w="2100" w:type="dxa"/>
            <w:vAlign w:val="bottom"/>
          </w:tcPr>
          <w:p>
            <w:pPr>
              <w:spacing w:after="0"/>
              <w:rPr>
                <w:sz w:val="18"/>
                <w:szCs w:val="18"/>
                <w:color w:val="auto"/>
              </w:rPr>
            </w:pPr>
          </w:p>
        </w:tc>
        <w:tc>
          <w:tcPr>
            <w:tcW w:w="3880" w:type="dxa"/>
            <w:vAlign w:val="bottom"/>
            <w:gridSpan w:val="2"/>
          </w:tcPr>
          <w:p>
            <w:pPr>
              <w:ind w:left="300"/>
              <w:spacing w:after="0"/>
              <w:rPr>
                <w:sz w:val="20"/>
                <w:szCs w:val="20"/>
                <w:color w:val="auto"/>
              </w:rPr>
            </w:pPr>
            <w:r>
              <w:rPr>
                <w:rFonts w:ascii="Arial" w:cs="Arial" w:eastAsia="Arial" w:hAnsi="Arial"/>
                <w:sz w:val="18"/>
                <w:szCs w:val="18"/>
                <w:color w:val="auto"/>
              </w:rPr>
              <w:t>of Alcohol Use Disorder</w:t>
            </w:r>
          </w:p>
        </w:tc>
        <w:tc>
          <w:tcPr>
            <w:tcW w:w="3200" w:type="dxa"/>
            <w:vAlign w:val="bottom"/>
          </w:tcPr>
          <w:p>
            <w:pPr>
              <w:ind w:left="120"/>
              <w:spacing w:after="0"/>
              <w:rPr>
                <w:sz w:val="20"/>
                <w:szCs w:val="20"/>
                <w:color w:val="auto"/>
              </w:rPr>
            </w:pPr>
            <w:r>
              <w:rPr>
                <w:rFonts w:ascii="Arial" w:cs="Arial" w:eastAsia="Arial" w:hAnsi="Arial"/>
                <w:sz w:val="18"/>
                <w:szCs w:val="18"/>
                <w:color w:val="auto"/>
              </w:rPr>
              <w:t>UCLA</w:t>
            </w:r>
          </w:p>
        </w:tc>
        <w:tc>
          <w:tcPr>
            <w:tcW w:w="1120" w:type="dxa"/>
            <w:vAlign w:val="bottom"/>
          </w:tcPr>
          <w:p>
            <w:pPr>
              <w:spacing w:after="0"/>
              <w:rPr>
                <w:sz w:val="18"/>
                <w:szCs w:val="18"/>
                <w:color w:val="auto"/>
              </w:rPr>
            </w:pPr>
          </w:p>
        </w:tc>
      </w:tr>
      <w:tr>
        <w:trPr>
          <w:trHeight w:val="215"/>
        </w:trPr>
        <w:tc>
          <w:tcPr>
            <w:tcW w:w="2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National Institute on Alcohol Abuse</w:t>
            </w:r>
          </w:p>
        </w:tc>
        <w:tc>
          <w:tcPr>
            <w:tcW w:w="1120" w:type="dxa"/>
            <w:vAlign w:val="bottom"/>
          </w:tcPr>
          <w:p>
            <w:pPr>
              <w:spacing w:after="0"/>
              <w:rPr>
                <w:sz w:val="18"/>
                <w:szCs w:val="18"/>
                <w:color w:val="auto"/>
              </w:rPr>
            </w:pPr>
          </w:p>
        </w:tc>
      </w:tr>
      <w:tr>
        <w:trPr>
          <w:trHeight w:val="229"/>
        </w:trPr>
        <w:tc>
          <w:tcPr>
            <w:tcW w:w="2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and Alcoholism</w:t>
            </w:r>
          </w:p>
        </w:tc>
        <w:tc>
          <w:tcPr>
            <w:tcW w:w="1120" w:type="dxa"/>
            <w:vAlign w:val="bottom"/>
          </w:tcPr>
          <w:p>
            <w:pPr>
              <w:spacing w:after="0"/>
              <w:rPr>
                <w:sz w:val="19"/>
                <w:szCs w:val="19"/>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currently have no marketing and sales capabilities and we expect to rely on strategic partners to commercialize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7" w:lineRule="exact"/>
        <w:rPr>
          <w:sz w:val="20"/>
          <w:szCs w:val="20"/>
          <w:color w:val="auto"/>
        </w:rPr>
      </w:pPr>
    </w:p>
    <w:p>
      <w:pPr>
        <w:ind w:right="160" w:firstLine="439"/>
        <w:spacing w:after="0" w:line="300" w:lineRule="auto"/>
        <w:rPr>
          <w:sz w:val="20"/>
          <w:szCs w:val="20"/>
          <w:color w:val="auto"/>
        </w:rPr>
      </w:pPr>
      <w:r>
        <w:rPr>
          <w:rFonts w:ascii="Arial" w:cs="Arial" w:eastAsia="Arial" w:hAnsi="Arial"/>
          <w:sz w:val="16"/>
          <w:szCs w:val="16"/>
          <w:color w:val="auto"/>
        </w:rPr>
        <w:t>We rely on third parties to manufacture bulk active pharmaceutical ingredients (API) and finished investigational products for research, development, preclinical and clinical trials. We expect to continue to rely on third-party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154" w:lineRule="exact"/>
        <w:rPr>
          <w:sz w:val="20"/>
          <w:szCs w:val="20"/>
          <w:color w:val="auto"/>
        </w:rPr>
      </w:pPr>
    </w:p>
    <w:p>
      <w:pPr>
        <w:jc w:val="both"/>
        <w:ind w:right="220" w:firstLine="439"/>
        <w:spacing w:after="0" w:line="237" w:lineRule="auto"/>
        <w:rPr>
          <w:sz w:val="20"/>
          <w:szCs w:val="20"/>
          <w:color w:val="auto"/>
        </w:rPr>
      </w:pPr>
      <w:r>
        <w:rPr>
          <w:rFonts w:ascii="Arial" w:cs="Arial" w:eastAsia="Arial" w:hAnsi="Arial"/>
          <w:sz w:val="18"/>
          <w:szCs w:val="18"/>
          <w:color w:val="auto"/>
        </w:rPr>
        <w:t>For the MN-166 (ibudilast) development program, we have historically sourced and imported delayed-release ibudilast capsules, marketed in Japan as Pinatos</w:t>
      </w:r>
      <w:r>
        <w:rPr>
          <w:rFonts w:ascii="Arial" w:cs="Arial" w:eastAsia="Arial" w:hAnsi="Arial"/>
          <w:sz w:val="22"/>
          <w:szCs w:val="22"/>
          <w:color w:val="auto"/>
          <w:vertAlign w:val="superscript"/>
        </w:rPr>
        <w:t>®</w:t>
      </w:r>
      <w:r>
        <w:rPr>
          <w:rFonts w:ascii="Arial" w:cs="Arial" w:eastAsia="Arial" w:hAnsi="Arial"/>
          <w:sz w:val="18"/>
          <w:szCs w:val="18"/>
          <w:color w:val="auto"/>
        </w:rPr>
        <w:t>, from Taisho Pharmaceutical Co., Ltd. (Taisho). In addition, we have begun using contract manufacturers to manufacture API and finished product for the MN-166 (ibudilast) development program.</w:t>
      </w:r>
    </w:p>
    <w:p>
      <w:pPr>
        <w:spacing w:after="0" w:line="201" w:lineRule="exact"/>
        <w:rPr>
          <w:sz w:val="20"/>
          <w:szCs w:val="20"/>
          <w:color w:val="auto"/>
        </w:rPr>
      </w:pPr>
    </w:p>
    <w:p>
      <w:pPr>
        <w:jc w:val="both"/>
        <w:ind w:right="360" w:firstLine="439"/>
        <w:spacing w:after="0" w:line="309" w:lineRule="auto"/>
        <w:rPr>
          <w:sz w:val="20"/>
          <w:szCs w:val="20"/>
          <w:color w:val="auto"/>
        </w:rPr>
      </w:pPr>
      <w:r>
        <w:rPr>
          <w:rFonts w:ascii="Arial" w:cs="Arial" w:eastAsia="Arial" w:hAnsi="Arial"/>
          <w:sz w:val="16"/>
          <w:szCs w:val="16"/>
          <w:color w:val="auto"/>
        </w:rPr>
        <w:t>Pursuant to the terms of our license agreement with Kissei for MN-221 (bedoradrine), Kissei has the exclusive right to manufacture the commercial supply of the API for MN-221 (bedoradrine). If we enter into a supply agreement with Kissei, we will purchase from Kissei all API that we require for the commercial supply of MN-221 (bedoradrine), if this product candidate is approved for commercial sale by the FDA or other regulatory authorities.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 Agreements</w:t>
      </w:r>
    </w:p>
    <w:p>
      <w:pPr>
        <w:spacing w:after="0" w:line="227" w:lineRule="exact"/>
        <w:rPr>
          <w:sz w:val="20"/>
          <w:szCs w:val="20"/>
          <w:color w:val="auto"/>
        </w:rPr>
      </w:pPr>
    </w:p>
    <w:p>
      <w:pPr>
        <w:ind w:firstLine="439"/>
        <w:spacing w:after="0" w:line="288" w:lineRule="auto"/>
        <w:rPr>
          <w:sz w:val="20"/>
          <w:szCs w:val="20"/>
          <w:color w:val="auto"/>
        </w:rPr>
      </w:pPr>
      <w:r>
        <w:rPr>
          <w:rFonts w:ascii="Arial" w:cs="Arial" w:eastAsia="Arial" w:hAnsi="Arial"/>
          <w:sz w:val="16"/>
          <w:szCs w:val="16"/>
          <w:color w:val="auto"/>
        </w:rPr>
        <w:t>Since our inception in September 2000, we have entered into license agreements with pharmaceutical companies which cover our current product candidates. We have also entered into license agreements with universities which cover additional intellectual property related to our product candidates. In general, we seek to procure patent protection for our anticipated products, or obtain such protection from the relevant patents owned by our licensors. Although the majority of our licensed patents have expired, we hold licensed rights to one issued foreign patent that is not expired. In addition to these licensed rights, we hold 24 issued U.S. patents and have filed nine additional U.S. patent applications. We also hold 36 issued foreign patents and 40 pending foreign patent applications corresponding to these U.S. patents and patent applications. We are not aware of any third-party infringement of the patents owned or licensed by us and are not party to any material claims by third parties of infringement by us of such third parties’ intellectual property rights. The following is a description of our existing license agreements and intellectual property rights for each of our product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w:t>
      </w:r>
    </w:p>
    <w:p>
      <w:pPr>
        <w:spacing w:after="0" w:line="223" w:lineRule="exact"/>
        <w:rPr>
          <w:sz w:val="20"/>
          <w:szCs w:val="20"/>
          <w:color w:val="auto"/>
        </w:rPr>
      </w:pPr>
    </w:p>
    <w:p>
      <w:pPr>
        <w:ind w:right="20" w:firstLine="439"/>
        <w:spacing w:after="0" w:line="269" w:lineRule="auto"/>
        <w:rPr>
          <w:sz w:val="20"/>
          <w:szCs w:val="20"/>
          <w:color w:val="auto"/>
        </w:rPr>
      </w:pPr>
      <w:r>
        <w:rPr>
          <w:rFonts w:ascii="Arial" w:cs="Arial" w:eastAsia="Arial" w:hAnsi="Arial"/>
          <w:sz w:val="17"/>
          <w:szCs w:val="17"/>
          <w:color w:val="auto"/>
        </w:rPr>
        <w:t>On October 22, 2004, we entered into an exclusive license agreement with Kyorin for the development and commercialization of MN-166 (ibudilast). Kyorin is a fully integrated Japanese pharmaceutical company and is listed on the First Section of the Tokyo Stock Exchange. We obtained an exclusive, worldwide (excluding Japan, China, South Korea and Taiwan), sub-licensable license to the patent rights related to MN-166 (ibudilast) for the treatment of MS, except for ophthalmic solution formulations. MN-166 (ibudilast) is not covered by a composition of matter patent. The United States method of use patent for MN-166 (ibudilast) in MS underlying the license expired on August 10, 2018. Corresponding method of use patents in certain foreign countries also expired on August 10, 2018. Under the terms of the agreement, we granted to Kyorin an exclusive, royalty-free, sub-licensable license to use the preclinical, clinical and regulatory databases to develop ophthalmic products incorporating the MN-166 (ibudilast) compound anywhere in the world and non-ophthalmic products incorporating the MN-166 (ibudilast) compound outside of our territory.</w:t>
      </w:r>
    </w:p>
    <w:p>
      <w:pPr>
        <w:spacing w:after="0" w:line="181" w:lineRule="exact"/>
        <w:rPr>
          <w:sz w:val="20"/>
          <w:szCs w:val="20"/>
          <w:color w:val="auto"/>
        </w:rPr>
      </w:pPr>
    </w:p>
    <w:p>
      <w:pPr>
        <w:ind w:right="100" w:firstLine="439"/>
        <w:spacing w:after="0" w:line="275"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We may terminate the agreement for any reason with 90 days’ written notice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18" w:name="page19"/>
    <w:bookmarkEnd w:id="18"/>
    <w:p>
      <w:pPr>
        <w:ind w:right="320"/>
        <w:spacing w:after="0" w:line="275" w:lineRule="auto"/>
        <w:rPr>
          <w:sz w:val="20"/>
          <w:szCs w:val="20"/>
          <w:color w:val="auto"/>
        </w:rPr>
      </w:pPr>
      <w:r>
        <w:rPr>
          <w:rFonts w:ascii="Arial" w:cs="Arial" w:eastAsia="Arial" w:hAnsi="Arial"/>
          <w:sz w:val="18"/>
          <w:szCs w:val="18"/>
          <w:color w:val="auto"/>
        </w:rPr>
        <w:t>Kyorin or, in the event that a third party claims that MN-166 (ibudilast) infringes upon such third party’s intellectual property rights, with 30 days’ written notice.</w:t>
      </w:r>
    </w:p>
    <w:p>
      <w:pPr>
        <w:spacing w:after="0" w:line="197" w:lineRule="exact"/>
        <w:rPr>
          <w:sz w:val="20"/>
          <w:szCs w:val="20"/>
          <w:color w:val="auto"/>
        </w:rPr>
      </w:pPr>
    </w:p>
    <w:p>
      <w:pPr>
        <w:ind w:firstLine="439"/>
        <w:spacing w:after="0" w:line="274" w:lineRule="auto"/>
        <w:rPr>
          <w:sz w:val="20"/>
          <w:szCs w:val="20"/>
          <w:color w:val="auto"/>
        </w:rPr>
      </w:pPr>
      <w:r>
        <w:rPr>
          <w:rFonts w:ascii="Arial" w:cs="Arial" w:eastAsia="Arial" w:hAnsi="Arial"/>
          <w:sz w:val="17"/>
          <w:szCs w:val="17"/>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73" w:lineRule="exact"/>
        <w:rPr>
          <w:sz w:val="20"/>
          <w:szCs w:val="20"/>
          <w:color w:val="auto"/>
        </w:rPr>
      </w:pPr>
    </w:p>
    <w:p>
      <w:pPr>
        <w:ind w:right="680" w:firstLine="439"/>
        <w:spacing w:after="0" w:line="339" w:lineRule="auto"/>
        <w:rPr>
          <w:sz w:val="20"/>
          <w:szCs w:val="20"/>
          <w:color w:val="auto"/>
        </w:rPr>
      </w:pPr>
      <w:r>
        <w:rPr>
          <w:rFonts w:ascii="Arial" w:cs="Arial" w:eastAsia="Arial" w:hAnsi="Arial"/>
          <w:sz w:val="16"/>
          <w:szCs w:val="16"/>
          <w:color w:val="auto"/>
        </w:rPr>
        <w:t>Under the license agreement, we have paid Kyorin $700,000 to date, and we are obligated to make payments of up to $5.0 million based on the achievement of certain clinical and regulatory milestones. We are also obligated to pay a royalty on net sales of the licensed products.</w:t>
      </w:r>
    </w:p>
    <w:p>
      <w:pPr>
        <w:spacing w:after="0" w:line="125" w:lineRule="exact"/>
        <w:rPr>
          <w:sz w:val="20"/>
          <w:szCs w:val="20"/>
          <w:color w:val="auto"/>
        </w:rPr>
      </w:pPr>
    </w:p>
    <w:p>
      <w:pPr>
        <w:ind w:right="40" w:firstLine="439"/>
        <w:spacing w:after="0" w:line="284" w:lineRule="auto"/>
        <w:rPr>
          <w:sz w:val="20"/>
          <w:szCs w:val="20"/>
          <w:color w:val="auto"/>
        </w:rPr>
      </w:pPr>
      <w:r>
        <w:rPr>
          <w:rFonts w:ascii="Arial" w:cs="Arial" w:eastAsia="Arial" w:hAnsi="Arial"/>
          <w:sz w:val="17"/>
          <w:szCs w:val="17"/>
          <w:color w:val="auto"/>
        </w:rPr>
        <w:t>We own, co-own or hold licenses to seven issued U.S. patents and eight pending U.S. patent applications as well as 22 issued foreign patents and eleven pending foreign patent applications covering MN-166 (ibudilast) and its analogs. These patents and patent applications are related to our development portfolio and are primarily directed to methods of treating various indications using MN-166 (ibudilast) and its analogs.</w:t>
      </w:r>
    </w:p>
    <w:p>
      <w:pPr>
        <w:spacing w:after="0" w:line="165"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We have been granted a U.S. patent which covers the use of MN-166 (ibudilast) for the treatment of progressive forms of MS. This patent will expire no earlier than November 2029, not including a potential extension under patent term restoration rules, and covers a method of treating PPMS or SPMS by administering MN-166 (ibudilast). Counterparts of this patent application have been granted in certain foreign jurisdictions. We have been granted a U.S. patent which covers the use of MN-166 (ibudilast) for the treatment of amyotrophic lateral sclerosis (ALS) and it expires no earlier than January 2029. We have been granted a patent which covers the use of MN-166 (ibudilast) for the treatment of drug addiction or drug dependence or withdrawal syndrome in the United States and it expires no earlier than January 2030. Counterparts of this patent application have been granted in certain foreign jurisdictions. We have been granted a patent which covers the use of MN-166 (ibudilast) for the treatment of neuropathic pain in the United States and it expires no earlier than December 2025.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w:t>
      </w:r>
    </w:p>
    <w:p>
      <w:pPr>
        <w:spacing w:after="0" w:line="223" w:lineRule="exact"/>
        <w:rPr>
          <w:sz w:val="20"/>
          <w:szCs w:val="20"/>
          <w:color w:val="auto"/>
        </w:rPr>
      </w:pPr>
    </w:p>
    <w:p>
      <w:pPr>
        <w:ind w:right="40" w:firstLine="439"/>
        <w:spacing w:after="0" w:line="253" w:lineRule="auto"/>
        <w:rPr>
          <w:sz w:val="20"/>
          <w:szCs w:val="20"/>
          <w:color w:val="auto"/>
        </w:rPr>
      </w:pPr>
      <w:r>
        <w:rPr>
          <w:rFonts w:ascii="Arial" w:cs="Arial" w:eastAsia="Arial" w:hAnsi="Arial"/>
          <w:sz w:val="18"/>
          <w:szCs w:val="18"/>
          <w:color w:val="auto"/>
        </w:rPr>
        <w:t>On February 25, 2004, we entered into an exclusive license agreement with Kissei for the development and commercialization of MN-221 (bedoradrine). Kissei is a fully integrated Japanese pharmaceutical company and is listed on the Tokyo Stock Exchange. We obtained an exclusive, worldwide (excluding Japan), sub-licensable license to various patent rights and know-how related to MN-221 (bedoradrine) and other compounds disclosed or included in, or covered by, these patent rights, for all indications. This license includes an exclusive license under one U.S. patent and certain corresponding patents in foreign countries and is sub-licensable upon receipt of the written consent of Kissei. The United States composition of matter patent underlying the license issued on October 17, 2000 and it expired on February 18, 2017. Most of the corresponding composition of matter patents in various other countries also expired on February 18, 2017.</w:t>
      </w:r>
    </w:p>
    <w:p>
      <w:pPr>
        <w:spacing w:after="0" w:line="191" w:lineRule="exact"/>
        <w:rPr>
          <w:sz w:val="20"/>
          <w:szCs w:val="20"/>
          <w:color w:val="auto"/>
        </w:rPr>
      </w:pPr>
    </w:p>
    <w:p>
      <w:pPr>
        <w:ind w:right="100" w:firstLine="439"/>
        <w:spacing w:after="0" w:line="295" w:lineRule="auto"/>
        <w:rPr>
          <w:sz w:val="20"/>
          <w:szCs w:val="20"/>
          <w:color w:val="auto"/>
        </w:rPr>
      </w:pPr>
      <w:r>
        <w:rPr>
          <w:rFonts w:ascii="Arial" w:cs="Arial" w:eastAsia="Arial" w:hAnsi="Arial"/>
          <w:sz w:val="16"/>
          <w:szCs w:val="16"/>
          <w:color w:val="auto"/>
        </w:rPr>
        <w:t>In addition to the licensed patents, we have filed patent applications in the United States and certain foreign countries regarding additional uses and formulations of MN-221 (bedoradrine). We have been granted a U.S. patent which covers the use of MN-221 (bedoradrine) for the treatment of acute exacerbations of asthma and it expires no earlier than November 2030. This patent includes claims covering the use of MN-221 (bedoradrine) in combination with a standard of care treatment regimen and covers different routes of administration, including intravenous, oral and inhalation. We have been granted a U.S. patent that covers the use of MN-221 (bedoradrine) for the treatment of irritable bowel syndrome and it expires no earlier than April 2031.</w:t>
      </w:r>
    </w:p>
    <w:p>
      <w:pPr>
        <w:spacing w:after="0" w:line="158" w:lineRule="exact"/>
        <w:rPr>
          <w:sz w:val="20"/>
          <w:szCs w:val="20"/>
          <w:color w:val="auto"/>
        </w:rPr>
      </w:pPr>
    </w:p>
    <w:p>
      <w:pPr>
        <w:ind w:right="20" w:firstLine="439"/>
        <w:spacing w:after="0" w:line="262"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for scientific or commercial reasons upon 100 days’ prior written notice to Kissei during the development phase and 180 days’ prior written notice to Kissei during the commercialization phase.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 w:name="page20"/>
    <w:bookmarkEnd w:id="19"/>
    <w:p>
      <w:pPr>
        <w:ind w:firstLine="439"/>
        <w:spacing w:after="0" w:line="257"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Kissei patent (or equivalent) under license to expire or in the event that a valid claim does not exist or, if a valid claim expired more than ten years from the date of first commercial sale, ten years from the date of first commercial sale. In either case, the term of the agreement would not extend for any particular country past the date on which generic competition exists in such country.</w:t>
      </w:r>
    </w:p>
    <w:p>
      <w:pPr>
        <w:spacing w:after="0" w:line="188" w:lineRule="exact"/>
        <w:rPr>
          <w:sz w:val="20"/>
          <w:szCs w:val="20"/>
          <w:color w:val="auto"/>
        </w:rPr>
      </w:pPr>
    </w:p>
    <w:p>
      <w:pPr>
        <w:ind w:firstLine="439"/>
        <w:spacing w:after="0" w:line="257" w:lineRule="auto"/>
        <w:rPr>
          <w:sz w:val="20"/>
          <w:szCs w:val="20"/>
          <w:color w:val="auto"/>
        </w:rPr>
      </w:pPr>
      <w:r>
        <w:rPr>
          <w:rFonts w:ascii="Arial" w:cs="Arial" w:eastAsia="Arial" w:hAnsi="Arial"/>
          <w:sz w:val="18"/>
          <w:szCs w:val="18"/>
          <w:color w:val="auto"/>
        </w:rPr>
        <w:t>Under the license agreement, we have paid Kissei $1.0 million to date, and we are obligated to make payments of up to $17.0 million based on the achievement of certain clinical and regulatory milestones. We are also obligated to pay a royalty on net sales of the licensed products. Under the terms of a letter agreement we entered into with Kissei in September 2011, we agreed to renegotiate in good faith with Kissei the existing levels of the milestone payment amounts and royalty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w:t>
      </w:r>
    </w:p>
    <w:p>
      <w:pPr>
        <w:spacing w:after="0" w:line="223" w:lineRule="exact"/>
        <w:rPr>
          <w:sz w:val="20"/>
          <w:szCs w:val="20"/>
          <w:color w:val="auto"/>
        </w:rPr>
      </w:pPr>
    </w:p>
    <w:p>
      <w:pPr>
        <w:ind w:right="20" w:firstLine="439"/>
        <w:spacing w:after="0" w:line="267" w:lineRule="auto"/>
        <w:rPr>
          <w:sz w:val="20"/>
          <w:szCs w:val="20"/>
          <w:color w:val="auto"/>
        </w:rPr>
      </w:pPr>
      <w:r>
        <w:rPr>
          <w:rFonts w:ascii="Arial" w:cs="Arial" w:eastAsia="Arial" w:hAnsi="Arial"/>
          <w:sz w:val="17"/>
          <w:szCs w:val="17"/>
          <w:color w:val="auto"/>
        </w:rPr>
        <w:t>On March 14, 2002, we entered into an exclusive license agreement with Kyorin for the development and commercialization of MN-001 (tipelukast). We obtained an exclusive, worldwide (excluding Japan, China, South Korea and Taiwan) sub-licensable license to the patent rights and know-how related to MN-001 (tipelukast) and its active metabolite, MN-002, disclosed and included in, or covered by, these patents, in all indications, except for ophthalmic solution formulations. This license included an exclusive, sub-licensable license under two U.S. patents and certain corresponding patents in foreign countries. The United States composition of matter patent for MN-001 (tipelukast) underlying the license expired on February 23, 2009, and the United States composition of matter patent for MN-002 underlying the license expired on December 30, 2011. Foreign composition of matter patents for MN-001 (tipelukast) and MN-002 have also expired. We have been granted 14 U.S. patents covering certain compositions, uses and manufacturing processes associated with MN-001 (tipelukast) and MN-002. Uses covered by these patents include nonalcoholic steatohepatitis (NASH), advanced NASH with fibrosis, nonalcoholic fatty liver disease (NAFLD), steatosis, hypertriglyceridemia, hypercholesterolemia, hyperlipoproteinemia, fibrosis, ulcerative colitis, interstitial cystitis, and irritable bowel syndrome. Patent applications corresponding to these U.S. patents have been filed in certain foreign countries and some of the foreign patents have issued.</w:t>
      </w:r>
    </w:p>
    <w:p>
      <w:pPr>
        <w:spacing w:after="0" w:line="186" w:lineRule="exact"/>
        <w:rPr>
          <w:sz w:val="20"/>
          <w:szCs w:val="20"/>
          <w:color w:val="auto"/>
        </w:rPr>
      </w:pPr>
    </w:p>
    <w:p>
      <w:pPr>
        <w:ind w:right="200" w:firstLine="439"/>
        <w:spacing w:after="0" w:line="295" w:lineRule="auto"/>
        <w:rPr>
          <w:sz w:val="20"/>
          <w:szCs w:val="20"/>
          <w:color w:val="auto"/>
        </w:rPr>
      </w:pPr>
      <w:r>
        <w:rPr>
          <w:rFonts w:ascii="Arial" w:cs="Arial" w:eastAsia="Arial" w:hAnsi="Arial"/>
          <w:sz w:val="16"/>
          <w:szCs w:val="16"/>
          <w:color w:val="auto"/>
        </w:rPr>
        <w:t>Under the terms of the agreement, we granted to Kyorin an exclusive, royalty-free, sub-licensable license to use the preclinical, clinical and regulatory databases to develop ophthalmic products incorporating MN-001 (tipelukast) anywhere in the world and non-ophthalmic products incorporating MN-001 (tipelukast) outside of our territory. The license agreement may be terminated by either party following an uncured breach of any material provision in the agreement by the other party, and we may terminate the agreement for any reason with 90 days’ written notice to Kyorin or, in the event that a third party claims that the licensed patent rights or know-how infringe upon such third party’s intellectual property rights, with 30 days’ written notice.</w:t>
      </w:r>
    </w:p>
    <w:p>
      <w:pPr>
        <w:spacing w:after="0" w:line="158" w:lineRule="exact"/>
        <w:rPr>
          <w:sz w:val="20"/>
          <w:szCs w:val="20"/>
          <w:color w:val="auto"/>
        </w:rPr>
      </w:pPr>
    </w:p>
    <w:p>
      <w:pPr>
        <w:ind w:right="40" w:firstLine="439"/>
        <w:spacing w:after="0" w:line="274" w:lineRule="auto"/>
        <w:rPr>
          <w:sz w:val="20"/>
          <w:szCs w:val="20"/>
          <w:color w:val="auto"/>
        </w:rPr>
      </w:pPr>
      <w:r>
        <w:rPr>
          <w:rFonts w:ascii="Arial" w:cs="Arial" w:eastAsia="Arial" w:hAnsi="Arial"/>
          <w:sz w:val="17"/>
          <w:szCs w:val="17"/>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73" w:lineRule="exact"/>
        <w:rPr>
          <w:sz w:val="20"/>
          <w:szCs w:val="20"/>
          <w:color w:val="auto"/>
        </w:rPr>
      </w:pPr>
    </w:p>
    <w:p>
      <w:pPr>
        <w:ind w:right="520" w:firstLine="439"/>
        <w:spacing w:after="0" w:line="305" w:lineRule="auto"/>
        <w:rPr>
          <w:sz w:val="20"/>
          <w:szCs w:val="20"/>
          <w:color w:val="auto"/>
        </w:rPr>
      </w:pPr>
      <w:r>
        <w:rPr>
          <w:rFonts w:ascii="Arial" w:cs="Arial" w:eastAsia="Arial" w:hAnsi="Arial"/>
          <w:sz w:val="17"/>
          <w:szCs w:val="17"/>
          <w:color w:val="auto"/>
        </w:rPr>
        <w:t>Under the license agreement, we have paid Kyorin $4.0 million to date, and we are obligated to make payments of up to $5.0 million based on the achievement of clinical and regulatory milestones. We are also obligated to pay a royalty on net sales of the licensed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w:t>
      </w:r>
    </w:p>
    <w:p>
      <w:pPr>
        <w:spacing w:after="0" w:line="223" w:lineRule="exact"/>
        <w:rPr>
          <w:sz w:val="20"/>
          <w:szCs w:val="20"/>
          <w:color w:val="auto"/>
        </w:rPr>
      </w:pPr>
    </w:p>
    <w:p>
      <w:pPr>
        <w:ind w:right="40" w:firstLine="439"/>
        <w:spacing w:after="0" w:line="262" w:lineRule="auto"/>
        <w:rPr>
          <w:sz w:val="20"/>
          <w:szCs w:val="20"/>
          <w:color w:val="auto"/>
        </w:rPr>
      </w:pPr>
      <w:r>
        <w:rPr>
          <w:rFonts w:ascii="Arial" w:cs="Arial" w:eastAsia="Arial" w:hAnsi="Arial"/>
          <w:sz w:val="18"/>
          <w:szCs w:val="18"/>
          <w:color w:val="auto"/>
        </w:rPr>
        <w:t>On June 19, 2002, we entered into an exclusive license agreement with Angiogene for the development and commercialization of the ANG-600 series of compounds. Angiogene is a privately held, British drug discovery company. We obtained an exclusive, worldwide, sub-licensable license to the patent rights and know-how related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20" w:name="page21"/>
    <w:bookmarkEnd w:id="20"/>
    <w:p>
      <w:pPr>
        <w:spacing w:after="0" w:line="255" w:lineRule="auto"/>
        <w:rPr>
          <w:sz w:val="20"/>
          <w:szCs w:val="20"/>
          <w:color w:val="auto"/>
        </w:rPr>
      </w:pPr>
      <w:r>
        <w:rPr>
          <w:rFonts w:ascii="Arial" w:cs="Arial" w:eastAsia="Arial" w:hAnsi="Arial"/>
          <w:sz w:val="18"/>
          <w:szCs w:val="18"/>
          <w:color w:val="auto"/>
        </w:rPr>
        <w:t>the ANG-600 series of compounds disclosed in and included or covered by these patents for all indications. MN-029 (denibulin) is one of the ANG-600 series compounds covered by this license. We have been granted a U.S. patent which covers MN-029 (denibulin) di-hydrochloride and expires no earlier than July 2032. The allowed claims cover a compound, pharmaceutical composition and method of treating certain cell proliferation diseases, including solid tumors, based on denibulin di-hydrochloride. Patent applications corresponding to this U.S. patent were filed in certain foreign countries and patents have been granted or allowed in some of those countries.</w:t>
      </w:r>
    </w:p>
    <w:p>
      <w:pPr>
        <w:spacing w:after="0" w:line="189" w:lineRule="exact"/>
        <w:rPr>
          <w:sz w:val="20"/>
          <w:szCs w:val="20"/>
          <w:color w:val="auto"/>
        </w:rPr>
      </w:pPr>
    </w:p>
    <w:p>
      <w:pPr>
        <w:ind w:right="40" w:firstLine="439"/>
        <w:spacing w:after="0" w:line="275"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w:t>
      </w:r>
    </w:p>
    <w:p>
      <w:pPr>
        <w:spacing w:after="0" w:line="170" w:lineRule="exact"/>
        <w:rPr>
          <w:sz w:val="20"/>
          <w:szCs w:val="20"/>
          <w:color w:val="auto"/>
        </w:rPr>
      </w:pPr>
    </w:p>
    <w:p>
      <w:pPr>
        <w:ind w:right="240" w:firstLine="439"/>
        <w:spacing w:after="0" w:line="275" w:lineRule="auto"/>
        <w:rPr>
          <w:sz w:val="20"/>
          <w:szCs w:val="20"/>
          <w:color w:val="auto"/>
        </w:rPr>
      </w:pPr>
      <w:r>
        <w:rPr>
          <w:rFonts w:ascii="Arial" w:cs="Arial" w:eastAsia="Arial" w:hAnsi="Arial"/>
          <w:sz w:val="18"/>
          <w:szCs w:val="18"/>
          <w:color w:val="auto"/>
        </w:rPr>
        <w:t>The term of this agreement is determined on a country-by-country basis and extends until the earlier of the expiration of the last Angiogene patent (or equivalent) under license which has a valid claim to expire or 15 years from the date of first commercial sale.</w:t>
      </w:r>
    </w:p>
    <w:p>
      <w:pPr>
        <w:spacing w:after="0" w:line="170" w:lineRule="exact"/>
        <w:rPr>
          <w:sz w:val="20"/>
          <w:szCs w:val="20"/>
          <w:color w:val="auto"/>
        </w:rPr>
      </w:pPr>
    </w:p>
    <w:p>
      <w:pPr>
        <w:ind w:right="420" w:firstLine="439"/>
        <w:spacing w:after="0" w:line="305" w:lineRule="auto"/>
        <w:rPr>
          <w:sz w:val="20"/>
          <w:szCs w:val="20"/>
          <w:color w:val="auto"/>
        </w:rPr>
      </w:pPr>
      <w:r>
        <w:rPr>
          <w:rFonts w:ascii="Arial" w:cs="Arial" w:eastAsia="Arial" w:hAnsi="Arial"/>
          <w:sz w:val="17"/>
          <w:szCs w:val="17"/>
          <w:color w:val="auto"/>
        </w:rPr>
        <w:t>Under the license agreement, we have paid Angiogene $1.4 million to date and are obligated to make payments of up to $16.5 million based on the achievement of clinical and regulatory milestones. We are also obligated to pay a royalty on net sales of the licensed products.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3" w:lineRule="exact"/>
        <w:rPr>
          <w:sz w:val="20"/>
          <w:szCs w:val="20"/>
          <w:color w:val="auto"/>
        </w:rPr>
      </w:pPr>
    </w:p>
    <w:p>
      <w:pPr>
        <w:ind w:right="60" w:firstLine="439"/>
        <w:spacing w:after="0" w:line="285" w:lineRule="auto"/>
        <w:rPr>
          <w:sz w:val="20"/>
          <w:szCs w:val="20"/>
          <w:color w:val="auto"/>
        </w:rPr>
      </w:pPr>
      <w:r>
        <w:rPr>
          <w:rFonts w:ascii="Arial" w:cs="Arial" w:eastAsia="Arial" w:hAnsi="Arial"/>
          <w:sz w:val="16"/>
          <w:szCs w:val="16"/>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 We are not aware of any third-party infringements of patents we hold or have licensed and have not received any material claims by third parties of infringement by us of such parties’ intellectual property rights.</w:t>
      </w:r>
    </w:p>
    <w:p>
      <w:pPr>
        <w:spacing w:after="0" w:line="171"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treating progressive MS with MN-166 (ibudilast), the method of treating ALS with MN-166 (ibudilast), the method of treating drug addiction or drug dependence with MN-166 (ibudilast), and the method of treating neuropathic pain with MN-166 (ibudilast), but we do not have any composition of matter patent claims for MN-166 (ibudilast) because that patent has expired. As a result, unrelated third parties may develop products with the same API as MN-166 (ibudilast) so long as such parties do not infringe our method of use patents, other patents we have exclusive rights to through our licensors or any patents we may obtain for MN-166 (ibudilast).</w:t>
      </w:r>
    </w:p>
    <w:p>
      <w:pPr>
        <w:spacing w:after="0" w:line="189" w:lineRule="exact"/>
        <w:rPr>
          <w:sz w:val="20"/>
          <w:szCs w:val="20"/>
          <w:color w:val="auto"/>
        </w:rPr>
      </w:pPr>
    </w:p>
    <w:p>
      <w:pPr>
        <w:ind w:right="340" w:firstLine="439"/>
        <w:spacing w:after="0" w:line="255" w:lineRule="auto"/>
        <w:rPr>
          <w:sz w:val="20"/>
          <w:szCs w:val="20"/>
          <w:color w:val="auto"/>
        </w:rPr>
      </w:pPr>
      <w:r>
        <w:rPr>
          <w:rFonts w:ascii="Arial" w:cs="Arial" w:eastAsia="Arial" w:hAnsi="Arial"/>
          <w:sz w:val="18"/>
          <w:szCs w:val="18"/>
          <w:color w:val="auto"/>
        </w:rPr>
        <w:t>In addition, if we develop certain products that are not covered by any patents, we will be dependent on obtaining market exclusivity under the new chemical entity exclusivity provisions of Hatch-Waxman Act for such products in the United States and/or data exclusivity provisions in Europe. If we are unable to obtain strong proprietary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clinical trials. Certain of our license agreements provide for reduced or foregone royalties in the event of generic competition.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7" w:lineRule="exact"/>
        <w:rPr>
          <w:sz w:val="20"/>
          <w:szCs w:val="20"/>
          <w:color w:val="auto"/>
        </w:rPr>
      </w:pPr>
    </w:p>
    <w:p>
      <w:pPr>
        <w:ind w:firstLine="439"/>
        <w:spacing w:after="0" w:line="268" w:lineRule="auto"/>
        <w:rPr>
          <w:sz w:val="20"/>
          <w:szCs w:val="20"/>
          <w:color w:val="auto"/>
        </w:rPr>
      </w:pPr>
      <w:r>
        <w:rPr>
          <w:rFonts w:ascii="Arial" w:cs="Arial" w:eastAsia="Arial" w:hAnsi="Arial"/>
          <w:sz w:val="17"/>
          <w:szCs w:val="17"/>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84" w:lineRule="exact"/>
        <w:rPr>
          <w:sz w:val="20"/>
          <w:szCs w:val="20"/>
          <w:color w:val="auto"/>
        </w:rPr>
      </w:pPr>
    </w:p>
    <w:p>
      <w:pPr>
        <w:ind w:right="80" w:firstLine="439"/>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Progressive Multiple Sclerosis (Progressive MS)</w:t>
      </w:r>
    </w:p>
    <w:p>
      <w:pPr>
        <w:spacing w:after="0" w:line="223" w:lineRule="exact"/>
        <w:rPr>
          <w:sz w:val="20"/>
          <w:szCs w:val="20"/>
          <w:color w:val="auto"/>
        </w:rPr>
      </w:pPr>
    </w:p>
    <w:p>
      <w:pPr>
        <w:jc w:val="both"/>
        <w:ind w:right="320" w:firstLine="439"/>
        <w:spacing w:after="0" w:line="277" w:lineRule="auto"/>
        <w:rPr>
          <w:sz w:val="20"/>
          <w:szCs w:val="20"/>
          <w:color w:val="auto"/>
        </w:rPr>
      </w:pPr>
      <w:r>
        <w:rPr>
          <w:rFonts w:ascii="Arial" w:cs="Arial" w:eastAsia="Arial" w:hAnsi="Arial"/>
          <w:sz w:val="17"/>
          <w:szCs w:val="17"/>
          <w:color w:val="auto"/>
        </w:rPr>
        <w:t>Our MN-166 (ibudilast) product candidate is in development for the treatment of progressive MS. Only one drug, mitoxantrone, is approved for the treatment of secondary progressive MS. However, mitoxantrone cannot be used on a long-term basis because of the potential for cardiac toxicity. Only one drug, Ocrevus (ocrelizumab) is approved for the treatment of primary progressive MS. Other programs in clinical development for progressive MS include Novartis’s BAF312 (siponimod), MedDay’s MD1003, and AB Science’s masitinib.</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Amyotrophic Lateral Sclerosis (ALS)</w:t>
      </w:r>
    </w:p>
    <w:p>
      <w:pPr>
        <w:spacing w:after="0" w:line="223" w:lineRule="exact"/>
        <w:rPr>
          <w:sz w:val="20"/>
          <w:szCs w:val="20"/>
          <w:color w:val="auto"/>
        </w:rPr>
      </w:pPr>
    </w:p>
    <w:p>
      <w:pPr>
        <w:ind w:right="360" w:firstLine="439"/>
        <w:spacing w:after="0" w:line="262" w:lineRule="auto"/>
        <w:rPr>
          <w:sz w:val="20"/>
          <w:szCs w:val="20"/>
          <w:color w:val="auto"/>
        </w:rPr>
      </w:pPr>
      <w:r>
        <w:rPr>
          <w:rFonts w:ascii="Arial" w:cs="Arial" w:eastAsia="Arial" w:hAnsi="Arial"/>
          <w:sz w:val="18"/>
          <w:szCs w:val="18"/>
          <w:color w:val="auto"/>
        </w:rPr>
        <w:t>Our MN-166 (ibudilast) product candidate is also in development for the treatment of ALS. Riluzole and Radicava (edaravone) are approved for the treatment of ALS. We are aware of additional compounds in clinical development for the treatment of ALS at other companies including Cytokinetics, BrainStorm Cell Therapeutics Inc., AB Science, Mallinckrodt, Biogen, and Amylyx Pharmaceuticals.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Substance Dependence and Addiction</w:t>
      </w:r>
    </w:p>
    <w:p>
      <w:pPr>
        <w:spacing w:after="0" w:line="223" w:lineRule="exact"/>
        <w:rPr>
          <w:sz w:val="20"/>
          <w:szCs w:val="20"/>
          <w:color w:val="auto"/>
        </w:rPr>
      </w:pPr>
    </w:p>
    <w:p>
      <w:pPr>
        <w:ind w:right="100" w:firstLine="439"/>
        <w:spacing w:after="0" w:line="268" w:lineRule="auto"/>
        <w:rPr>
          <w:sz w:val="20"/>
          <w:szCs w:val="20"/>
          <w:color w:val="auto"/>
        </w:rPr>
      </w:pPr>
      <w:r>
        <w:rPr>
          <w:rFonts w:ascii="Arial" w:cs="Arial" w:eastAsia="Arial" w:hAnsi="Arial"/>
          <w:sz w:val="17"/>
          <w:szCs w:val="17"/>
          <w:color w:val="auto"/>
        </w:rPr>
        <w:t xml:space="preserve">Our MN-166 (ibudilast) product candidate is also in development for the treatment of opioid dependence, methamphetamine addiction, and alcohol dependence. Current treatments for opioid withdrawal symptoms include narcotics such as generic methadone and Indivior, Inc.’s Suboxone </w:t>
      </w:r>
      <w:r>
        <w:rPr>
          <w:rFonts w:ascii="Arial" w:cs="Arial" w:eastAsia="Arial" w:hAnsi="Arial"/>
          <w:sz w:val="17"/>
          <w:szCs w:val="17"/>
          <w:color w:val="auto"/>
          <w:vertAlign w:val="superscript"/>
        </w:rPr>
        <w:t>®</w:t>
      </w:r>
      <w:r>
        <w:rPr>
          <w:rFonts w:ascii="Arial" w:cs="Arial" w:eastAsia="Arial" w:hAnsi="Arial"/>
          <w:sz w:val="17"/>
          <w:szCs w:val="17"/>
          <w:color w:val="auto"/>
        </w:rPr>
        <w:t xml:space="preserve"> Film (buprenorphine + the opioid antagonist naloxone). Other products approved for opioid dependence include Alkermes’s Vivitrol </w:t>
      </w:r>
      <w:r>
        <w:rPr>
          <w:rFonts w:ascii="Arial" w:cs="Arial" w:eastAsia="Arial" w:hAnsi="Arial"/>
          <w:sz w:val="17"/>
          <w:szCs w:val="17"/>
          <w:color w:val="auto"/>
          <w:vertAlign w:val="superscript"/>
        </w:rPr>
        <w:t>®</w:t>
      </w:r>
      <w:r>
        <w:rPr>
          <w:rFonts w:ascii="Arial" w:cs="Arial" w:eastAsia="Arial" w:hAnsi="Arial"/>
          <w:sz w:val="17"/>
          <w:szCs w:val="17"/>
          <w:color w:val="auto"/>
        </w:rPr>
        <w:t xml:space="preserve"> (naltrexone monthly injection), Orexo’s Zubsolv </w:t>
      </w:r>
      <w:r>
        <w:rPr>
          <w:rFonts w:ascii="Arial" w:cs="Arial" w:eastAsia="Arial" w:hAnsi="Arial"/>
          <w:sz w:val="17"/>
          <w:szCs w:val="17"/>
          <w:color w:val="auto"/>
          <w:vertAlign w:val="superscript"/>
        </w:rPr>
        <w:t>®</w:t>
      </w:r>
      <w:r>
        <w:rPr>
          <w:rFonts w:ascii="Arial" w:cs="Arial" w:eastAsia="Arial" w:hAnsi="Arial"/>
          <w:sz w:val="17"/>
          <w:szCs w:val="17"/>
          <w:color w:val="auto"/>
        </w:rPr>
        <w:t xml:space="preserve"> (buprenorphine and naloxone), BioDelivery Sciences’s Bunavail </w:t>
      </w:r>
      <w:r>
        <w:rPr>
          <w:rFonts w:ascii="Arial" w:cs="Arial" w:eastAsia="Arial" w:hAnsi="Arial"/>
          <w:sz w:val="17"/>
          <w:szCs w:val="17"/>
          <w:color w:val="auto"/>
          <w:vertAlign w:val="superscript"/>
        </w:rPr>
        <w:t>®</w:t>
      </w:r>
      <w:r>
        <w:rPr>
          <w:rFonts w:ascii="Arial" w:cs="Arial" w:eastAsia="Arial" w:hAnsi="Arial"/>
          <w:sz w:val="17"/>
          <w:szCs w:val="17"/>
          <w:color w:val="auto"/>
        </w:rPr>
        <w:t xml:space="preserve"> (buprenorphine and naloxone), Titan Pharmaceuticals Inc.’s Probuphine (buprenorphine) implant, and Indivior’s Sublocade</w:t>
      </w:r>
      <w:r>
        <w:rPr>
          <w:rFonts w:ascii="Arial" w:cs="Arial" w:eastAsia="Arial" w:hAnsi="Arial"/>
          <w:sz w:val="14"/>
          <w:szCs w:val="14"/>
          <w:color w:val="auto"/>
        </w:rPr>
        <w:t>TM</w:t>
      </w:r>
      <w:r>
        <w:rPr>
          <w:rFonts w:ascii="Arial" w:cs="Arial" w:eastAsia="Arial" w:hAnsi="Arial"/>
          <w:sz w:val="17"/>
          <w:szCs w:val="17"/>
          <w:color w:val="auto"/>
        </w:rPr>
        <w:t xml:space="preserve"> (buprenorphine extended-release injection). In December 2018, Braeburn announced tentative FDA approval of BRIXADI, an extended-release weekly and monthly injectable buprenorphine product, for the treatment of moderate to severe opioid use disorder. Limited non-narcotic drug candidates for opioid withdrawal symptoms exist. US WorldMeds, LLC’s Lucemyra™ (lofexidine) is a central alpha-2 adrenergic agonist approved for mitigation of opioid withdrawal symptoms to facilitate abrupt opioid discontinuation. There are no pharmaceuticals currently approved for the treatment of methamphetamine addiction. Approved treatments for alcohol dependence include Antabuse </w:t>
      </w:r>
      <w:r>
        <w:rPr>
          <w:rFonts w:ascii="Arial" w:cs="Arial" w:eastAsia="Arial" w:hAnsi="Arial"/>
          <w:sz w:val="17"/>
          <w:szCs w:val="17"/>
          <w:color w:val="auto"/>
          <w:vertAlign w:val="superscript"/>
        </w:rPr>
        <w:t>®</w:t>
      </w:r>
      <w:r>
        <w:rPr>
          <w:rFonts w:ascii="Arial" w:cs="Arial" w:eastAsia="Arial" w:hAnsi="Arial"/>
          <w:sz w:val="17"/>
          <w:szCs w:val="17"/>
          <w:color w:val="auto"/>
        </w:rPr>
        <w:t xml:space="preserve"> (disulfiram), Vivitrol </w:t>
      </w:r>
      <w:r>
        <w:rPr>
          <w:rFonts w:ascii="Arial" w:cs="Arial" w:eastAsia="Arial" w:hAnsi="Arial"/>
          <w:sz w:val="17"/>
          <w:szCs w:val="17"/>
          <w:color w:val="auto"/>
          <w:vertAlign w:val="superscript"/>
        </w:rPr>
        <w:t>®</w:t>
      </w:r>
      <w:r>
        <w:rPr>
          <w:rFonts w:ascii="Arial" w:cs="Arial" w:eastAsia="Arial" w:hAnsi="Arial"/>
          <w:sz w:val="17"/>
          <w:szCs w:val="17"/>
          <w:color w:val="auto"/>
        </w:rPr>
        <w:t xml:space="preserve"> (naltrexone), and generic acamprosate. We are aware of additional treatments 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development for the treatment of alcohol dependence at other companies including Indivior and Opiant Pharmaceuticals.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Chemotherapy-Induced Peripheral Neuropathy</w:t>
      </w:r>
    </w:p>
    <w:p>
      <w:pPr>
        <w:spacing w:after="0" w:line="22" w:lineRule="exact"/>
        <w:rPr>
          <w:sz w:val="20"/>
          <w:szCs w:val="20"/>
          <w:color w:val="auto"/>
        </w:rPr>
      </w:pPr>
    </w:p>
    <w:p>
      <w:pPr>
        <w:ind w:right="540" w:firstLine="439"/>
        <w:spacing w:after="0" w:line="253" w:lineRule="auto"/>
        <w:rPr>
          <w:sz w:val="20"/>
          <w:szCs w:val="20"/>
          <w:color w:val="auto"/>
        </w:rPr>
      </w:pPr>
      <w:r>
        <w:rPr>
          <w:rFonts w:ascii="Arial" w:cs="Arial" w:eastAsia="Arial" w:hAnsi="Arial"/>
          <w:sz w:val="18"/>
          <w:szCs w:val="18"/>
          <w:color w:val="auto"/>
        </w:rPr>
        <w:t>Our MN-166 (ibudilast) product candidate is also in development for the treatment of chemotherapy-induced peripheral neuropathy. There are no pharmaceuticals currently approved for the treatment of chemotherapy-induced peripheral neuropathy. Duloxetine is sometimes used off-label for this indication.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Degenerative Cervical Myelopathy</w:t>
      </w:r>
    </w:p>
    <w:p>
      <w:pPr>
        <w:spacing w:after="0" w:line="223" w:lineRule="exact"/>
        <w:rPr>
          <w:sz w:val="20"/>
          <w:szCs w:val="20"/>
          <w:color w:val="auto"/>
        </w:rPr>
      </w:pPr>
    </w:p>
    <w:p>
      <w:pPr>
        <w:ind w:right="180" w:firstLine="439"/>
        <w:spacing w:after="0" w:line="275" w:lineRule="auto"/>
        <w:rPr>
          <w:sz w:val="20"/>
          <w:szCs w:val="20"/>
          <w:color w:val="auto"/>
        </w:rPr>
      </w:pPr>
      <w:r>
        <w:rPr>
          <w:rFonts w:ascii="Arial" w:cs="Arial" w:eastAsia="Arial" w:hAnsi="Arial"/>
          <w:sz w:val="18"/>
          <w:szCs w:val="18"/>
          <w:color w:val="auto"/>
        </w:rPr>
        <w:t>Our MN-166 (ibudilast) product candidate is also in development for the treatment of degenerative cervical myelopathy. There are no pharmaceuticals currently approved for the treatment of degenerative cervical myelopathy.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Glioblastoma</w:t>
      </w:r>
    </w:p>
    <w:p>
      <w:pPr>
        <w:spacing w:after="0" w:line="223" w:lineRule="exact"/>
        <w:rPr>
          <w:sz w:val="20"/>
          <w:szCs w:val="20"/>
          <w:color w:val="auto"/>
        </w:rPr>
      </w:pPr>
    </w:p>
    <w:p>
      <w:pPr>
        <w:ind w:right="120" w:firstLine="439"/>
        <w:spacing w:after="0" w:line="257" w:lineRule="auto"/>
        <w:rPr>
          <w:sz w:val="20"/>
          <w:szCs w:val="20"/>
          <w:color w:val="auto"/>
        </w:rPr>
      </w:pPr>
      <w:r>
        <w:rPr>
          <w:rFonts w:ascii="Arial" w:cs="Arial" w:eastAsia="Arial" w:hAnsi="Arial"/>
          <w:sz w:val="18"/>
          <w:szCs w:val="18"/>
          <w:color w:val="auto"/>
        </w:rPr>
        <w:t>We have initiated clinical development of our MN-166 (ibudilast) product candidate for the treatment of glioblastoma. Surgery, radiation, and chemotherapy with the drug temozolomide is the current standard of treatment for glioblastoma. GLIADEL® WAFER (carmustine implant) and AVASTIN® (bevacizumab) are also approved for the treatment for glioblastoma. We are aware of additional compounds in development for the treatment of glioblastoma at companies including AbbVie, Celgene and Amgen.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 for Acute Exacerbations of Asthma</w:t>
      </w:r>
    </w:p>
    <w:p>
      <w:pPr>
        <w:spacing w:after="0" w:line="223" w:lineRule="exact"/>
        <w:rPr>
          <w:sz w:val="20"/>
          <w:szCs w:val="20"/>
          <w:color w:val="auto"/>
        </w:rPr>
      </w:pPr>
    </w:p>
    <w:p>
      <w:pPr>
        <w:ind w:right="20" w:firstLine="439"/>
        <w:spacing w:after="0" w:line="228" w:lineRule="auto"/>
        <w:rPr>
          <w:sz w:val="20"/>
          <w:szCs w:val="20"/>
          <w:color w:val="auto"/>
        </w:rPr>
      </w:pPr>
      <w:r>
        <w:rPr>
          <w:rFonts w:ascii="Arial" w:cs="Arial" w:eastAsia="Arial" w:hAnsi="Arial"/>
          <w:sz w:val="18"/>
          <w:szCs w:val="18"/>
          <w:color w:val="auto"/>
        </w:rPr>
        <w:t>Our MN-221 (bedoradrine) product candidate has been developed for the treatment of acute exacerbations of asthma in the emergency room setting. The current standard of care for acute exacerbations of asthma is inhaled albuterol (a ß</w:t>
      </w:r>
      <w:r>
        <w:rPr>
          <w:rFonts w:ascii="Arial" w:cs="Arial" w:eastAsia="Arial" w:hAnsi="Arial"/>
          <w:sz w:val="22"/>
          <w:szCs w:val="22"/>
          <w:color w:val="auto"/>
          <w:vertAlign w:val="subscript"/>
        </w:rPr>
        <w:t>2</w:t>
      </w:r>
      <w:r>
        <w:rPr>
          <w:rFonts w:ascii="Arial" w:cs="Arial" w:eastAsia="Arial" w:hAnsi="Arial"/>
          <w:sz w:val="18"/>
          <w:szCs w:val="18"/>
          <w:color w:val="auto"/>
        </w:rPr>
        <w:t xml:space="preserve">-adrenergic receptor agonist), inhaled ipratropium (an anticholinergic) and oral or injected corticosteroids. In addition, subcutaneously administered terbutaline (a ß </w:t>
      </w:r>
      <w:r>
        <w:rPr>
          <w:rFonts w:ascii="Arial" w:cs="Arial" w:eastAsia="Arial" w:hAnsi="Arial"/>
          <w:sz w:val="22"/>
          <w:szCs w:val="22"/>
          <w:color w:val="auto"/>
          <w:vertAlign w:val="subscript"/>
        </w:rPr>
        <w:t>2</w:t>
      </w:r>
      <w:r>
        <w:rPr>
          <w:rFonts w:ascii="Arial" w:cs="Arial" w:eastAsia="Arial" w:hAnsi="Arial"/>
          <w:sz w:val="18"/>
          <w:szCs w:val="18"/>
          <w:color w:val="auto"/>
        </w:rPr>
        <w:t xml:space="preserve"> -adrenergic receptor agonist) is sometimes used to treat this condition, particularly in pediatric patients.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 for Nonalcoholic Steatohepatitis (NASH)</w:t>
      </w:r>
    </w:p>
    <w:p>
      <w:pPr>
        <w:spacing w:after="0" w:line="223" w:lineRule="exact"/>
        <w:rPr>
          <w:sz w:val="20"/>
          <w:szCs w:val="20"/>
          <w:color w:val="auto"/>
        </w:rPr>
      </w:pPr>
    </w:p>
    <w:p>
      <w:pPr>
        <w:jc w:val="both"/>
        <w:ind w:right="80" w:firstLine="439"/>
        <w:spacing w:after="0" w:line="257" w:lineRule="auto"/>
        <w:rPr>
          <w:sz w:val="20"/>
          <w:szCs w:val="20"/>
          <w:color w:val="auto"/>
        </w:rPr>
      </w:pPr>
      <w:r>
        <w:rPr>
          <w:rFonts w:ascii="Arial" w:cs="Arial" w:eastAsia="Arial" w:hAnsi="Arial"/>
          <w:sz w:val="18"/>
          <w:szCs w:val="18"/>
          <w:color w:val="auto"/>
        </w:rPr>
        <w:t>Our MN-001 (tipelukast) product candidate is being developed for the treatment of NASH. There are currently no therapeutic products approved for the treatment of NASH. We are aware of compounds in clinical development for the treatment of NASH at other companies including Intercept Pharmaceuticals, Genfit, Galectin Therapeutics, Gilead Sciences, Allergan (which acquired Tobira Therapeutics), Galmed Pharmaceuticals, Bristol-Myers Squibb and Conatus Pharmaceuticals.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 for Idiopathic Pulmonary Fibrosis (IPF)</w:t>
      </w:r>
    </w:p>
    <w:p>
      <w:pPr>
        <w:spacing w:after="0" w:line="223" w:lineRule="exact"/>
        <w:rPr>
          <w:sz w:val="20"/>
          <w:szCs w:val="20"/>
          <w:color w:val="auto"/>
        </w:rPr>
      </w:pPr>
    </w:p>
    <w:p>
      <w:pPr>
        <w:jc w:val="both"/>
        <w:ind w:right="40" w:firstLine="439"/>
        <w:spacing w:after="0" w:line="237" w:lineRule="auto"/>
        <w:rPr>
          <w:sz w:val="20"/>
          <w:szCs w:val="20"/>
          <w:color w:val="auto"/>
        </w:rPr>
      </w:pPr>
      <w:r>
        <w:rPr>
          <w:rFonts w:ascii="Arial" w:cs="Arial" w:eastAsia="Arial" w:hAnsi="Arial"/>
          <w:sz w:val="18"/>
          <w:szCs w:val="18"/>
          <w:color w:val="auto"/>
        </w:rPr>
        <w:t xml:space="preserve">Our MN-001 (tipelukast) product candidate is also being developed for the treatment of IPF. Products approved in the United States for treatment of IPF include Roche’s (formerly InterMune) Esbriet </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(pirfenidone) and Boehringer Ingelheim’s OFEV </w:t>
      </w:r>
      <w:r>
        <w:rPr>
          <w:rFonts w:ascii="Arial" w:cs="Arial" w:eastAsia="Arial" w:hAnsi="Arial"/>
          <w:sz w:val="22"/>
          <w:szCs w:val="22"/>
          <w:color w:val="auto"/>
          <w:vertAlign w:val="superscript"/>
        </w:rPr>
        <w:t>®</w:t>
      </w:r>
      <w:r>
        <w:rPr>
          <w:rFonts w:ascii="Arial" w:cs="Arial" w:eastAsia="Arial" w:hAnsi="Arial"/>
          <w:sz w:val="18"/>
          <w:szCs w:val="18"/>
          <w:color w:val="auto"/>
        </w:rPr>
        <w:t xml:space="preserve"> (nintedanib). Companies working on clinical development programs for treatment of IPF include Biogen and FibroGen.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 for Solid Tumor Cancer</w:t>
      </w:r>
    </w:p>
    <w:p>
      <w:pPr>
        <w:spacing w:after="0" w:line="223" w:lineRule="exact"/>
        <w:rPr>
          <w:sz w:val="20"/>
          <w:szCs w:val="20"/>
          <w:color w:val="auto"/>
        </w:rPr>
      </w:pPr>
    </w:p>
    <w:p>
      <w:pPr>
        <w:ind w:firstLine="439"/>
        <w:spacing w:after="0" w:line="248" w:lineRule="auto"/>
        <w:rPr>
          <w:sz w:val="20"/>
          <w:szCs w:val="20"/>
          <w:color w:val="auto"/>
        </w:rPr>
      </w:pPr>
      <w:r>
        <w:rPr>
          <w:rFonts w:ascii="Arial" w:cs="Arial" w:eastAsia="Arial" w:hAnsi="Arial"/>
          <w:sz w:val="17"/>
          <w:szCs w:val="17"/>
          <w:color w:val="auto"/>
        </w:rPr>
        <w:t xml:space="preserve">Our MN-029 (denibulin) product candidate is being developed for the treatment of solid tumor cancers. Roche’s Kadcyla </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 HER2-targeted antibody and microtubule inhibitor conjugate, is approved for treatment of patients with HER2-positive metastatic breast cancer who previously were treated with trastuzumab and a taxane. Bayer’s Stivarga </w:t>
      </w:r>
      <w:r>
        <w:rPr>
          <w:rFonts w:ascii="Arial" w:cs="Arial" w:eastAsia="Arial" w:hAnsi="Arial"/>
          <w:sz w:val="21"/>
          <w:szCs w:val="21"/>
          <w:color w:val="auto"/>
          <w:vertAlign w:val="superscript"/>
        </w:rPr>
        <w:t>®</w:t>
      </w:r>
      <w:r>
        <w:rPr>
          <w:rFonts w:ascii="Arial" w:cs="Arial" w:eastAsia="Arial" w:hAnsi="Arial"/>
          <w:sz w:val="17"/>
          <w:szCs w:val="17"/>
          <w:color w:val="auto"/>
        </w:rPr>
        <w:t>, a kinase inhibitor approved for metastatic colorectal cancer, was also approved for patients with advanced, unresectable (not subject to surgical removal) or metastatic gastrointestinal stromal tumor. Other drugs approved for solid tumor cancers include Roche’s Avastin and Xeloda, Amgen’s Xgeva, Pfizer’s Sutent, and Novartis’s Afinitor. We are aware of additional compounds in development for the treatment of solid tumor cancers at companies including Eli Lilly, Roche, Novartis, Pfizer, Amgen and Celgene.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Government Regulation</w:t>
      </w:r>
    </w:p>
    <w:p>
      <w:pPr>
        <w:spacing w:after="0" w:line="227" w:lineRule="exact"/>
        <w:rPr>
          <w:sz w:val="20"/>
          <w:szCs w:val="20"/>
          <w:color w:val="auto"/>
        </w:rPr>
      </w:pPr>
    </w:p>
    <w:p>
      <w:pPr>
        <w:ind w:right="80" w:firstLine="439"/>
        <w:spacing w:after="0" w:line="253" w:lineRule="auto"/>
        <w:rPr>
          <w:sz w:val="20"/>
          <w:szCs w:val="20"/>
          <w:color w:val="auto"/>
        </w:rPr>
      </w:pPr>
      <w:r>
        <w:rPr>
          <w:rFonts w:ascii="Arial" w:cs="Arial" w:eastAsia="Arial" w:hAnsi="Arial"/>
          <w:sz w:val="18"/>
          <w:szCs w:val="18"/>
          <w:color w:val="auto"/>
        </w:rPr>
        <w:t>Government authorities in the United States and other countries extensively regulate the research, development, testing, manufacture, labeling, promotion, advertising, distribution, sampling, marketing and import and export of pharmaceutical products and biologics such as those we are developing. In the United States,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Regulatory Approval</w:t>
      </w:r>
    </w:p>
    <w:p>
      <w:pPr>
        <w:spacing w:after="0" w:line="223" w:lineRule="exact"/>
        <w:rPr>
          <w:sz w:val="20"/>
          <w:szCs w:val="20"/>
          <w:color w:val="auto"/>
        </w:rPr>
      </w:pPr>
    </w:p>
    <w:p>
      <w:pPr>
        <w:ind w:firstLine="439"/>
        <w:spacing w:after="0" w:line="274"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In the United States, drugs and drug testing are regulated by the FDA under the Federal Food, Drug and Cosmetic Act, or FDCA,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state and local government authorities. All our product candidates in development will require regulatory approval by government agencies prior to commercialization.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173" w:lineRule="exact"/>
        <w:rPr>
          <w:sz w:val="20"/>
          <w:szCs w:val="20"/>
          <w:color w:val="auto"/>
        </w:rPr>
      </w:pPr>
    </w:p>
    <w:p>
      <w:pPr>
        <w:ind w:left="860" w:hanging="423"/>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nonclinical laboratory, animal studies, and formulation studies;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of an IND which must become effective before human clinical trials may begin in the United States;</w:t>
      </w:r>
    </w:p>
    <w:p>
      <w:pPr>
        <w:spacing w:after="0" w:line="222" w:lineRule="exact"/>
        <w:rPr>
          <w:rFonts w:ascii="Arial" w:cs="Arial" w:eastAsia="Arial" w:hAnsi="Arial"/>
          <w:sz w:val="18"/>
          <w:szCs w:val="18"/>
          <w:color w:val="auto"/>
        </w:rPr>
      </w:pPr>
    </w:p>
    <w:p>
      <w:pPr>
        <w:ind w:left="860" w:right="260" w:hanging="423"/>
        <w:spacing w:after="0" w:line="275"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adequate and well-controlled human clinical trials to establish the safety and efficacy of the product candidate for each indication for which approval is sought;</w:t>
      </w:r>
    </w:p>
    <w:p>
      <w:pPr>
        <w:spacing w:after="0" w:line="170" w:lineRule="exact"/>
        <w:rPr>
          <w:rFonts w:ascii="Arial" w:cs="Arial" w:eastAsia="Arial" w:hAnsi="Arial"/>
          <w:sz w:val="18"/>
          <w:szCs w:val="18"/>
          <w:color w:val="auto"/>
        </w:rPr>
      </w:pPr>
    </w:p>
    <w:p>
      <w:pPr>
        <w:ind w:left="860" w:hanging="423"/>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 accompanied by a substantial user fee;</w:t>
      </w:r>
    </w:p>
    <w:p>
      <w:pPr>
        <w:spacing w:after="0" w:line="222" w:lineRule="exact"/>
        <w:rPr>
          <w:rFonts w:ascii="Arial" w:cs="Arial" w:eastAsia="Arial" w:hAnsi="Arial"/>
          <w:sz w:val="18"/>
          <w:szCs w:val="18"/>
          <w:color w:val="auto"/>
        </w:rPr>
      </w:pPr>
    </w:p>
    <w:p>
      <w:pPr>
        <w:ind w:left="860" w:right="200" w:hanging="423"/>
        <w:spacing w:after="0" w:line="339"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development of manufacturing processes which conform to FDA-mandated commercial good manufacturing practices (cGMPs) and satisfactory completion of FDA inspections to assess cGMP compliance and clinical investigator compliance with good clinical practices; and</w:t>
      </w:r>
    </w:p>
    <w:p>
      <w:pPr>
        <w:spacing w:after="0" w:line="124" w:lineRule="exact"/>
        <w:rPr>
          <w:rFonts w:ascii="Arial" w:cs="Arial" w:eastAsia="Arial" w:hAnsi="Arial"/>
          <w:sz w:val="16"/>
          <w:szCs w:val="16"/>
          <w:color w:val="auto"/>
        </w:rPr>
      </w:pPr>
    </w:p>
    <w:p>
      <w:pPr>
        <w:ind w:left="860" w:right="360" w:hanging="423"/>
        <w:spacing w:after="0" w:line="275"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170" w:lineRule="exact"/>
        <w:rPr>
          <w:sz w:val="20"/>
          <w:szCs w:val="20"/>
          <w:color w:val="auto"/>
        </w:rPr>
      </w:pPr>
    </w:p>
    <w:p>
      <w:pPr>
        <w:ind w:right="160" w:firstLine="439"/>
        <w:spacing w:after="0" w:line="257" w:lineRule="auto"/>
        <w:rPr>
          <w:sz w:val="20"/>
          <w:szCs w:val="20"/>
          <w:color w:val="auto"/>
        </w:rPr>
      </w:pPr>
      <w:r>
        <w:rPr>
          <w:rFonts w:ascii="Arial" w:cs="Arial" w:eastAsia="Arial" w:hAnsi="Arial"/>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approvals of our drugs. The FDA may not act quickly or favorably in reviewing our applications, and we may encounter significant difficulties and costs in our efforts to obtain FDA approvals that could delay or preclude us from marketing our product candidates.</w:t>
      </w:r>
    </w:p>
    <w:p>
      <w:pPr>
        <w:spacing w:after="0" w:line="188" w:lineRule="exact"/>
        <w:rPr>
          <w:sz w:val="20"/>
          <w:szCs w:val="20"/>
          <w:color w:val="auto"/>
        </w:rPr>
      </w:pPr>
    </w:p>
    <w:p>
      <w:pPr>
        <w:ind w:right="60" w:firstLine="439"/>
        <w:spacing w:after="0" w:line="277" w:lineRule="auto"/>
        <w:rPr>
          <w:sz w:val="20"/>
          <w:szCs w:val="20"/>
          <w:color w:val="auto"/>
        </w:rPr>
      </w:pPr>
      <w:r>
        <w:rPr>
          <w:rFonts w:ascii="Arial" w:cs="Arial" w:eastAsia="Arial" w:hAnsi="Arial"/>
          <w:sz w:val="17"/>
          <w:szCs w:val="17"/>
          <w:i w:val="1"/>
          <w:iCs w:val="1"/>
          <w:color w:val="auto"/>
        </w:rPr>
        <w:t xml:space="preserve">Preclinical Tests. </w:t>
      </w:r>
      <w:r>
        <w:rPr>
          <w:rFonts w:ascii="Arial" w:cs="Arial" w:eastAsia="Arial" w:hAnsi="Arial"/>
          <w:sz w:val="17"/>
          <w:szCs w:val="17"/>
          <w:color w:val="auto"/>
        </w:rPr>
        <w:t>Preclinical tests include laboratory evaluation of the product candidate, its chemistry, toxicity, formulation and stability,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animal 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172" w:lineRule="exact"/>
        <w:rPr>
          <w:sz w:val="20"/>
          <w:szCs w:val="20"/>
          <w:color w:val="auto"/>
        </w:rPr>
      </w:pPr>
    </w:p>
    <w:p>
      <w:pPr>
        <w:ind w:right="40" w:firstLine="439"/>
        <w:spacing w:after="0" w:line="275" w:lineRule="auto"/>
        <w:rPr>
          <w:sz w:val="20"/>
          <w:szCs w:val="20"/>
          <w:color w:val="auto"/>
        </w:rPr>
      </w:pPr>
      <w:r>
        <w:rPr>
          <w:rFonts w:ascii="Arial" w:cs="Arial" w:eastAsia="Arial" w:hAnsi="Arial"/>
          <w:sz w:val="18"/>
          <w:szCs w:val="18"/>
          <w:i w:val="1"/>
          <w:iCs w:val="1"/>
          <w:color w:val="auto"/>
        </w:rPr>
        <w:t xml:space="preserve">The IND Process. </w:t>
      </w:r>
      <w:r>
        <w:rPr>
          <w:rFonts w:ascii="Arial" w:cs="Arial" w:eastAsia="Arial" w:hAnsi="Arial"/>
          <w:sz w:val="18"/>
          <w:szCs w:val="18"/>
          <w:color w:val="auto"/>
        </w:rPr>
        <w:t>An IND must be effective to administer an investigational drug to humans. The IND will automatically become effective 30 days after</w:t>
      </w:r>
      <w:r>
        <w:rPr>
          <w:rFonts w:ascii="Arial" w:cs="Arial" w:eastAsia="Arial" w:hAnsi="Arial"/>
          <w:sz w:val="18"/>
          <w:szCs w:val="18"/>
          <w:i w:val="1"/>
          <w:iCs w:val="1"/>
          <w:color w:val="auto"/>
        </w:rPr>
        <w:t xml:space="preserve"> </w:t>
      </w:r>
      <w:r>
        <w:rPr>
          <w:rFonts w:ascii="Arial" w:cs="Arial" w:eastAsia="Arial" w:hAnsi="Arial"/>
          <w:sz w:val="18"/>
          <w:szCs w:val="18"/>
          <w:color w:val="auto"/>
        </w:rPr>
        <w:t>its receipt by the FDA unless the FDA, before that time, places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both"/>
        <w:ind w:right="400"/>
        <w:spacing w:after="0" w:line="300" w:lineRule="auto"/>
        <w:rPr>
          <w:sz w:val="20"/>
          <w:szCs w:val="20"/>
          <w:color w:val="auto"/>
        </w:rPr>
      </w:pPr>
      <w:r>
        <w:rPr>
          <w:rFonts w:ascii="Arial" w:cs="Arial" w:eastAsia="Arial" w:hAnsi="Arial"/>
          <w:sz w:val="16"/>
          <w:szCs w:val="16"/>
          <w:color w:val="auto"/>
        </w:rPr>
        <w:t>IND on clinical hold. At any time thereafter, the FDA may raise concerns or questions about the conduct of the trials as outlined in the IND and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 candidates. Moreover, positive results in preclinical tests or prior human studies do not necessarily predict positive results in subsequent clinical trials.</w:t>
      </w:r>
    </w:p>
    <w:p>
      <w:pPr>
        <w:spacing w:after="0" w:line="154" w:lineRule="exact"/>
        <w:rPr>
          <w:sz w:val="20"/>
          <w:szCs w:val="20"/>
          <w:color w:val="auto"/>
        </w:rPr>
      </w:pPr>
    </w:p>
    <w:p>
      <w:pPr>
        <w:ind w:firstLine="439"/>
        <w:spacing w:after="0" w:line="262" w:lineRule="auto"/>
        <w:rPr>
          <w:sz w:val="20"/>
          <w:szCs w:val="20"/>
          <w:color w:val="auto"/>
        </w:rPr>
      </w:pPr>
      <w:r>
        <w:rPr>
          <w:rFonts w:ascii="Arial" w:cs="Arial" w:eastAsia="Arial" w:hAnsi="Arial"/>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findings from tests in laboratory animals that suggest a significant risk for human subjects.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Human clinical trials are typically conducted in three sequential phases that may overlap:</w:t>
      </w:r>
    </w:p>
    <w:p>
      <w:pPr>
        <w:spacing w:after="0" w:line="223" w:lineRule="exact"/>
        <w:rPr>
          <w:sz w:val="20"/>
          <w:szCs w:val="20"/>
          <w:color w:val="auto"/>
        </w:rPr>
      </w:pPr>
    </w:p>
    <w:p>
      <w:pPr>
        <w:ind w:left="860" w:right="60" w:hanging="423"/>
        <w:spacing w:after="0" w:line="262"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1: The drug candidate is initially introduced into a small number of healthy human subjects or patients and tested for safety, dosage tolerance, absorption, distribution, excretion and metabolism. If the investigational product is considered inherently toxic to ethically administer to healthy volunteers, the initial human testing is often conducted in the target population.</w:t>
      </w:r>
    </w:p>
    <w:p>
      <w:pPr>
        <w:spacing w:after="0" w:line="181" w:lineRule="exact"/>
        <w:rPr>
          <w:rFonts w:ascii="Arial" w:cs="Arial" w:eastAsia="Arial" w:hAnsi="Arial"/>
          <w:sz w:val="18"/>
          <w:szCs w:val="18"/>
          <w:color w:val="auto"/>
        </w:rPr>
      </w:pPr>
    </w:p>
    <w:p>
      <w:pPr>
        <w:ind w:left="860" w:right="20" w:hanging="423"/>
        <w:spacing w:after="0" w:line="275"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2: The drug candidate is introduced into a limited patient population to assess the efficacy of the drug in specific, targeted indications, assess dosage tolerance and optimal dosage, and to identify possible adverse effects and safety risks.</w:t>
      </w:r>
    </w:p>
    <w:p>
      <w:pPr>
        <w:spacing w:after="0" w:line="170" w:lineRule="exact"/>
        <w:rPr>
          <w:rFonts w:ascii="Arial" w:cs="Arial" w:eastAsia="Arial" w:hAnsi="Arial"/>
          <w:sz w:val="18"/>
          <w:szCs w:val="18"/>
          <w:color w:val="auto"/>
        </w:rPr>
      </w:pPr>
    </w:p>
    <w:p>
      <w:pPr>
        <w:ind w:left="860" w:right="20" w:hanging="423"/>
        <w:spacing w:after="0" w:line="309" w:lineRule="auto"/>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Phase 3: The drug candidate is introduced into an expanded patient population at geographically dispersed clinical trial sites to further evaluate clinical efficacy and safety. The purpose of the Phase 3 trial is to conduct a risk/benefit analysis of the potential drug and provide an adequate basis for product labeling. It is common to have two adequate and well-controlled Phase 3 trials for the FDA to approve an NDA.</w:t>
      </w:r>
    </w:p>
    <w:p>
      <w:pPr>
        <w:spacing w:after="0" w:line="149" w:lineRule="exact"/>
        <w:rPr>
          <w:sz w:val="20"/>
          <w:szCs w:val="20"/>
          <w:color w:val="auto"/>
        </w:rPr>
      </w:pPr>
    </w:p>
    <w:p>
      <w:pPr>
        <w:ind w:right="320" w:firstLine="439"/>
        <w:spacing w:after="0" w:line="275" w:lineRule="auto"/>
        <w:rPr>
          <w:sz w:val="20"/>
          <w:szCs w:val="20"/>
          <w:color w:val="auto"/>
        </w:rPr>
      </w:pPr>
      <w:r>
        <w:rPr>
          <w:rFonts w:ascii="Arial" w:cs="Arial" w:eastAsia="Arial" w:hAnsi="Arial"/>
          <w:sz w:val="18"/>
          <w:szCs w:val="18"/>
          <w:color w:val="auto"/>
        </w:rPr>
        <w:t>Prior to initiation of each clinical trial, an independent Institutional Review Board (IRB) for each medical site proposing to conduct the clinical trials must review and approve the study protocol and study subjects must provide informed consent for participation in the study.</w:t>
      </w:r>
    </w:p>
    <w:p>
      <w:pPr>
        <w:spacing w:after="0" w:line="170" w:lineRule="exact"/>
        <w:rPr>
          <w:sz w:val="20"/>
          <w:szCs w:val="20"/>
          <w:color w:val="auto"/>
        </w:rPr>
      </w:pPr>
    </w:p>
    <w:p>
      <w:pPr>
        <w:ind w:right="40" w:firstLine="439"/>
        <w:spacing w:after="0" w:line="292" w:lineRule="auto"/>
        <w:rPr>
          <w:sz w:val="20"/>
          <w:szCs w:val="20"/>
          <w:color w:val="auto"/>
        </w:rPr>
      </w:pPr>
      <w:r>
        <w:rPr>
          <w:rFonts w:ascii="Arial" w:cs="Arial" w:eastAsia="Arial" w:hAnsi="Arial"/>
          <w:sz w:val="16"/>
          <w:szCs w:val="16"/>
          <w:color w:val="auto"/>
        </w:rPr>
        <w:t>We cannot be certain that we will successfully complete Phase 1, 2 or 3 testing of our drug candidates within any specific time period, if at all. Clinical trials must be conducted in accordance with the FDA’s good clinical practices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 In addition, we may suspend or discontinue a clinical trial at any time for a variety of reasons, including a finding that the research subjects or patients are being exposed to an unacceptable health risk.</w:t>
      </w:r>
    </w:p>
    <w:p>
      <w:pPr>
        <w:spacing w:after="0" w:line="161" w:lineRule="exact"/>
        <w:rPr>
          <w:sz w:val="20"/>
          <w:szCs w:val="20"/>
          <w:color w:val="auto"/>
        </w:rPr>
      </w:pPr>
    </w:p>
    <w:p>
      <w:pPr>
        <w:ind w:right="40" w:firstLine="439"/>
        <w:spacing w:after="0" w:line="270" w:lineRule="auto"/>
        <w:rPr>
          <w:sz w:val="20"/>
          <w:szCs w:val="20"/>
          <w:color w:val="auto"/>
        </w:rPr>
      </w:pPr>
      <w:r>
        <w:rPr>
          <w:rFonts w:ascii="Arial" w:cs="Arial" w:eastAsia="Arial" w:hAnsi="Arial"/>
          <w:sz w:val="17"/>
          <w:szCs w:val="17"/>
          <w:color w:val="auto"/>
        </w:rPr>
        <w:t>During the development of a new drug, we may request to meet with the FDA at times such as prior to submitting an IND, at the End-of-Phase 2 meeting, and before an NDA is submitted, and meetings are not limited to these certain times. The purpose of the End-of-Phase 2 meeting is to discuss the Phase 2 clinical trial results and present plans for a pivotal Phase 3 trial that, in our opinion, will support the approval of the new drug. Additional animal safety studies, formulation studies and pharmacology studies are concurrently conducted with the ongoing clinical trials. Also, in compliance with cGMP requirements, the process for manufacturing commercial quantities of the new drug is finalized, with the expectation that the quality, purity, and potency of the drug will meet standards. A sponsor may also request a Special Protocol Assessment (SPA), the purpose of which is to reach agreement with the FDA on the Phase 3 clinical trial protocol design and analysis that will form the primary basis of an efficacy claim.</w:t>
      </w:r>
    </w:p>
    <w:p>
      <w:pPr>
        <w:spacing w:after="0" w:line="179" w:lineRule="exact"/>
        <w:rPr>
          <w:sz w:val="20"/>
          <w:szCs w:val="20"/>
          <w:color w:val="auto"/>
        </w:rPr>
      </w:pPr>
    </w:p>
    <w:p>
      <w:pPr>
        <w:jc w:val="both"/>
        <w:ind w:right="100" w:firstLine="439"/>
        <w:spacing w:after="0" w:line="309" w:lineRule="auto"/>
        <w:rPr>
          <w:sz w:val="20"/>
          <w:szCs w:val="20"/>
          <w:color w:val="auto"/>
        </w:rPr>
      </w:pPr>
      <w:r>
        <w:rPr>
          <w:rFonts w:ascii="Arial" w:cs="Arial" w:eastAsia="Arial" w:hAnsi="Arial"/>
          <w:sz w:val="16"/>
          <w:szCs w:val="16"/>
          <w:i w:val="1"/>
          <w:iCs w:val="1"/>
          <w:color w:val="auto"/>
        </w:rPr>
        <w:t xml:space="preserve">Fast track designation: </w:t>
      </w:r>
      <w:r>
        <w:rPr>
          <w:rFonts w:ascii="Arial" w:cs="Arial" w:eastAsia="Arial" w:hAnsi="Arial"/>
          <w:sz w:val="16"/>
          <w:szCs w:val="16"/>
          <w:color w:val="auto"/>
        </w:rPr>
        <w:t>The FDA has a Fast Track program that is intended to expedite or facilitate the process for reviewing new drugs and biological</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ind w:right="40"/>
        <w:spacing w:after="0" w:line="257" w:lineRule="auto"/>
        <w:rPr>
          <w:sz w:val="20"/>
          <w:szCs w:val="20"/>
          <w:color w:val="auto"/>
        </w:rPr>
      </w:pPr>
      <w:r>
        <w:rPr>
          <w:rFonts w:ascii="Arial" w:cs="Arial" w:eastAsia="Arial" w:hAnsi="Arial"/>
          <w:sz w:val="18"/>
          <w:szCs w:val="18"/>
          <w:color w:val="auto"/>
        </w:rPr>
        <w:t>the combination of the product and the specific indication for which it is being studied.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214" w:lineRule="exact"/>
        <w:rPr>
          <w:sz w:val="20"/>
          <w:szCs w:val="20"/>
          <w:color w:val="auto"/>
        </w:rPr>
      </w:pPr>
    </w:p>
    <w:p>
      <w:pPr>
        <w:ind w:right="80" w:firstLine="439"/>
        <w:spacing w:after="0" w:line="285" w:lineRule="auto"/>
        <w:rPr>
          <w:sz w:val="20"/>
          <w:szCs w:val="20"/>
          <w:color w:val="auto"/>
        </w:rPr>
      </w:pPr>
      <w:r>
        <w:rPr>
          <w:rFonts w:ascii="Arial" w:cs="Arial" w:eastAsia="Arial" w:hAnsi="Arial"/>
          <w:sz w:val="16"/>
          <w:szCs w:val="16"/>
          <w:color w:val="auto"/>
        </w:rPr>
        <w:t>Any product submitted to the FDA for marketing, including a Fast Track program, may also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NDA designated for priority review in an effort to facilitate the review. Additionally, a product may be eligible for accelerated approval. Drug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71" w:lineRule="exact"/>
        <w:rPr>
          <w:sz w:val="20"/>
          <w:szCs w:val="20"/>
          <w:color w:val="auto"/>
        </w:rPr>
      </w:pPr>
    </w:p>
    <w:p>
      <w:pPr>
        <w:ind w:right="40" w:firstLine="439"/>
        <w:spacing w:after="0" w:line="267" w:lineRule="auto"/>
        <w:rPr>
          <w:sz w:val="20"/>
          <w:szCs w:val="20"/>
          <w:color w:val="auto"/>
        </w:rPr>
      </w:pPr>
      <w:r>
        <w:rPr>
          <w:rFonts w:ascii="Arial" w:cs="Arial" w:eastAsia="Arial" w:hAnsi="Arial"/>
          <w:sz w:val="17"/>
          <w:szCs w:val="17"/>
          <w:i w:val="1"/>
          <w:iCs w:val="1"/>
          <w:color w:val="auto"/>
        </w:rPr>
        <w:t xml:space="preserve">United States patent term restoration and marketing exclusivity: </w:t>
      </w:r>
      <w:r>
        <w:rPr>
          <w:rFonts w:ascii="Arial" w:cs="Arial" w:eastAsia="Arial" w:hAnsi="Arial"/>
          <w:sz w:val="17"/>
          <w:szCs w:val="17"/>
          <w:color w:val="auto"/>
        </w:rPr>
        <w:t>Depending upon the timing, duration and specifics of the FDA approval of a drug</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 some U.S. patents covering the product candidates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terms for one or more of our currently owned or licensed patents to add patent life beyond its current expiration date, depending on the expected length of the clinical trials and other factors involved in the filing of the relevant NDA.</w:t>
      </w:r>
    </w:p>
    <w:p>
      <w:pPr>
        <w:spacing w:after="0" w:line="186" w:lineRule="exact"/>
        <w:rPr>
          <w:sz w:val="20"/>
          <w:szCs w:val="20"/>
          <w:color w:val="auto"/>
        </w:rPr>
      </w:pPr>
    </w:p>
    <w:p>
      <w:pPr>
        <w:ind w:firstLine="439"/>
        <w:spacing w:after="0" w:line="266" w:lineRule="auto"/>
        <w:rPr>
          <w:sz w:val="20"/>
          <w:szCs w:val="20"/>
          <w:color w:val="auto"/>
        </w:rPr>
      </w:pPr>
      <w:r>
        <w:rPr>
          <w:rFonts w:ascii="Arial" w:cs="Arial" w:eastAsia="Arial" w:hAnsi="Arial"/>
          <w:sz w:val="17"/>
          <w:szCs w:val="17"/>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the preclinical studies and adequate and well-controlled clinical trials necessary to demonstrate safety and effectiveness. Pediatric exclusivity is another type of regulatory market exclusivity in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ind w:right="60"/>
        <w:spacing w:after="0" w:line="262" w:lineRule="auto"/>
        <w:rPr>
          <w:sz w:val="20"/>
          <w:szCs w:val="20"/>
          <w:color w:val="auto"/>
        </w:rPr>
      </w:pPr>
      <w:r>
        <w:rPr>
          <w:rFonts w:ascii="Arial" w:cs="Arial" w:eastAsia="Arial" w:hAnsi="Arial"/>
          <w:sz w:val="18"/>
          <w:szCs w:val="18"/>
          <w:color w:val="auto"/>
        </w:rPr>
        <w:t>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208" w:lineRule="exact"/>
        <w:rPr>
          <w:sz w:val="20"/>
          <w:szCs w:val="20"/>
          <w:color w:val="auto"/>
        </w:rPr>
      </w:pPr>
    </w:p>
    <w:p>
      <w:pPr>
        <w:ind w:right="80" w:firstLine="439"/>
        <w:spacing w:after="0" w:line="305" w:lineRule="auto"/>
        <w:rPr>
          <w:sz w:val="20"/>
          <w:szCs w:val="20"/>
          <w:color w:val="auto"/>
        </w:rPr>
      </w:pPr>
      <w:r>
        <w:rPr>
          <w:rFonts w:ascii="Arial" w:cs="Arial" w:eastAsia="Arial" w:hAnsi="Arial"/>
          <w:sz w:val="17"/>
          <w:szCs w:val="17"/>
          <w:i w:val="1"/>
          <w:iCs w:val="1"/>
          <w:color w:val="auto"/>
        </w:rPr>
        <w:t xml:space="preserve">Regulation outside the United States: </w:t>
      </w:r>
      <w:r>
        <w:rPr>
          <w:rFonts w:ascii="Arial" w:cs="Arial" w:eastAsia="Arial" w:hAnsi="Arial"/>
          <w:sz w:val="17"/>
          <w:szCs w:val="17"/>
          <w:color w:val="auto"/>
        </w:rPr>
        <w:t>In addition to regulations in the United States, we and our strategic alliance partners will be subject to a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in other jurisdictions governing, among other things, clinical trials and any commercial sales and distribution of our products.</w:t>
      </w:r>
    </w:p>
    <w:p>
      <w:pPr>
        <w:spacing w:after="0" w:line="148" w:lineRule="exact"/>
        <w:rPr>
          <w:sz w:val="20"/>
          <w:szCs w:val="20"/>
          <w:color w:val="auto"/>
        </w:rPr>
      </w:pPr>
    </w:p>
    <w:p>
      <w:pPr>
        <w:ind w:right="180" w:firstLine="439"/>
        <w:spacing w:after="0" w:line="295"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58" w:lineRule="exact"/>
        <w:rPr>
          <w:sz w:val="20"/>
          <w:szCs w:val="20"/>
          <w:color w:val="auto"/>
        </w:rPr>
      </w:pPr>
    </w:p>
    <w:p>
      <w:pPr>
        <w:ind w:right="80" w:firstLine="439"/>
        <w:spacing w:after="0" w:line="262"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81" w:lineRule="exact"/>
        <w:rPr>
          <w:sz w:val="20"/>
          <w:szCs w:val="20"/>
          <w:color w:val="auto"/>
        </w:rPr>
      </w:pPr>
    </w:p>
    <w:p>
      <w:pPr>
        <w:ind w:right="180" w:firstLine="439"/>
        <w:spacing w:after="0" w:line="262" w:lineRule="auto"/>
        <w:rPr>
          <w:sz w:val="20"/>
          <w:szCs w:val="20"/>
          <w:color w:val="auto"/>
        </w:rPr>
      </w:pPr>
      <w:r>
        <w:rPr>
          <w:rFonts w:ascii="Arial" w:cs="Arial" w:eastAsia="Arial" w:hAnsi="Arial"/>
          <w:sz w:val="18"/>
          <w:szCs w:val="18"/>
          <w:color w:val="auto"/>
        </w:rPr>
        <w:t>To obtain regulatory approval of an investigational drug under European Union regulatory systems, we or our strategic alliance partners must submit a marketing authorization application. The application used to file the NDA in the United States is similar to that required in the European Union, except for, among other things, country-specific document requirements.</w:t>
      </w:r>
    </w:p>
    <w:p>
      <w:pPr>
        <w:spacing w:after="0" w:line="181" w:lineRule="exact"/>
        <w:rPr>
          <w:sz w:val="20"/>
          <w:szCs w:val="20"/>
          <w:color w:val="auto"/>
        </w:rPr>
      </w:pPr>
    </w:p>
    <w:p>
      <w:pPr>
        <w:jc w:val="both"/>
        <w:ind w:right="80" w:firstLine="439"/>
        <w:spacing w:after="0" w:line="284" w:lineRule="auto"/>
        <w:rPr>
          <w:sz w:val="20"/>
          <w:szCs w:val="20"/>
          <w:color w:val="auto"/>
        </w:rPr>
      </w:pPr>
      <w:r>
        <w:rPr>
          <w:rFonts w:ascii="Arial" w:cs="Arial" w:eastAsia="Arial" w:hAnsi="Arial"/>
          <w:sz w:val="17"/>
          <w:szCs w:val="17"/>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65" w:lineRule="exact"/>
        <w:rPr>
          <w:sz w:val="20"/>
          <w:szCs w:val="20"/>
          <w:color w:val="auto"/>
        </w:rPr>
      </w:pPr>
    </w:p>
    <w:p>
      <w:pPr>
        <w:ind w:right="160" w:firstLine="439"/>
        <w:spacing w:after="0" w:line="305" w:lineRule="auto"/>
        <w:rPr>
          <w:sz w:val="20"/>
          <w:szCs w:val="20"/>
          <w:color w:val="auto"/>
        </w:rPr>
      </w:pPr>
      <w:r>
        <w:rPr>
          <w:rFonts w:ascii="Arial" w:cs="Arial" w:eastAsia="Arial" w:hAnsi="Arial"/>
          <w:sz w:val="17"/>
          <w:szCs w:val="17"/>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7" w:lineRule="exact"/>
        <w:rPr>
          <w:sz w:val="20"/>
          <w:szCs w:val="20"/>
          <w:color w:val="auto"/>
        </w:rPr>
      </w:pPr>
    </w:p>
    <w:p>
      <w:pPr>
        <w:jc w:val="both"/>
        <w:ind w:right="60" w:firstLine="439"/>
        <w:spacing w:after="0" w:line="262" w:lineRule="auto"/>
        <w:rPr>
          <w:sz w:val="20"/>
          <w:szCs w:val="20"/>
          <w:color w:val="auto"/>
        </w:rPr>
      </w:pPr>
      <w:r>
        <w:rPr>
          <w:rFonts w:ascii="Arial" w:cs="Arial" w:eastAsia="Arial" w:hAnsi="Arial"/>
          <w:sz w:val="18"/>
          <w:szCs w:val="18"/>
          <w:color w:val="auto"/>
        </w:rPr>
        <w:t>We have assembled an experienced and cohesive management and support team, with core competencies in general management, clinical development, regulatory affairs and corporate development. We have nine full-time employees as of the date of this report. We believe that our relations with our employees are good, and we have no history of work stoppages.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7" w:lineRule="exact"/>
        <w:rPr>
          <w:sz w:val="20"/>
          <w:szCs w:val="20"/>
          <w:color w:val="auto"/>
        </w:rPr>
      </w:pPr>
    </w:p>
    <w:p>
      <w:pPr>
        <w:ind w:firstLine="439"/>
        <w:spacing w:after="0" w:line="257" w:lineRule="auto"/>
        <w:rPr>
          <w:sz w:val="20"/>
          <w:szCs w:val="20"/>
          <w:color w:val="auto"/>
        </w:rPr>
      </w:pPr>
      <w:r>
        <w:rPr>
          <w:rFonts w:ascii="Arial" w:cs="Arial" w:eastAsia="Arial" w:hAnsi="Arial"/>
          <w:sz w:val="18"/>
          <w:szCs w:val="18"/>
          <w:color w:val="auto"/>
        </w:rPr>
        <w:t>We were originally incorporated in the State of Delaware in September 2000. Our principal executive offices are located at 4275 Executive Square, Suite 300, La Jolla, CA 92037. Our telephone number is 858-373-1500. Our website is www.medicinova.com, which includes links to reports we have filed with the Securities and Exchange Commission, or SEC. The information contained in, or that can be accessed through, our website is not part of, and is not incorporated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operating losses since our inception and expect that we will incur continued losses for the foreseeable future.</w:t>
      </w:r>
    </w:p>
    <w:p>
      <w:pPr>
        <w:spacing w:after="0" w:line="127" w:lineRule="exact"/>
        <w:rPr>
          <w:sz w:val="20"/>
          <w:szCs w:val="20"/>
          <w:color w:val="auto"/>
        </w:rPr>
      </w:pPr>
    </w:p>
    <w:p>
      <w:pPr>
        <w:ind w:right="40" w:firstLine="439"/>
        <w:spacing w:after="0" w:line="292" w:lineRule="auto"/>
        <w:rPr>
          <w:sz w:val="20"/>
          <w:szCs w:val="20"/>
          <w:color w:val="auto"/>
        </w:rPr>
      </w:pPr>
      <w:r>
        <w:rPr>
          <w:rFonts w:ascii="Arial" w:cs="Arial" w:eastAsia="Arial" w:hAnsi="Arial"/>
          <w:sz w:val="16"/>
          <w:szCs w:val="16"/>
          <w:color w:val="auto"/>
        </w:rPr>
        <w:t>We have incurred significant net losses since our inception. For the year ended December 31, 2018, we had a net loss of $14.7 million. At December 31, 2018, from inception, our accumulated deficit was $356.1 million. We expect to incur substantial net losses for the next several years as we continue to develop certain of our existing product development candidates, and over the long-term if we expand our research and development programs and acquire or in-license products, technologies or businesses that are complementary to our own. As of December 31, 2018, we had available cash and cash equivalents of $62.3 million and working capital of $60.6 million. There can be no assurances that there will be adequate financing available to us in the future on acceptable terms, or at all. If we are unable to obtain additional financing, we may have to out-license or sell one or more of our programs or cease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Our future cash requirements will also depend on many factors, including:</w:t>
      </w:r>
    </w:p>
    <w:p>
      <w:pPr>
        <w:spacing w:after="0" w:line="250" w:lineRule="exact"/>
        <w:rPr>
          <w:sz w:val="20"/>
          <w:szCs w:val="20"/>
          <w:color w:val="auto"/>
        </w:rPr>
      </w:pPr>
    </w:p>
    <w:p>
      <w:pPr>
        <w:ind w:left="860" w:hanging="423"/>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209" w:lineRule="exact"/>
        <w:rPr>
          <w:rFonts w:ascii="Arial" w:cs="Arial" w:eastAsia="Arial" w:hAnsi="Arial"/>
          <w:sz w:val="18"/>
          <w:szCs w:val="18"/>
          <w:color w:val="auto"/>
        </w:rPr>
      </w:pPr>
    </w:p>
    <w:p>
      <w:pPr>
        <w:ind w:left="860" w:hanging="423"/>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222" w:lineRule="exact"/>
        <w:rPr>
          <w:rFonts w:ascii="Arial" w:cs="Arial" w:eastAsia="Arial" w:hAnsi="Arial"/>
          <w:sz w:val="18"/>
          <w:szCs w:val="18"/>
          <w:color w:val="auto"/>
        </w:rPr>
      </w:pPr>
    </w:p>
    <w:p>
      <w:pPr>
        <w:ind w:left="860" w:right="120" w:hanging="423"/>
        <w:spacing w:after="0" w:line="275"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170" w:lineRule="exact"/>
        <w:rPr>
          <w:rFonts w:ascii="Arial" w:cs="Arial" w:eastAsia="Arial" w:hAnsi="Arial"/>
          <w:sz w:val="18"/>
          <w:szCs w:val="18"/>
          <w:color w:val="auto"/>
        </w:rPr>
      </w:pPr>
    </w:p>
    <w:p>
      <w:pPr>
        <w:ind w:left="860" w:hanging="423"/>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agreements and other arrangements;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associated with any expansion of our management, personnel, systems and facilities;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980" w:right="259" w:bottom="1440" w:gutter="0" w:footer="0" w:header="0"/>
        </w:sectPr>
      </w:pPr>
    </w:p>
    <w:bookmarkStart w:id="28" w:name="page29"/>
    <w:bookmarkEnd w:id="28"/>
    <w:p>
      <w:pPr>
        <w:ind w:left="860"/>
        <w:spacing w:after="0"/>
        <w:rPr>
          <w:sz w:val="20"/>
          <w:szCs w:val="20"/>
          <w:color w:val="auto"/>
        </w:rPr>
      </w:pPr>
      <w:r>
        <w:rPr>
          <w:rFonts w:ascii="Arial" w:cs="Arial" w:eastAsia="Arial" w:hAnsi="Arial"/>
          <w:sz w:val="18"/>
          <w:szCs w:val="18"/>
          <w:color w:val="auto"/>
        </w:rPr>
        <w:t>if we obtain regulatory approval to market our product candidates.</w:t>
      </w:r>
    </w:p>
    <w:p>
      <w:pPr>
        <w:spacing w:after="0" w:line="236" w:lineRule="exact"/>
        <w:rPr>
          <w:sz w:val="20"/>
          <w:szCs w:val="20"/>
          <w:color w:val="auto"/>
        </w:rPr>
      </w:pPr>
    </w:p>
    <w:p>
      <w:pPr>
        <w:ind w:right="80" w:firstLine="439"/>
        <w:spacing w:after="0" w:line="274" w:lineRule="auto"/>
        <w:rPr>
          <w:sz w:val="20"/>
          <w:szCs w:val="20"/>
          <w:color w:val="auto"/>
        </w:rPr>
      </w:pPr>
      <w:r>
        <w:rPr>
          <w:rFonts w:ascii="Arial" w:cs="Arial" w:eastAsia="Arial" w:hAnsi="Arial"/>
          <w:sz w:val="17"/>
          <w:szCs w:val="17"/>
          <w:color w:val="auto"/>
        </w:rPr>
        <w:t>We expect our research and development expenses to increase in 2019 relative to 2018 as we continue our focus on the development of MN-166 (ibudilast) and MN-001 (tipelukast) in 2019. Our estimate of cash requirements for future operating expenses assumes that we do not incur significant additional new clinical development expenditures unless we raise additional capital and/or enter into one or more strategic alliances. We do expect to continue to incur significant operating losses for the foreseeable future. Because of the numerous risks and uncertainties associated with developing drug products, we are unable to predict the extent of any future losses or when we will become profitable, if at all.</w:t>
      </w:r>
    </w:p>
    <w:p>
      <w:pPr>
        <w:spacing w:after="0" w:line="200" w:lineRule="exact"/>
        <w:rPr>
          <w:sz w:val="20"/>
          <w:szCs w:val="20"/>
          <w:color w:val="auto"/>
        </w:rPr>
      </w:pPr>
    </w:p>
    <w:p>
      <w:pPr>
        <w:ind w:right="20" w:firstLine="439"/>
        <w:spacing w:after="0" w:line="257" w:lineRule="auto"/>
        <w:rPr>
          <w:sz w:val="20"/>
          <w:szCs w:val="20"/>
          <w:color w:val="auto"/>
        </w:rPr>
      </w:pPr>
      <w:r>
        <w:rPr>
          <w:rFonts w:ascii="Arial" w:cs="Arial" w:eastAsia="Arial" w:hAnsi="Arial"/>
          <w:sz w:val="18"/>
          <w:szCs w:val="18"/>
          <w:color w:val="auto"/>
        </w:rPr>
        <w:t>If we have taxable income in the future, utilization of the net operating losses, or NOL, and tax credit carry-forwards will be subject to a substantial annual limitation under Sections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obtain the capital necessary to fund our operations, we will be unable to develop and commercialize our product candidates.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consumed substantial amounts of capital since our inception.</w:t>
      </w:r>
    </w:p>
    <w:p>
      <w:pPr>
        <w:spacing w:after="0" w:line="223"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Our business will continue to require us to incur substantial research and development expenses. We believe that without raising additional capital from accessible sources of financing, we will not otherwise have adequate funding to continue our operations and to complete the development of our existing product candidates or the commercialization of any products we successfully develop. There is no guarantee that adequate funds will be available when needed from debt or equity financings, arrangements with partners, or from other sources, on terms attractive to us, or at all. The inability to obtain sufficient additional funds when needed to fund our operations would require us to significantly delay, scale back, or eliminate some or all of our clinical or regulatory activities and reduce general and administrative expenses.</w:t>
      </w:r>
    </w:p>
    <w:p>
      <w:pPr>
        <w:spacing w:after="0" w:line="190"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63" w:lineRule="exact"/>
        <w:rPr>
          <w:sz w:val="20"/>
          <w:szCs w:val="20"/>
          <w:color w:val="auto"/>
        </w:rPr>
      </w:pPr>
    </w:p>
    <w:p>
      <w:pPr>
        <w:ind w:right="40" w:firstLine="439"/>
        <w:spacing w:after="0" w:line="292" w:lineRule="auto"/>
        <w:rPr>
          <w:sz w:val="20"/>
          <w:szCs w:val="20"/>
          <w:color w:val="auto"/>
        </w:rPr>
      </w:pPr>
      <w:r>
        <w:rPr>
          <w:rFonts w:ascii="Arial" w:cs="Arial" w:eastAsia="Arial" w:hAnsi="Arial"/>
          <w:sz w:val="16"/>
          <w:szCs w:val="16"/>
          <w:color w:val="auto"/>
        </w:rPr>
        <w:t>To date, we have funded our operations primarily from sales of our securities and, to a lesser extent, debt financing. We do not expect to receive any revenues from the commercialization of our product candidates for at least the next several years, if at all.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61"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i w:val="1"/>
          <w:iCs w:val="1"/>
          <w:color w:val="auto"/>
        </w:rPr>
        <w:t>We are largely dependent on the success of our MN-166 (ibudilast) and MN-001 (tipelukast) product candidates and we cannot be certain that these product candidates will receive regulatory approval or be successfully commercialized.</w:t>
      </w:r>
    </w:p>
    <w:p>
      <w:pPr>
        <w:spacing w:after="0" w:line="63" w:lineRule="exact"/>
        <w:rPr>
          <w:sz w:val="20"/>
          <w:szCs w:val="20"/>
          <w:color w:val="auto"/>
        </w:rPr>
      </w:pPr>
    </w:p>
    <w:p>
      <w:pPr>
        <w:ind w:right="200" w:firstLine="439"/>
        <w:spacing w:after="0" w:line="290"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sales, marketing and distribution of drug products are subject to extensive regulation by the FDA and comparable regulatory authorities in other countries. We are not permitted to market any of our product candidates in the United States until we submit and receive approval of a New Drug Application, or NDA, for a product candidate from the FDA or its foreign equivalent from a foreign regulatory authority. Obtaining FDA approval is a lengthy, expensive and uncertain process. The success of our business currently depends primarily on the successful development and commercialization of our MN-166 (ibudilast) and MN-001 (tipelukast) product candidates. These product candidates have not completed the clinical development process, and therefore we have not submitted an NDA or foreign equivalent or received marketing approval.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right="20" w:firstLine="439"/>
        <w:spacing w:after="0" w:line="254" w:lineRule="auto"/>
        <w:rPr>
          <w:sz w:val="20"/>
          <w:szCs w:val="20"/>
          <w:color w:val="auto"/>
        </w:rPr>
      </w:pPr>
      <w:r>
        <w:rPr>
          <w:rFonts w:ascii="Arial" w:cs="Arial" w:eastAsia="Arial" w:hAnsi="Arial"/>
          <w:sz w:val="18"/>
          <w:szCs w:val="18"/>
          <w:color w:val="auto"/>
        </w:rPr>
        <w:t>The clinical development program for our product candidates may not lead to commercial products for a number of reasons, including our clinical trials’ failure to demonstrate to the FDA’s satisfaction that the product candidate is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our product candidates in a timely manner would have a material and adverse impact on our business and our stock price.</w:t>
      </w:r>
    </w:p>
    <w:p>
      <w:pPr>
        <w:spacing w:after="0" w:line="190"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i w:val="1"/>
          <w:iCs w:val="1"/>
          <w:color w:val="auto"/>
        </w:rPr>
        <w:t>Because the results of early clinical trials are not necessarily predictive of future results, our product candidates we advance into clinical trials in any indication may not have favorable results in later clinical trials, if any, or receive regulatory approval.</w:t>
      </w:r>
    </w:p>
    <w:p>
      <w:pPr>
        <w:spacing w:after="0" w:line="63"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Our product candidates are subject to the risks of failure inherent in drug development. We will be required to demonstrate through well-controlled clinical trials that our product candidates are safe and effective for use in a diverse population for its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even at statistically significant levels.</w:t>
      </w:r>
    </w:p>
    <w:p>
      <w:pPr>
        <w:spacing w:after="0" w:line="216" w:lineRule="exact"/>
        <w:rPr>
          <w:sz w:val="20"/>
          <w:szCs w:val="20"/>
          <w:color w:val="auto"/>
        </w:rPr>
      </w:pPr>
    </w:p>
    <w:p>
      <w:pPr>
        <w:ind w:right="60" w:firstLine="439"/>
        <w:spacing w:after="0" w:line="255" w:lineRule="auto"/>
        <w:rPr>
          <w:sz w:val="20"/>
          <w:szCs w:val="20"/>
          <w:color w:val="auto"/>
        </w:rPr>
      </w:pPr>
      <w:r>
        <w:rPr>
          <w:rFonts w:ascii="Arial" w:cs="Arial" w:eastAsia="Arial" w:hAnsi="Arial"/>
          <w:sz w:val="18"/>
          <w:szCs w:val="18"/>
          <w:color w:val="auto"/>
        </w:rPr>
        <w:t>Companies frequently suffer significant setbacks in advanced clinical trials, even after earlier clinical trials have shown promising results. Any of our planned clinical trials for our product candidates may not be successful for a variety of reasons, including the clinical trial designs, the failure to enroll a sufficient number of patients, undesirable side effects and other safety concerns and the inability to demonstrate sufficient efficacy. If a product candidate fails to demonstrate sufficient safety or efficacy, we would experience potentially significant delays in, or be required to abandon, development of such product candidate.</w:t>
      </w:r>
    </w:p>
    <w:p>
      <w:pPr>
        <w:spacing w:after="0" w:line="189"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i w:val="1"/>
          <w:iCs w:val="1"/>
          <w:color w:val="auto"/>
        </w:rPr>
        <w:t>Our attempts to develop MN-001 (tipelukast) in NASH and IPF may detract from our efforts to develop other product candidates and may limit the effectiveness of our product development efforts as a whole.</w:t>
      </w:r>
    </w:p>
    <w:p>
      <w:pPr>
        <w:spacing w:after="0" w:line="170" w:lineRule="exact"/>
        <w:rPr>
          <w:sz w:val="20"/>
          <w:szCs w:val="20"/>
          <w:color w:val="auto"/>
        </w:rPr>
      </w:pPr>
    </w:p>
    <w:p>
      <w:pPr>
        <w:ind w:firstLine="439"/>
        <w:spacing w:after="0" w:line="275" w:lineRule="auto"/>
        <w:rPr>
          <w:sz w:val="20"/>
          <w:szCs w:val="20"/>
          <w:color w:val="auto"/>
        </w:rPr>
      </w:pPr>
      <w:r>
        <w:rPr>
          <w:rFonts w:ascii="Arial" w:cs="Arial" w:eastAsia="Arial" w:hAnsi="Arial"/>
          <w:sz w:val="18"/>
          <w:szCs w:val="18"/>
          <w:color w:val="auto"/>
        </w:rPr>
        <w:t>We have decided to pursue development of MN-001 (tipelukast) in NASH and IPF. These activities will divert financial and management resources from our other product development activities and may limit our ability to complete or continue those other programs.</w:t>
      </w:r>
    </w:p>
    <w:p>
      <w:pPr>
        <w:spacing w:after="0" w:line="170" w:lineRule="exact"/>
        <w:rPr>
          <w:sz w:val="20"/>
          <w:szCs w:val="20"/>
          <w:color w:val="auto"/>
        </w:rPr>
      </w:pPr>
    </w:p>
    <w:p>
      <w:pPr>
        <w:ind w:right="40"/>
        <w:spacing w:after="0" w:line="305" w:lineRule="auto"/>
        <w:rPr>
          <w:sz w:val="20"/>
          <w:szCs w:val="20"/>
          <w:color w:val="auto"/>
        </w:rPr>
      </w:pPr>
      <w:r>
        <w:rPr>
          <w:rFonts w:ascii="Arial" w:cs="Arial" w:eastAsia="Arial" w:hAnsi="Arial"/>
          <w:sz w:val="17"/>
          <w:szCs w:val="17"/>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40"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our product development programs. INDs were approved by the FDA and are active for our product candidates.</w:t>
      </w:r>
    </w:p>
    <w:p>
      <w:pPr>
        <w:spacing w:after="0" w:line="203" w:lineRule="exact"/>
        <w:rPr>
          <w:sz w:val="20"/>
          <w:szCs w:val="20"/>
          <w:color w:val="auto"/>
        </w:rPr>
      </w:pPr>
    </w:p>
    <w:p>
      <w:pPr>
        <w:ind w:right="20" w:firstLine="439"/>
        <w:spacing w:after="0" w:line="270" w:lineRule="auto"/>
        <w:rPr>
          <w:sz w:val="20"/>
          <w:szCs w:val="20"/>
          <w:color w:val="auto"/>
        </w:rPr>
      </w:pPr>
      <w:r>
        <w:rPr>
          <w:rFonts w:ascii="Arial" w:cs="Arial" w:eastAsia="Arial" w:hAnsi="Arial"/>
          <w:sz w:val="17"/>
          <w:szCs w:val="17"/>
          <w:color w:val="auto"/>
        </w:rPr>
        <w:t>It may take years to complete the clinical development necessary to commercialize a drug, and delays or failure can occur at any stage, which may result in our inability to market and sell any of our product candidates that are ultimately approved by the FDA or foreign regulatory authorities. Our clinical trials may produce negative or inconclusive results, and we may decide, or regulators may require us, to conduct additional clinical and/or non-clinical testing.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obtaining promising results in earlier clinical trials. In addition, any delays in completing clinical trials or the rejection of data from a clinical trial by a regulatory authority will result in increased development costs and could have a material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53"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adverse effect on the development of the impacted product candidate.</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236" w:lineRule="exact"/>
        <w:rPr>
          <w:sz w:val="20"/>
          <w:szCs w:val="20"/>
          <w:color w:val="auto"/>
        </w:rPr>
      </w:pPr>
    </w:p>
    <w:p>
      <w:pPr>
        <w:ind w:left="860" w:hanging="423"/>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trial participants and/or patients may experience serious adverse events or other undesirable drug-related side effects;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245" w:lineRule="exact"/>
        <w:rPr>
          <w:rFonts w:ascii="Arial" w:cs="Arial" w:eastAsia="Arial" w:hAnsi="Arial"/>
          <w:sz w:val="16"/>
          <w:szCs w:val="16"/>
          <w:color w:val="auto"/>
        </w:rPr>
      </w:pPr>
    </w:p>
    <w:p>
      <w:pPr>
        <w:ind w:left="860" w:hanging="423"/>
        <w:spacing w:after="0" w:line="262"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81" w:lineRule="exact"/>
        <w:rPr>
          <w:sz w:val="20"/>
          <w:szCs w:val="20"/>
          <w:color w:val="auto"/>
        </w:rPr>
      </w:pPr>
    </w:p>
    <w:p>
      <w:pPr>
        <w:ind w:right="40" w:firstLine="439"/>
        <w:spacing w:after="0" w:line="252" w:lineRule="auto"/>
        <w:rPr>
          <w:sz w:val="20"/>
          <w:szCs w:val="20"/>
          <w:color w:val="auto"/>
        </w:rPr>
      </w:pPr>
      <w:r>
        <w:rPr>
          <w:rFonts w:ascii="Arial" w:cs="Arial" w:eastAsia="Arial" w:hAnsi="Arial"/>
          <w:sz w:val="18"/>
          <w:szCs w:val="18"/>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50" w:lineRule="exact"/>
        <w:rPr>
          <w:sz w:val="20"/>
          <w:szCs w:val="20"/>
          <w:color w:val="auto"/>
        </w:rPr>
      </w:pPr>
    </w:p>
    <w:p>
      <w:pPr>
        <w:ind w:right="40" w:firstLine="439"/>
        <w:spacing w:after="0" w:line="287" w:lineRule="auto"/>
        <w:rPr>
          <w:sz w:val="20"/>
          <w:szCs w:val="20"/>
          <w:color w:val="auto"/>
        </w:rPr>
      </w:pPr>
      <w:r>
        <w:rPr>
          <w:rFonts w:ascii="Arial" w:cs="Arial" w:eastAsia="Arial" w:hAnsi="Arial"/>
          <w:sz w:val="16"/>
          <w:szCs w:val="16"/>
          <w:color w:val="auto"/>
        </w:rPr>
        <w:t>We, our third-party manufacturers, service providers, suppliers and partners, if any,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candidate or result in the incurrence of additional costs. Any delay or failure in obtaining required approvals could substantially reduce or negate our ability to generate revenues from the particular product candidate.</w:t>
      </w:r>
    </w:p>
    <w:p>
      <w:pPr>
        <w:spacing w:after="0" w:line="182"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53" w:right="259" w:bottom="1440" w:gutter="0" w:footer="0" w:header="0"/>
        </w:sectPr>
      </w:pPr>
    </w:p>
    <w:bookmarkStart w:id="31" w:name="page32"/>
    <w:bookmarkEnd w:id="31"/>
    <w:p>
      <w:pPr>
        <w:ind w:right="340"/>
        <w:spacing w:after="0" w:line="305" w:lineRule="auto"/>
        <w:rPr>
          <w:sz w:val="20"/>
          <w:szCs w:val="20"/>
          <w:color w:val="auto"/>
        </w:rPr>
      </w:pPr>
      <w:r>
        <w:rPr>
          <w:rFonts w:ascii="Arial" w:cs="Arial" w:eastAsia="Arial" w:hAnsi="Arial"/>
          <w:sz w:val="17"/>
          <w:szCs w:val="17"/>
          <w:color w:val="auto"/>
        </w:rPr>
        <w:t>preapproval of promotional materials and restrictions on direct-to-consumer advertising. Furthermore, we cannot predict the likelihood, nature or extent of government regulation that may arise from future legislation or administrative action, either in the United States or abroad.</w:t>
      </w:r>
    </w:p>
    <w:p>
      <w:pPr>
        <w:spacing w:after="0" w:line="175" w:lineRule="exact"/>
        <w:rPr>
          <w:sz w:val="20"/>
          <w:szCs w:val="20"/>
          <w:color w:val="auto"/>
        </w:rPr>
      </w:pPr>
    </w:p>
    <w:p>
      <w:pPr>
        <w:ind w:firstLine="439"/>
        <w:spacing w:after="0" w:line="268" w:lineRule="auto"/>
        <w:rPr>
          <w:sz w:val="20"/>
          <w:szCs w:val="20"/>
          <w:color w:val="auto"/>
        </w:rPr>
      </w:pPr>
      <w:r>
        <w:rPr>
          <w:rFonts w:ascii="Arial" w:cs="Arial" w:eastAsia="Arial" w:hAnsi="Arial"/>
          <w:sz w:val="17"/>
          <w:szCs w:val="17"/>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97" w:lineRule="exact"/>
        <w:rPr>
          <w:sz w:val="20"/>
          <w:szCs w:val="20"/>
          <w:color w:val="auto"/>
        </w:rPr>
      </w:pPr>
    </w:p>
    <w:p>
      <w:pPr>
        <w:ind w:right="100" w:firstLine="439"/>
        <w:spacing w:after="0" w:line="257"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5" w:lineRule="exact"/>
        <w:rPr>
          <w:sz w:val="20"/>
          <w:szCs w:val="20"/>
          <w:color w:val="auto"/>
        </w:rPr>
      </w:pPr>
    </w:p>
    <w:p>
      <w:pPr>
        <w:ind w:right="180" w:firstLine="439"/>
        <w:spacing w:after="0" w:line="255"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any of our other product candidates or any other product candidates that we may in-license or acquire, if any, may include a restriction on the terms of its use, or it may not include one or more of our intended indications.</w:t>
      </w:r>
    </w:p>
    <w:p>
      <w:pPr>
        <w:spacing w:after="0" w:line="203" w:lineRule="exact"/>
        <w:rPr>
          <w:sz w:val="20"/>
          <w:szCs w:val="20"/>
          <w:color w:val="auto"/>
        </w:rPr>
      </w:pPr>
    </w:p>
    <w:p>
      <w:pPr>
        <w:ind w:right="320" w:firstLine="439"/>
        <w:spacing w:after="0" w:line="272" w:lineRule="auto"/>
        <w:rPr>
          <w:sz w:val="20"/>
          <w:szCs w:val="20"/>
          <w:color w:val="auto"/>
        </w:rPr>
      </w:pPr>
      <w:r>
        <w:rPr>
          <w:rFonts w:ascii="Arial" w:cs="Arial" w:eastAsia="Arial" w:hAnsi="Arial"/>
          <w:sz w:val="17"/>
          <w:szCs w:val="17"/>
          <w:color w:val="auto"/>
        </w:rPr>
        <w:t>Our product candidates, if approved,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201" w:lineRule="exact"/>
        <w:rPr>
          <w:sz w:val="20"/>
          <w:szCs w:val="20"/>
          <w:color w:val="auto"/>
        </w:rPr>
      </w:pPr>
    </w:p>
    <w:p>
      <w:pPr>
        <w:ind w:left="860" w:hanging="423"/>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09" w:lineRule="exact"/>
        <w:rPr>
          <w:rFonts w:ascii="Arial" w:cs="Arial" w:eastAsia="Arial" w:hAnsi="Arial"/>
          <w:sz w:val="18"/>
          <w:szCs w:val="18"/>
          <w:color w:val="auto"/>
        </w:rPr>
      </w:pPr>
    </w:p>
    <w:p>
      <w:pPr>
        <w:ind w:left="860" w:right="20" w:hanging="423"/>
        <w:spacing w:after="0" w:line="275"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70" w:lineRule="exact"/>
        <w:rPr>
          <w:rFonts w:ascii="Arial" w:cs="Arial" w:eastAsia="Arial" w:hAnsi="Arial"/>
          <w:sz w:val="18"/>
          <w:szCs w:val="18"/>
          <w:color w:val="auto"/>
        </w:rPr>
      </w:pPr>
    </w:p>
    <w:p>
      <w:pPr>
        <w:ind w:left="860" w:hanging="423"/>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32" w:name="page33"/>
    <w:bookmarkEnd w:id="32"/>
    <w:p>
      <w:pPr>
        <w:ind w:left="860" w:hanging="423"/>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i w:val="1"/>
          <w:iCs w:val="1"/>
          <w:color w:val="auto"/>
        </w:rPr>
        <w:t>Any of our product candidates that we advance into clinical trials may cause undesirable side effects or have other properties that could delay or prevent regulatory approval or commercialization or limit its commercial potential.</w:t>
      </w:r>
    </w:p>
    <w:p>
      <w:pPr>
        <w:spacing w:after="0" w:line="63" w:lineRule="exact"/>
        <w:rPr>
          <w:sz w:val="20"/>
          <w:szCs w:val="20"/>
          <w:color w:val="auto"/>
        </w:rPr>
      </w:pPr>
    </w:p>
    <w:p>
      <w:pPr>
        <w:ind w:right="20" w:firstLine="439"/>
        <w:spacing w:after="0" w:line="257" w:lineRule="auto"/>
        <w:rPr>
          <w:sz w:val="20"/>
          <w:szCs w:val="20"/>
          <w:color w:val="auto"/>
        </w:rPr>
      </w:pPr>
      <w:r>
        <w:rPr>
          <w:rFonts w:ascii="Arial" w:cs="Arial" w:eastAsia="Arial" w:hAnsi="Arial"/>
          <w:sz w:val="18"/>
          <w:szCs w:val="18"/>
          <w:color w:val="auto"/>
        </w:rPr>
        <w:t>Undesirable side effects caused by any of our product candidates that we advance into clinical trials could cause us or regulatory authorities to interrupt, delay or halt clinical trials and could result in the denial of regulatory approval by the FDA or other regulatory authorities for any or all targeted indications, or cause us to evaluate the future of our development programs. This, in turn, could prevent us from commercializing the affected product candidate and generating revenues from its sale.</w:t>
      </w:r>
    </w:p>
    <w:p>
      <w:pPr>
        <w:spacing w:after="0" w:line="201" w:lineRule="exact"/>
        <w:rPr>
          <w:sz w:val="20"/>
          <w:szCs w:val="20"/>
          <w:color w:val="auto"/>
        </w:rPr>
      </w:pPr>
    </w:p>
    <w:p>
      <w:pPr>
        <w:ind w:right="60" w:firstLine="439"/>
        <w:spacing w:after="0" w:line="275" w:lineRule="auto"/>
        <w:rPr>
          <w:sz w:val="20"/>
          <w:szCs w:val="20"/>
          <w:color w:val="auto"/>
        </w:rPr>
      </w:pPr>
      <w:r>
        <w:rPr>
          <w:rFonts w:ascii="Arial" w:cs="Arial" w:eastAsia="Arial" w:hAnsi="Arial"/>
          <w:sz w:val="18"/>
          <w:szCs w:val="18"/>
          <w:color w:val="auto"/>
        </w:rPr>
        <w:t>In addition, if any product candidates we may develop receives marketing approval and we or others later identify undesirable side effects caused by the product, a number of significant negative consequences could result, including:</w:t>
      </w:r>
    </w:p>
    <w:p>
      <w:pPr>
        <w:spacing w:after="0" w:line="197" w:lineRule="exact"/>
        <w:rPr>
          <w:sz w:val="20"/>
          <w:szCs w:val="20"/>
          <w:color w:val="auto"/>
        </w:rPr>
      </w:pPr>
    </w:p>
    <w:p>
      <w:pPr>
        <w:ind w:left="860" w:hanging="423"/>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place restrictions on the way it is prescribed;</w:t>
      </w:r>
    </w:p>
    <w:p>
      <w:pPr>
        <w:spacing w:after="0" w:line="209" w:lineRule="exact"/>
        <w:rPr>
          <w:rFonts w:ascii="Arial" w:cs="Arial" w:eastAsia="Arial" w:hAnsi="Arial"/>
          <w:sz w:val="18"/>
          <w:szCs w:val="18"/>
          <w:color w:val="auto"/>
        </w:rPr>
      </w:pPr>
    </w:p>
    <w:p>
      <w:pPr>
        <w:ind w:left="860" w:hanging="423"/>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a larger clinical benefit for approval to offset the risk;</w:t>
      </w:r>
    </w:p>
    <w:p>
      <w:pPr>
        <w:spacing w:after="0" w:line="222" w:lineRule="exact"/>
        <w:rPr>
          <w:rFonts w:ascii="Arial" w:cs="Arial" w:eastAsia="Arial" w:hAnsi="Arial"/>
          <w:sz w:val="18"/>
          <w:szCs w:val="18"/>
          <w:color w:val="auto"/>
        </w:rPr>
      </w:pPr>
    </w:p>
    <w:p>
      <w:pPr>
        <w:ind w:left="860" w:right="820" w:hanging="423"/>
        <w:spacing w:after="0" w:line="275"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product;</w:t>
      </w:r>
    </w:p>
    <w:p>
      <w:pPr>
        <w:spacing w:after="0" w:line="170" w:lineRule="exact"/>
        <w:rPr>
          <w:rFonts w:ascii="Arial" w:cs="Arial" w:eastAsia="Arial" w:hAnsi="Arial"/>
          <w:sz w:val="18"/>
          <w:szCs w:val="18"/>
          <w:color w:val="auto"/>
        </w:rPr>
      </w:pPr>
    </w:p>
    <w:p>
      <w:pPr>
        <w:ind w:left="860" w:right="520" w:hanging="423"/>
        <w:spacing w:after="0" w:line="275"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 or implement a risk evaluation and mitigation strategy;</w:t>
      </w:r>
    </w:p>
    <w:p>
      <w:pPr>
        <w:spacing w:after="0" w:line="170" w:lineRule="exact"/>
        <w:rPr>
          <w:rFonts w:ascii="Arial" w:cs="Arial" w:eastAsia="Arial" w:hAnsi="Arial"/>
          <w:sz w:val="18"/>
          <w:szCs w:val="18"/>
          <w:color w:val="auto"/>
        </w:rPr>
      </w:pPr>
    </w:p>
    <w:p>
      <w:pPr>
        <w:ind w:left="860" w:hanging="423"/>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our business model; and</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63"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future clinical trials for our product candidates will be completed on time, or whether our additional planned and ongoing clinical trials for our product candidates will be completed on schedule, if at all.</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236" w:lineRule="exact"/>
        <w:rPr>
          <w:sz w:val="20"/>
          <w:szCs w:val="20"/>
          <w:color w:val="auto"/>
        </w:rPr>
      </w:pPr>
    </w:p>
    <w:p>
      <w:pPr>
        <w:ind w:left="860" w:hanging="423"/>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approval to commence or amend a clinical trial;</w:t>
      </w:r>
    </w:p>
    <w:p>
      <w:pPr>
        <w:spacing w:after="0" w:line="222" w:lineRule="exact"/>
        <w:rPr>
          <w:rFonts w:ascii="Arial" w:cs="Arial" w:eastAsia="Arial" w:hAnsi="Arial"/>
          <w:sz w:val="18"/>
          <w:szCs w:val="18"/>
          <w:color w:val="auto"/>
        </w:rPr>
      </w:pPr>
    </w:p>
    <w:p>
      <w:pPr>
        <w:ind w:left="5620" w:right="3080" w:hanging="5183"/>
        <w:spacing w:after="0" w:line="524" w:lineRule="auto"/>
        <w:tabs>
          <w:tab w:leader="none" w:pos="8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28980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ind w:left="860"/>
        <w:spacing w:after="0"/>
        <w:rPr>
          <w:sz w:val="20"/>
          <w:szCs w:val="20"/>
          <w:color w:val="auto"/>
        </w:rPr>
      </w:pPr>
      <w:r>
        <w:rPr>
          <w:rFonts w:ascii="Arial" w:cs="Arial" w:eastAsia="Arial" w:hAnsi="Arial"/>
          <w:sz w:val="18"/>
          <w:szCs w:val="18"/>
          <w:color w:val="auto"/>
        </w:rPr>
        <w:t>trial sites, the terms of which can be subject to extensive negotiation and may vary significantly among different CROs and trial sites;</w:t>
      </w:r>
    </w:p>
    <w:p>
      <w:pPr>
        <w:spacing w:after="0" w:line="223" w:lineRule="exact"/>
        <w:rPr>
          <w:sz w:val="20"/>
          <w:szCs w:val="20"/>
          <w:color w:val="auto"/>
        </w:rPr>
      </w:pPr>
    </w:p>
    <w:p>
      <w:pPr>
        <w:ind w:left="860" w:hanging="423"/>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22" w:lineRule="exact"/>
        <w:rPr>
          <w:rFonts w:ascii="Arial" w:cs="Arial" w:eastAsia="Arial" w:hAnsi="Arial"/>
          <w:sz w:val="18"/>
          <w:szCs w:val="18"/>
          <w:color w:val="auto"/>
        </w:rPr>
      </w:pPr>
    </w:p>
    <w:p>
      <w:pPr>
        <w:ind w:left="860" w:right="380" w:hanging="423"/>
        <w:spacing w:after="0" w:line="258"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184" w:lineRule="exact"/>
        <w:rPr>
          <w:rFonts w:ascii="Arial" w:cs="Arial" w:eastAsia="Arial" w:hAnsi="Arial"/>
          <w:sz w:val="18"/>
          <w:szCs w:val="18"/>
          <w:color w:val="auto"/>
        </w:rPr>
      </w:pPr>
    </w:p>
    <w:p>
      <w:pPr>
        <w:ind w:left="860" w:hanging="423"/>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246" w:lineRule="exact"/>
        <w:rPr>
          <w:sz w:val="20"/>
          <w:szCs w:val="20"/>
          <w:color w:val="auto"/>
        </w:rPr>
      </w:pPr>
    </w:p>
    <w:p>
      <w:pPr>
        <w:ind w:left="860" w:right="180" w:hanging="423"/>
        <w:spacing w:after="0" w:line="25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187" w:lineRule="exact"/>
        <w:rPr>
          <w:rFonts w:ascii="Arial" w:cs="Arial" w:eastAsia="Arial" w:hAnsi="Arial"/>
          <w:sz w:val="18"/>
          <w:szCs w:val="18"/>
          <w:color w:val="auto"/>
        </w:rPr>
      </w:pPr>
    </w:p>
    <w:p>
      <w:pPr>
        <w:ind w:left="860" w:right="300" w:hanging="423"/>
        <w:spacing w:after="0" w:line="262"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181" w:lineRule="exact"/>
        <w:rPr>
          <w:rFonts w:ascii="Arial" w:cs="Arial" w:eastAsia="Arial" w:hAnsi="Arial"/>
          <w:sz w:val="18"/>
          <w:szCs w:val="18"/>
          <w:color w:val="auto"/>
        </w:rPr>
      </w:pPr>
    </w:p>
    <w:p>
      <w:pPr>
        <w:ind w:left="860" w:right="200" w:hanging="423"/>
        <w:spacing w:after="0" w:line="275"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third-party service providers involved in the clinical trial, to conduct clinical trials in accordance with regulatory requirements or our clinical protocols;</w:t>
      </w:r>
    </w:p>
    <w:p>
      <w:pPr>
        <w:spacing w:after="0" w:line="170" w:lineRule="exact"/>
        <w:rPr>
          <w:rFonts w:ascii="Arial" w:cs="Arial" w:eastAsia="Arial" w:hAnsi="Arial"/>
          <w:sz w:val="18"/>
          <w:szCs w:val="18"/>
          <w:color w:val="auto"/>
        </w:rPr>
      </w:pPr>
    </w:p>
    <w:p>
      <w:pPr>
        <w:ind w:left="860" w:hanging="423"/>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222" w:lineRule="exact"/>
        <w:rPr>
          <w:rFonts w:ascii="Arial" w:cs="Arial" w:eastAsia="Arial" w:hAnsi="Arial"/>
          <w:sz w:val="18"/>
          <w:szCs w:val="18"/>
          <w:color w:val="auto"/>
        </w:rPr>
      </w:pPr>
    </w:p>
    <w:p>
      <w:pPr>
        <w:ind w:left="860" w:hanging="423"/>
        <w:spacing w:after="0" w:line="275"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clinical trial presents unacceptable health risks;</w:t>
      </w:r>
    </w:p>
    <w:p>
      <w:pPr>
        <w:spacing w:after="0" w:line="170" w:lineRule="exact"/>
        <w:rPr>
          <w:rFonts w:ascii="Arial" w:cs="Arial" w:eastAsia="Arial" w:hAnsi="Arial"/>
          <w:sz w:val="18"/>
          <w:szCs w:val="18"/>
          <w:color w:val="auto"/>
        </w:rPr>
      </w:pPr>
    </w:p>
    <w:p>
      <w:pPr>
        <w:ind w:left="860" w:hanging="423"/>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222" w:lineRule="exact"/>
        <w:rPr>
          <w:rFonts w:ascii="Arial" w:cs="Arial" w:eastAsia="Arial" w:hAnsi="Arial"/>
          <w:sz w:val="18"/>
          <w:szCs w:val="18"/>
          <w:color w:val="auto"/>
        </w:rPr>
      </w:pPr>
    </w:p>
    <w:p>
      <w:pPr>
        <w:ind w:left="860" w:right="500" w:hanging="423"/>
        <w:spacing w:after="0" w:line="339"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 and</w:t>
      </w:r>
    </w:p>
    <w:p>
      <w:pPr>
        <w:spacing w:after="0" w:line="124" w:lineRule="exact"/>
        <w:rPr>
          <w:rFonts w:ascii="Arial" w:cs="Arial" w:eastAsia="Arial" w:hAnsi="Arial"/>
          <w:sz w:val="16"/>
          <w:szCs w:val="16"/>
          <w:color w:val="auto"/>
        </w:rPr>
      </w:pPr>
    </w:p>
    <w:p>
      <w:pPr>
        <w:ind w:left="860" w:right="220" w:hanging="423"/>
        <w:spacing w:after="0" w:line="275"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formulation or dosing regimen of a product candidate may result, unintentionally, in patient non-compliance, leading to low patient retention rates, incomplete data to conduct an adequate analysis, and failure to complete the trial.</w:t>
      </w:r>
    </w:p>
    <w:p>
      <w:pPr>
        <w:spacing w:after="0" w:line="170"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license the rights to certain compounds to develop and market our product candidates.</w:t>
      </w:r>
    </w:p>
    <w:p>
      <w:pPr>
        <w:spacing w:after="0" w:line="236" w:lineRule="exact"/>
        <w:rPr>
          <w:sz w:val="20"/>
          <w:szCs w:val="20"/>
          <w:color w:val="auto"/>
        </w:rPr>
      </w:pPr>
    </w:p>
    <w:p>
      <w:pPr>
        <w:ind w:right="20" w:firstLine="439"/>
        <w:spacing w:after="0" w:line="257" w:lineRule="auto"/>
        <w:rPr>
          <w:sz w:val="20"/>
          <w:szCs w:val="20"/>
          <w:color w:val="auto"/>
        </w:rPr>
      </w:pPr>
      <w:r>
        <w:rPr>
          <w:rFonts w:ascii="Arial" w:cs="Arial" w:eastAsia="Arial" w:hAnsi="Arial"/>
          <w:sz w:val="18"/>
          <w:szCs w:val="18"/>
          <w:color w:val="auto"/>
        </w:rPr>
        <w:t>We are obligated to develop and commercialize certain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214" w:lineRule="exact"/>
        <w:rPr>
          <w:sz w:val="20"/>
          <w:szCs w:val="20"/>
          <w:color w:val="auto"/>
        </w:rPr>
      </w:pPr>
    </w:p>
    <w:p>
      <w:pPr>
        <w:ind w:right="20" w:firstLine="439"/>
        <w:spacing w:after="0" w:line="275" w:lineRule="auto"/>
        <w:rPr>
          <w:sz w:val="20"/>
          <w:szCs w:val="20"/>
          <w:color w:val="auto"/>
        </w:rPr>
      </w:pPr>
      <w:r>
        <w:rPr>
          <w:rFonts w:ascii="Arial" w:cs="Arial" w:eastAsia="Arial" w:hAnsi="Arial"/>
          <w:sz w:val="18"/>
          <w:szCs w:val="18"/>
          <w:color w:val="auto"/>
        </w:rPr>
        <w:t>If any of our license agreements is terminated, we would have no further rights to develop and commercialize the product candidate that is the subject of the license. The termination of any of our license agreements could materially and adversely affect our business.</w:t>
      </w:r>
    </w:p>
    <w:p>
      <w:pPr>
        <w:spacing w:after="0" w:line="291"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63" w:lineRule="exact"/>
        <w:rPr>
          <w:sz w:val="20"/>
          <w:szCs w:val="20"/>
          <w:color w:val="auto"/>
        </w:rPr>
      </w:pPr>
    </w:p>
    <w:p>
      <w:pPr>
        <w:jc w:val="both"/>
        <w:ind w:right="100" w:firstLine="439"/>
        <w:spacing w:after="0" w:line="304" w:lineRule="auto"/>
        <w:rPr>
          <w:sz w:val="20"/>
          <w:szCs w:val="20"/>
          <w:color w:val="auto"/>
        </w:rPr>
      </w:pPr>
      <w:r>
        <w:rPr>
          <w:rFonts w:ascii="Arial" w:cs="Arial" w:eastAsia="Arial" w:hAnsi="Arial"/>
          <w:sz w:val="15"/>
          <w:szCs w:val="15"/>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w:t>
      </w:r>
    </w:p>
    <w:p>
      <w:pPr>
        <w:spacing w:after="0" w:line="290" w:lineRule="auto"/>
        <w:rPr>
          <w:sz w:val="20"/>
          <w:szCs w:val="20"/>
          <w:color w:val="auto"/>
        </w:rPr>
      </w:pPr>
      <w:r>
        <w:rPr>
          <w:rFonts w:ascii="Arial" w:cs="Arial" w:eastAsia="Arial" w:hAnsi="Arial"/>
          <w:sz w:val="16"/>
          <w:szCs w:val="16"/>
          <w:color w:val="auto"/>
        </w:rPr>
        <w:t>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 candidates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76" w:lineRule="exact"/>
        <w:rPr>
          <w:sz w:val="20"/>
          <w:szCs w:val="20"/>
          <w:color w:val="auto"/>
        </w:rPr>
      </w:pPr>
    </w:p>
    <w:p>
      <w:pPr>
        <w:ind w:right="100" w:firstLine="439"/>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216" w:lineRule="exact"/>
        <w:rPr>
          <w:sz w:val="20"/>
          <w:szCs w:val="20"/>
          <w:color w:val="auto"/>
        </w:rPr>
      </w:pPr>
    </w:p>
    <w:p>
      <w:pPr>
        <w:ind w:firstLine="439"/>
        <w:spacing w:after="0" w:line="277" w:lineRule="auto"/>
        <w:rPr>
          <w:sz w:val="20"/>
          <w:szCs w:val="20"/>
          <w:color w:val="auto"/>
        </w:rPr>
      </w:pPr>
      <w:r>
        <w:rPr>
          <w:rFonts w:ascii="Arial" w:cs="Arial" w:eastAsia="Arial" w:hAnsi="Arial"/>
          <w:sz w:val="17"/>
          <w:szCs w:val="17"/>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29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74" w:lineRule="exact"/>
        <w:rPr>
          <w:sz w:val="20"/>
          <w:szCs w:val="20"/>
          <w:color w:val="auto"/>
        </w:rPr>
      </w:pPr>
    </w:p>
    <w:p>
      <w:pPr>
        <w:ind w:right="100" w:firstLine="439"/>
        <w:spacing w:after="0" w:line="284" w:lineRule="auto"/>
        <w:rPr>
          <w:sz w:val="20"/>
          <w:szCs w:val="20"/>
          <w:color w:val="auto"/>
        </w:rPr>
      </w:pPr>
      <w:r>
        <w:rPr>
          <w:rFonts w:ascii="Arial" w:cs="Arial" w:eastAsia="Arial" w:hAnsi="Arial"/>
          <w:sz w:val="17"/>
          <w:szCs w:val="17"/>
          <w:color w:val="auto"/>
        </w:rPr>
        <w:t>A key aspect of our strategy is to seek collaborations with partners, such as large pharmaceutical companies, that are willing to conduct later-stage clinical trials and further develop and commercialize selected product candidates. To date, we have not entered into any such collaborative arrangements, and we may not be able to enter into any collaborations or otherwise monetize these product candidates on acceptable terms, if at all.</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35" w:name="page36"/>
    <w:bookmarkEnd w:id="35"/>
    <w:p>
      <w:pPr>
        <w:ind w:right="440" w:firstLine="439"/>
        <w:spacing w:after="0" w:line="262"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208" w:lineRule="exact"/>
        <w:rPr>
          <w:sz w:val="20"/>
          <w:szCs w:val="20"/>
          <w:color w:val="auto"/>
        </w:rPr>
      </w:pPr>
    </w:p>
    <w:p>
      <w:pPr>
        <w:ind w:left="1300" w:right="80" w:hanging="420"/>
        <w:spacing w:after="0" w:line="27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156" w:lineRule="exact"/>
        <w:rPr>
          <w:rFonts w:ascii="Arial" w:cs="Arial" w:eastAsia="Arial" w:hAnsi="Arial"/>
          <w:sz w:val="18"/>
          <w:szCs w:val="18"/>
          <w:color w:val="auto"/>
        </w:rPr>
      </w:pPr>
    </w:p>
    <w:p>
      <w:pPr>
        <w:ind w:left="1300" w:hanging="4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222" w:lineRule="exact"/>
        <w:rPr>
          <w:rFonts w:ascii="Arial" w:cs="Arial" w:eastAsia="Arial" w:hAnsi="Arial"/>
          <w:sz w:val="18"/>
          <w:szCs w:val="18"/>
          <w:color w:val="auto"/>
        </w:rPr>
      </w:pPr>
    </w:p>
    <w:p>
      <w:pPr>
        <w:ind w:left="1300" w:hanging="4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222" w:lineRule="exact"/>
        <w:rPr>
          <w:rFonts w:ascii="Arial" w:cs="Arial" w:eastAsia="Arial" w:hAnsi="Arial"/>
          <w:sz w:val="18"/>
          <w:szCs w:val="18"/>
          <w:color w:val="auto"/>
        </w:rPr>
      </w:pPr>
    </w:p>
    <w:p>
      <w:pPr>
        <w:ind w:left="1300" w:hanging="4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222" w:lineRule="exact"/>
        <w:rPr>
          <w:rFonts w:ascii="Arial" w:cs="Arial" w:eastAsia="Arial" w:hAnsi="Arial"/>
          <w:sz w:val="18"/>
          <w:szCs w:val="18"/>
          <w:color w:val="auto"/>
        </w:rPr>
      </w:pPr>
    </w:p>
    <w:p>
      <w:pPr>
        <w:ind w:left="1300" w:hanging="4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15" w:lineRule="exact"/>
        <w:rPr>
          <w:sz w:val="20"/>
          <w:szCs w:val="20"/>
          <w:color w:val="auto"/>
        </w:rPr>
      </w:pPr>
    </w:p>
    <w:p>
      <w:pPr>
        <w:ind w:right="160" w:firstLine="439"/>
        <w:spacing w:after="0" w:line="262"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208" w:lineRule="exact"/>
        <w:rPr>
          <w:sz w:val="20"/>
          <w:szCs w:val="20"/>
          <w:color w:val="auto"/>
        </w:rPr>
      </w:pPr>
    </w:p>
    <w:p>
      <w:pPr>
        <w:jc w:val="both"/>
        <w:ind w:right="80" w:firstLine="439"/>
        <w:spacing w:after="0" w:line="284" w:lineRule="auto"/>
        <w:rPr>
          <w:sz w:val="20"/>
          <w:szCs w:val="20"/>
          <w:color w:val="auto"/>
        </w:rPr>
      </w:pPr>
      <w:r>
        <w:rPr>
          <w:rFonts w:ascii="Arial" w:cs="Arial" w:eastAsia="Arial" w:hAnsi="Arial"/>
          <w:sz w:val="17"/>
          <w:szCs w:val="17"/>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65"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i w:val="1"/>
          <w:iCs w:val="1"/>
          <w:color w:val="auto"/>
        </w:rPr>
        <w:t>The terms under which we enter collaborations or raise additional equity or debt financing may harm our business and may significantly dilute stockholders’ ownership interests.</w:t>
      </w:r>
    </w:p>
    <w:p>
      <w:pPr>
        <w:spacing w:after="0" w:line="63" w:lineRule="exact"/>
        <w:rPr>
          <w:sz w:val="20"/>
          <w:szCs w:val="20"/>
          <w:color w:val="auto"/>
        </w:rPr>
      </w:pPr>
    </w:p>
    <w:p>
      <w:pPr>
        <w:ind w:right="80" w:firstLine="439"/>
        <w:spacing w:after="0" w:line="274" w:lineRule="auto"/>
        <w:rPr>
          <w:sz w:val="20"/>
          <w:szCs w:val="20"/>
          <w:color w:val="auto"/>
        </w:rPr>
      </w:pPr>
      <w:r>
        <w:rPr>
          <w:rFonts w:ascii="Arial" w:cs="Arial" w:eastAsia="Arial" w:hAnsi="Arial"/>
          <w:sz w:val="17"/>
          <w:szCs w:val="17"/>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 securities, including as part of a debt financing,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173"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58" w:lineRule="exact"/>
        <w:rPr>
          <w:sz w:val="20"/>
          <w:szCs w:val="20"/>
          <w:color w:val="auto"/>
        </w:rPr>
      </w:pPr>
    </w:p>
    <w:p>
      <w:pPr>
        <w:ind w:right="120" w:firstLine="439"/>
        <w:spacing w:after="0" w:line="257"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and/or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88" w:lineRule="exact"/>
        <w:rPr>
          <w:sz w:val="20"/>
          <w:szCs w:val="20"/>
          <w:color w:val="auto"/>
        </w:rPr>
      </w:pPr>
    </w:p>
    <w:p>
      <w:pPr>
        <w:ind w:firstLine="439"/>
        <w:spacing w:after="0" w:line="292"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53" w:right="259" w:bottom="1440" w:gutter="0" w:footer="0" w:header="0"/>
        </w:sectPr>
      </w:pPr>
    </w:p>
    <w:bookmarkStart w:id="36" w:name="page37"/>
    <w:bookmarkEnd w:id="36"/>
    <w:p>
      <w:pPr>
        <w:ind w:right="40"/>
        <w:spacing w:after="0" w:line="268" w:lineRule="auto"/>
        <w:rPr>
          <w:sz w:val="20"/>
          <w:szCs w:val="20"/>
          <w:color w:val="auto"/>
        </w:rPr>
      </w:pPr>
      <w:r>
        <w:rPr>
          <w:rFonts w:ascii="Arial" w:cs="Arial" w:eastAsia="Arial" w:hAnsi="Arial"/>
          <w:sz w:val="17"/>
          <w:szCs w:val="17"/>
          <w:color w:val="auto"/>
        </w:rPr>
        <w:t>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180"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63"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that may be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203" w:lineRule="exact"/>
        <w:rPr>
          <w:sz w:val="20"/>
          <w:szCs w:val="20"/>
          <w:color w:val="auto"/>
        </w:rPr>
      </w:pPr>
    </w:p>
    <w:p>
      <w:pPr>
        <w:ind w:right="60" w:firstLine="439"/>
        <w:spacing w:after="0" w:line="288" w:lineRule="auto"/>
        <w:rPr>
          <w:sz w:val="20"/>
          <w:szCs w:val="20"/>
          <w:color w:val="auto"/>
        </w:rPr>
      </w:pPr>
      <w:r>
        <w:rPr>
          <w:rFonts w:ascii="Arial" w:cs="Arial" w:eastAsia="Arial" w:hAnsi="Arial"/>
          <w:sz w:val="16"/>
          <w:szCs w:val="16"/>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delayed regulatory approval and lost or delayed revenues.</w:t>
      </w:r>
    </w:p>
    <w:p>
      <w:pPr>
        <w:spacing w:after="0" w:line="194" w:lineRule="exact"/>
        <w:rPr>
          <w:sz w:val="20"/>
          <w:szCs w:val="20"/>
          <w:color w:val="auto"/>
        </w:rPr>
      </w:pPr>
    </w:p>
    <w:p>
      <w:pPr>
        <w:ind w:right="100" w:firstLine="439"/>
        <w:spacing w:after="0" w:line="288" w:lineRule="auto"/>
        <w:rPr>
          <w:sz w:val="20"/>
          <w:szCs w:val="20"/>
          <w:color w:val="auto"/>
        </w:rPr>
      </w:pPr>
      <w:r>
        <w:rPr>
          <w:rFonts w:ascii="Arial" w:cs="Arial" w:eastAsia="Arial" w:hAnsi="Arial"/>
          <w:sz w:val="16"/>
          <w:szCs w:val="16"/>
          <w:color w:val="auto"/>
        </w:rPr>
        <w:t>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81"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37" w:name="page38"/>
    <w:bookmarkEnd w:id="37"/>
    <w:p>
      <w:pPr>
        <w:ind w:right="280"/>
        <w:spacing w:after="0" w:line="255" w:lineRule="auto"/>
        <w:rPr>
          <w:sz w:val="20"/>
          <w:szCs w:val="20"/>
          <w:color w:val="auto"/>
        </w:rPr>
      </w:pPr>
      <w:r>
        <w:rPr>
          <w:rFonts w:ascii="Arial" w:cs="Arial" w:eastAsia="Arial" w:hAnsi="Arial"/>
          <w:sz w:val="18"/>
          <w:szCs w:val="18"/>
          <w:color w:val="auto"/>
        </w:rPr>
        <w:t>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89"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i w:val="1"/>
          <w:iCs w:val="1"/>
          <w:color w:val="auto"/>
        </w:rPr>
        <w:t>We may not be able to manufacture our product candidates in commercial quantities, which would prevent us from commercializing our product candidates.</w:t>
      </w:r>
    </w:p>
    <w:p>
      <w:pPr>
        <w:spacing w:after="0" w:line="63" w:lineRule="exact"/>
        <w:rPr>
          <w:sz w:val="20"/>
          <w:szCs w:val="20"/>
          <w:color w:val="auto"/>
        </w:rPr>
      </w:pPr>
    </w:p>
    <w:p>
      <w:pPr>
        <w:ind w:right="20" w:firstLine="439"/>
        <w:spacing w:after="0" w:line="268" w:lineRule="auto"/>
        <w:rPr>
          <w:sz w:val="20"/>
          <w:szCs w:val="20"/>
          <w:color w:val="auto"/>
        </w:rPr>
      </w:pPr>
      <w:r>
        <w:rPr>
          <w:rFonts w:ascii="Arial" w:cs="Arial" w:eastAsia="Arial" w:hAnsi="Arial"/>
          <w:sz w:val="17"/>
          <w:szCs w:val="17"/>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84"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63" w:lineRule="exact"/>
        <w:rPr>
          <w:sz w:val="20"/>
          <w:szCs w:val="20"/>
          <w:color w:val="auto"/>
        </w:rPr>
      </w:pPr>
    </w:p>
    <w:p>
      <w:pPr>
        <w:ind w:firstLine="439"/>
        <w:spacing w:after="0" w:line="268" w:lineRule="auto"/>
        <w:rPr>
          <w:sz w:val="20"/>
          <w:szCs w:val="20"/>
          <w:color w:val="auto"/>
        </w:rPr>
      </w:pPr>
      <w:r>
        <w:rPr>
          <w:rFonts w:ascii="Arial" w:cs="Arial" w:eastAsia="Arial" w:hAnsi="Arial"/>
          <w:sz w:val="17"/>
          <w:szCs w:val="17"/>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84"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63" w:lineRule="exact"/>
        <w:rPr>
          <w:sz w:val="20"/>
          <w:szCs w:val="20"/>
          <w:color w:val="auto"/>
        </w:rPr>
      </w:pPr>
    </w:p>
    <w:p>
      <w:pPr>
        <w:ind w:right="360" w:firstLine="439"/>
        <w:spacing w:after="0" w:line="262" w:lineRule="auto"/>
        <w:rPr>
          <w:sz w:val="20"/>
          <w:szCs w:val="20"/>
          <w:color w:val="auto"/>
        </w:rPr>
      </w:pPr>
      <w:r>
        <w:rPr>
          <w:rFonts w:ascii="Arial" w:cs="Arial" w:eastAsia="Arial" w:hAnsi="Arial"/>
          <w:sz w:val="18"/>
          <w:szCs w:val="18"/>
          <w:color w:val="auto"/>
        </w:rPr>
        <w:t>If one of our product candidates is approved for commercial sale by the FDA or other regulatory authorities, the degree of market acceptance of any approved product by physicians, healthcare professionals and third-party payers and our profitability and growth will depend on a number of factors, including:</w:t>
      </w:r>
    </w:p>
    <w:p>
      <w:pPr>
        <w:spacing w:after="0" w:line="74" w:lineRule="exact"/>
        <w:rPr>
          <w:sz w:val="20"/>
          <w:szCs w:val="20"/>
          <w:color w:val="auto"/>
        </w:rPr>
      </w:pPr>
    </w:p>
    <w:p>
      <w:pPr>
        <w:ind w:left="860" w:hanging="423"/>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53" w:right="259" w:bottom="1440" w:gutter="0" w:footer="0" w:header="0"/>
        </w:sectPr>
      </w:pPr>
    </w:p>
    <w:bookmarkStart w:id="38" w:name="page39"/>
    <w:bookmarkEnd w:id="38"/>
    <w:p>
      <w:pPr>
        <w:ind w:left="860" w:hanging="423"/>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222" w:lineRule="exact"/>
        <w:rPr>
          <w:rFonts w:ascii="Arial" w:cs="Arial" w:eastAsia="Arial" w:hAnsi="Arial"/>
          <w:sz w:val="18"/>
          <w:szCs w:val="18"/>
          <w:color w:val="auto"/>
        </w:rPr>
      </w:pPr>
    </w:p>
    <w:p>
      <w:pPr>
        <w:ind w:left="880" w:right="3020" w:hanging="443"/>
        <w:spacing w:after="0" w:line="275" w:lineRule="auto"/>
        <w:tabs>
          <w:tab w:leader="none" w:pos="8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 the availability of adequate third-party insurance coverage or reimbursement.</w:t>
      </w:r>
    </w:p>
    <w:p>
      <w:pPr>
        <w:spacing w:after="0" w:line="170" w:lineRule="exact"/>
        <w:rPr>
          <w:sz w:val="20"/>
          <w:szCs w:val="20"/>
          <w:color w:val="auto"/>
        </w:rPr>
      </w:pPr>
    </w:p>
    <w:p>
      <w:pPr>
        <w:ind w:firstLine="439"/>
        <w:spacing w:after="0" w:line="270" w:lineRule="auto"/>
        <w:rPr>
          <w:sz w:val="20"/>
          <w:szCs w:val="20"/>
          <w:color w:val="auto"/>
        </w:rPr>
      </w:pPr>
      <w:r>
        <w:rPr>
          <w:rFonts w:ascii="Arial" w:cs="Arial" w:eastAsia="Arial" w:hAnsi="Arial"/>
          <w:sz w:val="17"/>
          <w:szCs w:val="17"/>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payers, our ability to generate revenues from that product would be substantially reduced. In addition, our efforts to educate the medical community and third-party payers on the benefits of our product candidates may require significant resources and may never be successful.</w:t>
      </w:r>
    </w:p>
    <w:p>
      <w:pPr>
        <w:spacing w:after="0" w:line="17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payers, our revenues and profitability will suffer.</w:t>
      </w:r>
    </w:p>
    <w:p>
      <w:pPr>
        <w:spacing w:after="0" w:line="63" w:lineRule="exact"/>
        <w:rPr>
          <w:sz w:val="20"/>
          <w:szCs w:val="20"/>
          <w:color w:val="auto"/>
        </w:rPr>
      </w:pPr>
    </w:p>
    <w:p>
      <w:pPr>
        <w:ind w:right="100" w:firstLine="439"/>
        <w:spacing w:after="0" w:line="274" w:lineRule="auto"/>
        <w:rPr>
          <w:sz w:val="20"/>
          <w:szCs w:val="20"/>
          <w:color w:val="auto"/>
        </w:rPr>
      </w:pPr>
      <w:r>
        <w:rPr>
          <w:rFonts w:ascii="Arial" w:cs="Arial" w:eastAsia="Arial" w:hAnsi="Arial"/>
          <w:sz w:val="17"/>
          <w:szCs w:val="17"/>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Third-party payers are increasingly challenging the prices charged for medical products and services. We cannot provide any assurances that third-party payers will consider our products cost-effective or provide coverage of and reimbursement for our products, in whole or in part.</w:t>
      </w:r>
    </w:p>
    <w:p>
      <w:pPr>
        <w:spacing w:after="0" w:line="187" w:lineRule="exact"/>
        <w:rPr>
          <w:sz w:val="20"/>
          <w:szCs w:val="20"/>
          <w:color w:val="auto"/>
        </w:rPr>
      </w:pPr>
    </w:p>
    <w:p>
      <w:pPr>
        <w:ind w:right="120" w:firstLine="439"/>
        <w:spacing w:after="0" w:line="254"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payers may conclude that our products are less safe, less clinically effective or less cost-effective than existing products, and third-party payers may not approve our products for coverage and reimbursement. If we are unable to obtain adequate coverage of and reimbursement for our products from third-party payers, physicians may limit how much or under what circumstances they will prescribe or administer them. Such reduction or limitation in the use of our products could cause our sales to suffer. Even if third-party payers make reimbursement available, payment levels may not be sufficient to make the sale of our products profitable.</w:t>
      </w:r>
    </w:p>
    <w:p>
      <w:pPr>
        <w:spacing w:after="0" w:line="216" w:lineRule="exact"/>
        <w:rPr>
          <w:sz w:val="20"/>
          <w:szCs w:val="20"/>
          <w:color w:val="auto"/>
        </w:rPr>
      </w:pPr>
    </w:p>
    <w:p>
      <w:pPr>
        <w:ind w:right="20" w:firstLine="439"/>
        <w:spacing w:after="0" w:line="269" w:lineRule="auto"/>
        <w:rPr>
          <w:sz w:val="20"/>
          <w:szCs w:val="20"/>
          <w:color w:val="auto"/>
        </w:rPr>
      </w:pPr>
      <w:r>
        <w:rPr>
          <w:rFonts w:ascii="Arial" w:cs="Arial" w:eastAsia="Arial" w:hAnsi="Arial"/>
          <w:sz w:val="17"/>
          <w:szCs w:val="17"/>
          <w:color w:val="auto"/>
        </w:rPr>
        <w:t>Market acceptance and sales of our current or future product candidates will depend in large part on global reimbursement policies and may be affected by future healthcare reform measures, both in the United States and other key international markets. For example, continuing health care reform in the United States will control or significantly influence the purchase of medical services and products, and may result in inadequate coverage of and reimbursement for our products. Many third-party payers are pursuing various ways to reduce pharmaceutical costs, including the use of formularies. The market for our products depends on access to such formularies, which are lists of medications for which third-party payers provide reimbursement. These formularies are increasingly restricted, and pharmaceutical companies face significant competition in their efforts to place their products on formularies. This increased competition has led to a downward pricing pressure in the industry. The cost containment measures that third-party payers, including government payers, are instituting could have a material adverse effect on our ability to operate profitably.</w:t>
      </w:r>
    </w:p>
    <w:p>
      <w:pPr>
        <w:spacing w:after="0" w:line="18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We are dependent on our management team, particularly our President and Chief Executive Officer, and our experienced scientific staff, and if we are unable to retain, motivate and attract key personnel, our product development programs may be delayed and we may be unable to develop successfully or commercialize our product candidates.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dependent upon the continued services of our executive officers and other key personnel, particularly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39" w:name="page40"/>
    <w:bookmarkEnd w:id="39"/>
    <w:p>
      <w:pPr>
        <w:ind w:right="80"/>
        <w:spacing w:after="0" w:line="270" w:lineRule="auto"/>
        <w:rPr>
          <w:sz w:val="20"/>
          <w:szCs w:val="20"/>
          <w:color w:val="auto"/>
        </w:rPr>
      </w:pPr>
      <w:r>
        <w:rPr>
          <w:rFonts w:ascii="Arial" w:cs="Arial" w:eastAsia="Arial" w:hAnsi="Arial"/>
          <w:sz w:val="17"/>
          <w:szCs w:val="17"/>
          <w:color w:val="auto"/>
        </w:rPr>
        <w:t>Yuichi Iwaki, M.D., Ph.D., a founder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Following termination of employment, these individuals may engage in other businesses that may compete with us.</w:t>
      </w:r>
    </w:p>
    <w:p>
      <w:pPr>
        <w:spacing w:after="0" w:line="193" w:lineRule="exact"/>
        <w:rPr>
          <w:sz w:val="20"/>
          <w:szCs w:val="20"/>
          <w:color w:val="auto"/>
        </w:rPr>
      </w:pPr>
    </w:p>
    <w:p>
      <w:pPr>
        <w:ind w:right="100" w:firstLine="439"/>
        <w:spacing w:after="0" w:line="268" w:lineRule="auto"/>
        <w:rPr>
          <w:sz w:val="20"/>
          <w:szCs w:val="20"/>
          <w:color w:val="auto"/>
        </w:rPr>
      </w:pPr>
      <w:r>
        <w:rPr>
          <w:rFonts w:ascii="Arial" w:cs="Arial" w:eastAsia="Arial" w:hAnsi="Arial"/>
          <w:sz w:val="17"/>
          <w:szCs w:val="17"/>
          <w:color w:val="auto"/>
        </w:rPr>
        <w:t>If we acquire or license new product candidates, our success may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personnel. However, we face competition for experienced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84" w:lineRule="exact"/>
        <w:rPr>
          <w:sz w:val="20"/>
          <w:szCs w:val="20"/>
          <w:color w:val="auto"/>
        </w:rPr>
      </w:pPr>
    </w:p>
    <w:p>
      <w:pPr>
        <w:ind w:right="180" w:firstLine="439"/>
        <w:spacing w:after="0" w:line="284" w:lineRule="auto"/>
        <w:rPr>
          <w:sz w:val="20"/>
          <w:szCs w:val="20"/>
          <w:color w:val="auto"/>
        </w:rPr>
      </w:pPr>
      <w:r>
        <w:rPr>
          <w:rFonts w:ascii="Arial" w:cs="Arial" w:eastAsia="Arial" w:hAnsi="Arial"/>
          <w:sz w:val="17"/>
          <w:szCs w:val="17"/>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whether independently or with third parties, we will be unable to commercialize our product candidates successfully.</w:t>
      </w:r>
    </w:p>
    <w:p>
      <w:pPr>
        <w:spacing w:after="0" w:line="63" w:lineRule="exact"/>
        <w:rPr>
          <w:sz w:val="20"/>
          <w:szCs w:val="20"/>
          <w:color w:val="auto"/>
        </w:rPr>
      </w:pPr>
    </w:p>
    <w:p>
      <w:pPr>
        <w:ind w:firstLine="439"/>
        <w:spacing w:after="0" w:line="285"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marketing and distribution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223" w:lineRule="exact"/>
        <w:rPr>
          <w:sz w:val="20"/>
          <w:szCs w:val="20"/>
          <w:color w:val="auto"/>
        </w:rPr>
      </w:pPr>
    </w:p>
    <w:p>
      <w:pPr>
        <w:ind w:right="80" w:firstLine="439"/>
        <w:spacing w:after="0" w:line="255" w:lineRule="auto"/>
        <w:rPr>
          <w:sz w:val="20"/>
          <w:szCs w:val="20"/>
          <w:color w:val="auto"/>
        </w:rPr>
      </w:pPr>
      <w:r>
        <w:rPr>
          <w:rFonts w:ascii="Arial" w:cs="Arial" w:eastAsia="Arial" w:hAnsi="Arial"/>
          <w:sz w:val="18"/>
          <w:szCs w:val="18"/>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to continue to see proposals to implement similar controls in the United States to continue. Another example of proposed reform that could affect our business is drug</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40" w:name="page41"/>
    <w:bookmarkEnd w:id="40"/>
    <w:p>
      <w:pPr>
        <w:ind w:right="120"/>
        <w:spacing w:after="0" w:line="262" w:lineRule="auto"/>
        <w:rPr>
          <w:sz w:val="20"/>
          <w:szCs w:val="20"/>
          <w:color w:val="auto"/>
        </w:rPr>
      </w:pPr>
      <w:r>
        <w:rPr>
          <w:rFonts w:ascii="Arial" w:cs="Arial" w:eastAsia="Arial" w:hAnsi="Arial"/>
          <w:sz w:val="18"/>
          <w:szCs w:val="18"/>
          <w:color w:val="auto"/>
        </w:rPr>
        <w:t>reimportation into the United States. Moreover, the pendency or approval of such proposals could result in a decrease in our stock price or our ability to raise capital or to obtain strategic partnerships or licenses. More recently, the Patient Protection and Affordable Care Act imposed numerous reforms that may impact the costs, legal requirements and potential success of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38" w:lineRule="exact"/>
        <w:rPr>
          <w:sz w:val="20"/>
          <w:szCs w:val="20"/>
          <w:color w:val="auto"/>
        </w:rPr>
      </w:pPr>
    </w:p>
    <w:p>
      <w:pPr>
        <w:jc w:val="both"/>
        <w:ind w:firstLine="439"/>
        <w:spacing w:after="0" w:line="284" w:lineRule="auto"/>
        <w:rPr>
          <w:sz w:val="20"/>
          <w:szCs w:val="20"/>
          <w:color w:val="auto"/>
        </w:rPr>
      </w:pPr>
      <w:r>
        <w:rPr>
          <w:rFonts w:ascii="Arial" w:cs="Arial" w:eastAsia="Arial" w:hAnsi="Arial"/>
          <w:sz w:val="17"/>
          <w:szCs w:val="17"/>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58" w:lineRule="exact"/>
        <w:rPr>
          <w:sz w:val="20"/>
          <w:szCs w:val="20"/>
          <w:color w:val="auto"/>
        </w:rPr>
      </w:pPr>
    </w:p>
    <w:p>
      <w:pPr>
        <w:ind w:left="860" w:hanging="423"/>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15" w:lineRule="exact"/>
        <w:rPr>
          <w:sz w:val="20"/>
          <w:szCs w:val="20"/>
          <w:color w:val="auto"/>
        </w:rPr>
      </w:pPr>
    </w:p>
    <w:p>
      <w:pPr>
        <w:ind w:firstLine="439"/>
        <w:spacing w:after="0" w:line="269" w:lineRule="auto"/>
        <w:rPr>
          <w:sz w:val="20"/>
          <w:szCs w:val="20"/>
          <w:color w:val="auto"/>
        </w:rPr>
      </w:pPr>
      <w:r>
        <w:rPr>
          <w:rFonts w:ascii="Arial" w:cs="Arial" w:eastAsia="Arial" w:hAnsi="Arial"/>
          <w:sz w:val="17"/>
          <w:szCs w:val="17"/>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that our results of operations will fluctuate, which may make it difficult to predict our future performance from period to period.</w:t>
      </w:r>
    </w:p>
    <w:p>
      <w:pPr>
        <w:spacing w:after="0" w:line="127" w:lineRule="exact"/>
        <w:rPr>
          <w:sz w:val="20"/>
          <w:szCs w:val="20"/>
          <w:color w:val="auto"/>
        </w:rPr>
      </w:pPr>
    </w:p>
    <w:p>
      <w:pPr>
        <w:ind w:right="440" w:firstLine="439"/>
        <w:spacing w:after="0" w:line="275"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63" w:lineRule="exact"/>
        <w:rPr>
          <w:sz w:val="20"/>
          <w:szCs w:val="20"/>
          <w:color w:val="auto"/>
        </w:rPr>
      </w:pPr>
    </w:p>
    <w:p>
      <w:pPr>
        <w:ind w:left="860" w:right="720" w:hanging="423"/>
        <w:spacing w:after="0" w:line="275"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170" w:lineRule="exact"/>
        <w:rPr>
          <w:rFonts w:ascii="Arial" w:cs="Arial" w:eastAsia="Arial" w:hAnsi="Arial"/>
          <w:sz w:val="18"/>
          <w:szCs w:val="18"/>
          <w:color w:val="auto"/>
        </w:rPr>
      </w:pPr>
    </w:p>
    <w:p>
      <w:pPr>
        <w:ind w:left="860" w:right="700" w:hanging="423"/>
        <w:spacing w:after="0" w:line="275"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170" w:lineRule="exact"/>
        <w:rPr>
          <w:rFonts w:ascii="Arial" w:cs="Arial" w:eastAsia="Arial" w:hAnsi="Arial"/>
          <w:sz w:val="18"/>
          <w:szCs w:val="18"/>
          <w:color w:val="auto"/>
        </w:rPr>
      </w:pPr>
    </w:p>
    <w:p>
      <w:pPr>
        <w:ind w:left="860" w:hanging="423"/>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340" w:right="279" w:bottom="1440" w:gutter="0" w:footer="0" w:header="0"/>
        </w:sectPr>
      </w:pPr>
    </w:p>
    <w:bookmarkStart w:id="41" w:name="page42"/>
    <w:bookmarkEnd w:id="41"/>
    <w:p>
      <w:pPr>
        <w:ind w:left="860" w:hanging="423"/>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22" w:lineRule="exact"/>
        <w:rPr>
          <w:rFonts w:ascii="Arial" w:cs="Arial" w:eastAsia="Arial" w:hAnsi="Arial"/>
          <w:sz w:val="18"/>
          <w:szCs w:val="18"/>
          <w:color w:val="auto"/>
        </w:rPr>
      </w:pPr>
    </w:p>
    <w:p>
      <w:pPr>
        <w:ind w:left="860" w:hanging="423"/>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08" w:lineRule="exact"/>
        <w:rPr>
          <w:sz w:val="20"/>
          <w:szCs w:val="20"/>
          <w:color w:val="auto"/>
        </w:rPr>
      </w:pPr>
    </w:p>
    <w:p>
      <w:pPr>
        <w:ind w:right="240" w:firstLine="439"/>
        <w:spacing w:after="0" w:line="275"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170"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63" w:lineRule="exact"/>
        <w:rPr>
          <w:sz w:val="20"/>
          <w:szCs w:val="20"/>
          <w:color w:val="auto"/>
        </w:rPr>
      </w:pPr>
    </w:p>
    <w:p>
      <w:pPr>
        <w:ind w:right="20" w:firstLine="439"/>
        <w:spacing w:after="0" w:line="292"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may result in imposition of reduced policy limits and coverage.</w:t>
      </w:r>
    </w:p>
    <w:p>
      <w:pPr>
        <w:spacing w:after="0" w:line="174" w:lineRule="exact"/>
        <w:rPr>
          <w:sz w:val="20"/>
          <w:szCs w:val="20"/>
          <w:color w:val="auto"/>
        </w:rPr>
      </w:pPr>
    </w:p>
    <w:p>
      <w:pPr>
        <w:ind w:right="20" w:firstLine="439"/>
        <w:spacing w:after="0" w:line="268" w:lineRule="auto"/>
        <w:rPr>
          <w:sz w:val="20"/>
          <w:szCs w:val="20"/>
          <w:color w:val="auto"/>
        </w:rPr>
      </w:pPr>
      <w:r>
        <w:rPr>
          <w:rFonts w:ascii="Arial" w:cs="Arial" w:eastAsia="Arial" w:hAnsi="Arial"/>
          <w:sz w:val="17"/>
          <w:szCs w:val="17"/>
          <w:color w:val="auto"/>
        </w:rPr>
        <w:t>The Sarbanes-Oxley Act requires that we (i) maintain effective internal controls for financial reporting and disclosure controls and procedures and (ii) perform an evaluation of our internal control over financial reporting to allow management to report on the effectiveness of those controls, as required by Section 404. Our listing obligations under the JASDAQ Market of the Tokyo Stock Exchange, or TSE, also require that we comply either with Section 404 of the Sarbanes-Oxley Act or equivalent regulations in Japan and we elected to comply with Section 404. Additionally, we are subject to attestation by our independent registered public accounting firm regarding our internal controls over financial reporting as of December 31, 2018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TSE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207" w:lineRule="exact"/>
        <w:rPr>
          <w:sz w:val="20"/>
          <w:szCs w:val="20"/>
          <w:color w:val="auto"/>
        </w:rPr>
      </w:pPr>
    </w:p>
    <w:p>
      <w:pPr>
        <w:ind w:firstLine="439"/>
        <w:spacing w:after="0" w:line="274" w:lineRule="auto"/>
        <w:rPr>
          <w:sz w:val="20"/>
          <w:szCs w:val="20"/>
          <w:color w:val="auto"/>
        </w:rPr>
      </w:pPr>
      <w:r>
        <w:rPr>
          <w:rFonts w:ascii="Arial" w:cs="Arial" w:eastAsia="Arial" w:hAnsi="Arial"/>
          <w:sz w:val="17"/>
          <w:szCs w:val="17"/>
          <w:color w:val="auto"/>
        </w:rPr>
        <w:t>Additionally,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To maintain high standards of corporate governance and public disclosure, we intend to invest all reasonably necessary resources to comply with such compliance programs and rules and all other evolving standards. These investments may result in increased general and administrative costs and a diversion of our management’s time and attention from strategic revenue generating and cost management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and natural disasters.</w:t>
      </w:r>
    </w:p>
    <w:p>
      <w:pPr>
        <w:spacing w:after="0" w:line="115" w:lineRule="exact"/>
        <w:rPr>
          <w:sz w:val="20"/>
          <w:szCs w:val="20"/>
          <w:color w:val="auto"/>
        </w:rPr>
      </w:pPr>
    </w:p>
    <w:p>
      <w:pPr>
        <w:ind w:right="120" w:firstLine="439"/>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i w:val="1"/>
          <w:iCs w:val="1"/>
          <w:color w:val="auto"/>
        </w:rPr>
        <w:t>A variety of risks associated with operating our business and marketing our products internationally could materially adversely affect our business.</w:t>
      </w:r>
    </w:p>
    <w:p>
      <w:pPr>
        <w:spacing w:after="0" w:line="138" w:lineRule="exact"/>
        <w:rPr>
          <w:sz w:val="20"/>
          <w:szCs w:val="20"/>
          <w:color w:val="auto"/>
        </w:rPr>
      </w:pPr>
    </w:p>
    <w:p>
      <w:pPr>
        <w:ind w:right="260" w:firstLine="439"/>
        <w:spacing w:after="0" w:line="262" w:lineRule="auto"/>
        <w:rPr>
          <w:sz w:val="20"/>
          <w:szCs w:val="20"/>
          <w:color w:val="auto"/>
        </w:rPr>
      </w:pPr>
      <w:r>
        <w:rPr>
          <w:rFonts w:ascii="Arial" w:cs="Arial" w:eastAsia="Arial" w:hAnsi="Arial"/>
          <w:sz w:val="18"/>
          <w:szCs w:val="18"/>
          <w:color w:val="auto"/>
        </w:rPr>
        <w:t>A significant amount of our business activity is outside of the United States. We face risks associated with our international operations, including possible unfavorable regulatory, pricing and reimbursement, political, tax and labor conditions, which could harm our business. We are subject to numerous risks associated with international business activities, including, but not limited to:</w:t>
      </w:r>
    </w:p>
    <w:p>
      <w:pPr>
        <w:spacing w:after="0" w:line="74" w:lineRule="exact"/>
        <w:rPr>
          <w:sz w:val="20"/>
          <w:szCs w:val="20"/>
          <w:color w:val="auto"/>
        </w:rPr>
      </w:pPr>
    </w:p>
    <w:p>
      <w:pPr>
        <w:ind w:left="860" w:hanging="423"/>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differing or unexpected regulatory requirements for our products;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2" w:lineRule="exact"/>
        <w:rPr>
          <w:rFonts w:ascii="Arial" w:cs="Arial" w:eastAsia="Arial" w:hAnsi="Arial"/>
          <w:sz w:val="18"/>
          <w:szCs w:val="18"/>
          <w:color w:val="auto"/>
        </w:rPr>
      </w:pPr>
    </w:p>
    <w:p>
      <w:pPr>
        <w:ind w:left="860" w:right="560" w:hanging="423"/>
        <w:spacing w:after="0" w:line="275"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certain circumstances, including with respect to the commercialization of our product candidates in Europe, increased dependence on the commercialization efforts of our distributors or strategic partners;</w:t>
      </w:r>
    </w:p>
    <w:p>
      <w:pPr>
        <w:spacing w:after="0" w:line="170" w:lineRule="exact"/>
        <w:rPr>
          <w:rFonts w:ascii="Arial" w:cs="Arial" w:eastAsia="Arial" w:hAnsi="Arial"/>
          <w:sz w:val="18"/>
          <w:szCs w:val="18"/>
          <w:color w:val="auto"/>
        </w:rPr>
      </w:pPr>
    </w:p>
    <w:p>
      <w:pPr>
        <w:ind w:left="860" w:hanging="423"/>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United States and foreign government tariffs, trade restrictions, price and exchange controls and other regulatory requirements;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economic weakness, including inflation, natural disasters, war, events of terrorism or political instability in particular foreign countries;</w:t>
      </w:r>
    </w:p>
    <w:p>
      <w:pPr>
        <w:spacing w:after="0" w:line="234" w:lineRule="exact"/>
        <w:rPr>
          <w:rFonts w:ascii="Arial" w:cs="Arial" w:eastAsia="Arial" w:hAnsi="Arial"/>
          <w:sz w:val="17"/>
          <w:szCs w:val="17"/>
          <w:color w:val="auto"/>
        </w:rPr>
      </w:pPr>
    </w:p>
    <w:p>
      <w:pPr>
        <w:ind w:left="860" w:right="120" w:hanging="423"/>
        <w:spacing w:after="0" w:line="275"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result in increased operating expenses and reduced revenues, and other obligations related to doing business in another country;</w:t>
      </w:r>
    </w:p>
    <w:p>
      <w:pPr>
        <w:spacing w:after="0" w:line="170" w:lineRule="exact"/>
        <w:rPr>
          <w:rFonts w:ascii="Arial" w:cs="Arial" w:eastAsia="Arial" w:hAnsi="Arial"/>
          <w:sz w:val="18"/>
          <w:szCs w:val="18"/>
          <w:color w:val="auto"/>
        </w:rPr>
      </w:pPr>
    </w:p>
    <w:p>
      <w:pPr>
        <w:ind w:left="860" w:hanging="423"/>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regulations and restrictions for employees living or traveling abroad;</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222" w:lineRule="exact"/>
        <w:rPr>
          <w:rFonts w:ascii="Arial" w:cs="Arial" w:eastAsia="Arial" w:hAnsi="Arial"/>
          <w:sz w:val="18"/>
          <w:szCs w:val="18"/>
          <w:color w:val="auto"/>
        </w:rPr>
      </w:pPr>
    </w:p>
    <w:p>
      <w:pPr>
        <w:ind w:left="860" w:right="640" w:hanging="423"/>
        <w:spacing w:after="0" w:line="275"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63" w:lineRule="exact"/>
        <w:rPr>
          <w:sz w:val="20"/>
          <w:szCs w:val="20"/>
          <w:color w:val="auto"/>
        </w:rPr>
      </w:pPr>
    </w:p>
    <w:p>
      <w:pPr>
        <w:ind w:right="600" w:firstLine="439"/>
        <w:spacing w:after="0" w:line="275"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250" w:lineRule="exact"/>
        <w:rPr>
          <w:sz w:val="20"/>
          <w:szCs w:val="20"/>
          <w:color w:val="auto"/>
        </w:rPr>
      </w:pPr>
    </w:p>
    <w:p>
      <w:pPr>
        <w:ind w:firstLine="439"/>
        <w:spacing w:after="0" w:line="267" w:lineRule="auto"/>
        <w:rPr>
          <w:sz w:val="20"/>
          <w:szCs w:val="20"/>
          <w:color w:val="auto"/>
        </w:rPr>
      </w:pPr>
      <w:r>
        <w:rPr>
          <w:rFonts w:ascii="Arial" w:cs="Arial" w:eastAsia="Arial" w:hAnsi="Arial"/>
          <w:sz w:val="17"/>
          <w:szCs w:val="17"/>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(ibudilast), MN-001 (tipelukast), and MN-221 (bedoradrine) product candidates, although we do have patent protection for a particular crystalline polymorph of MN-001 (tipelukast) and we have composition of matter protection on an analog of MN-166 (ibudilast). As a result, competitors that obtain the requisite regulatory approval will be able to offer products with the same API as found in our MN-166 (ibudilast), MN-001 (tipelukast), and MN-221 (bedoradrine) product candidates so long as such competitors do not infringe any methods of use, methods of manufacture, formulation or, in the case of MN-001 (tipelukast), specific polymorph patents that we hold or have exclusive rights to through our licensors. For example, we currently rely on method of use patents for MN-166 (ibudilast), MN-001 (tipelukast), and MN-221 (bedoradrine) although we have a compound patent for MN-029.</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43" w:name="page44"/>
    <w:bookmarkEnd w:id="43"/>
    <w:p>
      <w:pPr>
        <w:ind w:firstLine="439"/>
        <w:spacing w:after="0" w:line="267" w:lineRule="auto"/>
        <w:rPr>
          <w:sz w:val="20"/>
          <w:szCs w:val="20"/>
          <w:color w:val="auto"/>
        </w:rPr>
      </w:pPr>
      <w:r>
        <w:rPr>
          <w:rFonts w:ascii="Arial" w:cs="Arial" w:eastAsia="Arial" w:hAnsi="Arial"/>
          <w:sz w:val="17"/>
          <w:szCs w:val="17"/>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We have limited control, if any, over the amount or timing of resources that each licensor devotes on our behalf. As a result of this lack of control,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will not become abandoned. For example, certain annuities were not paid in a timely manner with respect to foreign patents licensed under MN-002 (the active metabolite of MN-001 (tipelukast)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213" w:lineRule="exact"/>
        <w:rPr>
          <w:sz w:val="20"/>
          <w:szCs w:val="20"/>
          <w:color w:val="auto"/>
        </w:rPr>
      </w:pPr>
    </w:p>
    <w:p>
      <w:pPr>
        <w:ind w:right="120" w:firstLine="439"/>
        <w:spacing w:after="0" w:line="253"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205" w:lineRule="exact"/>
        <w:rPr>
          <w:sz w:val="20"/>
          <w:szCs w:val="20"/>
          <w:color w:val="auto"/>
        </w:rPr>
      </w:pPr>
    </w:p>
    <w:p>
      <w:pPr>
        <w:ind w:right="280" w:firstLine="439"/>
        <w:spacing w:after="0" w:line="275" w:lineRule="auto"/>
        <w:rPr>
          <w:sz w:val="20"/>
          <w:szCs w:val="20"/>
          <w:color w:val="auto"/>
        </w:rPr>
      </w:pPr>
      <w:r>
        <w:rPr>
          <w:rFonts w:ascii="Arial" w:cs="Arial" w:eastAsia="Arial" w:hAnsi="Arial"/>
          <w:sz w:val="18"/>
          <w:szCs w:val="18"/>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184" w:lineRule="exact"/>
        <w:rPr>
          <w:sz w:val="20"/>
          <w:szCs w:val="20"/>
          <w:color w:val="auto"/>
        </w:rPr>
      </w:pPr>
    </w:p>
    <w:p>
      <w:pPr>
        <w:ind w:left="860" w:hanging="423"/>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and maintain any required or desirable licenses to use certain technologies of third parties, which may be protected by patents;</w:t>
      </w:r>
    </w:p>
    <w:p>
      <w:pPr>
        <w:spacing w:after="0" w:line="234" w:lineRule="exact"/>
        <w:rPr>
          <w:rFonts w:ascii="Arial" w:cs="Arial" w:eastAsia="Arial" w:hAnsi="Arial"/>
          <w:sz w:val="17"/>
          <w:szCs w:val="17"/>
          <w:color w:val="auto"/>
        </w:rPr>
      </w:pPr>
    </w:p>
    <w:p>
      <w:pPr>
        <w:ind w:left="860" w:hanging="423"/>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2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250" w:lineRule="exact"/>
        <w:rPr>
          <w:sz w:val="20"/>
          <w:szCs w:val="20"/>
          <w:color w:val="auto"/>
        </w:rPr>
      </w:pPr>
    </w:p>
    <w:p>
      <w:pPr>
        <w:ind w:left="860" w:hanging="423"/>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232" w:lineRule="exact"/>
        <w:rPr>
          <w:rFonts w:ascii="Arial" w:cs="Arial" w:eastAsia="Arial" w:hAnsi="Arial"/>
          <w:sz w:val="16"/>
          <w:szCs w:val="16"/>
          <w:color w:val="auto"/>
        </w:rPr>
      </w:pPr>
    </w:p>
    <w:p>
      <w:pPr>
        <w:ind w:left="860" w:hanging="423"/>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53" w:right="259" w:bottom="1440" w:gutter="0" w:footer="0" w:header="0"/>
        </w:sectPr>
      </w:pPr>
    </w:p>
    <w:bookmarkStart w:id="44" w:name="page45"/>
    <w:bookmarkEnd w:id="44"/>
    <w:p>
      <w:pPr>
        <w:ind w:left="860" w:right="540"/>
        <w:spacing w:after="0" w:line="275" w:lineRule="auto"/>
        <w:rPr>
          <w:sz w:val="20"/>
          <w:szCs w:val="20"/>
          <w:color w:val="auto"/>
        </w:rPr>
      </w:pPr>
      <w:r>
        <w:rPr>
          <w:rFonts w:ascii="Arial" w:cs="Arial" w:eastAsia="Arial" w:hAnsi="Arial"/>
          <w:sz w:val="18"/>
          <w:szCs w:val="18"/>
          <w:color w:val="auto"/>
        </w:rPr>
        <w:t>for commercially viable products, may not provide us with any competitive advantages or may be challenged by third parties as invalid, not infringed or unenforceable under U.S. or foreign laws; or</w:t>
      </w:r>
    </w:p>
    <w:p>
      <w:pPr>
        <w:spacing w:after="0" w:line="170" w:lineRule="exact"/>
        <w:rPr>
          <w:sz w:val="20"/>
          <w:szCs w:val="20"/>
          <w:color w:val="auto"/>
        </w:rPr>
      </w:pPr>
    </w:p>
    <w:p>
      <w:pPr>
        <w:ind w:left="860" w:right="760" w:hanging="423"/>
        <w:spacing w:after="0" w:line="275"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7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63" w:lineRule="exact"/>
        <w:rPr>
          <w:sz w:val="20"/>
          <w:szCs w:val="20"/>
          <w:color w:val="auto"/>
        </w:rPr>
      </w:pPr>
    </w:p>
    <w:p>
      <w:pPr>
        <w:ind w:firstLine="439"/>
        <w:spacing w:after="0" w:line="267" w:lineRule="auto"/>
        <w:rPr>
          <w:sz w:val="20"/>
          <w:szCs w:val="20"/>
          <w:color w:val="auto"/>
        </w:rPr>
      </w:pPr>
      <w:r>
        <w:rPr>
          <w:rFonts w:ascii="Arial" w:cs="Arial" w:eastAsia="Arial" w:hAnsi="Arial"/>
          <w:sz w:val="17"/>
          <w:szCs w:val="17"/>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86"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63" w:lineRule="exact"/>
        <w:rPr>
          <w:sz w:val="20"/>
          <w:szCs w:val="20"/>
          <w:color w:val="auto"/>
        </w:rPr>
      </w:pPr>
    </w:p>
    <w:p>
      <w:pPr>
        <w:ind w:right="60" w:firstLine="439"/>
        <w:spacing w:after="0" w:line="283"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71" w:lineRule="exact"/>
        <w:rPr>
          <w:sz w:val="20"/>
          <w:szCs w:val="20"/>
          <w:color w:val="auto"/>
        </w:rPr>
      </w:pPr>
    </w:p>
    <w:p>
      <w:pPr>
        <w:ind w:left="860" w:right="340" w:hanging="423"/>
        <w:spacing w:after="0" w:line="275"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ind w:left="860" w:hanging="423"/>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15" w:lineRule="exact"/>
        <w:rPr>
          <w:sz w:val="20"/>
          <w:szCs w:val="20"/>
          <w:color w:val="auto"/>
        </w:rPr>
      </w:pPr>
    </w:p>
    <w:p>
      <w:pPr>
        <w:ind w:right="340" w:firstLine="439"/>
        <w:spacing w:after="0" w:line="255"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From time to time,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115" w:lineRule="exact"/>
        <w:rPr>
          <w:sz w:val="20"/>
          <w:szCs w:val="20"/>
          <w:color w:val="auto"/>
        </w:rPr>
      </w:pPr>
    </w:p>
    <w:p>
      <w:pPr>
        <w:ind w:right="480" w:firstLine="439"/>
        <w:spacing w:after="0" w:line="309" w:lineRule="auto"/>
        <w:rPr>
          <w:sz w:val="20"/>
          <w:szCs w:val="20"/>
          <w:color w:val="auto"/>
        </w:rPr>
      </w:pPr>
      <w:r>
        <w:rPr>
          <w:rFonts w:ascii="Arial" w:cs="Arial" w:eastAsia="Arial" w:hAnsi="Arial"/>
          <w:sz w:val="16"/>
          <w:szCs w:val="16"/>
          <w:color w:val="auto"/>
        </w:rPr>
        <w:t>Despite the listing of our common stock on the NASDAQ Global Market and the JASDAQ Market of the Tokyo Stock Exchange in Japan, trading volume in our securities has been light and an active trading market may not develop for our common stock. In 2018, our average trading volume was approximately 160,365 shares per day on the NASDAQ Global Market and approximately 348,379 shares per day on the JASDAQ Market.</w:t>
      </w:r>
    </w:p>
    <w:p>
      <w:pPr>
        <w:spacing w:after="0" w:line="162" w:lineRule="exact"/>
        <w:rPr>
          <w:sz w:val="20"/>
          <w:szCs w:val="20"/>
          <w:color w:val="auto"/>
        </w:rPr>
      </w:pPr>
    </w:p>
    <w:p>
      <w:pPr>
        <w:ind w:firstLine="439"/>
        <w:spacing w:after="0" w:line="300"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8, 2005 through December 31, 2018, our common stock has traded as high as approximately $42.00 and as low as approximately $1.30. The following factors, in addition to other risk factors described in this section, may have a significant impact on the market price of our common stock:</w:t>
      </w:r>
    </w:p>
    <w:p>
      <w:pPr>
        <w:spacing w:after="0" w:line="181" w:lineRule="exact"/>
        <w:rPr>
          <w:sz w:val="20"/>
          <w:szCs w:val="20"/>
          <w:color w:val="auto"/>
        </w:rPr>
      </w:pPr>
    </w:p>
    <w:p>
      <w:pPr>
        <w:ind w:left="860" w:right="260" w:hanging="423"/>
        <w:spacing w:after="0" w:line="275"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w:t>
      </w:r>
    </w:p>
    <w:p>
      <w:pPr>
        <w:spacing w:after="0" w:line="156" w:lineRule="exact"/>
        <w:rPr>
          <w:rFonts w:ascii="Arial" w:cs="Arial" w:eastAsia="Arial" w:hAnsi="Arial"/>
          <w:sz w:val="18"/>
          <w:szCs w:val="18"/>
          <w:color w:val="auto"/>
        </w:rPr>
      </w:pPr>
    </w:p>
    <w:p>
      <w:pPr>
        <w:ind w:left="860" w:right="920" w:hanging="423"/>
        <w:spacing w:after="0" w:line="275"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170" w:lineRule="exact"/>
        <w:rPr>
          <w:rFonts w:ascii="Arial" w:cs="Arial" w:eastAsia="Arial" w:hAnsi="Arial"/>
          <w:sz w:val="18"/>
          <w:szCs w:val="18"/>
          <w:color w:val="auto"/>
        </w:rPr>
      </w:pPr>
    </w:p>
    <w:p>
      <w:pPr>
        <w:ind w:left="860" w:hanging="423"/>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ind w:left="860" w:hanging="423"/>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222" w:lineRule="exact"/>
        <w:rPr>
          <w:rFonts w:ascii="Arial" w:cs="Arial" w:eastAsia="Arial" w:hAnsi="Arial"/>
          <w:sz w:val="18"/>
          <w:szCs w:val="18"/>
          <w:color w:val="auto"/>
        </w:rPr>
      </w:pPr>
    </w:p>
    <w:p>
      <w:pPr>
        <w:ind w:left="860" w:hanging="423"/>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2" w:lineRule="exact"/>
        <w:rPr>
          <w:rFonts w:ascii="Arial" w:cs="Arial" w:eastAsia="Arial" w:hAnsi="Arial"/>
          <w:sz w:val="18"/>
          <w:szCs w:val="18"/>
          <w:color w:val="auto"/>
        </w:rPr>
      </w:pPr>
    </w:p>
    <w:p>
      <w:pPr>
        <w:ind w:left="860" w:right="60" w:hanging="423"/>
        <w:spacing w:after="0" w:line="275"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170" w:lineRule="exact"/>
        <w:rPr>
          <w:rFonts w:ascii="Arial" w:cs="Arial" w:eastAsia="Arial" w:hAnsi="Arial"/>
          <w:sz w:val="18"/>
          <w:szCs w:val="18"/>
          <w:color w:val="auto"/>
        </w:rPr>
      </w:pPr>
    </w:p>
    <w:p>
      <w:pPr>
        <w:ind w:left="860" w:hanging="423"/>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222" w:lineRule="exact"/>
        <w:rPr>
          <w:rFonts w:ascii="Arial" w:cs="Arial" w:eastAsia="Arial" w:hAnsi="Arial"/>
          <w:sz w:val="18"/>
          <w:szCs w:val="18"/>
          <w:color w:val="auto"/>
        </w:rPr>
      </w:pPr>
    </w:p>
    <w:p>
      <w:pPr>
        <w:ind w:left="860" w:right="600" w:hanging="423"/>
        <w:spacing w:after="0" w:line="275"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170" w:lineRule="exact"/>
        <w:rPr>
          <w:rFonts w:ascii="Arial" w:cs="Arial" w:eastAsia="Arial" w:hAnsi="Arial"/>
          <w:sz w:val="18"/>
          <w:szCs w:val="18"/>
          <w:color w:val="auto"/>
        </w:rPr>
      </w:pPr>
    </w:p>
    <w:p>
      <w:pPr>
        <w:ind w:left="860" w:hanging="423"/>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may be delisted on the NASDAQ Global Market or the JASDAQ Market of the Tokyo Stock Exchange.</w:t>
      </w:r>
    </w:p>
    <w:p>
      <w:pPr>
        <w:spacing w:after="0" w:line="223"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In addition to the risks identified immediately above, the market price of our common stock, and your ability to sell your shares at a profit, or at all, may be affected by the delisting of our shares for failure to meet applicable listing standards. For example, price per share minimums are maintained by the NASDAQ Global Market, and our share price has, in the past, fallen below the required minimum. In addition, JASDAQ Market listing requirements currently mandate that listed companies achieve a profit or positive cash flow from operations within a five-year period. Failure to meet these or other listing requirements for either of the stock exchanges on which our common stock is listed could adversely affect the market price for our common stock and your ability to sell your shares at a profit, or at all.</w:t>
      </w:r>
    </w:p>
    <w:p>
      <w:pPr>
        <w:spacing w:after="0" w:line="190" w:lineRule="exact"/>
        <w:rPr>
          <w:sz w:val="20"/>
          <w:szCs w:val="20"/>
          <w:color w:val="auto"/>
        </w:rPr>
      </w:pPr>
    </w:p>
    <w:p>
      <w:pPr>
        <w:ind w:right="920"/>
        <w:spacing w:after="0" w:line="275" w:lineRule="auto"/>
        <w:rPr>
          <w:sz w:val="20"/>
          <w:szCs w:val="20"/>
          <w:color w:val="auto"/>
        </w:rPr>
      </w:pPr>
      <w:r>
        <w:rPr>
          <w:rFonts w:ascii="Arial" w:cs="Arial" w:eastAsia="Arial" w:hAnsi="Arial"/>
          <w:sz w:val="18"/>
          <w:szCs w:val="18"/>
          <w:b w:val="1"/>
          <w:bCs w:val="1"/>
          <w:i w:val="1"/>
          <w:iCs w:val="1"/>
          <w:color w:val="auto"/>
        </w:rPr>
        <w:t>The sale of additional common stock under our existing at-the-market issuance sales agreement may cause substantial dilution to our existing stockholders and/or the price of our common stock to decline.</w:t>
      </w:r>
    </w:p>
    <w:p>
      <w:pPr>
        <w:spacing w:after="0" w:line="63" w:lineRule="exact"/>
        <w:rPr>
          <w:sz w:val="20"/>
          <w:szCs w:val="20"/>
          <w:color w:val="auto"/>
        </w:rPr>
      </w:pPr>
    </w:p>
    <w:p>
      <w:pPr>
        <w:ind w:right="20" w:firstLine="439"/>
        <w:spacing w:after="0" w:line="290" w:lineRule="auto"/>
        <w:rPr>
          <w:sz w:val="20"/>
          <w:szCs w:val="20"/>
          <w:color w:val="auto"/>
        </w:rPr>
      </w:pPr>
      <w:r>
        <w:rPr>
          <w:rFonts w:ascii="Arial" w:cs="Arial" w:eastAsia="Arial" w:hAnsi="Arial"/>
          <w:sz w:val="16"/>
          <w:szCs w:val="16"/>
          <w:color w:val="auto"/>
        </w:rPr>
        <w:t>On May 22, 2015, we entered into an at-the-market issuance sales agreement (the ATM Agreement) with MLV &amp; Co. LLC, (MLV), pursuant to which we may sell common stock through MLV from time to time up to an aggregate offering price of $30.0 million. On September 16, 2016, we entered into an amendment to the ATM Agreement to also include FBR Capital Markets &amp; Co as a sales agent thereunder. From time to time, we may sell additional shares of our common stock under the ATM Agreement. Depending upon market liquidity at the time, sales of shares of our common stock under the ATM Agreement may cause the trading price of our common stock to decline and may result in substantial dilution to the interests of other holders of our common stock. The sale of a substantial number of shares of our common stock under the ATM Agreement, or anticipation of such sales, could make it more difficult for us to sell equity or equity-related securities in the future at a time and at a price that we might otherwise wish to effect sales.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223"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in the past experienced significant stock price volatility. We may become involved in this type of litigation in the future. Litigation often is expensive and diverts management’s attention and resources, which could adversely affect our business.</w:t>
      </w:r>
    </w:p>
    <w:p>
      <w:pPr>
        <w:spacing w:after="0" w:line="19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for us to raise additional capital or for you to sell your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jc w:val="both"/>
        <w:ind w:right="60" w:firstLine="439"/>
        <w:spacing w:after="0" w:line="262"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if we should desire to do so. In addition, it may be difficult, or even impossible, to find a buyer for shares of our common stock.</w:t>
      </w:r>
    </w:p>
    <w:p>
      <w:pPr>
        <w:spacing w:after="0" w:line="195"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89"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63" w:lineRule="exact"/>
        <w:rPr>
          <w:sz w:val="20"/>
          <w:szCs w:val="20"/>
          <w:color w:val="auto"/>
        </w:rPr>
      </w:pPr>
    </w:p>
    <w:p>
      <w:pPr>
        <w:jc w:val="both"/>
        <w:ind w:right="140" w:firstLine="439"/>
        <w:spacing w:after="0" w:line="257"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80" w:lineRule="exact"/>
        <w:rPr>
          <w:sz w:val="20"/>
          <w:szCs w:val="20"/>
          <w:color w:val="auto"/>
        </w:rPr>
      </w:pPr>
    </w:p>
    <w:p>
      <w:pPr>
        <w:ind w:left="860" w:right="600" w:hanging="423"/>
        <w:spacing w:after="0" w:line="275"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170" w:lineRule="exact"/>
        <w:rPr>
          <w:rFonts w:ascii="Arial" w:cs="Arial" w:eastAsia="Arial" w:hAnsi="Arial"/>
          <w:sz w:val="18"/>
          <w:szCs w:val="18"/>
          <w:color w:val="auto"/>
        </w:rPr>
      </w:pPr>
    </w:p>
    <w:p>
      <w:pPr>
        <w:ind w:left="860" w:right="480" w:hanging="423"/>
        <w:spacing w:after="0" w:line="275"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170" w:lineRule="exact"/>
        <w:rPr>
          <w:rFonts w:ascii="Arial" w:cs="Arial" w:eastAsia="Arial" w:hAnsi="Arial"/>
          <w:sz w:val="18"/>
          <w:szCs w:val="18"/>
          <w:color w:val="auto"/>
        </w:rPr>
      </w:pPr>
    </w:p>
    <w:p>
      <w:pPr>
        <w:ind w:left="860" w:hanging="423"/>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222" w:lineRule="exact"/>
        <w:rPr>
          <w:rFonts w:ascii="Arial" w:cs="Arial" w:eastAsia="Arial" w:hAnsi="Arial"/>
          <w:sz w:val="18"/>
          <w:szCs w:val="18"/>
          <w:color w:val="auto"/>
        </w:rPr>
      </w:pPr>
    </w:p>
    <w:p>
      <w:pPr>
        <w:ind w:left="860" w:right="420" w:hanging="423"/>
        <w:spacing w:after="0" w:line="275"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170" w:lineRule="exact"/>
        <w:rPr>
          <w:rFonts w:ascii="Arial" w:cs="Arial" w:eastAsia="Arial" w:hAnsi="Arial"/>
          <w:sz w:val="18"/>
          <w:szCs w:val="18"/>
          <w:color w:val="auto"/>
        </w:rPr>
      </w:pPr>
    </w:p>
    <w:p>
      <w:pPr>
        <w:ind w:left="860" w:right="100" w:hanging="423"/>
        <w:spacing w:after="0" w:line="275"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our stockholders from making certain changes to our restated certificate of incorporation or amended and restated bylaws except with 66-2/3% stockholder approval; and</w:t>
      </w:r>
    </w:p>
    <w:p>
      <w:pPr>
        <w:spacing w:after="0" w:line="170" w:lineRule="exact"/>
        <w:rPr>
          <w:rFonts w:ascii="Arial" w:cs="Arial" w:eastAsia="Arial" w:hAnsi="Arial"/>
          <w:sz w:val="18"/>
          <w:szCs w:val="18"/>
          <w:color w:val="auto"/>
        </w:rPr>
      </w:pPr>
    </w:p>
    <w:p>
      <w:pPr>
        <w:ind w:left="860" w:hanging="423"/>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15" w:lineRule="exact"/>
        <w:rPr>
          <w:sz w:val="20"/>
          <w:szCs w:val="20"/>
          <w:color w:val="auto"/>
        </w:rPr>
      </w:pPr>
    </w:p>
    <w:p>
      <w:pPr>
        <w:ind w:right="20" w:firstLine="439"/>
        <w:spacing w:after="0" w:line="274" w:lineRule="auto"/>
        <w:rPr>
          <w:sz w:val="20"/>
          <w:szCs w:val="20"/>
          <w:color w:val="auto"/>
        </w:rPr>
      </w:pPr>
      <w:r>
        <w:rPr>
          <w:rFonts w:ascii="Arial" w:cs="Arial" w:eastAsia="Arial" w:hAnsi="Arial"/>
          <w:sz w:val="17"/>
          <w:szCs w:val="17"/>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223" w:lineRule="exact"/>
        <w:rPr>
          <w:sz w:val="20"/>
          <w:szCs w:val="20"/>
          <w:color w:val="auto"/>
        </w:rPr>
      </w:pPr>
    </w:p>
    <w:p>
      <w:pPr>
        <w:jc w:val="both"/>
        <w:ind w:right="200" w:firstLine="439"/>
        <w:spacing w:after="0" w:line="262"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 w:name="page49"/>
    <w:bookmarkEnd w:id="48"/>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9"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We executed a sublease agreement for our headquarters effective December 1, 2017 (the “Sublease”) with Cardinal Health 127 Inc., the sublessor, to which Irvine Company, the master lessor, has provided its consent. The Sublease is for approximately 4,400 square feet and has a term of four years and one month. In June 2005, we leased office space in Tokyo, Japan under a non-cancelable operating lease with an original expiration date of May 2013 and an auto-renewal two-year extension, which we have extended through May 2019, with the acceptance of the extensions for those given periods. We have no laboratory, research or manufacturing facilities, and we currently do not plan to purchase or lease any such facilities, as such services are provided to us by third-party service providers. We believe that our current facilities are adequate for our needs for the immediate future and that, should it be needed, suitable additional space will be available to accommodate expansion of our operations on commercially reasonable terms.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9" w:lineRule="exact"/>
        <w:rPr>
          <w:sz w:val="20"/>
          <w:szCs w:val="20"/>
          <w:color w:val="auto"/>
        </w:rPr>
      </w:pPr>
    </w:p>
    <w:p>
      <w:pPr>
        <w:ind w:right="20" w:firstLine="439"/>
        <w:spacing w:after="0" w:line="262" w:lineRule="auto"/>
        <w:rPr>
          <w:sz w:val="20"/>
          <w:szCs w:val="20"/>
          <w:color w:val="auto"/>
        </w:rPr>
      </w:pPr>
      <w:r>
        <w:rPr>
          <w:rFonts w:ascii="Arial" w:cs="Arial" w:eastAsia="Arial" w:hAnsi="Arial"/>
          <w:sz w:val="18"/>
          <w:szCs w:val="18"/>
          <w:color w:val="auto"/>
        </w:rPr>
        <w:t>We are not involved in any material legal proceedings as of the date of this report. We may become involved in various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PART II</w:t>
      </w:r>
    </w:p>
    <w:p>
      <w:pPr>
        <w:spacing w:after="0" w:line="223" w:lineRule="exact"/>
        <w:rPr>
          <w:sz w:val="20"/>
          <w:szCs w:val="20"/>
          <w:color w:val="auto"/>
        </w:rPr>
      </w:pPr>
    </w:p>
    <w:p>
      <w:pPr>
        <w:ind w:right="2040"/>
        <w:spacing w:after="0" w:line="3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240" w:firstLine="439"/>
        <w:spacing w:after="0" w:line="309" w:lineRule="auto"/>
        <w:rPr>
          <w:sz w:val="20"/>
          <w:szCs w:val="20"/>
          <w:color w:val="auto"/>
        </w:rPr>
      </w:pPr>
      <w:r>
        <w:rPr>
          <w:rFonts w:ascii="Arial" w:cs="Arial" w:eastAsia="Arial" w:hAnsi="Arial"/>
          <w:sz w:val="16"/>
          <w:szCs w:val="16"/>
          <w:color w:val="auto"/>
        </w:rPr>
        <w:t>Our common stock is listed on the JASDAQ Market of the Tokyo Stock Exchange and trades under the code “4875,” and is listed on the NASDAQ Global Market and trades under the symbol “MNOV.” Our stock had been traded on the Hercules Market since February 8, 2005 (through the Hercules Market’s closure in 2010) and now is currently traded on the JASDAQ Market and on the NASDAQ Global Market since December 7, 2006.</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2018, there were approximately 15,246 holders of record of our common stock.</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never declared or paid any cash dividends on our capital stock, and we do not anticipate paying any cash dividends in the foreseeable future.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retain our future earnings, if any, to fund the growth and development of our business.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19" w:lineRule="exact"/>
        <w:rPr>
          <w:sz w:val="20"/>
          <w:szCs w:val="20"/>
          <w:color w:val="auto"/>
        </w:rPr>
      </w:pPr>
    </w:p>
    <w:p>
      <w:pPr>
        <w:ind w:firstLine="439"/>
        <w:spacing w:after="0" w:line="275" w:lineRule="auto"/>
        <w:rPr>
          <w:sz w:val="20"/>
          <w:szCs w:val="20"/>
          <w:color w:val="auto"/>
        </w:rPr>
      </w:pPr>
      <w:r>
        <w:rPr>
          <w:rFonts w:ascii="Arial" w:cs="Arial" w:eastAsia="Arial" w:hAnsi="Arial"/>
          <w:sz w:val="18"/>
          <w:szCs w:val="18"/>
          <w:color w:val="auto"/>
        </w:rPr>
        <w:t>Information regarding the securities authorized for issuance under our equity compensation plans can be found under Item 12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Performance Measurement Comparison</w:t>
      </w:r>
    </w:p>
    <w:p>
      <w:pPr>
        <w:spacing w:after="0" w:line="119" w:lineRule="exact"/>
        <w:rPr>
          <w:sz w:val="20"/>
          <w:szCs w:val="20"/>
          <w:color w:val="auto"/>
        </w:rPr>
      </w:pPr>
    </w:p>
    <w:p>
      <w:pPr>
        <w:ind w:firstLine="439"/>
        <w:spacing w:after="0" w:line="275" w:lineRule="auto"/>
        <w:rPr>
          <w:sz w:val="20"/>
          <w:szCs w:val="20"/>
          <w:color w:val="auto"/>
        </w:rPr>
      </w:pPr>
      <w:r>
        <w:rPr>
          <w:rFonts w:ascii="Arial" w:cs="Arial" w:eastAsia="Arial" w:hAnsi="Arial"/>
          <w:sz w:val="18"/>
          <w:szCs w:val="18"/>
          <w:color w:val="auto"/>
        </w:rPr>
        <w:t>The following graph illustrates the total stockholder return of an investment of $100 in cash made on December 31, 2013 in each of our common stock and two indices: the NASDAQ Composite Index and the NASDAQ Biotechnology Index.</w:t>
      </w:r>
    </w:p>
    <w:p>
      <w:pPr>
        <w:spacing w:after="0" w:line="170" w:lineRule="exact"/>
        <w:rPr>
          <w:sz w:val="20"/>
          <w:szCs w:val="20"/>
          <w:color w:val="auto"/>
        </w:rPr>
      </w:pPr>
    </w:p>
    <w:p>
      <w:pPr>
        <w:ind w:right="140" w:firstLine="439"/>
        <w:spacing w:after="0" w:line="262" w:lineRule="auto"/>
        <w:rPr>
          <w:sz w:val="20"/>
          <w:szCs w:val="20"/>
          <w:color w:val="auto"/>
        </w:rPr>
      </w:pPr>
      <w:r>
        <w:rPr>
          <w:rFonts w:ascii="Arial" w:cs="Arial" w:eastAsia="Arial" w:hAnsi="Arial"/>
          <w:sz w:val="18"/>
          <w:szCs w:val="18"/>
          <w:color w:val="auto"/>
        </w:rPr>
        <w:t>The performance graph assumes an initial investment of $100 on December 31, 2013 and that all dividends were reinvested. No dividends have been declared nor paid on our common stock. The comparisons in the graph below are required by the SEC and are not intended to forecast or be indicative of possible future performance of our common stock.</w:t>
      </w:r>
    </w:p>
    <w:p>
      <w:pPr>
        <w:spacing w:after="0" w:line="181" w:lineRule="exact"/>
        <w:rPr>
          <w:sz w:val="20"/>
          <w:szCs w:val="20"/>
          <w:color w:val="auto"/>
        </w:rPr>
      </w:pPr>
    </w:p>
    <w:p>
      <w:pPr>
        <w:ind w:right="20" w:firstLine="439"/>
        <w:spacing w:after="0" w:line="262" w:lineRule="auto"/>
        <w:rPr>
          <w:sz w:val="20"/>
          <w:szCs w:val="20"/>
          <w:color w:val="auto"/>
        </w:rPr>
      </w:pPr>
      <w:r>
        <w:rPr>
          <w:rFonts w:ascii="Arial" w:cs="Arial" w:eastAsia="Arial" w:hAnsi="Arial"/>
          <w:sz w:val="18"/>
          <w:szCs w:val="18"/>
          <w:i w:val="1"/>
          <w:iCs w:val="1"/>
          <w:color w:val="auto"/>
        </w:rPr>
        <w:t>This performance graph is furnished and shall not be deemed “filed” with the SEC for purposes of Section 18 of the Exchange Act, or incorporated by reference into any of our other filings under the Exchange Act or the Securities Act except to the extent we specifically incorporate it by reference into such filing.</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Comparison of Cumulative Total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220980</wp:posOffset>
            </wp:positionV>
            <wp:extent cx="5149850" cy="2813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9850" cy="281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30" w:type="dxa"/>
        <w:tblCellMar>
          <w:top w:w="0" w:type="dxa"/>
          <w:left w:w="0" w:type="dxa"/>
          <w:bottom w:w="0" w:type="dxa"/>
          <w:right w:w="0" w:type="dxa"/>
        </w:tblCellMar>
      </w:tblPr>
      <w:tr>
        <w:trPr>
          <w:trHeight w:val="239"/>
        </w:trPr>
        <w:tc>
          <w:tcPr>
            <w:tcW w:w="320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w w:val="99"/>
              </w:rPr>
              <w:t>12/31/2013</w:t>
            </w: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w w:val="97"/>
              </w:rPr>
              <w:t>12/31/2014</w:t>
            </w:r>
          </w:p>
        </w:tc>
        <w:tc>
          <w:tcPr>
            <w:tcW w:w="1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w w:val="99"/>
              </w:rPr>
              <w:t>12/31/2015</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w w:val="97"/>
              </w:rPr>
              <w:t>12/31/2016</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w w:val="97"/>
              </w:rPr>
              <w:t>12/31/2017</w:t>
            </w: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w w:val="94"/>
              </w:rPr>
              <w:t>12/31/2018</w:t>
            </w:r>
          </w:p>
        </w:tc>
      </w:tr>
      <w:tr>
        <w:trPr>
          <w:trHeight w:val="208"/>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MEDICINOVA, Inc.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100.00</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142.06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165.89</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281.78</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302.34</w:t>
            </w: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381.78</w:t>
            </w:r>
          </w:p>
        </w:tc>
      </w:tr>
      <w:tr>
        <w:trPr>
          <w:trHeight w:val="208"/>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NASDAQ Composite Index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100.00</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113.40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119.89</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128.89</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165.29</w:t>
            </w: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158.87</w:t>
            </w:r>
          </w:p>
        </w:tc>
      </w:tr>
      <w:tr>
        <w:trPr>
          <w:trHeight w:val="208"/>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NASDAQ Biotechnology Index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100.00</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134.10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149.42</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117.02</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141.66</w:t>
            </w: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128.45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260"/>
          </w:cols>
          <w:pgMar w:left="240" w:top="443" w:right="3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19" w:lineRule="exact"/>
        <w:rPr>
          <w:sz w:val="20"/>
          <w:szCs w:val="20"/>
          <w:color w:val="auto"/>
        </w:rPr>
      </w:pPr>
    </w:p>
    <w:p>
      <w:pPr>
        <w:ind w:right="20" w:firstLine="439"/>
        <w:spacing w:after="0" w:line="257" w:lineRule="auto"/>
        <w:rPr>
          <w:sz w:val="20"/>
          <w:szCs w:val="20"/>
          <w:color w:val="auto"/>
        </w:rPr>
      </w:pPr>
      <w:r>
        <w:rPr>
          <w:rFonts w:ascii="Arial" w:cs="Arial" w:eastAsia="Arial" w:hAnsi="Arial"/>
          <w:sz w:val="18"/>
          <w:szCs w:val="18"/>
          <w:color w:val="auto"/>
        </w:rPr>
        <w:t>The selected financial data set forth below is derived from our audited consolidated financial statements and may not be indicative of future operating results. The following selected financial data should be read in conjunction with the Consolidated Financial Statements and notes thereto and Item 7, “Management’s Discussion and Analysis of Financial Condition and Results of Operations” included elsewhere in this Annual Report on Form 10-K. Amounts are in thousands, except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0" w:type="dxa"/>
            <w:vAlign w:val="bottom"/>
            <w:tcBorders>
              <w:bottom w:val="single" w:sz="8" w:color="CFF0FC"/>
            </w:tcBorders>
          </w:tcPr>
          <w:p>
            <w:pPr>
              <w:spacing w:after="0"/>
              <w:rPr>
                <w:sz w:val="13"/>
                <w:szCs w:val="13"/>
                <w:color w:val="auto"/>
              </w:rPr>
            </w:pPr>
          </w:p>
        </w:tc>
        <w:tc>
          <w:tcPr>
            <w:tcW w:w="302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29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8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gridSpan w:val="2"/>
          </w:tcPr>
          <w:p>
            <w:pPr>
              <w:ind w:left="260"/>
              <w:spacing w:after="0"/>
              <w:rPr>
                <w:sz w:val="20"/>
                <w:szCs w:val="20"/>
                <w:color w:val="auto"/>
              </w:rPr>
            </w:pPr>
            <w:r>
              <w:rPr>
                <w:rFonts w:ascii="Arial" w:cs="Arial" w:eastAsia="Arial" w:hAnsi="Arial"/>
                <w:sz w:val="18"/>
                <w:szCs w:val="18"/>
                <w:color w:val="auto"/>
              </w:rPr>
              <w:t>Research, development and patents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3,260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8,803</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7,363</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5,963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(15,587)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(13,027)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(10,882)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(8,822)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(9,223)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(14,670)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(12,907)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(10,862)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(8,838)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(9,199)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loss</w:t>
            </w:r>
          </w:p>
        </w:tc>
        <w:tc>
          <w:tcPr>
            <w:tcW w:w="5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(14,675)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(11,163)</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(10,866)</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(8,845)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(9,195)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5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(14,675)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(11,163)</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(10,866)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(8,845)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(9,195)</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00" w:type="dxa"/>
            <w:vAlign w:val="bottom"/>
            <w:tcBorders>
              <w:bottom w:val="single" w:sz="8" w:color="CFF0FC"/>
            </w:tcBorders>
            <w:gridSpan w:val="2"/>
            <w:vMerge w:val="continue"/>
          </w:tcPr>
          <w:p>
            <w:pPr>
              <w:spacing w:after="0"/>
              <w:rPr>
                <w:sz w:val="21"/>
                <w:szCs w:val="21"/>
                <w:color w:val="auto"/>
              </w:rPr>
            </w:pPr>
          </w:p>
        </w:tc>
        <w:tc>
          <w:tcPr>
            <w:tcW w:w="5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80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Shares used to compute basic and diluted net</w:t>
            </w: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80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loss per share</w:t>
            </w:r>
          </w:p>
        </w:tc>
        <w:tc>
          <w:tcPr>
            <w:tcW w:w="5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0"/>
              </w:rPr>
              <w:t>41,124,909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8"/>
              </w:rPr>
              <w:t>35,137,028</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8"/>
              </w:rPr>
              <w:t>32,986,740</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0"/>
              </w:rPr>
              <w:t>26,578,770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3"/>
              </w:rPr>
              <w:t>24,067,781</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92"/>
              </w:rPr>
              <w:t>As of December 31,</w:t>
            </w: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302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62,313</w:t>
            </w:r>
          </w:p>
        </w:tc>
        <w:tc>
          <w:tcPr>
            <w:tcW w:w="6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27,992</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24,118</w:t>
            </w:r>
          </w:p>
        </w:tc>
        <w:tc>
          <w:tcPr>
            <w:tcW w:w="10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22,077</w:t>
            </w:r>
          </w:p>
        </w:tc>
        <w:tc>
          <w:tcPr>
            <w:tcW w:w="8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11,669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60,566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25,447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23,074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21,236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10,539</w:t>
            </w:r>
          </w:p>
        </w:tc>
        <w:tc>
          <w:tcPr>
            <w:tcW w:w="100" w:type="dxa"/>
            <w:vAlign w:val="bottom"/>
            <w:shd w:val="clear" w:color="auto" w:fill="CFF0FC"/>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assets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77,223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43,419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39,813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37,906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27,273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(356,131)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(341,456)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(330,293)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(319,427)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6"/>
            <w:shd w:val="clear" w:color="auto" w:fill="CFF0FC"/>
          </w:tcPr>
          <w:p>
            <w:pPr>
              <w:jc w:val="right"/>
              <w:ind w:right="40"/>
              <w:spacing w:after="0"/>
              <w:rPr>
                <w:sz w:val="20"/>
                <w:szCs w:val="20"/>
                <w:color w:val="auto"/>
              </w:rPr>
            </w:pPr>
            <w:r>
              <w:rPr>
                <w:rFonts w:ascii="Arial" w:cs="Arial" w:eastAsia="Arial" w:hAnsi="Arial"/>
                <w:sz w:val="18"/>
                <w:szCs w:val="18"/>
                <w:color w:val="auto"/>
              </w:rPr>
              <w:t>(310,582)</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73,108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38,642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34,532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32,753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22,011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2"/>
        </w:trPr>
        <w:tc>
          <w:tcPr>
            <w:tcW w:w="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3"/>
          </w:tcPr>
          <w:p>
            <w:pPr>
              <w:jc w:val="right"/>
              <w:ind w:right="412"/>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8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40" w:firstLine="439"/>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together with “Item 6. Selected Financial Data” and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5" w:lineRule="exact"/>
        <w:rPr>
          <w:sz w:val="20"/>
          <w:szCs w:val="20"/>
          <w:color w:val="auto"/>
        </w:rPr>
      </w:pPr>
    </w:p>
    <w:p>
      <w:pPr>
        <w:ind w:right="60" w:firstLine="439"/>
        <w:spacing w:after="0" w:line="305" w:lineRule="auto"/>
        <w:rPr>
          <w:sz w:val="20"/>
          <w:szCs w:val="20"/>
          <w:color w:val="auto"/>
        </w:rPr>
      </w:pPr>
      <w:r>
        <w:rPr>
          <w:rFonts w:ascii="Arial" w:cs="Arial" w:eastAsia="Arial" w:hAnsi="Arial"/>
          <w:sz w:val="17"/>
          <w:szCs w:val="17"/>
          <w:color w:val="auto"/>
        </w:rPr>
        <w:t>We are a biopharmaceutical company focused on acquiring and developing novel, small molecule therapeutics for the treatment of serious diseases with unmet medical needs and a commercial focus on the United States market. We were incorporated in Delaware in September 2000.</w:t>
      </w:r>
    </w:p>
    <w:p>
      <w:pPr>
        <w:spacing w:after="0" w:line="40" w:lineRule="exact"/>
        <w:rPr>
          <w:sz w:val="20"/>
          <w:szCs w:val="20"/>
          <w:color w:val="auto"/>
        </w:rPr>
      </w:pPr>
    </w:p>
    <w:p>
      <w:pPr>
        <w:ind w:firstLine="439"/>
        <w:spacing w:after="0" w:line="257" w:lineRule="auto"/>
        <w:rPr>
          <w:sz w:val="20"/>
          <w:szCs w:val="20"/>
          <w:color w:val="auto"/>
        </w:rPr>
      </w:pPr>
      <w:r>
        <w:rPr>
          <w:rFonts w:ascii="Arial" w:cs="Arial" w:eastAsia="Arial" w:hAnsi="Arial"/>
          <w:sz w:val="18"/>
          <w:szCs w:val="18"/>
          <w:color w:val="auto"/>
        </w:rPr>
        <w:t>We have incurred significant net losses since our inception. For the year ended December 31, 2018, we had a net loss of $14.7 million. At December 31, 2018, from inception, our accumulated deficit was $356.1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88"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Our current strategy is to focus our development activities on MN-166 (ibudilast) for neurological disorders such as progressive multiple sclerosis (MS), amyotrophic lateral sclerosis (ALS), chemotherapy-induced peripheral neuropathy, degenerative cervical myelopathy, glioblastoma, and substance dependence and addiction (e.</w:t>
      </w:r>
      <w:r>
        <w:rPr>
          <w:rFonts w:ascii="Arial" w:cs="Arial" w:eastAsia="Arial" w:hAnsi="Arial"/>
          <w:sz w:val="18"/>
          <w:szCs w:val="18"/>
          <w:i w:val="1"/>
          <w:iCs w:val="1"/>
          <w:color w:val="auto"/>
        </w:rPr>
        <w:t>g.,</w:t>
      </w:r>
      <w:r>
        <w:rPr>
          <w:rFonts w:ascii="Arial" w:cs="Arial" w:eastAsia="Arial" w:hAnsi="Arial"/>
          <w:sz w:val="18"/>
          <w:szCs w:val="18"/>
          <w:color w:val="auto"/>
        </w:rPr>
        <w:t xml:space="preserve">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w:t>
      </w:r>
    </w:p>
    <w:p>
      <w:pPr>
        <w:spacing w:after="0" w:line="189" w:lineRule="exact"/>
        <w:rPr>
          <w:sz w:val="20"/>
          <w:szCs w:val="20"/>
          <w:color w:val="auto"/>
        </w:rPr>
      </w:pPr>
    </w:p>
    <w:p>
      <w:pPr>
        <w:ind w:right="160" w:firstLine="484"/>
        <w:spacing w:after="0" w:line="257" w:lineRule="auto"/>
        <w:rPr>
          <w:sz w:val="20"/>
          <w:szCs w:val="20"/>
          <w:color w:val="auto"/>
        </w:rPr>
      </w:pPr>
      <w:r>
        <w:rPr>
          <w:rFonts w:ascii="Arial" w:cs="Arial" w:eastAsia="Arial" w:hAnsi="Arial"/>
          <w:sz w:val="18"/>
          <w:szCs w:val="18"/>
          <w:color w:val="auto"/>
        </w:rPr>
        <w:t>Upon completion of proof-of-concept Phase 2 clinical trials, we intend to discuss strategic alliances with leading pharmaceutical or biotechnology companies who seek late stage product candidates to support further clinical development and product commercialization. 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188" w:lineRule="exact"/>
        <w:rPr>
          <w:sz w:val="20"/>
          <w:szCs w:val="20"/>
          <w:color w:val="auto"/>
        </w:rPr>
      </w:pPr>
    </w:p>
    <w:p>
      <w:pPr>
        <w:ind w:right="40" w:firstLine="439"/>
        <w:spacing w:after="0" w:line="269" w:lineRule="auto"/>
        <w:rPr>
          <w:sz w:val="20"/>
          <w:szCs w:val="20"/>
          <w:color w:val="auto"/>
        </w:rPr>
      </w:pPr>
      <w:r>
        <w:rPr>
          <w:rFonts w:ascii="Arial" w:cs="Arial" w:eastAsia="Arial" w:hAnsi="Arial"/>
          <w:sz w:val="17"/>
          <w:szCs w:val="17"/>
          <w:color w:val="auto"/>
        </w:rPr>
        <w:t>We entered into an agreement to form a joint venture company with Zhejiang Medicine Co., Ltd. and Beijing Medfron Medical Technologies Co. Ltd., (formerly Beijing Make-Friend Medicine Technology Co., Ltd.) effective September 27, 2011. The joint venture agreement provided for the joint venture company, Zhejiang Sunmy Bio-Medical Co., Ltd. (Zhejiang Sunmy), to develop and commercialize MN-221 (bedoradrine) in China and search for additional compounds to develop. On July 24, 2017, the Company and Beijing Medfron Medical Technologies Co., Ltd. agreed to dissolve Zhejiang Sunmy, subject to approval by applicable Chinese regulatory authorities which was granted on December 11, 2017. At December 31, 2017, we reflected a long-term asset on our consolidated balance sheet which represented our investment in Zhejiang Sunmy, net of our portion of any generated loss or income. In April 2018, we received proceeds of $0.6 million from the dissolution of the joint venture and liquidation of our investment, resulting in an immaterial gain recorded within other expense, net in the statement of operations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recognize any revenue for the years ended December 31, 2018, 2017 or 2016.</w:t>
      </w:r>
    </w:p>
    <w:p>
      <w:pPr>
        <w:spacing w:after="0" w:line="223" w:lineRule="exact"/>
        <w:rPr>
          <w:sz w:val="20"/>
          <w:szCs w:val="20"/>
          <w:color w:val="auto"/>
        </w:rPr>
      </w:pPr>
    </w:p>
    <w:p>
      <w:pPr>
        <w:ind w:right="180" w:firstLine="439"/>
        <w:spacing w:after="0" w:line="277" w:lineRule="auto"/>
        <w:rPr>
          <w:sz w:val="20"/>
          <w:szCs w:val="20"/>
          <w:color w:val="auto"/>
        </w:rPr>
      </w:pPr>
      <w:r>
        <w:rPr>
          <w:rFonts w:ascii="Arial" w:cs="Arial" w:eastAsia="Arial" w:hAnsi="Arial"/>
          <w:sz w:val="17"/>
          <w:szCs w:val="17"/>
          <w:color w:val="auto"/>
        </w:rPr>
        <w:t>In October 2011, we entered into an agreement with Kissei Pharmaceutical Co., Ltd. (Kissei) to perform research and development services relating to MN-221 (bedoradrine) in exchange for a non-refundable upfront payment of $2.5 million. Under the terms of the agreement, we are responsible for all costs incurred and to be incurred in the performance of these services. The $2.5 million was initially recorded as deferred revenue of which $0.8 million was recognized through 2013 for the completion of the first study. The timing of the second study is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undetermined as of December 31, 2018. No revenue was recorded in 2018, 2017 and 2016 associated with the Kissei agreement.</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5" w:lineRule="exact"/>
        <w:rPr>
          <w:sz w:val="20"/>
          <w:szCs w:val="20"/>
          <w:color w:val="auto"/>
        </w:rPr>
      </w:pPr>
    </w:p>
    <w:p>
      <w:pPr>
        <w:ind w:right="200" w:firstLine="439"/>
        <w:spacing w:after="0" w:line="268" w:lineRule="auto"/>
        <w:rPr>
          <w:sz w:val="20"/>
          <w:szCs w:val="20"/>
          <w:color w:val="auto"/>
        </w:rPr>
      </w:pPr>
      <w:r>
        <w:rPr>
          <w:rFonts w:ascii="Arial" w:cs="Arial" w:eastAsia="Arial" w:hAnsi="Arial"/>
          <w:sz w:val="17"/>
          <w:szCs w:val="17"/>
          <w:color w:val="auto"/>
        </w:rPr>
        <w:t>Our research, development and patent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 and we expect to increase such costs in 2019 as our development programs progress.</w:t>
      </w:r>
    </w:p>
    <w:p>
      <w:pPr>
        <w:spacing w:after="0" w:line="184" w:lineRule="exact"/>
        <w:rPr>
          <w:sz w:val="20"/>
          <w:szCs w:val="20"/>
          <w:color w:val="auto"/>
        </w:rPr>
      </w:pPr>
    </w:p>
    <w:p>
      <w:pPr>
        <w:ind w:right="40" w:firstLine="439"/>
        <w:spacing w:after="0" w:line="262" w:lineRule="auto"/>
        <w:rPr>
          <w:sz w:val="20"/>
          <w:szCs w:val="20"/>
          <w:color w:val="auto"/>
        </w:rPr>
      </w:pPr>
      <w:r>
        <w:rPr>
          <w:rFonts w:ascii="Arial" w:cs="Arial" w:eastAsia="Arial" w:hAnsi="Arial"/>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78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2"/>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8"/>
        </w:trPr>
        <w:tc>
          <w:tcPr>
            <w:tcW w:w="6780" w:type="dxa"/>
            <w:vAlign w:val="bottom"/>
          </w:tcPr>
          <w:p>
            <w:pPr>
              <w:ind w:left="260"/>
              <w:spacing w:after="0"/>
              <w:rPr>
                <w:sz w:val="20"/>
                <w:szCs w:val="20"/>
                <w:color w:val="auto"/>
              </w:rPr>
            </w:pPr>
            <w:r>
              <w:rPr>
                <w:rFonts w:ascii="Arial" w:cs="Arial" w:eastAsia="Arial" w:hAnsi="Arial"/>
                <w:sz w:val="18"/>
                <w:szCs w:val="18"/>
                <w:color w:val="auto"/>
              </w:rPr>
              <w:t>MN-166</w:t>
            </w:r>
          </w:p>
        </w:tc>
        <w:tc>
          <w:tcPr>
            <w:tcW w:w="860" w:type="dxa"/>
            <w:vAlign w:val="bottom"/>
          </w:tcPr>
          <w:p>
            <w:pPr>
              <w:jc w:val="right"/>
              <w:ind w:right="708"/>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1,993</w:t>
            </w:r>
          </w:p>
        </w:tc>
        <w:tc>
          <w:tcPr>
            <w:tcW w:w="5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1,055</w:t>
            </w:r>
          </w:p>
        </w:tc>
        <w:tc>
          <w:tcPr>
            <w:tcW w:w="180" w:type="dxa"/>
            <w:vAlign w:val="bottom"/>
          </w:tcPr>
          <w:p>
            <w:pPr>
              <w:spacing w:after="0"/>
              <w:rPr>
                <w:sz w:val="19"/>
                <w:szCs w:val="19"/>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r>
      <w:tr>
        <w:trPr>
          <w:trHeight w:val="228"/>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MN-001</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19"/>
                <w:szCs w:val="19"/>
                <w:color w:val="auto"/>
              </w:rPr>
            </w:pPr>
          </w:p>
        </w:tc>
      </w:tr>
      <w:tr>
        <w:trPr>
          <w:trHeight w:val="228"/>
        </w:trPr>
        <w:tc>
          <w:tcPr>
            <w:tcW w:w="6780" w:type="dxa"/>
            <w:vAlign w:val="bottom"/>
          </w:tcPr>
          <w:p>
            <w:pPr>
              <w:ind w:left="260"/>
              <w:spacing w:after="0"/>
              <w:rPr>
                <w:sz w:val="20"/>
                <w:szCs w:val="20"/>
                <w:color w:val="auto"/>
              </w:rPr>
            </w:pPr>
            <w:r>
              <w:rPr>
                <w:rFonts w:ascii="Arial" w:cs="Arial" w:eastAsia="Arial" w:hAnsi="Arial"/>
                <w:sz w:val="18"/>
                <w:szCs w:val="18"/>
                <w:color w:val="auto"/>
              </w:rPr>
              <w:t>MN-221</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35.00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r>
      <w:tr>
        <w:trPr>
          <w:trHeight w:val="228"/>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MN-029</w:t>
            </w:r>
          </w:p>
        </w:tc>
        <w:tc>
          <w:tcPr>
            <w:tcW w:w="8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2,308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2,818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FF0FC"/>
          </w:tcPr>
          <w:p>
            <w:pPr>
              <w:spacing w:after="0"/>
              <w:rPr>
                <w:sz w:val="19"/>
                <w:szCs w:val="19"/>
                <w:color w:val="auto"/>
              </w:rPr>
            </w:pP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R&amp;D facility expense</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Patent expense</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FF0FC"/>
          </w:tcPr>
          <w:p>
            <w:pPr>
              <w:spacing w:after="0"/>
              <w:rPr>
                <w:sz w:val="19"/>
                <w:szCs w:val="19"/>
                <w:color w:val="auto"/>
              </w:rPr>
            </w:pPr>
          </w:p>
        </w:tc>
      </w:tr>
      <w:tr>
        <w:trPr>
          <w:trHeight w:val="228"/>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FF0FC"/>
            </w:tcBorders>
          </w:tcPr>
          <w:p>
            <w:pPr>
              <w:spacing w:after="0"/>
              <w:rPr>
                <w:sz w:val="19"/>
                <w:szCs w:val="19"/>
                <w:color w:val="auto"/>
              </w:rPr>
            </w:pPr>
          </w:p>
        </w:tc>
      </w:tr>
      <w:tr>
        <w:trPr>
          <w:trHeight w:val="222"/>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860" w:type="dxa"/>
            <w:vAlign w:val="bottom"/>
            <w:tcBorders>
              <w:bottom w:val="single" w:sz="8" w:color="auto"/>
            </w:tcBorders>
            <w:shd w:val="clear" w:color="auto" w:fill="CFF0FC"/>
          </w:tcPr>
          <w:p>
            <w:pPr>
              <w:jc w:val="right"/>
              <w:ind w:right="708"/>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5,626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8" w:lineRule="exact"/>
        <w:rPr>
          <w:sz w:val="20"/>
          <w:szCs w:val="20"/>
          <w:color w:val="auto"/>
        </w:rPr>
      </w:pPr>
    </w:p>
    <w:p>
      <w:pPr>
        <w:ind w:right="140" w:firstLine="439"/>
        <w:spacing w:after="0" w:line="25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01" w:lineRule="exact"/>
        <w:rPr>
          <w:sz w:val="20"/>
          <w:szCs w:val="20"/>
          <w:color w:val="auto"/>
        </w:rPr>
      </w:pPr>
    </w:p>
    <w:p>
      <w:pPr>
        <w:ind w:left="780" w:right="20"/>
        <w:spacing w:after="0" w:line="283" w:lineRule="auto"/>
        <w:rPr>
          <w:sz w:val="20"/>
          <w:szCs w:val="20"/>
          <w:color w:val="auto"/>
        </w:rPr>
      </w:pPr>
      <w:r>
        <w:rPr>
          <w:rFonts w:ascii="Arial" w:cs="Arial" w:eastAsia="Arial" w:hAnsi="Arial"/>
          <w:sz w:val="16"/>
          <w:szCs w:val="16"/>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have funded portions of some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NIH. In addition, we contributed financially to the clinical trial of MN-166 (ibudilast) for the treatment of ALS as well as the ongoing ALS / Biomarker study. We intend to pursue additional strategic alliances to help support further clinical development of MN-166 (ibudilast).</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Pursue the development of MN-001 (tipelukast) for fibrotic diseases and other diseases.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54" w:name="page55"/>
    <w:bookmarkEnd w:id="54"/>
    <w:p>
      <w:pPr>
        <w:ind w:left="780" w:right="340"/>
        <w:spacing w:after="0" w:line="257" w:lineRule="auto"/>
        <w:rPr>
          <w:sz w:val="20"/>
          <w:szCs w:val="20"/>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1" w:lineRule="exact"/>
        <w:rPr>
          <w:sz w:val="20"/>
          <w:szCs w:val="20"/>
          <w:color w:val="auto"/>
        </w:rPr>
      </w:pPr>
    </w:p>
    <w:p>
      <w:pPr>
        <w:ind w:left="580" w:right="580" w:hanging="32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Consider strategic partnerships with one or more leading pharmaceutical companies to complete late-stage product development and successfully</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commercialize our products.</w:t>
      </w:r>
    </w:p>
    <w:p>
      <w:pPr>
        <w:spacing w:after="0" w:line="77" w:lineRule="exact"/>
        <w:rPr>
          <w:sz w:val="20"/>
          <w:szCs w:val="20"/>
          <w:color w:val="auto"/>
        </w:rPr>
      </w:pPr>
    </w:p>
    <w:p>
      <w:pPr>
        <w:ind w:left="780" w:right="80"/>
        <w:spacing w:after="0" w:line="257" w:lineRule="auto"/>
        <w:rPr>
          <w:sz w:val="20"/>
          <w:szCs w:val="20"/>
          <w:color w:val="auto"/>
        </w:rPr>
      </w:pPr>
      <w:r>
        <w:rPr>
          <w:rFonts w:ascii="Arial" w:cs="Arial" w:eastAsia="Arial" w:hAnsi="Arial"/>
          <w:sz w:val="18"/>
          <w:szCs w:val="18"/>
          <w:color w:val="auto"/>
        </w:rPr>
        <w:t>We develop and maintain relationships with pharmaceutical companies that are therapeutic category leaders. Upon completion of proof-of-concept Phase 2 clinical trials, we intend to discuss strategic alliances with leading pharmaceutical companies who seek late-stage product candidates, such as MN-166 (ibudilast), MN-001 (tipelukast), MN-221 (bedoradrine) and MN-029, which could support further clinical development and product commercialization.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5" w:lineRule="exact"/>
        <w:rPr>
          <w:sz w:val="20"/>
          <w:szCs w:val="20"/>
          <w:color w:val="auto"/>
        </w:rPr>
      </w:pPr>
    </w:p>
    <w:p>
      <w:pPr>
        <w:ind w:right="240" w:firstLine="439"/>
        <w:spacing w:after="0" w:line="262"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1" w:lineRule="exact"/>
        <w:rPr>
          <w:sz w:val="20"/>
          <w:szCs w:val="20"/>
          <w:color w:val="auto"/>
        </w:rPr>
      </w:pPr>
    </w:p>
    <w:p>
      <w:pPr>
        <w:ind w:right="460" w:firstLine="439"/>
        <w:spacing w:after="0" w:line="262"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5" w:lineRule="exact"/>
        <w:rPr>
          <w:sz w:val="20"/>
          <w:szCs w:val="20"/>
          <w:color w:val="auto"/>
        </w:rPr>
      </w:pPr>
    </w:p>
    <w:p>
      <w:pPr>
        <w:ind w:right="100" w:firstLine="439"/>
        <w:spacing w:after="0" w:line="275" w:lineRule="auto"/>
        <w:rPr>
          <w:sz w:val="20"/>
          <w:szCs w:val="20"/>
          <w:color w:val="auto"/>
        </w:rPr>
      </w:pPr>
      <w:r>
        <w:rPr>
          <w:rFonts w:ascii="Arial" w:cs="Arial" w:eastAsia="Arial" w:hAnsi="Arial"/>
          <w:sz w:val="18"/>
          <w:szCs w:val="18"/>
          <w:color w:val="auto"/>
        </w:rPr>
        <w:t>Other expense primarily consists of net losses from the joint venture and net foreign exchange losses related to vendor invoices denominated in foreign currencies.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income consists of interest earned on our cash and cash equivalents.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9" w:lineRule="exact"/>
        <w:rPr>
          <w:sz w:val="20"/>
          <w:szCs w:val="20"/>
          <w:color w:val="auto"/>
        </w:rPr>
      </w:pPr>
    </w:p>
    <w:p>
      <w:pPr>
        <w:ind w:firstLine="439"/>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accounting principles generally accepted in the United States.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Actual results may differ from these estimates.</w:t>
      </w:r>
    </w:p>
    <w:p>
      <w:pPr>
        <w:spacing w:after="0" w:line="175" w:lineRule="exact"/>
        <w:rPr>
          <w:sz w:val="20"/>
          <w:szCs w:val="20"/>
          <w:color w:val="auto"/>
        </w:rPr>
      </w:pPr>
    </w:p>
    <w:p>
      <w:pPr>
        <w:ind w:right="20" w:firstLine="439"/>
        <w:spacing w:after="0" w:line="274" w:lineRule="auto"/>
        <w:rPr>
          <w:sz w:val="20"/>
          <w:szCs w:val="20"/>
          <w:color w:val="auto"/>
        </w:rPr>
      </w:pPr>
      <w:r>
        <w:rPr>
          <w:rFonts w:ascii="Arial" w:cs="Arial" w:eastAsia="Arial" w:hAnsi="Arial"/>
          <w:sz w:val="17"/>
          <w:szCs w:val="17"/>
          <w:color w:val="auto"/>
        </w:rPr>
        <w:t>Our significant accounting policies are more fully described in Note 1 to our consolidated financial statements included elsewhere in this Annual Report on Form 10-K. Our most critical accounting estimates include research, development and patent expenses which impacts operating expenses and accrued liabilities, stock-based compensation which impacts operating expenses and goodwill and purchased intangibles. We review our estimates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5" w:lineRule="exact"/>
        <w:rPr>
          <w:sz w:val="20"/>
          <w:szCs w:val="20"/>
          <w:color w:val="auto"/>
        </w:rPr>
      </w:pPr>
    </w:p>
    <w:p>
      <w:pPr>
        <w:ind w:right="160" w:firstLine="439"/>
        <w:spacing w:after="0" w:line="284" w:lineRule="auto"/>
        <w:rPr>
          <w:sz w:val="20"/>
          <w:szCs w:val="20"/>
          <w:color w:val="auto"/>
        </w:rPr>
      </w:pPr>
      <w:r>
        <w:rPr>
          <w:rFonts w:ascii="Arial" w:cs="Arial" w:eastAsia="Arial" w:hAnsi="Arial"/>
          <w:sz w:val="17"/>
          <w:szCs w:val="17"/>
          <w:color w:val="auto"/>
        </w:rPr>
        <w:t>Research, development and patent costs are expensed as incurred based on certain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5" w:lineRule="exact"/>
        <w:rPr>
          <w:sz w:val="20"/>
          <w:szCs w:val="20"/>
          <w:color w:val="auto"/>
        </w:rPr>
      </w:pPr>
    </w:p>
    <w:p>
      <w:pPr>
        <w:ind w:firstLine="439"/>
        <w:spacing w:after="0" w:line="268" w:lineRule="auto"/>
        <w:rPr>
          <w:sz w:val="20"/>
          <w:szCs w:val="20"/>
          <w:color w:val="auto"/>
        </w:rPr>
      </w:pPr>
      <w:r>
        <w:rPr>
          <w:rFonts w:ascii="Arial" w:cs="Arial" w:eastAsia="Arial" w:hAnsi="Arial"/>
          <w:sz w:val="17"/>
          <w:szCs w:val="17"/>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 at the lower of 85% of fair market value at the beginning of the offering period or the end of each six-month offering period. The benefits provided under all these plans require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issue employee performance-based stock options, the vesting of which is subsequently based on a determination made by our board of directors as to the achievement of certain corporate objectives. The grant date of such awards is the date on which our board of directors makes its determination. For periods preceding the grant date, the cost of these awards is measured according to their fair value at each reporting date.</w:t>
      </w:r>
    </w:p>
    <w:p>
      <w:pPr>
        <w:spacing w:after="0" w:line="180" w:lineRule="exact"/>
        <w:rPr>
          <w:sz w:val="20"/>
          <w:szCs w:val="20"/>
          <w:color w:val="auto"/>
        </w:rPr>
      </w:pPr>
    </w:p>
    <w:p>
      <w:pPr>
        <w:ind w:right="360" w:firstLine="439"/>
        <w:spacing w:after="0" w:line="275" w:lineRule="auto"/>
        <w:rPr>
          <w:sz w:val="20"/>
          <w:szCs w:val="20"/>
          <w:color w:val="auto"/>
        </w:rPr>
      </w:pPr>
      <w:r>
        <w:rPr>
          <w:rFonts w:ascii="Arial" w:cs="Arial" w:eastAsia="Arial" w:hAnsi="Arial"/>
          <w:sz w:val="18"/>
          <w:szCs w:val="18"/>
          <w:color w:val="auto"/>
        </w:rPr>
        <w:t>Valuation of our stock option grants requires us to estimate certain variables, such as estimated volatility and expected life. If any of our estimations change, such changes could have a significant impact on the stock-based compensation amount we recognize.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5" w:lineRule="exact"/>
        <w:rPr>
          <w:sz w:val="20"/>
          <w:szCs w:val="20"/>
          <w:color w:val="auto"/>
        </w:rPr>
      </w:pPr>
    </w:p>
    <w:p>
      <w:pPr>
        <w:ind w:right="40" w:firstLine="439"/>
        <w:spacing w:after="0" w:line="300" w:lineRule="auto"/>
        <w:rPr>
          <w:sz w:val="20"/>
          <w:szCs w:val="20"/>
          <w:color w:val="auto"/>
        </w:rPr>
      </w:pPr>
      <w:r>
        <w:rPr>
          <w:rFonts w:ascii="Arial" w:cs="Arial" w:eastAsia="Arial" w:hAnsi="Arial"/>
          <w:sz w:val="16"/>
          <w:szCs w:val="16"/>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a business or a set of net assets as a portion of the purchase price can only be allocated to goodwill in a business combination.</w:t>
      </w:r>
    </w:p>
    <w:p>
      <w:pPr>
        <w:spacing w:after="0" w:line="47" w:lineRule="exact"/>
        <w:rPr>
          <w:sz w:val="20"/>
          <w:szCs w:val="20"/>
          <w:color w:val="auto"/>
        </w:rPr>
      </w:pPr>
    </w:p>
    <w:p>
      <w:pPr>
        <w:jc w:val="both"/>
        <w:ind w:right="20" w:firstLine="439"/>
        <w:spacing w:after="0" w:line="277" w:lineRule="auto"/>
        <w:rPr>
          <w:sz w:val="20"/>
          <w:szCs w:val="20"/>
          <w:color w:val="auto"/>
        </w:rPr>
      </w:pPr>
      <w:r>
        <w:rPr>
          <w:rFonts w:ascii="Arial" w:cs="Arial" w:eastAsia="Arial" w:hAnsi="Arial"/>
          <w:sz w:val="17"/>
          <w:szCs w:val="17"/>
          <w:color w:val="auto"/>
        </w:rPr>
        <w:t>Goodwill and intangible assets deemed to have indefinite lives, such as in-process research and development (IPR&amp;D), are not amortized but are subject to annual impairment tests. The amounts and useful lives assigned to intangible assets that have finite useful lives require the use of estimates and the exercise of judgment. These judgments can significantly affect our net operating results. Goodwill and IPR&amp;D are considered to have indefinite lives and are carried at cost. As of December 31, 2018, and 2017, we have goodwill and IPR&amp;D, of $9.6 million and $4.8 million, respectively.</w:t>
      </w:r>
    </w:p>
    <w:p>
      <w:pPr>
        <w:spacing w:after="0" w:line="172"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At least annually in the fourth quarter, or more frequently if indicators of impairment exist, we complete an impairment test for goodwill and purchased indefinite life intangibles. The impairment evaluation is performed assuming that the Company operates in a single operating segment and reporting unit. When impaired, the carrying value of goodwill is written down to fair value. The goodwill impairment test involves consideration of qualitative information to determine if it is more likely than not, that the fair value of a reporting unit is less than its carrying value. If the carrying value of the reporting unit exceeds its fair value, a goodwill impairment charge is recorded for the difference (up to the carrying value of the intangible asset). There was no impairment of goodwill for all periods presented.</w:t>
      </w:r>
    </w:p>
    <w:p>
      <w:pPr>
        <w:spacing w:after="0" w:line="190" w:lineRule="exact"/>
        <w:rPr>
          <w:sz w:val="20"/>
          <w:szCs w:val="20"/>
          <w:color w:val="auto"/>
        </w:rPr>
      </w:pPr>
    </w:p>
    <w:p>
      <w:pPr>
        <w:ind w:right="300" w:firstLine="439"/>
        <w:spacing w:after="0" w:line="300" w:lineRule="auto"/>
        <w:rPr>
          <w:sz w:val="20"/>
          <w:szCs w:val="20"/>
          <w:color w:val="auto"/>
        </w:rPr>
      </w:pPr>
      <w:r>
        <w:rPr>
          <w:rFonts w:ascii="Arial" w:cs="Arial" w:eastAsia="Arial" w:hAnsi="Arial"/>
          <w:sz w:val="16"/>
          <w:szCs w:val="16"/>
          <w:color w:val="auto"/>
        </w:rPr>
        <w:t>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ind w:right="200" w:firstLine="439"/>
        <w:spacing w:after="0" w:line="275" w:lineRule="auto"/>
        <w:rPr>
          <w:sz w:val="20"/>
          <w:szCs w:val="20"/>
          <w:color w:val="auto"/>
        </w:rPr>
      </w:pPr>
      <w:r>
        <w:rPr>
          <w:rFonts w:ascii="Arial" w:cs="Arial" w:eastAsia="Arial" w:hAnsi="Arial"/>
          <w:sz w:val="18"/>
          <w:szCs w:val="18"/>
          <w:color w:val="auto"/>
        </w:rPr>
        <w:t>The impact of recent accounting pronouncements is more fully described in Note 1 of our consolidated financial statements included elsewhere in this Annual Report on Form 10-K.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recognize any revenue for the years ended December 31, 2018 and 2017.</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223" w:lineRule="exact"/>
        <w:rPr>
          <w:sz w:val="20"/>
          <w:szCs w:val="20"/>
          <w:color w:val="auto"/>
        </w:rPr>
      </w:pPr>
    </w:p>
    <w:p>
      <w:pPr>
        <w:jc w:val="both"/>
        <w:ind w:right="100" w:firstLine="439"/>
        <w:spacing w:after="0" w:line="262" w:lineRule="auto"/>
        <w:rPr>
          <w:sz w:val="20"/>
          <w:szCs w:val="20"/>
          <w:color w:val="auto"/>
        </w:rPr>
      </w:pPr>
      <w:r>
        <w:rPr>
          <w:rFonts w:ascii="Arial" w:cs="Arial" w:eastAsia="Arial" w:hAnsi="Arial"/>
          <w:sz w:val="18"/>
          <w:szCs w:val="18"/>
          <w:color w:val="auto"/>
        </w:rPr>
        <w:t>Research, development and patent expenses for the year ended December 31, 2018 increased by $1.4 million as compared to the same period in 2017, primarily due to an increase in clinical trial activities related to the MN-166 (ibudilast) trials as well as higher stock compensation expense for performance-based stock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3" w:lineRule="exact"/>
        <w:rPr>
          <w:sz w:val="20"/>
          <w:szCs w:val="20"/>
          <w:color w:val="auto"/>
        </w:rPr>
      </w:pPr>
    </w:p>
    <w:p>
      <w:pPr>
        <w:jc w:val="both"/>
        <w:ind w:right="120" w:firstLine="439"/>
        <w:spacing w:after="0" w:line="275" w:lineRule="auto"/>
        <w:rPr>
          <w:sz w:val="20"/>
          <w:szCs w:val="20"/>
          <w:color w:val="auto"/>
        </w:rPr>
      </w:pPr>
      <w:r>
        <w:rPr>
          <w:rFonts w:ascii="Arial" w:cs="Arial" w:eastAsia="Arial" w:hAnsi="Arial"/>
          <w:sz w:val="18"/>
          <w:szCs w:val="18"/>
          <w:color w:val="auto"/>
        </w:rPr>
        <w:t>General and administrative expenses for the year ended December 31, 2018 increased by $1.2 million compared to the same period in 2017, primarily driven by higher stock compensation expense for performance-based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3" w:lineRule="exact"/>
        <w:rPr>
          <w:sz w:val="20"/>
          <w:szCs w:val="20"/>
          <w:color w:val="auto"/>
        </w:rPr>
      </w:pPr>
    </w:p>
    <w:p>
      <w:pPr>
        <w:ind w:firstLine="439"/>
        <w:spacing w:after="0" w:line="262" w:lineRule="auto"/>
        <w:rPr>
          <w:sz w:val="20"/>
          <w:szCs w:val="20"/>
          <w:color w:val="auto"/>
        </w:rPr>
      </w:pPr>
      <w:r>
        <w:rPr>
          <w:rFonts w:ascii="Arial" w:cs="Arial" w:eastAsia="Arial" w:hAnsi="Arial"/>
          <w:sz w:val="18"/>
          <w:szCs w:val="18"/>
          <w:color w:val="auto"/>
        </w:rPr>
        <w:t>Other expense for the years ended 2018 and 2017 was approximately $23,000 and $26,000, respectively. Other expense consisted of net losses from the joint venture accounted for under the equity method according to our percentage ownership, interest expense and net transaction losses related to vendor invoices denominated in foreign currencies.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3" w:lineRule="exact"/>
        <w:rPr>
          <w:sz w:val="20"/>
          <w:szCs w:val="20"/>
          <w:color w:val="auto"/>
        </w:rPr>
      </w:pPr>
    </w:p>
    <w:p>
      <w:pPr>
        <w:ind w:right="260" w:firstLine="439"/>
        <w:spacing w:after="0" w:line="275" w:lineRule="auto"/>
        <w:rPr>
          <w:sz w:val="20"/>
          <w:szCs w:val="20"/>
          <w:color w:val="auto"/>
        </w:rPr>
      </w:pPr>
      <w:r>
        <w:rPr>
          <w:rFonts w:ascii="Arial" w:cs="Arial" w:eastAsia="Arial" w:hAnsi="Arial"/>
          <w:sz w:val="18"/>
          <w:szCs w:val="18"/>
          <w:color w:val="auto"/>
        </w:rPr>
        <w:t>Interest income for the year ended December 31, 2018 was approximately $940,000, as compared to approximately $146,000 for the same period in 2017. Interest income consists of interest earned on our cash and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recognize any revenue for the years ended December 31, 2017 and 2016.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223" w:lineRule="exact"/>
        <w:rPr>
          <w:sz w:val="20"/>
          <w:szCs w:val="20"/>
          <w:color w:val="auto"/>
        </w:rPr>
      </w:pPr>
    </w:p>
    <w:p>
      <w:pPr>
        <w:ind w:right="160" w:firstLine="439"/>
        <w:spacing w:after="0" w:line="262" w:lineRule="auto"/>
        <w:rPr>
          <w:sz w:val="20"/>
          <w:szCs w:val="20"/>
          <w:color w:val="auto"/>
        </w:rPr>
      </w:pPr>
      <w:r>
        <w:rPr>
          <w:rFonts w:ascii="Arial" w:cs="Arial" w:eastAsia="Arial" w:hAnsi="Arial"/>
          <w:sz w:val="18"/>
          <w:szCs w:val="18"/>
          <w:color w:val="auto"/>
        </w:rPr>
        <w:t>Research, development and patent expenses for the year ended December 31, 2017 increased by $0.7 million compared to the same period in 2016, primarily due to an increase in clinical trial activities related to the MN-001 (tipelukast) and MN-166 (ibudilast) trials as well as higher stock compensation expense for performance-based stock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3" w:lineRule="exact"/>
        <w:rPr>
          <w:sz w:val="20"/>
          <w:szCs w:val="20"/>
          <w:color w:val="auto"/>
        </w:rPr>
      </w:pPr>
    </w:p>
    <w:p>
      <w:pPr>
        <w:jc w:val="both"/>
        <w:ind w:right="120" w:firstLine="439"/>
        <w:spacing w:after="0" w:line="262" w:lineRule="auto"/>
        <w:rPr>
          <w:sz w:val="20"/>
          <w:szCs w:val="20"/>
          <w:color w:val="auto"/>
        </w:rPr>
      </w:pPr>
      <w:r>
        <w:rPr>
          <w:rFonts w:ascii="Arial" w:cs="Arial" w:eastAsia="Arial" w:hAnsi="Arial"/>
          <w:sz w:val="18"/>
          <w:szCs w:val="18"/>
          <w:color w:val="auto"/>
        </w:rPr>
        <w:t>General and administrative expenses for the year ended December 31, 2017 increased by $1.4 million compared to the same period in 2016, primarily driven by higher stock compensation expense for performance-based stock options as well as an increase in legal fees related to the Company’s SEC filings and other legal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3" w:lineRule="exact"/>
        <w:rPr>
          <w:sz w:val="20"/>
          <w:szCs w:val="20"/>
          <w:color w:val="auto"/>
        </w:rPr>
      </w:pPr>
    </w:p>
    <w:p>
      <w:pPr>
        <w:ind w:firstLine="439"/>
        <w:spacing w:after="0" w:line="275" w:lineRule="auto"/>
        <w:rPr>
          <w:sz w:val="20"/>
          <w:szCs w:val="20"/>
          <w:color w:val="auto"/>
        </w:rPr>
      </w:pPr>
      <w:r>
        <w:rPr>
          <w:rFonts w:ascii="Arial" w:cs="Arial" w:eastAsia="Arial" w:hAnsi="Arial"/>
          <w:sz w:val="18"/>
          <w:szCs w:val="18"/>
          <w:color w:val="auto"/>
        </w:rPr>
        <w:t>Other expense for the years ended 2017 and 2016 was approximately $26,000 and $47,000, respectively. Other expense consisted of net losses from the joint venture accounted for under the equity method according to our</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00"/>
          </w:cols>
          <w:pgMar w:left="240" w:top="443"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percentage ownership, interest expense and net transaction losses related to vendor invoices denominated in foreign currencies.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income for the year ended December 31, 2017 was approximately $146,000, as compared to approximately $67,000 for the same period in 2016.</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our cash and cash equivalents.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right="20" w:firstLine="439"/>
        <w:spacing w:after="0" w:line="257" w:lineRule="auto"/>
        <w:rPr>
          <w:sz w:val="20"/>
          <w:szCs w:val="20"/>
          <w:color w:val="auto"/>
        </w:rPr>
      </w:pPr>
      <w:r>
        <w:rPr>
          <w:rFonts w:ascii="Arial" w:cs="Arial" w:eastAsia="Arial" w:hAnsi="Arial"/>
          <w:sz w:val="18"/>
          <w:szCs w:val="18"/>
          <w:color w:val="auto"/>
        </w:rPr>
        <w:t>We incurred losses of $14.7 million, $11.2 million, and $10.9 million for the years ended December 31, 2018, 2017, and 2016, respectively. At December 31, 2018, our accumulated deficit was $356.1 million. Our operating losses to date have been funded primarily through the private placement of our equity securities, the public sale of our common stock, long-term debt, development agreements with partners and the exercise of founder’s warrants, net of treasury stock repurchases.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a summary of our cash flows for the years ended December 31:</w:t>
      </w: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820" w:type="dxa"/>
            <w:vAlign w:val="bottom"/>
            <w:tcBorders>
              <w:bottom w:val="single" w:sz="8" w:color="CFF0FC"/>
            </w:tcBorders>
          </w:tcPr>
          <w:p>
            <w:pPr>
              <w:spacing w:after="0"/>
              <w:rPr>
                <w:sz w:val="14"/>
                <w:szCs w:val="14"/>
                <w:color w:val="auto"/>
              </w:rPr>
            </w:pPr>
          </w:p>
        </w:tc>
        <w:tc>
          <w:tcPr>
            <w:tcW w:w="15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2"/>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8"/>
        </w:trPr>
        <w:tc>
          <w:tcPr>
            <w:tcW w:w="3820" w:type="dxa"/>
            <w:vAlign w:val="bottom"/>
          </w:tcPr>
          <w:p>
            <w:pPr>
              <w:spacing w:after="0"/>
              <w:rPr>
                <w:sz w:val="20"/>
                <w:szCs w:val="20"/>
                <w:color w:val="auto"/>
              </w:rPr>
            </w:pPr>
            <w:r>
              <w:rPr>
                <w:rFonts w:ascii="Arial" w:cs="Arial" w:eastAsia="Arial" w:hAnsi="Arial"/>
                <w:sz w:val="18"/>
                <w:szCs w:val="18"/>
                <w:color w:val="auto"/>
              </w:rPr>
              <w:t>Operating activities</w:t>
            </w:r>
          </w:p>
        </w:tc>
        <w:tc>
          <w:tcPr>
            <w:tcW w:w="18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(9,114)</w:t>
            </w:r>
          </w:p>
        </w:tc>
        <w:tc>
          <w:tcPr>
            <w:tcW w:w="3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(6,924)</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(6,546)</w:t>
            </w:r>
          </w:p>
        </w:tc>
      </w:tr>
      <w:tr>
        <w:trPr>
          <w:trHeight w:val="228"/>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r>
      <w:tr>
        <w:trPr>
          <w:trHeight w:val="228"/>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42,809</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8,666</w:t>
            </w:r>
          </w:p>
        </w:tc>
        <w:tc>
          <w:tcPr>
            <w:tcW w:w="80" w:type="dxa"/>
            <w:vAlign w:val="bottom"/>
            <w:tcBorders>
              <w:bottom w:val="single" w:sz="8" w:color="CFF0FC"/>
            </w:tcBorders>
          </w:tcPr>
          <w:p>
            <w:pPr>
              <w:spacing w:after="0"/>
              <w:rPr>
                <w:sz w:val="19"/>
                <w:szCs w:val="19"/>
                <w:color w:val="auto"/>
              </w:rPr>
            </w:pPr>
          </w:p>
        </w:tc>
      </w:tr>
      <w:tr>
        <w:trPr>
          <w:trHeight w:val="222"/>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34,321</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115" w:lineRule="exact"/>
        <w:rPr>
          <w:sz w:val="20"/>
          <w:szCs w:val="20"/>
          <w:color w:val="auto"/>
        </w:rPr>
      </w:pPr>
    </w:p>
    <w:p>
      <w:pPr>
        <w:ind w:right="40" w:firstLine="439"/>
        <w:spacing w:after="0" w:line="269" w:lineRule="auto"/>
        <w:rPr>
          <w:sz w:val="20"/>
          <w:szCs w:val="20"/>
          <w:color w:val="auto"/>
        </w:rPr>
      </w:pPr>
      <w:r>
        <w:rPr>
          <w:rFonts w:ascii="Arial" w:cs="Arial" w:eastAsia="Arial" w:hAnsi="Arial"/>
          <w:sz w:val="17"/>
          <w:szCs w:val="17"/>
          <w:color w:val="auto"/>
        </w:rPr>
        <w:t>On May 22, 2015, we entered into an at-the-market issuance sales agreement (the “ATM Agreement”) with MLV &amp; Co. LLC (MLV), pursuant to which we may sell common stock through MLV from time to time up to an aggregate offering price of $30.0 million. Sales of our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w:t>
      </w:r>
    </w:p>
    <w:p>
      <w:pPr>
        <w:spacing w:after="0" w:line="181" w:lineRule="exact"/>
        <w:rPr>
          <w:sz w:val="20"/>
          <w:szCs w:val="20"/>
          <w:color w:val="auto"/>
        </w:rPr>
      </w:pPr>
    </w:p>
    <w:p>
      <w:pPr>
        <w:jc w:val="both"/>
        <w:ind w:right="140" w:firstLine="439"/>
        <w:spacing w:after="0" w:line="262" w:lineRule="auto"/>
        <w:rPr>
          <w:sz w:val="20"/>
          <w:szCs w:val="20"/>
          <w:color w:val="auto"/>
        </w:rPr>
      </w:pPr>
      <w:r>
        <w:rPr>
          <w:rFonts w:ascii="Arial" w:cs="Arial" w:eastAsia="Arial" w:hAnsi="Arial"/>
          <w:sz w:val="18"/>
          <w:szCs w:val="18"/>
          <w:color w:val="auto"/>
        </w:rPr>
        <w:t>On August 24, 2015, we completed a firm-commitment underwritten public offering of 5,000,000 shares of common stock at a purchase price of $3.50 per share for gross proceeds of $17.5 million, and received net proceeds of approximately $16.0 million, net of underwriting discounts and commissions and offering expenses.</w:t>
      </w:r>
    </w:p>
    <w:p>
      <w:pPr>
        <w:spacing w:after="0" w:line="181" w:lineRule="exact"/>
        <w:rPr>
          <w:sz w:val="20"/>
          <w:szCs w:val="20"/>
          <w:color w:val="auto"/>
        </w:rPr>
      </w:pPr>
    </w:p>
    <w:p>
      <w:pPr>
        <w:ind w:right="100" w:firstLine="439"/>
        <w:spacing w:after="0" w:line="275" w:lineRule="auto"/>
        <w:rPr>
          <w:sz w:val="20"/>
          <w:szCs w:val="20"/>
          <w:color w:val="auto"/>
        </w:rPr>
      </w:pPr>
      <w:r>
        <w:rPr>
          <w:rFonts w:ascii="Arial" w:cs="Arial" w:eastAsia="Arial" w:hAnsi="Arial"/>
          <w:sz w:val="18"/>
          <w:szCs w:val="18"/>
          <w:color w:val="auto"/>
        </w:rPr>
        <w:t>On September 16, 2016, we entered into an amendment No. 1 to the ATM Agreement with MLV to also include FBR Capital Markets &amp; Co (FBR) as a sales agent.</w:t>
      </w:r>
    </w:p>
    <w:p>
      <w:pPr>
        <w:spacing w:after="0" w:line="170" w:lineRule="exact"/>
        <w:rPr>
          <w:sz w:val="20"/>
          <w:szCs w:val="20"/>
          <w:color w:val="auto"/>
        </w:rPr>
      </w:pPr>
    </w:p>
    <w:p>
      <w:pPr>
        <w:ind w:right="20" w:firstLine="439"/>
        <w:spacing w:after="0" w:line="262" w:lineRule="auto"/>
        <w:rPr>
          <w:sz w:val="20"/>
          <w:szCs w:val="20"/>
          <w:color w:val="auto"/>
        </w:rPr>
      </w:pPr>
      <w:r>
        <w:rPr>
          <w:rFonts w:ascii="Arial" w:cs="Arial" w:eastAsia="Arial" w:hAnsi="Arial"/>
          <w:sz w:val="18"/>
          <w:szCs w:val="18"/>
          <w:color w:val="auto"/>
        </w:rPr>
        <w:t>For the year ended December 31, 2018, we generated gross and net proceeds of $1.6 million and $1.5 million, respectively, on sales of 200,000 shares of our common stock at $7.81 per share. For the year ended December 31, 2017, we generated gross and net proceeds of $10.3 million and $9.9 million, respectively, on sales of 1,689,436 shares of our common stock at prices ranging from $5.30 to $6.98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w:t>
      </w:r>
    </w:p>
    <w:p>
      <w:pPr>
        <w:spacing w:after="0" w:line="236" w:lineRule="exact"/>
        <w:rPr>
          <w:sz w:val="20"/>
          <w:szCs w:val="20"/>
          <w:color w:val="auto"/>
        </w:rPr>
      </w:pPr>
    </w:p>
    <w:p>
      <w:pPr>
        <w:ind w:right="20" w:firstLine="439"/>
        <w:spacing w:after="0" w:line="275" w:lineRule="auto"/>
        <w:rPr>
          <w:sz w:val="20"/>
          <w:szCs w:val="20"/>
          <w:color w:val="auto"/>
        </w:rPr>
      </w:pPr>
      <w:r>
        <w:rPr>
          <w:rFonts w:ascii="Arial" w:cs="Arial" w:eastAsia="Arial" w:hAnsi="Arial"/>
          <w:sz w:val="18"/>
          <w:szCs w:val="18"/>
          <w:color w:val="auto"/>
        </w:rPr>
        <w:t>On February 12, 2018, we completed a firm-commitment underwritten public offering of 4,419,890 shares of common stock at a purchase price of $9.05 per share for aggregate gross proceeds of $40.0 million, and received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58" w:name="page59"/>
    <w:bookmarkEnd w:id="58"/>
    <w:p>
      <w:pPr>
        <w:ind w:right="160"/>
        <w:spacing w:after="0" w:line="257" w:lineRule="auto"/>
        <w:rPr>
          <w:sz w:val="20"/>
          <w:szCs w:val="20"/>
          <w:color w:val="auto"/>
        </w:rPr>
      </w:pPr>
      <w:r>
        <w:rPr>
          <w:rFonts w:ascii="Arial" w:cs="Arial" w:eastAsia="Arial" w:hAnsi="Arial"/>
          <w:sz w:val="18"/>
          <w:szCs w:val="18"/>
          <w:color w:val="auto"/>
        </w:rPr>
        <w:t>aggregate net proceeds of approximately $37.4 million, net of underwriting discounts and commissions and offering expenses. Additionally, we granted the underwriters a 30-day option to purchase up to an additional 662,983 shares of common stock at the public offering price, and on February 21, 2018, we sold an additional 126,038 shares of common stock for gross proceeds of $1.1 million pursuant to the partial exercise by the underwriters of their over-allotment option.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3" w:lineRule="exact"/>
        <w:rPr>
          <w:sz w:val="20"/>
          <w:szCs w:val="20"/>
          <w:color w:val="auto"/>
        </w:rPr>
      </w:pPr>
    </w:p>
    <w:p>
      <w:pPr>
        <w:ind w:right="520" w:firstLine="439"/>
        <w:spacing w:after="0" w:line="275" w:lineRule="auto"/>
        <w:rPr>
          <w:sz w:val="20"/>
          <w:szCs w:val="20"/>
          <w:color w:val="auto"/>
        </w:rPr>
      </w:pPr>
      <w:r>
        <w:rPr>
          <w:rFonts w:ascii="Arial" w:cs="Arial" w:eastAsia="Arial" w:hAnsi="Arial"/>
          <w:sz w:val="18"/>
          <w:szCs w:val="18"/>
          <w:color w:val="auto"/>
        </w:rPr>
        <w:t>During the years ended December 31, 2018 and 2017, warrants to purchase 750,000 and 119,047 shares were exercised for gross proceeds of $2.4 million and $0.4 million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Financial Condition and Liquidity</w:t>
      </w:r>
    </w:p>
    <w:p>
      <w:pPr>
        <w:spacing w:after="0" w:line="119" w:lineRule="exact"/>
        <w:rPr>
          <w:sz w:val="20"/>
          <w:szCs w:val="20"/>
          <w:color w:val="auto"/>
        </w:rPr>
      </w:pPr>
    </w:p>
    <w:p>
      <w:pPr>
        <w:ind w:right="500" w:firstLine="439"/>
        <w:spacing w:after="0" w:line="275" w:lineRule="auto"/>
        <w:rPr>
          <w:sz w:val="20"/>
          <w:szCs w:val="20"/>
          <w:color w:val="auto"/>
        </w:rPr>
      </w:pPr>
      <w:r>
        <w:rPr>
          <w:rFonts w:ascii="Arial" w:cs="Arial" w:eastAsia="Arial" w:hAnsi="Arial"/>
          <w:sz w:val="18"/>
          <w:szCs w:val="18"/>
          <w:color w:val="auto"/>
        </w:rPr>
        <w:t>As of December 31, 2018, we had available cash and cash equivalents of $62.3 million and working capital of $60.6 million. As of the date of this report, we believe we have working capital sufficient to fund operations through the end of 2020.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5" w:lineRule="exact"/>
        <w:rPr>
          <w:sz w:val="20"/>
          <w:szCs w:val="20"/>
          <w:color w:val="auto"/>
        </w:rPr>
      </w:pPr>
    </w:p>
    <w:p>
      <w:pPr>
        <w:ind w:left="860" w:hanging="423"/>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115" w:lineRule="exact"/>
        <w:rPr>
          <w:rFonts w:ascii="Arial" w:cs="Arial" w:eastAsia="Arial" w:hAnsi="Arial"/>
          <w:sz w:val="18"/>
          <w:szCs w:val="18"/>
          <w:color w:val="auto"/>
        </w:rPr>
      </w:pPr>
    </w:p>
    <w:p>
      <w:pPr>
        <w:ind w:left="860" w:hanging="423"/>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15" w:lineRule="exact"/>
        <w:rPr>
          <w:rFonts w:ascii="Arial" w:cs="Arial" w:eastAsia="Arial" w:hAnsi="Arial"/>
          <w:sz w:val="18"/>
          <w:szCs w:val="18"/>
          <w:color w:val="auto"/>
        </w:rPr>
      </w:pPr>
    </w:p>
    <w:p>
      <w:pPr>
        <w:ind w:left="860" w:right="140" w:hanging="423"/>
        <w:spacing w:after="0" w:line="275"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62" w:lineRule="exact"/>
        <w:rPr>
          <w:rFonts w:ascii="Arial" w:cs="Arial" w:eastAsia="Arial" w:hAnsi="Arial"/>
          <w:sz w:val="18"/>
          <w:szCs w:val="18"/>
          <w:color w:val="auto"/>
        </w:rPr>
      </w:pPr>
    </w:p>
    <w:p>
      <w:pPr>
        <w:ind w:left="860" w:hanging="423"/>
        <w:spacing w:after="0" w:line="275"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62" w:lineRule="exact"/>
        <w:rPr>
          <w:rFonts w:ascii="Arial" w:cs="Arial" w:eastAsia="Arial" w:hAnsi="Arial"/>
          <w:sz w:val="18"/>
          <w:szCs w:val="18"/>
          <w:color w:val="auto"/>
        </w:rPr>
      </w:pPr>
    </w:p>
    <w:p>
      <w:pPr>
        <w:ind w:left="860" w:hanging="423"/>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15" w:lineRule="exact"/>
        <w:rPr>
          <w:rFonts w:ascii="Arial" w:cs="Arial" w:eastAsia="Arial" w:hAnsi="Arial"/>
          <w:sz w:val="18"/>
          <w:szCs w:val="18"/>
          <w:color w:val="auto"/>
        </w:rPr>
      </w:pPr>
    </w:p>
    <w:p>
      <w:pPr>
        <w:ind w:left="860" w:hanging="423"/>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115" w:lineRule="exact"/>
        <w:rPr>
          <w:rFonts w:ascii="Arial" w:cs="Arial" w:eastAsia="Arial" w:hAnsi="Arial"/>
          <w:sz w:val="18"/>
          <w:szCs w:val="18"/>
          <w:color w:val="auto"/>
        </w:rPr>
      </w:pPr>
    </w:p>
    <w:p>
      <w:pPr>
        <w:ind w:left="860" w:hanging="423"/>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associated with any expansion of our management, personnel, systems and facilities;</w:t>
      </w:r>
    </w:p>
    <w:p>
      <w:pPr>
        <w:spacing w:after="0" w:line="115" w:lineRule="exact"/>
        <w:rPr>
          <w:rFonts w:ascii="Arial" w:cs="Arial" w:eastAsia="Arial" w:hAnsi="Arial"/>
          <w:sz w:val="18"/>
          <w:szCs w:val="18"/>
          <w:color w:val="auto"/>
        </w:rPr>
      </w:pPr>
    </w:p>
    <w:p>
      <w:pPr>
        <w:ind w:left="860" w:hanging="423"/>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15" w:lineRule="exact"/>
        <w:rPr>
          <w:rFonts w:ascii="Arial" w:cs="Arial" w:eastAsia="Arial" w:hAnsi="Arial"/>
          <w:sz w:val="18"/>
          <w:szCs w:val="18"/>
          <w:color w:val="auto"/>
        </w:rPr>
      </w:pPr>
    </w:p>
    <w:p>
      <w:pPr>
        <w:ind w:left="860" w:hanging="423"/>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115" w:lineRule="exact"/>
        <w:rPr>
          <w:rFonts w:ascii="Arial" w:cs="Arial" w:eastAsia="Arial" w:hAnsi="Arial"/>
          <w:sz w:val="18"/>
          <w:szCs w:val="18"/>
          <w:color w:val="auto"/>
        </w:rPr>
      </w:pPr>
    </w:p>
    <w:p>
      <w:pPr>
        <w:ind w:left="860" w:hanging="423"/>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15" w:lineRule="exact"/>
        <w:rPr>
          <w:rFonts w:ascii="Arial" w:cs="Arial" w:eastAsia="Arial" w:hAnsi="Arial"/>
          <w:sz w:val="18"/>
          <w:szCs w:val="18"/>
          <w:color w:val="auto"/>
        </w:rPr>
      </w:pPr>
    </w:p>
    <w:p>
      <w:pPr>
        <w:ind w:left="860" w:right="320" w:hanging="423"/>
        <w:spacing w:after="0" w:line="275"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Significant Contractual Obligations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summarizes our scheduled long-term contractual obligations that may affect our future liquidity as of December 31, 2018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900" w:type="dxa"/>
            <w:vAlign w:val="bottom"/>
          </w:tcPr>
          <w:p>
            <w:pPr>
              <w:jc w:val="right"/>
              <w:ind w:right="98"/>
              <w:spacing w:after="0"/>
              <w:rPr>
                <w:sz w:val="20"/>
                <w:szCs w:val="20"/>
                <w:color w:val="auto"/>
              </w:rPr>
            </w:pPr>
            <w:r>
              <w:rPr>
                <w:rFonts w:ascii="Arial" w:cs="Arial" w:eastAsia="Arial" w:hAnsi="Arial"/>
                <w:sz w:val="14"/>
                <w:szCs w:val="14"/>
                <w:b w:val="1"/>
                <w:bCs w:val="1"/>
                <w:color w:val="auto"/>
                <w:w w:val="90"/>
              </w:rPr>
              <w:t>Less than 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38"/>
              <w:spacing w:after="0"/>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58"/>
              <w:spacing w:after="0"/>
              <w:rPr>
                <w:sz w:val="20"/>
                <w:szCs w:val="20"/>
                <w:color w:val="auto"/>
              </w:rPr>
            </w:pPr>
            <w:r>
              <w:rPr>
                <w:rFonts w:ascii="Arial" w:cs="Arial" w:eastAsia="Arial" w:hAnsi="Arial"/>
                <w:sz w:val="14"/>
                <w:szCs w:val="14"/>
                <w:b w:val="1"/>
                <w:bCs w:val="1"/>
                <w:color w:val="auto"/>
              </w:rPr>
              <w:t>3-5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70"/>
        </w:trPr>
        <w:tc>
          <w:tcPr>
            <w:tcW w:w="5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98"/>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820" w:type="dxa"/>
            <w:vAlign w:val="bottom"/>
          </w:tcPr>
          <w:p>
            <w:pPr>
              <w:jc w:val="right"/>
              <w:ind w:right="278"/>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22"/>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20" w:type="dxa"/>
            <w:vAlign w:val="bottom"/>
          </w:tcPr>
          <w:p>
            <w:pPr>
              <w:spacing w:after="0"/>
              <w:rPr>
                <w:sz w:val="20"/>
                <w:szCs w:val="20"/>
                <w:color w:val="auto"/>
              </w:rPr>
            </w:pPr>
            <w:r>
              <w:rPr>
                <w:rFonts w:ascii="Arial" w:cs="Arial" w:eastAsia="Arial" w:hAnsi="Arial"/>
                <w:sz w:val="18"/>
                <w:szCs w:val="18"/>
                <w:color w:val="auto"/>
              </w:rPr>
              <w:t>Research and development services (1)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2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440" w:right="60" w:hanging="433"/>
        <w:spacing w:after="0" w:line="275"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October 2011, we entered into an agreement with Kissei to perform research and development services relating to MN-221 (bedoradrine) in exchange for a non-refundable upfront payment of $2.5 million. We 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59" w:name="page60"/>
    <w:bookmarkEnd w:id="59"/>
    <w:p>
      <w:pPr>
        <w:ind w:left="440" w:right="40"/>
        <w:spacing w:after="0" w:line="257" w:lineRule="auto"/>
        <w:rPr>
          <w:sz w:val="20"/>
          <w:szCs w:val="20"/>
          <w:color w:val="auto"/>
        </w:rPr>
      </w:pPr>
      <w:r>
        <w:rPr>
          <w:rFonts w:ascii="Arial" w:cs="Arial" w:eastAsia="Arial" w:hAnsi="Arial"/>
          <w:sz w:val="18"/>
          <w:szCs w:val="18"/>
          <w:color w:val="auto"/>
        </w:rPr>
        <w:t>responsible for all costs to be incurred in the performance of these services. The estimated remaining costs to be incurred in the performance of all such remaining services are included above.</w:t>
      </w:r>
    </w:p>
    <w:p>
      <w:pPr>
        <w:spacing w:after="0" w:line="1" w:lineRule="exact"/>
        <w:rPr>
          <w:sz w:val="20"/>
          <w:szCs w:val="20"/>
          <w:color w:val="auto"/>
        </w:rPr>
      </w:pPr>
    </w:p>
    <w:p>
      <w:pPr>
        <w:jc w:val="both"/>
        <w:ind w:left="440" w:hanging="433"/>
        <w:spacing w:after="0" w:line="300" w:lineRule="auto"/>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also enter into agreements with third parties to conduct our clinical trials, manufacture our product candidates, and perform data collection, analysis and other services in connection with our product development programs. As our payment obligations under these agreements depend upon the progress of our product development programs, we are unable at this time to estimate the future costs we might incur under these agreements.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ind w:right="100" w:firstLine="439"/>
        <w:spacing w:after="0" w:line="254" w:lineRule="auto"/>
        <w:rPr>
          <w:sz w:val="20"/>
          <w:szCs w:val="20"/>
          <w:color w:val="auto"/>
        </w:rPr>
      </w:pPr>
      <w:r>
        <w:rPr>
          <w:rFonts w:ascii="Arial" w:cs="Arial" w:eastAsia="Arial" w:hAnsi="Arial"/>
          <w:sz w:val="18"/>
          <w:szCs w:val="18"/>
          <w:color w:val="auto"/>
        </w:rPr>
        <w:t>At December 31, 2018,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the accompanying consolidated balance sheets of MediciNova, Inc. (the “Company”) as of December 31, 2018 and 2017, the related consolidated statements of operations and comprehensive loss, stockholders’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13, 2019 expressed an unqualified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jc w:val="center"/>
        <w:ind w:right="100"/>
        <w:spacing w:after="0"/>
        <w:rPr>
          <w:sz w:val="20"/>
          <w:szCs w:val="20"/>
          <w:color w:val="auto"/>
        </w:rPr>
      </w:pPr>
      <w:r>
        <w:rPr>
          <w:rFonts w:ascii="Arial" w:cs="Arial" w:eastAsia="Arial" w:hAnsi="Arial"/>
          <w:sz w:val="18"/>
          <w:szCs w:val="18"/>
          <w:b w:val="1"/>
          <w:bCs w:val="1"/>
          <w:color w:val="auto"/>
        </w:rPr>
        <w:t>MEDICINOVA, INC.</w:t>
      </w: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BALANCE SHEETS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8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62,313,418</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27,991,743</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 and other current assets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444,942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336,580</w:t>
            </w:r>
          </w:p>
        </w:tc>
        <w:tc>
          <w:tcPr>
            <w:tcW w:w="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62,758,360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28,328,323</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9,600,240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9,600,240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36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616,657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53,134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62,886</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10,958</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10,958</w:t>
            </w:r>
          </w:p>
        </w:tc>
        <w:tc>
          <w:tcPr>
            <w:tcW w:w="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77,222,692</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43,419,064</w:t>
            </w:r>
          </w:p>
        </w:tc>
        <w:tc>
          <w:tcPr>
            <w:tcW w:w="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8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616,753</w:t>
            </w:r>
          </w:p>
        </w:tc>
        <w:tc>
          <w:tcPr>
            <w:tcW w:w="240" w:type="dxa"/>
            <w:vAlign w:val="bottom"/>
          </w:tcPr>
          <w:p>
            <w:pPr>
              <w:spacing w:after="0"/>
              <w:rPr>
                <w:sz w:val="19"/>
                <w:szCs w:val="19"/>
                <w:color w:val="auto"/>
              </w:rPr>
            </w:pPr>
          </w:p>
        </w:tc>
        <w:tc>
          <w:tcPr>
            <w:tcW w:w="460" w:type="dxa"/>
            <w:vAlign w:val="bottom"/>
            <w:gridSpan w:val="2"/>
          </w:tcPr>
          <w:p>
            <w:pPr>
              <w:jc w:val="right"/>
              <w:ind w:right="287"/>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1,520,225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1,575,161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1,360,744</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2,191,914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2,880,969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Long-term deferred rent and lease liability</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0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201,792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201,792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Long-term deferred revenue</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4,115,080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4,776,924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100,000,000 shares authorized at</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31, 2018 and December 31, 2017; 42,081,306 and 36,452,893</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issued and outstanding at December 31, 2018 and December 31, 2017, respectively</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42,081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36,453</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429,289,968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380,156,510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(93,150)</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(94,623)</w:t>
            </w:r>
          </w:p>
        </w:tc>
        <w:tc>
          <w:tcPr>
            <w:tcW w:w="0" w:type="dxa"/>
            <w:vAlign w:val="bottom"/>
          </w:tcPr>
          <w:p>
            <w:pPr>
              <w:spacing w:after="0"/>
              <w:rPr>
                <w:sz w:val="1"/>
                <w:szCs w:val="1"/>
                <w:color w:val="auto"/>
              </w:rPr>
            </w:pPr>
          </w:p>
        </w:tc>
      </w:tr>
      <w:tr>
        <w:trPr>
          <w:trHeight w:val="228"/>
        </w:trPr>
        <w:tc>
          <w:tcPr>
            <w:tcW w:w="804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(356,131,287)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(341,456,200)</w:t>
            </w:r>
          </w:p>
        </w:tc>
        <w:tc>
          <w:tcPr>
            <w:tcW w:w="0" w:type="dxa"/>
            <w:vAlign w:val="bottom"/>
          </w:tcPr>
          <w:p>
            <w:pPr>
              <w:spacing w:after="0"/>
              <w:rPr>
                <w:sz w:val="1"/>
                <w:szCs w:val="1"/>
                <w:color w:val="auto"/>
              </w:rPr>
            </w:pPr>
          </w:p>
        </w:tc>
      </w:tr>
      <w:tr>
        <w:trPr>
          <w:trHeight w:val="222"/>
        </w:trPr>
        <w:tc>
          <w:tcPr>
            <w:tcW w:w="8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73,107,612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38,642,140</w:t>
            </w:r>
          </w:p>
        </w:tc>
        <w:tc>
          <w:tcPr>
            <w:tcW w:w="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77,222,692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43,419,064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0"/>
              </w:rPr>
              <w:t>Years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7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2"/>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8"/>
        </w:trPr>
        <w:tc>
          <w:tcPr>
            <w:tcW w:w="6780" w:type="dxa"/>
            <w:vAlign w:val="bottom"/>
          </w:tcPr>
          <w:p>
            <w:pPr>
              <w:ind w:left="500"/>
              <w:spacing w:after="0"/>
              <w:rPr>
                <w:sz w:val="20"/>
                <w:szCs w:val="20"/>
                <w:color w:val="auto"/>
              </w:rPr>
            </w:pPr>
            <w:r>
              <w:rPr>
                <w:rFonts w:ascii="Arial" w:cs="Arial" w:eastAsia="Arial" w:hAnsi="Arial"/>
                <w:sz w:val="18"/>
                <w:szCs w:val="18"/>
                <w:color w:val="auto"/>
              </w:rPr>
              <w:t>Research, development and patents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5,625,814</w:t>
            </w:r>
          </w:p>
        </w:tc>
        <w:tc>
          <w:tcPr>
            <w:tcW w:w="80" w:type="dxa"/>
            <w:vAlign w:val="bottom"/>
          </w:tcPr>
          <w:p>
            <w:pPr>
              <w:spacing w:after="0"/>
              <w:rPr>
                <w:sz w:val="19"/>
                <w:szCs w:val="19"/>
                <w:color w:val="auto"/>
              </w:rPr>
            </w:pP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4,223,746</w:t>
            </w:r>
          </w:p>
        </w:tc>
        <w:tc>
          <w:tcPr>
            <w:tcW w:w="26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3,519,172</w:t>
            </w:r>
          </w:p>
        </w:tc>
        <w:tc>
          <w:tcPr>
            <w:tcW w:w="100" w:type="dxa"/>
            <w:vAlign w:val="bottom"/>
          </w:tcPr>
          <w:p>
            <w:pPr>
              <w:spacing w:after="0"/>
              <w:rPr>
                <w:sz w:val="19"/>
                <w:szCs w:val="19"/>
                <w:color w:val="auto"/>
              </w:rPr>
            </w:pPr>
          </w:p>
        </w:tc>
      </w:tr>
      <w:tr>
        <w:trPr>
          <w:trHeight w:val="228"/>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9,961,012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8,803,347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7,362,662</w:t>
            </w:r>
          </w:p>
        </w:tc>
        <w:tc>
          <w:tcPr>
            <w:tcW w:w="100" w:type="dxa"/>
            <w:vAlign w:val="bottom"/>
            <w:shd w:val="clear" w:color="auto" w:fill="CFF0FC"/>
          </w:tcPr>
          <w:p>
            <w:pPr>
              <w:spacing w:after="0"/>
              <w:rPr>
                <w:sz w:val="19"/>
                <w:szCs w:val="19"/>
                <w:color w:val="auto"/>
              </w:rPr>
            </w:pPr>
          </w:p>
        </w:tc>
      </w:tr>
      <w:tr>
        <w:trPr>
          <w:trHeight w:val="222"/>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15,586,826</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13,027,093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10,881,834</w:t>
            </w:r>
          </w:p>
        </w:tc>
        <w:tc>
          <w:tcPr>
            <w:tcW w:w="100" w:type="dxa"/>
            <w:vAlign w:val="bottom"/>
            <w:tcBorders>
              <w:bottom w:val="single" w:sz="8" w:color="CFF0FC"/>
            </w:tcBorders>
          </w:tcPr>
          <w:p>
            <w:pPr>
              <w:spacing w:after="0"/>
              <w:rPr>
                <w:sz w:val="19"/>
                <w:szCs w:val="19"/>
                <w:color w:val="auto"/>
              </w:rPr>
            </w:pPr>
          </w:p>
        </w:tc>
      </w:tr>
      <w:tr>
        <w:trPr>
          <w:trHeight w:val="222"/>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(15,586,826)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(13,027,093)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(10,881,834)</w:t>
            </w:r>
          </w:p>
        </w:tc>
        <w:tc>
          <w:tcPr>
            <w:tcW w:w="100" w:type="dxa"/>
            <w:vAlign w:val="bottom"/>
            <w:shd w:val="clear" w:color="auto" w:fill="CFF0FC"/>
          </w:tcPr>
          <w:p>
            <w:pPr>
              <w:spacing w:after="0"/>
              <w:rPr>
                <w:sz w:val="19"/>
                <w:szCs w:val="19"/>
                <w:color w:val="auto"/>
              </w:rPr>
            </w:pP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(22,894)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(25,601)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(47,038)</w:t>
            </w: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939,909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145,508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66,647</w:t>
            </w:r>
          </w:p>
        </w:tc>
        <w:tc>
          <w:tcPr>
            <w:tcW w:w="100" w:type="dxa"/>
            <w:vAlign w:val="bottom"/>
            <w:shd w:val="clear" w:color="auto" w:fill="CFF0FC"/>
          </w:tcPr>
          <w:p>
            <w:pPr>
              <w:spacing w:after="0"/>
              <w:rPr>
                <w:sz w:val="19"/>
                <w:szCs w:val="19"/>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(14,669,811)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(12,907,186)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(10,862,225)</w:t>
            </w:r>
          </w:p>
        </w:tc>
        <w:tc>
          <w:tcPr>
            <w:tcW w:w="100" w:type="dxa"/>
            <w:vAlign w:val="bottom"/>
          </w:tcPr>
          <w:p>
            <w:pPr>
              <w:spacing w:after="0"/>
              <w:rPr>
                <w:sz w:val="19"/>
                <w:szCs w:val="19"/>
                <w:color w:val="auto"/>
              </w:rPr>
            </w:pP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(5,276)</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1,744,050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(3,754)</w:t>
            </w:r>
          </w:p>
        </w:tc>
      </w:tr>
      <w:tr>
        <w:trPr>
          <w:trHeight w:val="262"/>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(14,675,087)</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(11,163,136)</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(10,865,979)</w:t>
            </w:r>
          </w:p>
        </w:tc>
        <w:tc>
          <w:tcPr>
            <w:tcW w:w="100" w:type="dxa"/>
            <w:vAlign w:val="bottom"/>
            <w:tcBorders>
              <w:bottom w:val="single" w:sz="8" w:color="CFF0FC"/>
            </w:tcBorders>
          </w:tcPr>
          <w:p>
            <w:pPr>
              <w:spacing w:after="0"/>
              <w:rPr>
                <w:sz w:val="22"/>
                <w:szCs w:val="22"/>
                <w:color w:val="auto"/>
              </w:rPr>
            </w:pPr>
          </w:p>
        </w:tc>
      </w:tr>
      <w:tr>
        <w:trPr>
          <w:trHeight w:val="209"/>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FF0FC"/>
          </w:tcPr>
          <w:p>
            <w:pPr>
              <w:spacing w:after="0"/>
              <w:rPr>
                <w:sz w:val="18"/>
                <w:szCs w:val="18"/>
                <w:color w:val="auto"/>
              </w:rPr>
            </w:pP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41,124,909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35,137,028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32,986,740</w:t>
            </w:r>
          </w:p>
        </w:tc>
        <w:tc>
          <w:tcPr>
            <w:tcW w:w="100" w:type="dxa"/>
            <w:vAlign w:val="bottom"/>
          </w:tcPr>
          <w:p>
            <w:pPr>
              <w:spacing w:after="0"/>
              <w:rPr>
                <w:sz w:val="19"/>
                <w:szCs w:val="19"/>
                <w:color w:val="auto"/>
              </w:rPr>
            </w:pP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(14,675,087)</w:t>
            </w:r>
          </w:p>
        </w:tc>
        <w:tc>
          <w:tcPr>
            <w:tcW w:w="4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(11,163,136)</w:t>
            </w: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(10,865,979)</w:t>
            </w: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6,765</w:t>
            </w:r>
          </w:p>
        </w:tc>
        <w:tc>
          <w:tcPr>
            <w:tcW w:w="100" w:type="dxa"/>
            <w:vAlign w:val="bottom"/>
            <w:shd w:val="clear" w:color="auto" w:fill="CFF0FC"/>
          </w:tcPr>
          <w:p>
            <w:pPr>
              <w:spacing w:after="0"/>
              <w:rPr>
                <w:sz w:val="19"/>
                <w:szCs w:val="19"/>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(14,673,614)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(11,161,759)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(10,859,214)</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760" w:type="dxa"/>
            <w:vAlign w:val="bottom"/>
            <w:gridSpan w:val="7"/>
            <w:vMerge w:val="restart"/>
          </w:tcPr>
          <w:p>
            <w:pPr>
              <w:ind w:left="320"/>
              <w:spacing w:after="0"/>
              <w:rPr>
                <w:sz w:val="20"/>
                <w:szCs w:val="20"/>
                <w:color w:val="auto"/>
              </w:rPr>
            </w:pPr>
            <w:r>
              <w:rPr>
                <w:rFonts w:ascii="Arial" w:cs="Arial" w:eastAsia="Arial" w:hAnsi="Arial"/>
                <w:sz w:val="14"/>
                <w:szCs w:val="14"/>
                <w:b w:val="1"/>
                <w:bCs w:val="1"/>
                <w:color w:val="auto"/>
              </w:rPr>
              <w:t>Preferred stock</w:t>
            </w:r>
          </w:p>
        </w:tc>
        <w:tc>
          <w:tcPr>
            <w:tcW w:w="1580" w:type="dxa"/>
            <w:vAlign w:val="bottom"/>
            <w:gridSpan w:val="5"/>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10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920" w:type="dxa"/>
            <w:vAlign w:val="bottom"/>
          </w:tcPr>
          <w:p>
            <w:pPr>
              <w:spacing w:after="0"/>
              <w:rPr>
                <w:sz w:val="14"/>
                <w:szCs w:val="14"/>
                <w:color w:val="auto"/>
              </w:rPr>
            </w:pPr>
          </w:p>
        </w:tc>
        <w:tc>
          <w:tcPr>
            <w:tcW w:w="1760" w:type="dxa"/>
            <w:vAlign w:val="bottom"/>
            <w:gridSpan w:val="7"/>
            <w:vMerge w:val="continue"/>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paid-in</w:t>
            </w:r>
          </w:p>
        </w:tc>
        <w:tc>
          <w:tcPr>
            <w:tcW w:w="80" w:type="dxa"/>
            <w:vAlign w:val="bottom"/>
          </w:tcPr>
          <w:p>
            <w:pPr>
              <w:spacing w:after="0"/>
              <w:rPr>
                <w:sz w:val="14"/>
                <w:szCs w:val="14"/>
                <w:color w:val="auto"/>
              </w:rPr>
            </w:pP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comprehensive</w:t>
            </w:r>
          </w:p>
        </w:tc>
        <w:tc>
          <w:tcPr>
            <w:tcW w:w="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stockholders’</w:t>
            </w: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900" w:type="dxa"/>
            <w:vAlign w:val="bottom"/>
            <w:tcBorders>
              <w:top w:val="single" w:sz="8" w:color="auto"/>
            </w:tcBorders>
            <w:gridSpan w:val="3"/>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gridSpan w:val="2"/>
          </w:tcPr>
          <w:p>
            <w:pPr>
              <w:spacing w:after="0"/>
              <w:rPr>
                <w:sz w:val="13"/>
                <w:szCs w:val="13"/>
                <w:color w:val="auto"/>
              </w:rPr>
            </w:pPr>
          </w:p>
        </w:tc>
        <w:tc>
          <w:tcPr>
            <w:tcW w:w="900" w:type="dxa"/>
            <w:vAlign w:val="bottom"/>
            <w:tcBorders>
              <w:top w:val="single" w:sz="8" w:color="auto"/>
            </w:tcBorders>
            <w:gridSpan w:val="3"/>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3"/>
                <w:szCs w:val="13"/>
                <w:color w:val="auto"/>
              </w:rPr>
            </w:pPr>
          </w:p>
        </w:tc>
        <w:tc>
          <w:tcPr>
            <w:tcW w:w="1040" w:type="dxa"/>
            <w:vAlign w:val="bottom"/>
            <w:gridSpan w:val="3"/>
          </w:tcPr>
          <w:p>
            <w:pPr>
              <w:jc w:val="center"/>
              <w:ind w:right="180"/>
              <w:spacing w:after="0" w:line="155" w:lineRule="exact"/>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3"/>
                <w:szCs w:val="13"/>
                <w:color w:val="auto"/>
              </w:rPr>
            </w:pPr>
          </w:p>
        </w:tc>
        <w:tc>
          <w:tcPr>
            <w:tcW w:w="80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392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2015</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220,000</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2,200</w:t>
            </w: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29,956,495</w:t>
            </w: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29,957</w:t>
            </w:r>
          </w:p>
        </w:tc>
        <w:tc>
          <w:tcPr>
            <w:tcW w:w="160" w:type="dxa"/>
            <w:vAlign w:val="bottom"/>
            <w:tcBorders>
              <w:top w:val="single" w:sz="8" w:color="CFF0FC"/>
            </w:tcBorders>
            <w:gridSpan w:val="2"/>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$ 352,250,667</w:t>
            </w:r>
          </w:p>
        </w:tc>
        <w:tc>
          <w:tcPr>
            <w:tcW w:w="160" w:type="dxa"/>
            <w:vAlign w:val="bottom"/>
            <w:tcBorders>
              <w:top w:val="single" w:sz="8" w:color="CFF0FC"/>
            </w:tcBorders>
            <w:gridSpan w:val="2"/>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(102,765)</w:t>
            </w: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6"/>
              </w:rPr>
              <w:t>$ (319,427,085)</w:t>
            </w: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32,752,974</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3,972,533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3,972,533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shd w:val="clear" w:color="auto" w:fill="CFF0FC"/>
          </w:tcPr>
          <w:p>
            <w:pPr>
              <w:spacing w:after="0"/>
              <w:rPr>
                <w:sz w:val="20"/>
                <w:szCs w:val="20"/>
                <w:color w:val="auto"/>
              </w:rPr>
            </w:pPr>
            <w:r>
              <w:rPr>
                <w:rFonts w:ascii="Arial" w:cs="Arial" w:eastAsia="Arial" w:hAnsi="Arial"/>
                <w:sz w:val="14"/>
                <w:szCs w:val="14"/>
                <w:color w:val="auto"/>
              </w:rPr>
              <w:t>Issuance of shares under an employee stock purchase plan</w:t>
            </w:r>
          </w:p>
        </w:tc>
        <w:tc>
          <w:tcPr>
            <w:tcW w:w="90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26,650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87,702</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87,729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line="143" w:lineRule="exact"/>
              <w:rPr>
                <w:sz w:val="20"/>
                <w:szCs w:val="20"/>
                <w:color w:val="auto"/>
              </w:rPr>
            </w:pPr>
            <w:r>
              <w:rPr>
                <w:rFonts w:ascii="Arial" w:cs="Arial" w:eastAsia="Arial" w:hAnsi="Arial"/>
                <w:sz w:val="14"/>
                <w:szCs w:val="14"/>
                <w:color w:val="auto"/>
                <w:w w:val="96"/>
              </w:rPr>
              <w:t>Issuance of common stock under at-the-market equity distribution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36,248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159,493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159,529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shd w:val="clear" w:color="auto" w:fill="CFF0FC"/>
          </w:tcPr>
          <w:p>
            <w:pPr>
              <w:spacing w:after="0"/>
              <w:rPr>
                <w:sz w:val="20"/>
                <w:szCs w:val="20"/>
                <w:color w:val="auto"/>
              </w:rPr>
            </w:pPr>
            <w:r>
              <w:rPr>
                <w:rFonts w:ascii="Arial" w:cs="Arial" w:eastAsia="Arial" w:hAnsi="Arial"/>
                <w:sz w:val="14"/>
                <w:szCs w:val="14"/>
                <w:color w:val="auto"/>
              </w:rPr>
              <w:t>Conversion of preferred stock to common stock</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(220,000)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(2,200)</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2,200,000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20"/>
                <w:szCs w:val="20"/>
                <w:color w:val="auto"/>
              </w:rPr>
            </w:pPr>
            <w:r>
              <w:rPr>
                <w:rFonts w:ascii="Arial" w:cs="Arial" w:eastAsia="Arial" w:hAnsi="Arial"/>
                <w:sz w:val="14"/>
                <w:szCs w:val="14"/>
                <w:color w:val="auto"/>
              </w:rPr>
              <w:t>Issuance of common stock for option exercises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172,585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829,353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829,526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shd w:val="clear" w:color="auto" w:fill="CFF0FC"/>
          </w:tcPr>
          <w:p>
            <w:pPr>
              <w:spacing w:after="0"/>
              <w:rPr>
                <w:sz w:val="20"/>
                <w:szCs w:val="20"/>
                <w:color w:val="auto"/>
              </w:rPr>
            </w:pPr>
            <w:r>
              <w:rPr>
                <w:rFonts w:ascii="Arial" w:cs="Arial" w:eastAsia="Arial" w:hAnsi="Arial"/>
                <w:sz w:val="14"/>
                <w:szCs w:val="14"/>
                <w:color w:val="auto"/>
              </w:rPr>
              <w:t>Exercise of warrants</w:t>
            </w:r>
          </w:p>
        </w:tc>
        <w:tc>
          <w:tcPr>
            <w:tcW w:w="90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2,131,700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2,132</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7,586,720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7,588,852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(10,865,979)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(10,865,979)</w:t>
            </w:r>
          </w:p>
        </w:tc>
        <w:tc>
          <w:tcPr>
            <w:tcW w:w="0" w:type="dxa"/>
            <w:vAlign w:val="bottom"/>
          </w:tcPr>
          <w:p>
            <w:pPr>
              <w:spacing w:after="0"/>
              <w:rPr>
                <w:sz w:val="1"/>
                <w:szCs w:val="1"/>
                <w:color w:val="auto"/>
              </w:rPr>
            </w:pPr>
          </w:p>
        </w:tc>
      </w:tr>
      <w:tr>
        <w:trPr>
          <w:trHeight w:val="161"/>
        </w:trPr>
        <w:tc>
          <w:tcPr>
            <w:tcW w:w="392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6,765</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tcPr>
          <w:p>
            <w:pPr>
              <w:ind w:left="260"/>
              <w:spacing w:after="0" w:line="155" w:lineRule="exact"/>
              <w:rPr>
                <w:sz w:val="20"/>
                <w:szCs w:val="20"/>
                <w:color w:val="auto"/>
              </w:rPr>
            </w:pPr>
            <w:r>
              <w:rPr>
                <w:rFonts w:ascii="Arial" w:cs="Arial" w:eastAsia="Arial" w:hAnsi="Arial"/>
                <w:sz w:val="14"/>
                <w:szCs w:val="14"/>
                <w:color w:val="auto"/>
              </w:rPr>
              <w:t>Balance at December 31, 2016</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34,523,678</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34,525</w:t>
            </w:r>
          </w:p>
        </w:tc>
        <w:tc>
          <w:tcPr>
            <w:tcW w:w="80" w:type="dxa"/>
            <w:vAlign w:val="bottom"/>
          </w:tcPr>
          <w:p>
            <w:pPr>
              <w:spacing w:after="0"/>
              <w:rPr>
                <w:sz w:val="13"/>
                <w:szCs w:val="13"/>
                <w:color w:val="auto"/>
              </w:rPr>
            </w:pPr>
          </w:p>
        </w:tc>
        <w:tc>
          <w:tcPr>
            <w:tcW w:w="9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364,886,468</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(96,000)</w:t>
            </w:r>
          </w:p>
        </w:tc>
        <w:tc>
          <w:tcPr>
            <w:tcW w:w="80" w:type="dxa"/>
            <w:vAlign w:val="bottom"/>
          </w:tcPr>
          <w:p>
            <w:pPr>
              <w:spacing w:after="0"/>
              <w:rPr>
                <w:sz w:val="13"/>
                <w:szCs w:val="13"/>
                <w:color w:val="auto"/>
              </w:rPr>
            </w:pPr>
          </w:p>
        </w:tc>
        <w:tc>
          <w:tcPr>
            <w:tcW w:w="9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(330,293,064)</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34,531,929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92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4,474,945</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4,474,945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20"/>
                <w:szCs w:val="20"/>
                <w:color w:val="auto"/>
              </w:rPr>
            </w:pPr>
            <w:r>
              <w:rPr>
                <w:rFonts w:ascii="Arial" w:cs="Arial" w:eastAsia="Arial" w:hAnsi="Arial"/>
                <w:sz w:val="14"/>
                <w:szCs w:val="14"/>
                <w:color w:val="auto"/>
              </w:rPr>
              <w:t>Issuance of shares under an employee stock purchase plan</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15,153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77,304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77,319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6"/>
              </w:rPr>
              <w:t>Issuance of common stock under at-the-market equity distribution</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90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1,689,436</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1,689</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9,889,626</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9,891,315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20"/>
                <w:szCs w:val="20"/>
                <w:color w:val="auto"/>
              </w:rPr>
            </w:pPr>
            <w:r>
              <w:rPr>
                <w:rFonts w:ascii="Arial" w:cs="Arial" w:eastAsia="Arial" w:hAnsi="Arial"/>
                <w:sz w:val="14"/>
                <w:szCs w:val="14"/>
                <w:color w:val="auto"/>
              </w:rPr>
              <w:t>Issuance of common stock for option exercises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105,579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425,908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426,013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shd w:val="clear" w:color="auto" w:fill="CFF0FC"/>
          </w:tcPr>
          <w:p>
            <w:pPr>
              <w:spacing w:after="0"/>
              <w:rPr>
                <w:sz w:val="20"/>
                <w:szCs w:val="20"/>
                <w:color w:val="auto"/>
              </w:rPr>
            </w:pPr>
            <w:r>
              <w:rPr>
                <w:rFonts w:ascii="Arial" w:cs="Arial" w:eastAsia="Arial" w:hAnsi="Arial"/>
                <w:sz w:val="14"/>
                <w:szCs w:val="14"/>
                <w:color w:val="auto"/>
              </w:rPr>
              <w:t>Exercise of warrants</w:t>
            </w:r>
          </w:p>
        </w:tc>
        <w:tc>
          <w:tcPr>
            <w:tcW w:w="90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119,047</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402,259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402,378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(11,163,136)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(11,163,136)</w:t>
            </w:r>
          </w:p>
        </w:tc>
        <w:tc>
          <w:tcPr>
            <w:tcW w:w="0" w:type="dxa"/>
            <w:vAlign w:val="bottom"/>
          </w:tcPr>
          <w:p>
            <w:pPr>
              <w:spacing w:after="0"/>
              <w:rPr>
                <w:sz w:val="1"/>
                <w:szCs w:val="1"/>
                <w:color w:val="auto"/>
              </w:rPr>
            </w:pPr>
          </w:p>
        </w:tc>
      </w:tr>
      <w:tr>
        <w:trPr>
          <w:trHeight w:val="161"/>
        </w:trPr>
        <w:tc>
          <w:tcPr>
            <w:tcW w:w="392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1,377</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tcPr>
          <w:p>
            <w:pPr>
              <w:ind w:left="260"/>
              <w:spacing w:after="0" w:line="155" w:lineRule="exact"/>
              <w:rPr>
                <w:sz w:val="20"/>
                <w:szCs w:val="20"/>
                <w:color w:val="auto"/>
              </w:rPr>
            </w:pPr>
            <w:r>
              <w:rPr>
                <w:rFonts w:ascii="Arial" w:cs="Arial" w:eastAsia="Arial" w:hAnsi="Arial"/>
                <w:sz w:val="14"/>
                <w:szCs w:val="14"/>
                <w:color w:val="auto"/>
              </w:rPr>
              <w:t>Balance at December 31, 2017</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36,452,893</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36,453</w:t>
            </w:r>
          </w:p>
        </w:tc>
        <w:tc>
          <w:tcPr>
            <w:tcW w:w="80" w:type="dxa"/>
            <w:vAlign w:val="bottom"/>
          </w:tcPr>
          <w:p>
            <w:pPr>
              <w:spacing w:after="0"/>
              <w:rPr>
                <w:sz w:val="13"/>
                <w:szCs w:val="13"/>
                <w:color w:val="auto"/>
              </w:rPr>
            </w:pPr>
          </w:p>
        </w:tc>
        <w:tc>
          <w:tcPr>
            <w:tcW w:w="9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380,156,510</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(94,623)</w:t>
            </w:r>
          </w:p>
        </w:tc>
        <w:tc>
          <w:tcPr>
            <w:tcW w:w="80" w:type="dxa"/>
            <w:vAlign w:val="bottom"/>
          </w:tcPr>
          <w:p>
            <w:pPr>
              <w:spacing w:after="0"/>
              <w:rPr>
                <w:sz w:val="13"/>
                <w:szCs w:val="13"/>
                <w:color w:val="auto"/>
              </w:rPr>
            </w:pPr>
          </w:p>
        </w:tc>
        <w:tc>
          <w:tcPr>
            <w:tcW w:w="9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(341,456,200)</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38,642,140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92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6,330,305</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6,330,305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20"/>
                <w:szCs w:val="20"/>
                <w:color w:val="auto"/>
              </w:rPr>
            </w:pPr>
            <w:r>
              <w:rPr>
                <w:rFonts w:ascii="Arial" w:cs="Arial" w:eastAsia="Arial" w:hAnsi="Arial"/>
                <w:sz w:val="14"/>
                <w:szCs w:val="14"/>
                <w:color w:val="auto"/>
              </w:rPr>
              <w:t>Issuance of shares under an employee stock purchase plan</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7,094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51,002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public offering, net of offering</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CFF0FC"/>
          </w:tcPr>
          <w:p>
            <w:pPr>
              <w:spacing w:after="0"/>
              <w:rPr>
                <w:sz w:val="20"/>
                <w:szCs w:val="20"/>
                <w:color w:val="auto"/>
              </w:rPr>
            </w:pPr>
            <w:r>
              <w:rPr>
                <w:rFonts w:ascii="Arial" w:cs="Arial" w:eastAsia="Arial" w:hAnsi="Arial"/>
                <w:sz w:val="14"/>
                <w:szCs w:val="14"/>
                <w:color w:val="auto"/>
              </w:rPr>
              <w:t>costs</w:t>
            </w:r>
          </w:p>
        </w:tc>
        <w:tc>
          <w:tcPr>
            <w:tcW w:w="90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4,545,928</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4,546</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38,468,425</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38,472,971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line="143" w:lineRule="exact"/>
              <w:rPr>
                <w:sz w:val="20"/>
                <w:szCs w:val="20"/>
                <w:color w:val="auto"/>
              </w:rPr>
            </w:pPr>
            <w:r>
              <w:rPr>
                <w:rFonts w:ascii="Arial" w:cs="Arial" w:eastAsia="Arial" w:hAnsi="Arial"/>
                <w:sz w:val="14"/>
                <w:szCs w:val="14"/>
                <w:color w:val="auto"/>
                <w:w w:val="96"/>
              </w:rPr>
              <w:t>Issuance of common stock under at-the-market equity distribution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20" w:type="dxa"/>
            <w:vAlign w:val="bottom"/>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1,514,905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1,515,105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90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125,391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407,071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407,196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20"/>
                <w:szCs w:val="20"/>
                <w:color w:val="auto"/>
              </w:rPr>
            </w:pPr>
            <w:r>
              <w:rPr>
                <w:rFonts w:ascii="Arial" w:cs="Arial" w:eastAsia="Arial" w:hAnsi="Arial"/>
                <w:sz w:val="14"/>
                <w:szCs w:val="14"/>
                <w:color w:val="auto"/>
              </w:rPr>
              <w:t>Exercise of warrants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750</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2,361,750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2,362,500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(14,675,087)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w w:val="95"/>
              </w:rPr>
              <w:t>(14,675,087)</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2018</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42,081,306</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42,081</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$ 429,289,968</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(93,150)</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 (356,131,287</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73,107,612</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28980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0"/>
              </w:rPr>
              <w:t>Years ended December 31,</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7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2"/>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(14,675,087)</w:t>
            </w: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(11,163,136)</w:t>
            </w:r>
          </w:p>
        </w:tc>
        <w:tc>
          <w:tcPr>
            <w:tcW w:w="3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(10,865,979)</w:t>
            </w:r>
          </w:p>
        </w:tc>
      </w:tr>
      <w:tr>
        <w:trPr>
          <w:trHeight w:val="214"/>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provided by</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8"/>
        </w:trPr>
        <w:tc>
          <w:tcPr>
            <w:tcW w:w="6780" w:type="dxa"/>
            <w:vAlign w:val="bottom"/>
          </w:tcPr>
          <w:p>
            <w:pPr>
              <w:ind w:left="260"/>
              <w:spacing w:after="0"/>
              <w:rPr>
                <w:sz w:val="20"/>
                <w:szCs w:val="20"/>
                <w:color w:val="auto"/>
              </w:rPr>
            </w:pPr>
            <w:r>
              <w:rPr>
                <w:rFonts w:ascii="Arial" w:cs="Arial" w:eastAsia="Arial" w:hAnsi="Arial"/>
                <w:sz w:val="18"/>
                <w:szCs w:val="18"/>
                <w:color w:val="auto"/>
              </w:rPr>
              <w:t>Non-cash share-based compensation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6,330,305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4,474,945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3,972,533</w:t>
            </w:r>
          </w:p>
        </w:tc>
        <w:tc>
          <w:tcPr>
            <w:tcW w:w="120" w:type="dxa"/>
            <w:vAlign w:val="bottom"/>
          </w:tcPr>
          <w:p>
            <w:pPr>
              <w:spacing w:after="0"/>
              <w:rPr>
                <w:sz w:val="19"/>
                <w:szCs w:val="19"/>
                <w:color w:val="auto"/>
              </w:rPr>
            </w:pPr>
          </w:p>
        </w:tc>
      </w:tr>
      <w:tr>
        <w:trPr>
          <w:trHeight w:val="228"/>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14,127</w:t>
            </w:r>
          </w:p>
        </w:tc>
        <w:tc>
          <w:tcPr>
            <w:tcW w:w="120" w:type="dxa"/>
            <w:vAlign w:val="bottom"/>
            <w:shd w:val="clear" w:color="auto" w:fill="CFF0FC"/>
          </w:tcPr>
          <w:p>
            <w:pPr>
              <w:spacing w:after="0"/>
              <w:rPr>
                <w:sz w:val="19"/>
                <w:szCs w:val="19"/>
                <w:color w:val="auto"/>
              </w:rPr>
            </w:pPr>
          </w:p>
        </w:tc>
      </w:tr>
      <w:tr>
        <w:trPr>
          <w:trHeight w:val="228"/>
        </w:trPr>
        <w:tc>
          <w:tcPr>
            <w:tcW w:w="6780" w:type="dxa"/>
            <w:vAlign w:val="bottom"/>
          </w:tcPr>
          <w:p>
            <w:pPr>
              <w:ind w:left="260"/>
              <w:spacing w:after="0"/>
              <w:rPr>
                <w:sz w:val="20"/>
                <w:szCs w:val="20"/>
                <w:color w:val="auto"/>
              </w:rPr>
            </w:pPr>
            <w:r>
              <w:rPr>
                <w:rFonts w:ascii="Arial" w:cs="Arial" w:eastAsia="Arial" w:hAnsi="Arial"/>
                <w:sz w:val="18"/>
                <w:szCs w:val="18"/>
                <w:color w:val="auto"/>
              </w:rPr>
              <w:t>Tax benefit from fluctuations in other comprehensive income</w:t>
            </w: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(1,901)</w:t>
            </w:r>
          </w:p>
        </w:tc>
      </w:tr>
      <w:tr>
        <w:trPr>
          <w:trHeight w:val="228"/>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joint venture investment</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(19,867)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32,139</w:t>
            </w:r>
          </w:p>
        </w:tc>
        <w:tc>
          <w:tcPr>
            <w:tcW w:w="120" w:type="dxa"/>
            <w:vAlign w:val="bottom"/>
            <w:shd w:val="clear" w:color="auto" w:fill="CFF0FC"/>
          </w:tcPr>
          <w:p>
            <w:pPr>
              <w:spacing w:after="0"/>
              <w:rPr>
                <w:sz w:val="19"/>
                <w:szCs w:val="19"/>
                <w:color w:val="auto"/>
              </w:rPr>
            </w:pP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Receivables, prepaid expenses and other assets</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(111,682)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242,064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175,495</w:t>
            </w:r>
          </w:p>
        </w:tc>
        <w:tc>
          <w:tcPr>
            <w:tcW w:w="120" w:type="dxa"/>
            <w:vAlign w:val="bottom"/>
            <w:shd w:val="clear" w:color="auto" w:fill="CFF0FC"/>
          </w:tcPr>
          <w:p>
            <w:pPr>
              <w:spacing w:after="0"/>
              <w:rPr>
                <w:sz w:val="19"/>
                <w:szCs w:val="19"/>
                <w:color w:val="auto"/>
              </w:rPr>
            </w:pPr>
          </w:p>
        </w:tc>
      </w:tr>
      <w:tr>
        <w:trPr>
          <w:trHeight w:val="214"/>
        </w:trPr>
        <w:tc>
          <w:tcPr>
            <w:tcW w:w="6780" w:type="dxa"/>
            <w:vAlign w:val="bottom"/>
          </w:tcPr>
          <w:p>
            <w:pPr>
              <w:ind w:left="260"/>
              <w:spacing w:after="0"/>
              <w:rPr>
                <w:sz w:val="20"/>
                <w:szCs w:val="20"/>
                <w:color w:val="auto"/>
              </w:rPr>
            </w:pPr>
            <w:r>
              <w:rPr>
                <w:rFonts w:ascii="Arial" w:cs="Arial" w:eastAsia="Arial" w:hAnsi="Arial"/>
                <w:sz w:val="18"/>
                <w:szCs w:val="18"/>
                <w:color w:val="auto"/>
              </w:rPr>
              <w:t>Accounts payable, accrued liabilities and other current</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6780" w:type="dxa"/>
            <w:vAlign w:val="bottom"/>
          </w:tcPr>
          <w:p>
            <w:pPr>
              <w:ind w:left="38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(663,671)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1,246,630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127,373</w:t>
            </w:r>
          </w:p>
        </w:tc>
        <w:tc>
          <w:tcPr>
            <w:tcW w:w="120" w:type="dxa"/>
            <w:vAlign w:val="bottom"/>
          </w:tcPr>
          <w:p>
            <w:pPr>
              <w:spacing w:after="0"/>
              <w:rPr>
                <w:sz w:val="19"/>
                <w:szCs w:val="19"/>
                <w:color w:val="auto"/>
              </w:rPr>
            </w:pPr>
          </w:p>
        </w:tc>
      </w:tr>
      <w:tr>
        <w:trPr>
          <w:trHeight w:val="228"/>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liability, deferred revenue and other long-term liabilities</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(1,754,208)</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(9,114,121)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(6,923,934)</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(6,546,213)</w:t>
            </w:r>
          </w:p>
        </w:tc>
        <w:tc>
          <w:tcPr>
            <w:tcW w:w="120" w:type="dxa"/>
            <w:vAlign w:val="bottom"/>
            <w:tcBorders>
              <w:bottom w:val="single" w:sz="8" w:color="CFF0FC"/>
            </w:tcBorders>
          </w:tcPr>
          <w:p>
            <w:pPr>
              <w:spacing w:after="0"/>
              <w:rPr>
                <w:sz w:val="19"/>
                <w:szCs w:val="19"/>
                <w:color w:val="auto"/>
              </w:rPr>
            </w:pPr>
          </w:p>
        </w:tc>
      </w:tr>
      <w:tr>
        <w:trPr>
          <w:trHeight w:val="222"/>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8"/>
        </w:trPr>
        <w:tc>
          <w:tcPr>
            <w:tcW w:w="6780" w:type="dxa"/>
            <w:vAlign w:val="bottom"/>
          </w:tcPr>
          <w:p>
            <w:pPr>
              <w:ind w:left="260"/>
              <w:spacing w:after="0"/>
              <w:rPr>
                <w:sz w:val="20"/>
                <w:szCs w:val="20"/>
                <w:color w:val="auto"/>
              </w:rPr>
            </w:pPr>
            <w:r>
              <w:rPr>
                <w:rFonts w:ascii="Arial" w:cs="Arial" w:eastAsia="Arial" w:hAnsi="Arial"/>
                <w:sz w:val="18"/>
                <w:szCs w:val="18"/>
                <w:color w:val="auto"/>
              </w:rPr>
              <w:t>Proceeds from dissolution of joint venture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636,524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 of property and equipment</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(84,483)</w:t>
            </w:r>
          </w:p>
        </w:tc>
      </w:tr>
      <w:tr>
        <w:trPr>
          <w:trHeight w:val="222"/>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626,324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(84,483)</w:t>
            </w:r>
          </w:p>
        </w:tc>
        <w:tc>
          <w:tcPr>
            <w:tcW w:w="120" w:type="dxa"/>
            <w:vAlign w:val="bottom"/>
            <w:tcBorders>
              <w:bottom w:val="single" w:sz="8" w:color="CFF0FC"/>
            </w:tcBorders>
          </w:tcPr>
          <w:p>
            <w:pPr>
              <w:spacing w:after="0"/>
              <w:rPr>
                <w:sz w:val="19"/>
                <w:szCs w:val="19"/>
                <w:color w:val="auto"/>
              </w:rPr>
            </w:pPr>
          </w:p>
        </w:tc>
      </w:tr>
      <w:tr>
        <w:trPr>
          <w:trHeight w:val="222"/>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4"/>
        </w:trPr>
        <w:tc>
          <w:tcPr>
            <w:tcW w:w="678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exercise of common</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6780" w:type="dxa"/>
            <w:vAlign w:val="bottom"/>
          </w:tcPr>
          <w:p>
            <w:pPr>
              <w:ind w:left="380"/>
              <w:spacing w:after="0"/>
              <w:rPr>
                <w:sz w:val="20"/>
                <w:szCs w:val="20"/>
                <w:color w:val="auto"/>
              </w:rPr>
            </w:pPr>
            <w:r>
              <w:rPr>
                <w:rFonts w:ascii="Arial" w:cs="Arial" w:eastAsia="Arial" w:hAnsi="Arial"/>
                <w:sz w:val="18"/>
                <w:szCs w:val="18"/>
                <w:color w:val="auto"/>
              </w:rPr>
              <w:t>stock options and warrants, net of issuance costs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42,757,772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10,719,707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8,577,907</w:t>
            </w:r>
          </w:p>
        </w:tc>
        <w:tc>
          <w:tcPr>
            <w:tcW w:w="120" w:type="dxa"/>
            <w:vAlign w:val="bottom"/>
          </w:tcPr>
          <w:p>
            <w:pPr>
              <w:spacing w:after="0"/>
              <w:rPr>
                <w:sz w:val="19"/>
                <w:szCs w:val="19"/>
                <w:color w:val="auto"/>
              </w:rPr>
            </w:pPr>
          </w:p>
        </w:tc>
      </w:tr>
      <w:tr>
        <w:trPr>
          <w:trHeight w:val="228"/>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equity under ESPP</w:t>
            </w: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51,009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77,319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87,729</w:t>
            </w:r>
          </w:p>
        </w:tc>
        <w:tc>
          <w:tcPr>
            <w:tcW w:w="120" w:type="dxa"/>
            <w:vAlign w:val="bottom"/>
            <w:shd w:val="clear" w:color="auto" w:fill="CFF0FC"/>
          </w:tcPr>
          <w:p>
            <w:pPr>
              <w:spacing w:after="0"/>
              <w:rPr>
                <w:sz w:val="19"/>
                <w:szCs w:val="19"/>
                <w:color w:val="auto"/>
              </w:rPr>
            </w:pPr>
          </w:p>
        </w:tc>
      </w:tr>
      <w:tr>
        <w:trPr>
          <w:trHeight w:val="222"/>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42,808,781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10,797,026</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8,665,636</w:t>
            </w:r>
          </w:p>
        </w:tc>
        <w:tc>
          <w:tcPr>
            <w:tcW w:w="120" w:type="dxa"/>
            <w:vAlign w:val="bottom"/>
            <w:tcBorders>
              <w:bottom w:val="single" w:sz="8" w:color="CFF0FC"/>
            </w:tcBorders>
          </w:tcPr>
          <w:p>
            <w:pPr>
              <w:spacing w:after="0"/>
              <w:rPr>
                <w:sz w:val="19"/>
                <w:szCs w:val="19"/>
                <w:color w:val="auto"/>
              </w:rPr>
            </w:pPr>
          </w:p>
        </w:tc>
      </w:tr>
      <w:tr>
        <w:trPr>
          <w:trHeight w:val="222"/>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Effects of foreign exchange rates on cash</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6,348</w:t>
            </w:r>
          </w:p>
        </w:tc>
        <w:tc>
          <w:tcPr>
            <w:tcW w:w="120" w:type="dxa"/>
            <w:vAlign w:val="bottom"/>
            <w:shd w:val="clear" w:color="auto" w:fill="CFF0FC"/>
          </w:tcPr>
          <w:p>
            <w:pPr>
              <w:spacing w:after="0"/>
              <w:rPr>
                <w:sz w:val="19"/>
                <w:szCs w:val="19"/>
                <w:color w:val="auto"/>
              </w:rPr>
            </w:pPr>
          </w:p>
        </w:tc>
      </w:tr>
      <w:tr>
        <w:trPr>
          <w:trHeight w:val="228"/>
        </w:trPr>
        <w:tc>
          <w:tcPr>
            <w:tcW w:w="67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34,321,675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3,873,706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2,041,288</w:t>
            </w:r>
          </w:p>
        </w:tc>
        <w:tc>
          <w:tcPr>
            <w:tcW w:w="120" w:type="dxa"/>
            <w:vAlign w:val="bottom"/>
          </w:tcPr>
          <w:p>
            <w:pPr>
              <w:spacing w:after="0"/>
              <w:rPr>
                <w:sz w:val="19"/>
                <w:szCs w:val="19"/>
                <w:color w:val="auto"/>
              </w:rPr>
            </w:pPr>
          </w:p>
        </w:tc>
      </w:tr>
      <w:tr>
        <w:trPr>
          <w:trHeight w:val="228"/>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27,991,743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24,118,037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22,076,749</w:t>
            </w:r>
          </w:p>
        </w:tc>
        <w:tc>
          <w:tcPr>
            <w:tcW w:w="120" w:type="dxa"/>
            <w:vAlign w:val="bottom"/>
            <w:shd w:val="clear" w:color="auto" w:fill="CFF0FC"/>
          </w:tcPr>
          <w:p>
            <w:pPr>
              <w:spacing w:after="0"/>
              <w:rPr>
                <w:sz w:val="19"/>
                <w:szCs w:val="19"/>
                <w:color w:val="auto"/>
              </w:rPr>
            </w:pPr>
          </w:p>
        </w:tc>
      </w:tr>
      <w:tr>
        <w:trPr>
          <w:trHeight w:val="262"/>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62,313,418</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27,991,743</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24,118,037</w:t>
            </w:r>
          </w:p>
        </w:tc>
        <w:tc>
          <w:tcPr>
            <w:tcW w:w="120" w:type="dxa"/>
            <w:vAlign w:val="bottom"/>
            <w:tcBorders>
              <w:bottom w:val="single" w:sz="8" w:color="CFF0FC"/>
            </w:tcBorders>
          </w:tcPr>
          <w:p>
            <w:pPr>
              <w:spacing w:after="0"/>
              <w:rPr>
                <w:sz w:val="22"/>
                <w:szCs w:val="22"/>
                <w:color w:val="auto"/>
              </w:rPr>
            </w:pPr>
          </w:p>
        </w:tc>
      </w:tr>
      <w:tr>
        <w:trPr>
          <w:trHeight w:val="209"/>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Income taxes paid</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19"/>
                <w:szCs w:val="19"/>
                <w:color w:val="auto"/>
              </w:rPr>
            </w:pP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9,203</w:t>
            </w:r>
          </w:p>
        </w:tc>
        <w:tc>
          <w:tcPr>
            <w:tcW w:w="200" w:type="dxa"/>
            <w:vAlign w:val="bottom"/>
          </w:tcPr>
          <w:p>
            <w:pPr>
              <w:spacing w:after="0"/>
              <w:rPr>
                <w:sz w:val="19"/>
                <w:szCs w:val="19"/>
                <w:color w:val="auto"/>
              </w:rPr>
            </w:pPr>
          </w:p>
        </w:tc>
        <w:tc>
          <w:tcPr>
            <w:tcW w:w="3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6,035</w:t>
            </w:r>
          </w:p>
        </w:tc>
        <w:tc>
          <w:tcPr>
            <w:tcW w:w="120" w:type="dxa"/>
            <w:vAlign w:val="bottom"/>
          </w:tcPr>
          <w:p>
            <w:pPr>
              <w:spacing w:after="0"/>
              <w:rPr>
                <w:sz w:val="19"/>
                <w:szCs w:val="19"/>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2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5" w:lineRule="exact"/>
        <w:rPr>
          <w:sz w:val="20"/>
          <w:szCs w:val="20"/>
          <w:color w:val="auto"/>
        </w:rPr>
      </w:pPr>
    </w:p>
    <w:p>
      <w:pPr>
        <w:ind w:right="20" w:firstLine="439"/>
        <w:spacing w:after="0" w:line="288" w:lineRule="auto"/>
        <w:rPr>
          <w:sz w:val="20"/>
          <w:szCs w:val="20"/>
          <w:color w:val="auto"/>
        </w:rPr>
      </w:pPr>
      <w:r>
        <w:rPr>
          <w:rFonts w:ascii="Arial" w:cs="Arial" w:eastAsia="Arial" w:hAnsi="Arial"/>
          <w:sz w:val="16"/>
          <w:szCs w:val="16"/>
          <w:color w:val="auto"/>
        </w:rPr>
        <w:t>The Company was incorporated in the state of Delaware in September 2000 and is a public company. The Company’s common stock is listed in both the United States and Japan and trades on the NASDAQ Global Market and the JASDAQ Market of the Tokyo Stock Exchange. The Company is a biopharmaceutical company focused on developing novel, small molecule therapeutics for the treatment of serious diseases with unmet medical needs with a commercial focus on the United States market. The Company’s current strategy is to focus its development activities on MN-166 (ibudilast) for neurological disorders such as progressive multiple sclerosis (MS), amyotrophic lateral sclerosis (ALS), chemotherapy-induced peripheral neuropathy, degenerative cervical myelopathy, glioblastoma, and substance dependence and addiction (e.</w:t>
      </w:r>
      <w:r>
        <w:rPr>
          <w:rFonts w:ascii="Arial" w:cs="Arial" w:eastAsia="Arial" w:hAnsi="Arial"/>
          <w:sz w:val="16"/>
          <w:szCs w:val="16"/>
          <w:i w:val="1"/>
          <w:iCs w:val="1"/>
          <w:color w:val="auto"/>
        </w:rPr>
        <w:t>g.,</w:t>
      </w:r>
      <w:r>
        <w:rPr>
          <w:rFonts w:ascii="Arial" w:cs="Arial" w:eastAsia="Arial" w:hAnsi="Arial"/>
          <w:sz w:val="16"/>
          <w:szCs w:val="16"/>
          <w:color w:val="auto"/>
        </w:rPr>
        <w:t xml:space="preserve">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2018, the Company had available cash and cash equivalents of $62.3 million and working capital of $60.6 million.</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5" w:lineRule="exact"/>
        <w:rPr>
          <w:sz w:val="20"/>
          <w:szCs w:val="20"/>
          <w:color w:val="auto"/>
        </w:rPr>
      </w:pPr>
    </w:p>
    <w:p>
      <w:pPr>
        <w:ind w:right="220" w:firstLine="439"/>
        <w:spacing w:after="0" w:line="275"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All intercompany transactions and balances are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5" w:lineRule="exact"/>
        <w:rPr>
          <w:sz w:val="20"/>
          <w:szCs w:val="20"/>
          <w:color w:val="auto"/>
        </w:rPr>
      </w:pPr>
    </w:p>
    <w:p>
      <w:pPr>
        <w:ind w:right="440" w:firstLine="439"/>
        <w:spacing w:after="0" w:line="275" w:lineRule="auto"/>
        <w:rPr>
          <w:sz w:val="20"/>
          <w:szCs w:val="20"/>
          <w:color w:val="auto"/>
        </w:rPr>
      </w:pPr>
      <w:r>
        <w:rPr>
          <w:rFonts w:ascii="Arial" w:cs="Arial" w:eastAsia="Arial" w:hAnsi="Arial"/>
          <w:sz w:val="18"/>
          <w:szCs w:val="18"/>
          <w:color w:val="auto"/>
        </w:rPr>
        <w:t>The Company operates in a single operating segment – the acquisition and development of small molecule therapeutics for the treatment of serious diseases with unmet medical needs.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firstLine="439"/>
        <w:spacing w:after="0" w:line="277"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(“GAAP”). 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Cash and cash equivalents consist of cash and other highly liquid investments with original maturities of three months or less from the date of purchase.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at December 31, 2018 and 2017 consisted of money market funds.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Credit Risk</w:t>
      </w:r>
    </w:p>
    <w:p>
      <w:pPr>
        <w:spacing w:after="0" w:line="115" w:lineRule="exact"/>
        <w:rPr>
          <w:sz w:val="20"/>
          <w:szCs w:val="20"/>
          <w:color w:val="auto"/>
        </w:rPr>
      </w:pPr>
    </w:p>
    <w:p>
      <w:pPr>
        <w:ind w:right="20" w:firstLine="439"/>
        <w:spacing w:after="0" w:line="257"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amount insured by the Federal Deposit Insurance Corporation. The Company also maintains money market funds at various financial institutions which are not federally insured although are invested primarily in U.S. government securities. The Company has not experienced any losses in such accounts and management believes that the Company does not have significant credit risk with respect to such cash and cash equivalents.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5" w:lineRule="exact"/>
        <w:rPr>
          <w:sz w:val="20"/>
          <w:szCs w:val="20"/>
          <w:color w:val="auto"/>
        </w:rPr>
      </w:pPr>
    </w:p>
    <w:p>
      <w:pPr>
        <w:ind w:right="480" w:firstLine="439"/>
        <w:spacing w:after="0" w:line="305" w:lineRule="auto"/>
        <w:rPr>
          <w:sz w:val="20"/>
          <w:szCs w:val="20"/>
          <w:color w:val="auto"/>
        </w:rPr>
      </w:pPr>
      <w:r>
        <w:rPr>
          <w:rFonts w:ascii="Arial" w:cs="Arial" w:eastAsia="Arial" w:hAnsi="Arial"/>
          <w:sz w:val="17"/>
          <w:szCs w:val="17"/>
          <w:color w:val="auto"/>
        </w:rPr>
        <w:t>Financial instruments, including cash and cash equivalents, prepaid expenses and other current assets, accounts payable and accrued liabilities, are carried at cost, which management believes approximates fair value because of the short-term maturity of these instruments.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5" w:lineRule="exact"/>
        <w:rPr>
          <w:sz w:val="20"/>
          <w:szCs w:val="20"/>
          <w:color w:val="auto"/>
        </w:rPr>
      </w:pPr>
    </w:p>
    <w:p>
      <w:pPr>
        <w:ind w:right="120" w:firstLine="439"/>
        <w:spacing w:after="0" w:line="284" w:lineRule="auto"/>
        <w:rPr>
          <w:sz w:val="20"/>
          <w:szCs w:val="20"/>
          <w:color w:val="auto"/>
        </w:rPr>
      </w:pPr>
      <w:r>
        <w:rPr>
          <w:rFonts w:ascii="Arial" w:cs="Arial" w:eastAsia="Arial" w:hAnsi="Arial"/>
          <w:sz w:val="17"/>
          <w:szCs w:val="17"/>
          <w:color w:val="auto"/>
        </w:rPr>
        <w:t>The Company records goodwill and other intangible assets based on the fair value of the assets acquired. In determining the fair value of the assets acquired, the Company utilizes extensive accounting estimates and judgments to allocate the purchase price to the fair value of the net tangible and intangible assets acquired. The Company uses the discounted cash flow method to estimate the value of intangible assets acquired.</w:t>
      </w:r>
    </w:p>
    <w:p>
      <w:pPr>
        <w:spacing w:after="0" w:line="165"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The Company assesses goodwill and indefinite lived intangible assets for impairment using fair value measurement techniques on an annual basis during the fourth quarter of the year, or more frequently if indicators of impairment exist. The impairment evaluation is performed assuming that the Company operates in a single operating segment and reporting unit. When impaired, the carrying value of goodwill is written down to fair value. The goodwill impairment test involves consideration of qualitative information to determine if it is more likely than not that the fair value of a reporting unit is less than its carrying value. If such a determination is made, then the traditional two-step goodwill impairment test is applied.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 There was no impairment of goodwill for all periods presented.</w:t>
      </w:r>
    </w:p>
    <w:p>
      <w:pPr>
        <w:spacing w:after="0" w:line="190"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The Company periodically re-evaluates the original assumptions and rationale utilized in the establishment of the carrying value and estimated lives of its long-lived assets. The criteria used for these evaluations include management’s estimate of the asset’s continuing ability to generate income from operations and positive cash flows in future periods as well as the strategic significance of any intangible assets in the Company’s business objectives. If assets are considered to be impaired, the impairment recognized is the amount by which the carrying value of the assets exceeds the fair value of the assets. There was no impairment of long-lived assets for the periods presented.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5" w:lineRule="exact"/>
        <w:rPr>
          <w:sz w:val="20"/>
          <w:szCs w:val="20"/>
          <w:color w:val="auto"/>
        </w:rPr>
      </w:pPr>
    </w:p>
    <w:p>
      <w:pPr>
        <w:jc w:val="both"/>
        <w:ind w:right="100" w:firstLine="439"/>
        <w:spacing w:after="0" w:line="284" w:lineRule="auto"/>
        <w:rPr>
          <w:sz w:val="20"/>
          <w:szCs w:val="20"/>
          <w:color w:val="auto"/>
        </w:rPr>
      </w:pPr>
      <w:r>
        <w:rPr>
          <w:rFonts w:ascii="Arial" w:cs="Arial" w:eastAsia="Arial" w:hAnsi="Arial"/>
          <w:sz w:val="17"/>
          <w:szCs w:val="17"/>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$5.3 million, $3.9 million and $3.1 million for the years ended December 31, 2018, 2017 and 2016, respectively.</w:t>
      </w:r>
    </w:p>
    <w:p>
      <w:pPr>
        <w:spacing w:after="0" w:line="165" w:lineRule="exact"/>
        <w:rPr>
          <w:sz w:val="20"/>
          <w:szCs w:val="20"/>
          <w:color w:val="auto"/>
        </w:rPr>
      </w:pPr>
    </w:p>
    <w:p>
      <w:pPr>
        <w:jc w:val="both"/>
        <w:ind w:right="460" w:firstLine="439"/>
        <w:spacing w:after="0" w:line="309" w:lineRule="auto"/>
        <w:rPr>
          <w:sz w:val="20"/>
          <w:szCs w:val="20"/>
          <w:color w:val="auto"/>
        </w:rPr>
      </w:pPr>
      <w:r>
        <w:rPr>
          <w:rFonts w:ascii="Arial" w:cs="Arial" w:eastAsia="Arial" w:hAnsi="Arial"/>
          <w:sz w:val="16"/>
          <w:szCs w:val="16"/>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$0.3 million for the years ended December 31, 2018 and 2017 and $0.4 million for the year ended December 31, 2016.</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5" w:lineRule="exact"/>
        <w:rPr>
          <w:sz w:val="20"/>
          <w:szCs w:val="20"/>
          <w:color w:val="auto"/>
        </w:rPr>
      </w:pPr>
    </w:p>
    <w:p>
      <w:pPr>
        <w:ind w:right="300" w:firstLine="439"/>
        <w:spacing w:after="0" w:line="257" w:lineRule="auto"/>
        <w:rPr>
          <w:sz w:val="20"/>
          <w:szCs w:val="20"/>
          <w:color w:val="auto"/>
        </w:rPr>
      </w:pPr>
      <w:r>
        <w:rPr>
          <w:rFonts w:ascii="Arial" w:cs="Arial" w:eastAsia="Arial" w:hAnsi="Arial"/>
          <w:sz w:val="18"/>
          <w:szCs w:val="18"/>
          <w:color w:val="auto"/>
        </w:rPr>
        <w:t>The Company estimates the fair value of stock options using the Black-Scholes option pricing model on the date of grant. The fair value of equity instruments expected to vest are recognized and amortized on a straight-line basis over the requisite service period of the award, which is generally three to four years; however, the Company’s equity compensation plans provide for any vesting schedule as the board may deem appropriate. Forfeitures are recognized as they occur.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5" w:lineRule="exact"/>
        <w:rPr>
          <w:sz w:val="20"/>
          <w:szCs w:val="20"/>
          <w:color w:val="auto"/>
        </w:rPr>
      </w:pPr>
    </w:p>
    <w:p>
      <w:pPr>
        <w:ind w:right="180" w:firstLine="439"/>
        <w:spacing w:after="0" w:line="255"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were excluded from the diluted net loss per share calculation because of their anti-dilutive effect for all periods presented.</w:t>
      </w:r>
    </w:p>
    <w:p>
      <w:pPr>
        <w:spacing w:after="0" w:line="189" w:lineRule="exact"/>
        <w:rPr>
          <w:sz w:val="20"/>
          <w:szCs w:val="20"/>
          <w:color w:val="auto"/>
        </w:rPr>
      </w:pPr>
    </w:p>
    <w:p>
      <w:pPr>
        <w:ind w:right="60" w:firstLine="439"/>
        <w:spacing w:after="0" w:line="275" w:lineRule="auto"/>
        <w:rPr>
          <w:sz w:val="20"/>
          <w:szCs w:val="20"/>
          <w:color w:val="auto"/>
        </w:rPr>
      </w:pPr>
      <w:r>
        <w:rPr>
          <w:rFonts w:ascii="Arial" w:cs="Arial" w:eastAsia="Arial" w:hAnsi="Arial"/>
          <w:sz w:val="18"/>
          <w:szCs w:val="18"/>
          <w:color w:val="auto"/>
        </w:rPr>
        <w:t>Potentially dilutive outstanding securities excluded from diluted net loss per common share because of their anti-dilutive effect for the periods presented are as follows:</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7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2"/>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6,609,647</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5,514,038</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4,432,017</w:t>
            </w:r>
          </w:p>
        </w:tc>
        <w:tc>
          <w:tcPr>
            <w:tcW w:w="80" w:type="dxa"/>
            <w:vAlign w:val="bottom"/>
            <w:shd w:val="clear" w:color="auto" w:fill="CFF0FC"/>
          </w:tcPr>
          <w:p>
            <w:pPr>
              <w:spacing w:after="0"/>
              <w:rPr>
                <w:sz w:val="19"/>
                <w:szCs w:val="19"/>
                <w:color w:val="auto"/>
              </w:rPr>
            </w:pPr>
          </w:p>
        </w:tc>
      </w:tr>
      <w:tr>
        <w:trPr>
          <w:trHeight w:val="228"/>
        </w:trPr>
        <w:tc>
          <w:tcPr>
            <w:tcW w:w="4780" w:type="dxa"/>
            <w:vAlign w:val="bottom"/>
          </w:tcPr>
          <w:p>
            <w:pPr>
              <w:spacing w:after="0"/>
              <w:rPr>
                <w:sz w:val="20"/>
                <w:szCs w:val="20"/>
                <w:color w:val="auto"/>
              </w:rPr>
            </w:pPr>
            <w:r>
              <w:rPr>
                <w:rFonts w:ascii="Arial" w:cs="Arial" w:eastAsia="Arial" w:hAnsi="Arial"/>
                <w:sz w:val="18"/>
                <w:szCs w:val="18"/>
                <w:color w:val="auto"/>
              </w:rPr>
              <w:t>Warrants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1,067,067</w:t>
            </w:r>
          </w:p>
        </w:tc>
        <w:tc>
          <w:tcPr>
            <w:tcW w:w="80" w:type="dxa"/>
            <w:vAlign w:val="bottom"/>
          </w:tcPr>
          <w:p>
            <w:pPr>
              <w:spacing w:after="0"/>
              <w:rPr>
                <w:sz w:val="19"/>
                <w:szCs w:val="19"/>
                <w:color w:val="auto"/>
              </w:rPr>
            </w:pPr>
          </w:p>
        </w:tc>
      </w:tr>
      <w:tr>
        <w:trPr>
          <w:trHeight w:val="222"/>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6,609,647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6,264,038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5,499,084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330" w:lineRule="exact"/>
        <w:rPr>
          <w:sz w:val="20"/>
          <w:szCs w:val="20"/>
          <w:color w:val="auto"/>
        </w:rPr>
      </w:pPr>
    </w:p>
    <w:p>
      <w:pPr>
        <w:ind w:right="80" w:firstLine="439"/>
        <w:spacing w:after="0" w:line="254" w:lineRule="auto"/>
        <w:rPr>
          <w:sz w:val="20"/>
          <w:szCs w:val="20"/>
          <w:color w:val="auto"/>
        </w:rPr>
      </w:pPr>
      <w:r>
        <w:rPr>
          <w:rFonts w:ascii="Arial" w:cs="Arial" w:eastAsia="Arial" w:hAnsi="Arial"/>
          <w:sz w:val="18"/>
          <w:szCs w:val="18"/>
          <w:color w:val="auto"/>
        </w:rPr>
        <w:t>In May 2017, the FASB issued ASU No. 2017-09, Compensation-Stock Compensation Topic 718-Scope of Modification Accounting ("ASU 2017-09"). This guidance will clarify when changes to the terms and conditions of share-based payment awards must be accounted for as modifications. Entities will apply the modification accounting guidance if the value, vesting conditions, or classification of an award changes. ASU 2017-09 is effective for the Company at the beginning of fiscal 2018, including interim periods within fiscal 2018. Early adoption is permitted and the guidance will be applied prospectively to awards modified on or after adoption. The Company adopted this standard in 2018 and there was no significant impact on the Company’s consolidated financial statements at the time of adoption.</w:t>
      </w:r>
    </w:p>
    <w:p>
      <w:pPr>
        <w:spacing w:after="0" w:line="82" w:lineRule="exact"/>
        <w:rPr>
          <w:sz w:val="20"/>
          <w:szCs w:val="20"/>
          <w:color w:val="auto"/>
        </w:rPr>
      </w:pPr>
    </w:p>
    <w:p>
      <w:pPr>
        <w:ind w:right="20" w:firstLine="439"/>
        <w:spacing w:after="0" w:line="252"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ASU 2014-09 and its related amendments provide companies with a single model for accounting for revenue arising from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and supersedes prior revenue recognition guidance, including industry-specific revenue guidance. The core principle of the model is to recognize revenue when control of the goods or services transfers to the customer, as opposed to recognizing revenue when the risks and rewards transfer to the customer under the existing revenue guidance. The guidance permits companies to either apply the requirements retrospectively to all prior periods presented, or apply the requirements in the year of adoption, through a cumulative adjustment. The Company adopted the new accounting standard using the modified retrospective transition method effective January 1, 2018 and there was no impact to the Company’s historical Kissei contract. See Note 2 for further information.</w:t>
      </w:r>
    </w:p>
    <w:p>
      <w:pPr>
        <w:spacing w:after="0" w:line="87" w:lineRule="exact"/>
        <w:rPr>
          <w:sz w:val="20"/>
          <w:szCs w:val="20"/>
          <w:color w:val="auto"/>
        </w:rPr>
      </w:pPr>
    </w:p>
    <w:p>
      <w:pPr>
        <w:ind w:firstLine="439"/>
        <w:spacing w:after="0" w:line="253" w:lineRule="auto"/>
        <w:rPr>
          <w:sz w:val="20"/>
          <w:szCs w:val="20"/>
          <w:color w:val="auto"/>
        </w:rPr>
      </w:pPr>
      <w:r>
        <w:rPr>
          <w:rFonts w:ascii="Arial" w:cs="Arial" w:eastAsia="Arial" w:hAnsi="Arial"/>
          <w:sz w:val="18"/>
          <w:szCs w:val="18"/>
          <w:color w:val="auto"/>
        </w:rPr>
        <w:t>In February 2016, the FASB issued ASU 2016-02, Leases, which introduces the recognition of lease assets and lease liabilities by lessees for those leases classified as operating leases under previous guidance. The new standard establishes a right-of-use (ROU) model that requires a lessee to record an ROU asset and a lease liability on the balance sheet for all leases with terms longer than 12 months. The new standard is effective for fiscal years beginning after December 15, 2018 and interim periods within those fiscal years with early adoption permitted. The Company has completed its identification of leases which is comprised of two building leases and copiers. The Company is in the process of quantifying the impact to the balance sheet while the impact to the statement of operations is expected to be immaterial. The Company will adopt the new accounting standard using a modified retrospective transition option effective January 1, 2019.</w:t>
      </w:r>
    </w:p>
    <w:p>
      <w:pPr>
        <w:spacing w:after="0" w:line="84" w:lineRule="exact"/>
        <w:rPr>
          <w:sz w:val="20"/>
          <w:szCs w:val="20"/>
          <w:color w:val="auto"/>
        </w:rPr>
      </w:pPr>
    </w:p>
    <w:p>
      <w:pPr>
        <w:ind w:right="480" w:firstLine="439"/>
        <w:spacing w:after="0" w:line="309"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which eliminates step two of the quantitative goodwill impairment test. Step two required determination of the implied fair value of a reporting unit, and then a comparison of this implied fair value with the carrying amount of goodwill for the reporting unit, in order to determine any goodwill impairment. Under the new guidance, an entity is only required to</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68" w:name="page69"/>
    <w:bookmarkEnd w:id="68"/>
    <w:p>
      <w:pPr>
        <w:ind w:right="180"/>
        <w:spacing w:after="0" w:line="295" w:lineRule="auto"/>
        <w:rPr>
          <w:sz w:val="20"/>
          <w:szCs w:val="20"/>
          <w:color w:val="auto"/>
        </w:rPr>
      </w:pPr>
      <w:r>
        <w:rPr>
          <w:rFonts w:ascii="Arial" w:cs="Arial" w:eastAsia="Arial" w:hAnsi="Arial"/>
          <w:sz w:val="16"/>
          <w:szCs w:val="16"/>
          <w:color w:val="auto"/>
        </w:rPr>
        <w:t>complete a one-step quantitative test, by comparing the fair value of a reporting unit with its carrying amount, and any goodwill impairment charge is determined by the amount by which the carrying amount exceeds the reporting unit’s fair value. However, the loss should not exceed the total amount of goodwill allocated to the reporting unit. The standard is effective for the Company in the first quarter of 2020, with early adoption permitted as of January 1, 2017, and is to be applied on a prospective basis. The Company early adopted this standard with its December 31, 2018 impairment test. The Company’s annual impairment test was completed using a qualitative approach, so the early adoption did not impact the results of the Company’s impairment test.</w:t>
      </w:r>
    </w:p>
    <w:p>
      <w:pPr>
        <w:spacing w:after="0" w:line="51" w:lineRule="exact"/>
        <w:rPr>
          <w:sz w:val="20"/>
          <w:szCs w:val="20"/>
          <w:color w:val="auto"/>
        </w:rPr>
      </w:pPr>
    </w:p>
    <w:p>
      <w:pPr>
        <w:ind w:firstLine="439"/>
        <w:spacing w:after="0" w:line="270" w:lineRule="auto"/>
        <w:rPr>
          <w:sz w:val="20"/>
          <w:szCs w:val="20"/>
          <w:color w:val="auto"/>
        </w:rPr>
      </w:pPr>
      <w:r>
        <w:rPr>
          <w:rFonts w:ascii="Arial" w:cs="Arial" w:eastAsia="Arial" w:hAnsi="Arial"/>
          <w:sz w:val="17"/>
          <w:szCs w:val="17"/>
          <w:color w:val="auto"/>
        </w:rPr>
        <w:t xml:space="preserve">In August 2018, the FASB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which eliminates, adds and modifies certain disclosure requirements for fair value measurements. The modified standard eliminates the requirement to disclose changes in unrealized gains and losses included in earnings for recurring Level 3 fair value measurements and requires that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 for recurring and nonrecurring Level 3 fair value measurements. The amendment is effective for fiscal years beginning after December 15, 2019 and interim periods within that fiscal year with early adoption permitted. The Company does not expect the standard to have a material impact on its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223" w:lineRule="exact"/>
        <w:rPr>
          <w:sz w:val="20"/>
          <w:szCs w:val="20"/>
          <w:color w:val="auto"/>
        </w:rPr>
      </w:pPr>
    </w:p>
    <w:p>
      <w:pPr>
        <w:ind w:right="120" w:firstLine="549"/>
        <w:spacing w:after="0" w:line="272" w:lineRule="auto"/>
        <w:rPr>
          <w:sz w:val="20"/>
          <w:szCs w:val="20"/>
          <w:color w:val="auto"/>
        </w:rPr>
      </w:pPr>
      <w:r>
        <w:rPr>
          <w:rFonts w:ascii="Arial" w:cs="Arial" w:eastAsia="Arial" w:hAnsi="Arial"/>
          <w:sz w:val="17"/>
          <w:szCs w:val="17"/>
          <w:color w:val="auto"/>
        </w:rPr>
        <w:t>Revenues consist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over time or at a point in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the vendor has an enforceable right to payment for performance completed to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5" w:lineRule="exact"/>
        <w:rPr>
          <w:sz w:val="20"/>
          <w:szCs w:val="20"/>
          <w:color w:val="auto"/>
        </w:rPr>
      </w:pPr>
    </w:p>
    <w:p>
      <w:pPr>
        <w:ind w:firstLine="439"/>
        <w:spacing w:after="0" w:line="295" w:lineRule="auto"/>
        <w:rPr>
          <w:sz w:val="20"/>
          <w:szCs w:val="20"/>
          <w:color w:val="auto"/>
        </w:rPr>
      </w:pPr>
      <w:r>
        <w:rPr>
          <w:rFonts w:ascii="Arial" w:cs="Arial" w:eastAsia="Arial" w:hAnsi="Arial"/>
          <w:sz w:val="16"/>
          <w:szCs w:val="16"/>
          <w:color w:val="auto"/>
        </w:rPr>
        <w:t>In October 2011, the Company entered into a collaboration agreement with Kissei Pharmaceutical Co., Ltd., (“Kissei”), to perform research and development services relating to MN-221 (bedoradrine) in exchange for a non-refundable upfront payment of $2.5 million. Under the terms of the agreement, the Company is responsible for all costs to be incurred in the performance of these services. The Company assessed the services in accordance with the authoritative guidance and concluded that its meets the definition of a collaborative arrangement per ASC 808 which is outside of the scope of ASC 606. Since ASC 808 does not provide recognition and measurement guidance for collaborative arrangements, the Company analogized to ASC 606.</w:t>
      </w:r>
    </w:p>
    <w:p>
      <w:pPr>
        <w:spacing w:after="0" w:line="51" w:lineRule="exact"/>
        <w:rPr>
          <w:sz w:val="20"/>
          <w:szCs w:val="20"/>
          <w:color w:val="auto"/>
        </w:rPr>
      </w:pPr>
    </w:p>
    <w:p>
      <w:pPr>
        <w:ind w:right="60" w:firstLine="439"/>
        <w:spacing w:after="0" w:line="269" w:lineRule="auto"/>
        <w:rPr>
          <w:sz w:val="20"/>
          <w:szCs w:val="20"/>
          <w:color w:val="auto"/>
        </w:rPr>
      </w:pPr>
      <w:r>
        <w:rPr>
          <w:rFonts w:ascii="Arial" w:cs="Arial" w:eastAsia="Arial" w:hAnsi="Arial"/>
          <w:sz w:val="17"/>
          <w:szCs w:val="17"/>
          <w:color w:val="auto"/>
        </w:rPr>
        <w:t>The Company concluded the two studies to be performed under the agreement represented two separate performance obligations. The transaction price was allocated among the two studies that were deemed separate performance obligations based on the expected costs to be incurred for each obligation. While amounts were received in advance for the studies, at contract inception, both parties anticipated the contract would be completed within 1 year, so no significant financing component existed at contract inception. Revenue is recognized proportional to the total costs expected for each performance obligation as incurred over the service period. The first study was completed in 2013 and the timing of the second study is undetermined as of December 31, 2018. The amount received from Kissei and allocated, net of the amount recorded as revenue, is included on the balance sheet as long-term deferred revenue and will be recognized as revenue as the remaining performance obligation is satisfied. No revenue was recognized for the years ended December 31, 2018, 2017 or 2016 in connection with the collaboration agreement with Kissei.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3. Fair Value Measurements</w:t>
      </w:r>
    </w:p>
    <w:p>
      <w:pPr>
        <w:spacing w:after="0" w:line="119" w:lineRule="exact"/>
        <w:rPr>
          <w:sz w:val="20"/>
          <w:szCs w:val="20"/>
          <w:color w:val="auto"/>
        </w:rPr>
      </w:pPr>
    </w:p>
    <w:p>
      <w:pPr>
        <w:jc w:val="both"/>
        <w:ind w:firstLine="439"/>
        <w:spacing w:after="0" w:line="257"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4" w:lineRule="exact"/>
        <w:rPr>
          <w:sz w:val="20"/>
          <w:szCs w:val="20"/>
          <w:color w:val="auto"/>
        </w:rPr>
      </w:pPr>
    </w:p>
    <w:p>
      <w:pPr>
        <w:ind w:left="520"/>
        <w:spacing w:after="0"/>
        <w:tabs>
          <w:tab w:leader="none" w:pos="15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Observable inputs such as quoted prices in active markets;</w:t>
      </w:r>
    </w:p>
    <w:p>
      <w:pPr>
        <w:spacing w:after="0" w:line="129" w:lineRule="exact"/>
        <w:rPr>
          <w:sz w:val="20"/>
          <w:szCs w:val="20"/>
          <w:color w:val="auto"/>
        </w:rPr>
      </w:pPr>
    </w:p>
    <w:p>
      <w:pPr>
        <w:ind w:left="1560" w:right="500" w:hanging="1033"/>
        <w:spacing w:after="0" w:line="275" w:lineRule="auto"/>
        <w:tabs>
          <w:tab w:leader="none" w:pos="15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 near the measurement date; and</w:t>
      </w:r>
    </w:p>
    <w:p>
      <w:pPr>
        <w:spacing w:after="0" w:line="76" w:lineRule="exact"/>
        <w:rPr>
          <w:sz w:val="20"/>
          <w:szCs w:val="20"/>
          <w:color w:val="auto"/>
        </w:rPr>
      </w:pPr>
    </w:p>
    <w:p>
      <w:pPr>
        <w:ind w:left="520"/>
        <w:spacing w:after="0"/>
        <w:tabs>
          <w:tab w:leader="none" w:pos="15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due to little or no market data, which require the reporting entity to develop its own assumptions</w:t>
      </w:r>
    </w:p>
    <w:p>
      <w:pPr>
        <w:spacing w:after="0" w:line="223" w:lineRule="exact"/>
        <w:rPr>
          <w:sz w:val="20"/>
          <w:szCs w:val="20"/>
          <w:color w:val="auto"/>
        </w:rPr>
      </w:pPr>
    </w:p>
    <w:p>
      <w:pPr>
        <w:ind w:right="180" w:firstLine="439"/>
        <w:spacing w:after="0" w:line="275" w:lineRule="auto"/>
        <w:rPr>
          <w:sz w:val="20"/>
          <w:szCs w:val="20"/>
          <w:color w:val="auto"/>
        </w:rPr>
      </w:pPr>
      <w:r>
        <w:rPr>
          <w:rFonts w:ascii="Arial" w:cs="Arial" w:eastAsia="Arial" w:hAnsi="Arial"/>
          <w:sz w:val="18"/>
          <w:szCs w:val="18"/>
          <w:color w:val="auto"/>
        </w:rPr>
        <w:t>Cash equivalents including money market accounts of $677,594 and $666,265 measured at fair value as of December 31, 2018 and 2017, respectively, are classified within Level 1.</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Details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 of the following:</w:t>
      </w:r>
    </w:p>
    <w:p>
      <w:pPr>
        <w:spacing w:after="0" w:line="228" w:lineRule="exact"/>
        <w:rPr>
          <w:sz w:val="20"/>
          <w:szCs w:val="20"/>
          <w:color w:val="auto"/>
        </w:rPr>
      </w:pPr>
    </w:p>
    <w:tbl>
      <w:tblPr>
        <w:tblLayout w:type="fixed"/>
        <w:tblInd w:w="128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4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2"/>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15,742</w:t>
            </w:r>
          </w:p>
        </w:tc>
        <w:tc>
          <w:tcPr>
            <w:tcW w:w="100" w:type="dxa"/>
            <w:vAlign w:val="bottom"/>
            <w:shd w:val="clear" w:color="auto" w:fill="CFF0FC"/>
          </w:tcPr>
          <w:p>
            <w:pPr>
              <w:spacing w:after="0"/>
              <w:rPr>
                <w:sz w:val="19"/>
                <w:szCs w:val="19"/>
                <w:color w:val="auto"/>
              </w:rPr>
            </w:pPr>
          </w:p>
        </w:tc>
      </w:tr>
      <w:tr>
        <w:trPr>
          <w:trHeight w:val="228"/>
        </w:trPr>
        <w:tc>
          <w:tcPr>
            <w:tcW w:w="54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235,095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233,441</w:t>
            </w:r>
          </w:p>
        </w:tc>
        <w:tc>
          <w:tcPr>
            <w:tcW w:w="100" w:type="dxa"/>
            <w:vAlign w:val="bottom"/>
          </w:tcPr>
          <w:p>
            <w:pPr>
              <w:spacing w:after="0"/>
              <w:rPr>
                <w:sz w:val="19"/>
                <w:szCs w:val="19"/>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285,446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285,418</w:t>
            </w:r>
          </w:p>
        </w:tc>
        <w:tc>
          <w:tcPr>
            <w:tcW w:w="100" w:type="dxa"/>
            <w:vAlign w:val="bottom"/>
            <w:shd w:val="clear" w:color="auto" w:fill="CFF0FC"/>
          </w:tcPr>
          <w:p>
            <w:pPr>
              <w:spacing w:after="0"/>
              <w:rPr>
                <w:sz w:val="19"/>
                <w:szCs w:val="19"/>
                <w:color w:val="auto"/>
              </w:rPr>
            </w:pPr>
          </w:p>
        </w:tc>
      </w:tr>
      <w:tr>
        <w:trPr>
          <w:trHeight w:val="222"/>
        </w:trPr>
        <w:tc>
          <w:tcPr>
            <w:tcW w:w="5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536,662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534,601</w:t>
            </w:r>
          </w:p>
        </w:tc>
        <w:tc>
          <w:tcPr>
            <w:tcW w:w="100" w:type="dxa"/>
            <w:vAlign w:val="bottom"/>
          </w:tcPr>
          <w:p>
            <w:pPr>
              <w:spacing w:after="0"/>
              <w:rPr>
                <w:sz w:val="19"/>
                <w:szCs w:val="19"/>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4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(483,528)</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(471,715)</w:t>
            </w: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53,134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62,886</w:t>
            </w:r>
          </w:p>
        </w:tc>
        <w:tc>
          <w:tcPr>
            <w:tcW w:w="10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1" w:lineRule="exact"/>
        <w:rPr>
          <w:sz w:val="20"/>
          <w:szCs w:val="20"/>
          <w:color w:val="auto"/>
        </w:rPr>
      </w:pPr>
    </w:p>
    <w:p>
      <w:pPr>
        <w:ind w:right="380" w:firstLine="439"/>
        <w:spacing w:after="0" w:line="339" w:lineRule="auto"/>
        <w:rPr>
          <w:sz w:val="20"/>
          <w:szCs w:val="20"/>
          <w:color w:val="auto"/>
        </w:rPr>
      </w:pPr>
      <w:r>
        <w:rPr>
          <w:rFonts w:ascii="Arial" w:cs="Arial" w:eastAsia="Arial" w:hAnsi="Arial"/>
          <w:sz w:val="16"/>
          <w:szCs w:val="16"/>
          <w:color w:val="auto"/>
        </w:rPr>
        <w:t>The Company uses the straight-line method to record depreciation expense with useful lives of three to five years. Depreciation and amortization of property and equipment of $25,881, $28,098, and $14,127, was recorded for the years ended December 31, 2018, 2017 and 2016,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 of the following:</w:t>
      </w:r>
    </w:p>
    <w:p>
      <w:pPr>
        <w:spacing w:after="0" w:line="214" w:lineRule="exact"/>
        <w:rPr>
          <w:sz w:val="20"/>
          <w:szCs w:val="20"/>
          <w:color w:val="auto"/>
        </w:rPr>
      </w:pPr>
    </w:p>
    <w:tbl>
      <w:tblPr>
        <w:tblLayout w:type="fixed"/>
        <w:tblInd w:w="130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5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2"/>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38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1,137,869</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952,470</w:t>
            </w:r>
          </w:p>
        </w:tc>
        <w:tc>
          <w:tcPr>
            <w:tcW w:w="80" w:type="dxa"/>
            <w:vAlign w:val="bottom"/>
            <w:shd w:val="clear" w:color="auto" w:fill="CFF0FC"/>
          </w:tcPr>
          <w:p>
            <w:pPr>
              <w:spacing w:after="0"/>
              <w:rPr>
                <w:sz w:val="19"/>
                <w:szCs w:val="19"/>
                <w:color w:val="auto"/>
              </w:rPr>
            </w:pPr>
          </w:p>
        </w:tc>
      </w:tr>
      <w:tr>
        <w:trPr>
          <w:trHeight w:val="228"/>
        </w:trPr>
        <w:tc>
          <w:tcPr>
            <w:tcW w:w="55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226,597</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122,665</w:t>
            </w:r>
          </w:p>
        </w:tc>
        <w:tc>
          <w:tcPr>
            <w:tcW w:w="80" w:type="dxa"/>
            <w:vAlign w:val="bottom"/>
          </w:tcPr>
          <w:p>
            <w:pPr>
              <w:spacing w:after="0"/>
              <w:rPr>
                <w:sz w:val="19"/>
                <w:szCs w:val="19"/>
                <w:color w:val="auto"/>
              </w:rPr>
            </w:pPr>
          </w:p>
        </w:tc>
      </w:tr>
      <w:tr>
        <w:trPr>
          <w:trHeight w:val="228"/>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fees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18,763</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144,105</w:t>
            </w:r>
          </w:p>
        </w:tc>
        <w:tc>
          <w:tcPr>
            <w:tcW w:w="80" w:type="dxa"/>
            <w:vAlign w:val="bottom"/>
            <w:shd w:val="clear" w:color="auto" w:fill="CFF0FC"/>
          </w:tcPr>
          <w:p>
            <w:pPr>
              <w:spacing w:after="0"/>
              <w:rPr>
                <w:sz w:val="19"/>
                <w:szCs w:val="19"/>
                <w:color w:val="auto"/>
              </w:rPr>
            </w:pPr>
          </w:p>
        </w:tc>
      </w:tr>
      <w:tr>
        <w:trPr>
          <w:trHeight w:val="228"/>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191,932</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141,504</w:t>
            </w:r>
          </w:p>
        </w:tc>
        <w:tc>
          <w:tcPr>
            <w:tcW w:w="80" w:type="dxa"/>
            <w:vAlign w:val="bottom"/>
            <w:tcBorders>
              <w:bottom w:val="single" w:sz="8" w:color="CFF0FC"/>
            </w:tcBorders>
          </w:tcPr>
          <w:p>
            <w:pPr>
              <w:spacing w:after="0"/>
              <w:rPr>
                <w:sz w:val="19"/>
                <w:szCs w:val="19"/>
                <w:color w:val="auto"/>
              </w:rPr>
            </w:pPr>
          </w:p>
        </w:tc>
      </w:tr>
      <w:tr>
        <w:trPr>
          <w:trHeight w:val="222"/>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liabilities</w:t>
            </w:r>
          </w:p>
        </w:tc>
        <w:tc>
          <w:tcPr>
            <w:tcW w:w="380" w:type="dxa"/>
            <w:vAlign w:val="bottom"/>
            <w:tcBorders>
              <w:bottom w:val="single" w:sz="8" w:color="auto"/>
            </w:tcBorders>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1,575,161</w:t>
            </w: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1,360,744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5" w:lineRule="exact"/>
        <w:rPr>
          <w:sz w:val="20"/>
          <w:szCs w:val="20"/>
          <w:color w:val="auto"/>
        </w:rPr>
      </w:pPr>
    </w:p>
    <w:p>
      <w:pPr>
        <w:ind w:right="140" w:firstLine="439"/>
        <w:spacing w:after="0" w:line="257" w:lineRule="auto"/>
        <w:rPr>
          <w:sz w:val="20"/>
          <w:szCs w:val="20"/>
          <w:color w:val="auto"/>
        </w:rPr>
      </w:pPr>
      <w:r>
        <w:rPr>
          <w:rFonts w:ascii="Arial" w:cs="Arial" w:eastAsia="Arial" w:hAnsi="Arial"/>
          <w:sz w:val="18"/>
          <w:szCs w:val="18"/>
          <w:color w:val="auto"/>
        </w:rPr>
        <w:t>The Company subleases its office space under an operating lease with an initial term of four years and one month, expiring in December 2021. Rent expense for the years ended December 31, 2018, 2017 and 2016 was $229,613, $254,593 and $256,314, respectively. The difference between the minimum lease payments and the straight-line amount of total rent expense is recorded as deferred rent. Deferred rent at December 31, 2018 and 2017 was $24,762 and $253, respectively.</w:t>
      </w:r>
    </w:p>
    <w:p>
      <w:pPr>
        <w:spacing w:after="0" w:line="188" w:lineRule="exact"/>
        <w:rPr>
          <w:sz w:val="20"/>
          <w:szCs w:val="20"/>
          <w:color w:val="auto"/>
        </w:rPr>
      </w:pPr>
    </w:p>
    <w:p>
      <w:pPr>
        <w:ind w:right="240" w:firstLine="439"/>
        <w:spacing w:after="0" w:line="275" w:lineRule="auto"/>
        <w:rPr>
          <w:sz w:val="20"/>
          <w:szCs w:val="20"/>
          <w:color w:val="auto"/>
        </w:rPr>
      </w:pPr>
      <w:r>
        <w:rPr>
          <w:rFonts w:ascii="Arial" w:cs="Arial" w:eastAsia="Arial" w:hAnsi="Arial"/>
          <w:sz w:val="18"/>
          <w:szCs w:val="18"/>
          <w:color w:val="auto"/>
        </w:rPr>
        <w:t>As of December 31, 2018, the total estimated future annual minimum lease payments under the Company’s non-cancelable building and copier leases for the years ending after December 31, 2018 are as follows:</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33"/>
        </w:trPr>
        <w:tc>
          <w:tcPr>
            <w:tcW w:w="55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182,847</w:t>
            </w:r>
          </w:p>
        </w:tc>
        <w:tc>
          <w:tcPr>
            <w:tcW w:w="60" w:type="dxa"/>
            <w:vAlign w:val="bottom"/>
            <w:shd w:val="clear" w:color="auto" w:fill="CFF0FC"/>
          </w:tcPr>
          <w:p>
            <w:pPr>
              <w:spacing w:after="0"/>
              <w:rPr>
                <w:sz w:val="19"/>
                <w:szCs w:val="19"/>
                <w:color w:val="auto"/>
              </w:rPr>
            </w:pPr>
          </w:p>
        </w:tc>
      </w:tr>
      <w:tr>
        <w:trPr>
          <w:trHeight w:val="228"/>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144,234</w:t>
            </w:r>
          </w:p>
        </w:tc>
        <w:tc>
          <w:tcPr>
            <w:tcW w:w="60" w:type="dxa"/>
            <w:vAlign w:val="bottom"/>
          </w:tcPr>
          <w:p>
            <w:pPr>
              <w:spacing w:after="0"/>
              <w:rPr>
                <w:sz w:val="19"/>
                <w:szCs w:val="19"/>
                <w:color w:val="auto"/>
              </w:rPr>
            </w:pPr>
          </w:p>
        </w:tc>
      </w:tr>
      <w:tr>
        <w:trPr>
          <w:trHeight w:val="228"/>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149,951</w:t>
            </w:r>
          </w:p>
        </w:tc>
        <w:tc>
          <w:tcPr>
            <w:tcW w:w="60" w:type="dxa"/>
            <w:vAlign w:val="bottom"/>
            <w:shd w:val="clear" w:color="auto" w:fill="CFF0FC"/>
          </w:tcPr>
          <w:p>
            <w:pPr>
              <w:spacing w:after="0"/>
              <w:rPr>
                <w:sz w:val="19"/>
                <w:szCs w:val="19"/>
                <w:color w:val="auto"/>
              </w:rPr>
            </w:pPr>
          </w:p>
        </w:tc>
      </w:tr>
      <w:tr>
        <w:trPr>
          <w:trHeight w:val="228"/>
        </w:trPr>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1,532</w:t>
            </w:r>
          </w:p>
        </w:tc>
        <w:tc>
          <w:tcPr>
            <w:tcW w:w="60" w:type="dxa"/>
            <w:vAlign w:val="bottom"/>
          </w:tcPr>
          <w:p>
            <w:pPr>
              <w:spacing w:after="0"/>
              <w:rPr>
                <w:sz w:val="19"/>
                <w:szCs w:val="19"/>
                <w:color w:val="auto"/>
              </w:rPr>
            </w:pPr>
          </w:p>
        </w:tc>
      </w:tr>
      <w:tr>
        <w:trPr>
          <w:trHeight w:val="228"/>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60" w:type="dxa"/>
            <w:vAlign w:val="bottom"/>
            <w:shd w:val="clear" w:color="auto" w:fill="CFF0FC"/>
          </w:tcPr>
          <w:p>
            <w:pPr>
              <w:spacing w:after="0"/>
              <w:rPr>
                <w:sz w:val="19"/>
                <w:szCs w:val="19"/>
                <w:color w:val="auto"/>
              </w:rPr>
            </w:pPr>
          </w:p>
        </w:tc>
      </w:tr>
      <w:tr>
        <w:trPr>
          <w:trHeight w:val="222"/>
        </w:trPr>
        <w:tc>
          <w:tcPr>
            <w:tcW w:w="5580" w:type="dxa"/>
            <w:vAlign w:val="bottom"/>
          </w:tcPr>
          <w:p>
            <w:pPr>
              <w:ind w:left="240"/>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479,968</w:t>
            </w:r>
          </w:p>
        </w:tc>
        <w:tc>
          <w:tcPr>
            <w:tcW w:w="6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115" w:lineRule="exact"/>
        <w:rPr>
          <w:sz w:val="20"/>
          <w:szCs w:val="20"/>
          <w:color w:val="auto"/>
        </w:rPr>
      </w:pPr>
    </w:p>
    <w:p>
      <w:pPr>
        <w:ind w:firstLine="439"/>
        <w:spacing w:after="0" w:line="274" w:lineRule="auto"/>
        <w:rPr>
          <w:sz w:val="20"/>
          <w:szCs w:val="20"/>
          <w:color w:val="auto"/>
        </w:rPr>
      </w:pPr>
      <w:r>
        <w:rPr>
          <w:rFonts w:ascii="Arial" w:cs="Arial" w:eastAsia="Arial" w:hAnsi="Arial"/>
          <w:sz w:val="17"/>
          <w:szCs w:val="17"/>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Research Agreements</w:t>
      </w:r>
    </w:p>
    <w:p>
      <w:pPr>
        <w:spacing w:after="0" w:line="115" w:lineRule="exact"/>
        <w:rPr>
          <w:sz w:val="20"/>
          <w:szCs w:val="20"/>
          <w:color w:val="auto"/>
        </w:rPr>
      </w:pPr>
    </w:p>
    <w:p>
      <w:pPr>
        <w:ind w:right="40" w:firstLine="439"/>
        <w:spacing w:after="0" w:line="300" w:lineRule="auto"/>
        <w:rPr>
          <w:sz w:val="20"/>
          <w:szCs w:val="20"/>
          <w:color w:val="auto"/>
        </w:rPr>
      </w:pPr>
      <w:r>
        <w:rPr>
          <w:rFonts w:ascii="Arial" w:cs="Arial" w:eastAsia="Arial" w:hAnsi="Arial"/>
          <w:sz w:val="16"/>
          <w:szCs w:val="16"/>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54" w:lineRule="exact"/>
        <w:rPr>
          <w:sz w:val="20"/>
          <w:szCs w:val="20"/>
          <w:color w:val="auto"/>
        </w:rPr>
      </w:pPr>
    </w:p>
    <w:p>
      <w:pPr>
        <w:ind w:right="200" w:firstLine="439"/>
        <w:spacing w:after="0" w:line="254" w:lineRule="auto"/>
        <w:rPr>
          <w:sz w:val="20"/>
          <w:szCs w:val="20"/>
          <w:color w:val="auto"/>
        </w:rPr>
      </w:pPr>
      <w:r>
        <w:rPr>
          <w:rFonts w:ascii="Arial" w:cs="Arial" w:eastAsia="Arial" w:hAnsi="Arial"/>
          <w:sz w:val="18"/>
          <w:szCs w:val="18"/>
          <w:color w:val="auto"/>
        </w:rPr>
        <w:t>No amounts have been expended under these agreements during the years ended December 31, 2018, 2017 or 2016. For products currently in development, future potential milestone payments based on product development of MN-166 (ibudilast) and MN-001 (tipelukast) are $10.0 million as of December 31, 2018. For all other products, future potential milestone payments related to development milestones and commercialization milestones totaled $33.5 million as of December 31, 2018.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ind w:right="240" w:firstLine="439"/>
        <w:spacing w:after="0" w:line="262" w:lineRule="auto"/>
        <w:rPr>
          <w:sz w:val="20"/>
          <w:szCs w:val="20"/>
          <w:color w:val="auto"/>
        </w:rPr>
      </w:pPr>
      <w:r>
        <w:rPr>
          <w:rFonts w:ascii="Arial" w:cs="Arial" w:eastAsia="Arial" w:hAnsi="Arial"/>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6. Joint Venture</w:t>
      </w:r>
    </w:p>
    <w:p>
      <w:pPr>
        <w:spacing w:after="0" w:line="119"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The Company entered into an agreement to form a joint venture company with Zhejiang Medicine Co., Ltd. and Beijing Medfron Medical Technologies Co., Ltd. (formerly Beijing Make-Friend Medicine Technology Co., Ltd.) effective September 27, 2011. In August 2014, the Chinese government approved the amendment to the joint venture agreement to allow for the departure of Zhejiang Medicine Co., Ltd. The amended joint venture agreement provided for the joint venture company, Zhejiang Sunmy Bio-Medical Co., Ltd. (Zhejiang Sunmy), to develop and commercialize MN-221 (bedoradrine) in China and pursue additional compounds to develop, each with a 50% interest in Zhejiang Sunmy.</w:t>
      </w:r>
    </w:p>
    <w:p>
      <w:pPr>
        <w:spacing w:after="0" w:line="230" w:lineRule="exact"/>
        <w:rPr>
          <w:sz w:val="20"/>
          <w:szCs w:val="20"/>
          <w:color w:val="auto"/>
        </w:rPr>
      </w:pPr>
    </w:p>
    <w:p>
      <w:pPr>
        <w:ind w:right="40" w:firstLine="439"/>
        <w:spacing w:after="0" w:line="274" w:lineRule="auto"/>
        <w:rPr>
          <w:sz w:val="20"/>
          <w:szCs w:val="20"/>
          <w:color w:val="auto"/>
        </w:rPr>
      </w:pPr>
      <w:r>
        <w:rPr>
          <w:rFonts w:ascii="Arial" w:cs="Arial" w:eastAsia="Arial" w:hAnsi="Arial"/>
          <w:sz w:val="17"/>
          <w:szCs w:val="17"/>
          <w:color w:val="auto"/>
        </w:rPr>
        <w:t>On July 24, 2017, the Company and Beijing Medfron Medical Technologies Co., Ltd. agreed to dissolve Zhejiang Sunmy, subject to approval by applicable Chinese regulatory authorities which was granted on December 11, 2017. At December 31, 2017, the Company reflected a long-term asset on its consolidated balance sheet which represented the Company’s investment in Zhejiang Sunmy, net of the Company’s portion of any generated loss or income. In April 2018, the Company received proceeds of $0.6 million from the dissolution of the joint venture and liquidation of its investment, resulting in an immaterial gain recorded within other expense, net in the statement of operations for the year ended December 31, 2018.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5" w:lineRule="exact"/>
        <w:rPr>
          <w:sz w:val="20"/>
          <w:szCs w:val="20"/>
          <w:color w:val="auto"/>
        </w:rPr>
      </w:pPr>
    </w:p>
    <w:p>
      <w:pPr>
        <w:ind w:firstLine="439"/>
        <w:spacing w:after="0" w:line="267" w:lineRule="auto"/>
        <w:rPr>
          <w:sz w:val="20"/>
          <w:szCs w:val="20"/>
          <w:color w:val="auto"/>
        </w:rPr>
      </w:pPr>
      <w:r>
        <w:rPr>
          <w:rFonts w:ascii="Arial" w:cs="Arial" w:eastAsia="Arial" w:hAnsi="Arial"/>
          <w:sz w:val="17"/>
          <w:szCs w:val="17"/>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At the annual meeting of stockholders held in June 2018, the Company’s stockholders approved an amendment to the 2013 Plan to increase the number of shares of common stock reserved for issuance under the plan by 1,500,000 shares.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December 31, 2018, 1,494,592 shares remain available for future grant under the 2013 Plan.</w:t>
      </w:r>
    </w:p>
    <w:p>
      <w:pPr>
        <w:spacing w:after="0" w:line="79" w:lineRule="exact"/>
        <w:rPr>
          <w:sz w:val="20"/>
          <w:szCs w:val="20"/>
          <w:color w:val="auto"/>
        </w:rPr>
      </w:pPr>
    </w:p>
    <w:p>
      <w:pPr>
        <w:jc w:val="both"/>
        <w:ind w:right="80" w:firstLine="439"/>
        <w:spacing w:after="0" w:line="300" w:lineRule="auto"/>
        <w:rPr>
          <w:sz w:val="20"/>
          <w:szCs w:val="20"/>
          <w:color w:val="auto"/>
        </w:rPr>
      </w:pPr>
      <w:r>
        <w:rPr>
          <w:rFonts w:ascii="Arial" w:cs="Arial" w:eastAsia="Arial" w:hAnsi="Arial"/>
          <w:sz w:val="16"/>
          <w:szCs w:val="16"/>
          <w:color w:val="auto"/>
        </w:rPr>
        <w:t>The Company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As of December 31, 2018, total performance options outstanding and unvested was 1,162,000. These options became vested in 2019.</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ind w:right="320" w:firstLine="439"/>
        <w:spacing w:after="0" w:line="275" w:lineRule="auto"/>
        <w:rPr>
          <w:sz w:val="20"/>
          <w:szCs w:val="20"/>
          <w:color w:val="auto"/>
        </w:rPr>
      </w:pPr>
      <w:r>
        <w:rPr>
          <w:rFonts w:ascii="Arial" w:cs="Arial" w:eastAsia="Arial" w:hAnsi="Arial"/>
          <w:sz w:val="18"/>
          <w:szCs w:val="18"/>
          <w:color w:val="auto"/>
        </w:rPr>
        <w:t>Options granted under the 2013 Plan and 2004 Plan have terms of ten years from the date of grant unless earlier terminated and generally vest over a three or four-year period.</w:t>
      </w:r>
    </w:p>
    <w:p>
      <w:pPr>
        <w:spacing w:after="0" w:line="170" w:lineRule="exact"/>
        <w:rPr>
          <w:sz w:val="20"/>
          <w:szCs w:val="20"/>
          <w:color w:val="auto"/>
        </w:rPr>
      </w:pPr>
    </w:p>
    <w:p>
      <w:pPr>
        <w:ind w:right="320" w:firstLine="439"/>
        <w:spacing w:after="0" w:line="275" w:lineRule="auto"/>
        <w:rPr>
          <w:sz w:val="20"/>
          <w:szCs w:val="20"/>
          <w:color w:val="auto"/>
        </w:rPr>
      </w:pPr>
      <w:r>
        <w:rPr>
          <w:rFonts w:ascii="Arial" w:cs="Arial" w:eastAsia="Arial" w:hAnsi="Arial"/>
          <w:sz w:val="18"/>
          <w:szCs w:val="18"/>
          <w:color w:val="auto"/>
        </w:rPr>
        <w:t>The exercise price of all options granted during the years ended December 31, 2018, 2017 and 2016 was equal to the market value of the Company’s common stock on the date of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2" w:name="page73"/>
    <w:bookmarkEnd w:id="72"/>
    <w:p>
      <w:pPr>
        <w:ind w:left="440"/>
        <w:spacing w:after="0"/>
        <w:rPr>
          <w:sz w:val="20"/>
          <w:szCs w:val="20"/>
          <w:color w:val="auto"/>
        </w:rPr>
      </w:pPr>
      <w:r>
        <w:rPr>
          <w:rFonts w:ascii="Arial" w:cs="Arial" w:eastAsia="Arial" w:hAnsi="Arial"/>
          <w:sz w:val="18"/>
          <w:szCs w:val="18"/>
          <w:color w:val="auto"/>
        </w:rPr>
        <w:t>A summary of stock option activity and related information for the years ended December 31, 2018, 2017 and 2016 is as follows:</w:t>
      </w:r>
    </w:p>
    <w:p>
      <w:pPr>
        <w:spacing w:after="0" w:line="21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w w:val="93"/>
              </w:rPr>
              <w:t>Weighted Average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Option Shares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Exercise Price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4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4,133,969</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1,158,000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(172,585)</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Cancelled</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(687,367)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4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4,432,017</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1,195,000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(105,579)</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Cancelled</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(7,400)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4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5,514,038</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1,222,000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(125,391)</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Cancelled</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4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6,609,647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gridSpan w:val="2"/>
            <w:vMerge w:val="restart"/>
          </w:tcPr>
          <w:p>
            <w:pPr>
              <w:ind w:left="100"/>
              <w:spacing w:after="0"/>
              <w:rPr>
                <w:sz w:val="20"/>
                <w:szCs w:val="20"/>
                <w:color w:val="auto"/>
              </w:rPr>
            </w:pPr>
            <w:r>
              <w:rPr>
                <w:rFonts w:ascii="Arial" w:cs="Arial" w:eastAsia="Arial" w:hAnsi="Arial"/>
                <w:sz w:val="18"/>
                <w:szCs w:val="18"/>
                <w:color w:val="auto"/>
              </w:rPr>
              <w:t>Exercisable at December 31, 2018</w:t>
            </w: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gridSpan w:val="2"/>
            <w:vMerge w:val="continue"/>
          </w:tcPr>
          <w:p>
            <w:pPr>
              <w:spacing w:after="0"/>
              <w:rPr>
                <w:sz w:val="18"/>
                <w:szCs w:val="18"/>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5,408,814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w w:val="92"/>
              </w:rPr>
              <w:t>Weighted Average Grant-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Option Shares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2"/>
          </w:tcPr>
          <w:p>
            <w:pPr>
              <w:jc w:val="right"/>
              <w:ind w:right="251"/>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December 31, 2017</w:t>
            </w:r>
          </w:p>
        </w:tc>
        <w:tc>
          <w:tcPr>
            <w:tcW w:w="1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1,261,837</w:t>
            </w: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916"/>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1,222,000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91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00" w:type="dxa"/>
            <w:vAlign w:val="bottom"/>
            <w:shd w:val="clear" w:color="auto" w:fill="CFF0FC"/>
          </w:tcPr>
          <w:p>
            <w:pPr>
              <w:spacing w:after="0"/>
              <w:rPr>
                <w:sz w:val="19"/>
                <w:szCs w:val="19"/>
                <w:color w:val="auto"/>
              </w:rPr>
            </w:pPr>
          </w:p>
        </w:tc>
        <w:tc>
          <w:tcPr>
            <w:tcW w:w="16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(1,283,004)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916"/>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20" w:type="dxa"/>
            <w:vAlign w:val="bottom"/>
            <w:gridSpan w:val="3"/>
          </w:tcPr>
          <w:p>
            <w:pPr>
              <w:spacing w:after="0"/>
              <w:rPr>
                <w:sz w:val="20"/>
                <w:szCs w:val="20"/>
                <w:color w:val="auto"/>
              </w:rPr>
            </w:pPr>
            <w:r>
              <w:rPr>
                <w:rFonts w:ascii="Arial" w:cs="Arial" w:eastAsia="Arial" w:hAnsi="Arial"/>
                <w:sz w:val="18"/>
                <w:szCs w:val="18"/>
                <w:color w:val="auto"/>
              </w:rPr>
              <w:t>Non-vested at December 31, 2018</w:t>
            </w:r>
          </w:p>
        </w:tc>
        <w:tc>
          <w:tcPr>
            <w:tcW w:w="1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1,200,833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91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Cash received from stock option exercises for the years ended December 31, 2018, 2017 and 2016 was $407,196, $426,013 and $829,526,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options exercised was $788,423, $198,164 and $414,572 for the years ended December 31, 2018, 2017 and 2016,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and exercisable at December 31, 2018 had a weighted average contractual life of 6.32 years, respectively.</w:t>
      </w:r>
    </w:p>
    <w:p>
      <w:pPr>
        <w:spacing w:after="0" w:line="208" w:lineRule="exact"/>
        <w:rPr>
          <w:sz w:val="20"/>
          <w:szCs w:val="20"/>
          <w:color w:val="auto"/>
        </w:rPr>
      </w:pPr>
    </w:p>
    <w:p>
      <w:pPr>
        <w:ind w:right="360" w:firstLine="439"/>
        <w:spacing w:after="0" w:line="275" w:lineRule="auto"/>
        <w:rPr>
          <w:sz w:val="20"/>
          <w:szCs w:val="20"/>
          <w:color w:val="auto"/>
        </w:rPr>
      </w:pPr>
      <w:r>
        <w:rPr>
          <w:rFonts w:ascii="Arial" w:cs="Arial" w:eastAsia="Arial" w:hAnsi="Arial"/>
          <w:sz w:val="18"/>
          <w:szCs w:val="18"/>
          <w:color w:val="auto"/>
        </w:rPr>
        <w:t>As of December 31, 2018 and 2017, the total intrinsic value of options outstanding was $23.6 million and $13.6 million, respectively. Total intrinsic value of options exercisable was $22.2 million and $12.9 million as of December 31, 2018 and 2017,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5" w:lineRule="exact"/>
        <w:rPr>
          <w:sz w:val="20"/>
          <w:szCs w:val="20"/>
          <w:color w:val="auto"/>
        </w:rPr>
      </w:pPr>
    </w:p>
    <w:p>
      <w:pPr>
        <w:ind w:right="80" w:firstLine="439"/>
        <w:spacing w:after="0" w:line="254" w:lineRule="auto"/>
        <w:rPr>
          <w:sz w:val="20"/>
          <w:szCs w:val="20"/>
          <w:color w:val="auto"/>
        </w:rPr>
      </w:pPr>
      <w:r>
        <w:rPr>
          <w:rFonts w:ascii="Arial" w:cs="Arial" w:eastAsia="Arial" w:hAnsi="Arial"/>
          <w:sz w:val="18"/>
          <w:szCs w:val="18"/>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w:t>
      </w:r>
    </w:p>
    <w:p>
      <w:pPr>
        <w:spacing w:after="0" w:line="190"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For the year ended December 31, 2018, an aggregate of 7,094 shares were issued under the ESPP, leaving 191,878 shares available for future issuance.</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5" w:lineRule="exact"/>
        <w:rPr>
          <w:sz w:val="20"/>
          <w:szCs w:val="20"/>
          <w:color w:val="auto"/>
        </w:rPr>
      </w:pPr>
    </w:p>
    <w:p>
      <w:pPr>
        <w:ind w:right="520" w:firstLine="439"/>
        <w:spacing w:after="0" w:line="275" w:lineRule="auto"/>
        <w:rPr>
          <w:sz w:val="20"/>
          <w:szCs w:val="20"/>
          <w:color w:val="auto"/>
        </w:rPr>
      </w:pPr>
      <w:r>
        <w:rPr>
          <w:rFonts w:ascii="Arial" w:cs="Arial" w:eastAsia="Arial" w:hAnsi="Arial"/>
          <w:sz w:val="18"/>
          <w:szCs w:val="18"/>
          <w:color w:val="auto"/>
        </w:rPr>
        <w:t>The estimated fair value of each stock option award was determined on the date of grant using the Black-Scholes option valuation model with the following weighted-average assumptions for stock option grants:</w:t>
      </w:r>
    </w:p>
    <w:p>
      <w:pPr>
        <w:spacing w:after="0" w:line="175" w:lineRule="exact"/>
        <w:rPr>
          <w:sz w:val="20"/>
          <w:szCs w:val="20"/>
          <w:color w:val="auto"/>
        </w:rPr>
      </w:pPr>
    </w:p>
    <w:p>
      <w:pPr>
        <w:jc w:val="center"/>
        <w:ind w:left="4320"/>
        <w:spacing w:after="0"/>
        <w:rPr>
          <w:sz w:val="20"/>
          <w:szCs w:val="20"/>
          <w:color w:val="auto"/>
        </w:rPr>
      </w:pPr>
      <w:r>
        <w:rPr>
          <w:rFonts w:ascii="Arial" w:cs="Arial" w:eastAsia="Arial" w:hAnsi="Arial"/>
          <w:sz w:val="14"/>
          <w:szCs w:val="14"/>
          <w:b w:val="1"/>
          <w:bCs w:val="1"/>
          <w:color w:val="auto"/>
        </w:rPr>
        <w:t>Year Ended</w:t>
      </w:r>
    </w:p>
    <w:p>
      <w:pPr>
        <w:jc w:val="center"/>
        <w:ind w:left="4320"/>
        <w:spacing w:after="0" w:line="234" w:lineRule="auto"/>
        <w:rPr>
          <w:sz w:val="20"/>
          <w:szCs w:val="20"/>
          <w:color w:val="auto"/>
        </w:rPr>
      </w:pPr>
      <w:r>
        <w:rPr>
          <w:rFonts w:ascii="Arial" w:cs="Arial" w:eastAsia="Arial" w:hAnsi="Arial"/>
          <w:sz w:val="14"/>
          <w:szCs w:val="14"/>
          <w:b w:val="1"/>
          <w:bCs w:val="1"/>
          <w:color w:val="auto"/>
        </w:rPr>
        <w:t>December 31,</w:t>
      </w:r>
    </w:p>
    <w:tbl>
      <w:tblPr>
        <w:tblLayout w:type="fixed"/>
        <w:tblInd w:w="1720" w:type="dxa"/>
        <w:tblCellMar>
          <w:top w:w="0" w:type="dxa"/>
          <w:left w:w="0" w:type="dxa"/>
          <w:bottom w:w="0" w:type="dxa"/>
          <w:right w:w="0" w:type="dxa"/>
        </w:tblCellMar>
      </w:tblPr>
      <w:tr>
        <w:trPr>
          <w:trHeight w:val="155"/>
        </w:trPr>
        <w:tc>
          <w:tcPr>
            <w:tcW w:w="45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2"/>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8"/>
        </w:trPr>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r>
      <w:tr>
        <w:trPr>
          <w:trHeight w:val="228"/>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61.56%</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72.55%</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78.30%</w:t>
            </w:r>
          </w:p>
        </w:tc>
      </w:tr>
      <w:tr>
        <w:trPr>
          <w:trHeight w:val="228"/>
        </w:trPr>
        <w:tc>
          <w:tcPr>
            <w:tcW w:w="4520" w:type="dxa"/>
            <w:vAlign w:val="bottom"/>
          </w:tcPr>
          <w:p>
            <w:pPr>
              <w:spacing w:after="0"/>
              <w:rPr>
                <w:sz w:val="20"/>
                <w:szCs w:val="20"/>
                <w:color w:val="auto"/>
              </w:rPr>
            </w:pPr>
            <w:r>
              <w:rPr>
                <w:rFonts w:ascii="Arial" w:cs="Arial" w:eastAsia="Arial" w:hAnsi="Arial"/>
                <w:sz w:val="18"/>
                <w:szCs w:val="18"/>
                <w:color w:val="auto"/>
              </w:rPr>
              <w:t>Dividend yield</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r>
        <w:trPr>
          <w:trHeight w:val="228"/>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term (in years)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FF0FC"/>
          </w:tcPr>
          <w:p>
            <w:pPr>
              <w:spacing w:after="0"/>
              <w:rPr>
                <w:sz w:val="19"/>
                <w:szCs w:val="19"/>
                <w:color w:val="auto"/>
              </w:rPr>
            </w:pPr>
          </w:p>
        </w:tc>
      </w:tr>
    </w:tbl>
    <w:p>
      <w:pPr>
        <w:spacing w:after="0" w:line="241" w:lineRule="exact"/>
        <w:rPr>
          <w:sz w:val="20"/>
          <w:szCs w:val="20"/>
          <w:color w:val="auto"/>
        </w:rPr>
      </w:pPr>
    </w:p>
    <w:p>
      <w:pPr>
        <w:ind w:right="300" w:firstLine="439"/>
        <w:spacing w:after="0" w:line="275" w:lineRule="auto"/>
        <w:rPr>
          <w:sz w:val="20"/>
          <w:szCs w:val="20"/>
          <w:color w:val="auto"/>
        </w:rPr>
      </w:pPr>
      <w:r>
        <w:rPr>
          <w:rFonts w:ascii="Arial" w:cs="Arial" w:eastAsia="Arial" w:hAnsi="Arial"/>
          <w:sz w:val="18"/>
          <w:szCs w:val="18"/>
          <w:color w:val="auto"/>
        </w:rPr>
        <w:t>The estimated fair value of employee stock purchase rights under the Company’s ESPP was determined on the date of grant using the Black-Scholes option valuation model with the following weighted-average assumptions for stock option grants:</w:t>
      </w:r>
    </w:p>
    <w:p>
      <w:pPr>
        <w:spacing w:after="0" w:line="175" w:lineRule="exact"/>
        <w:rPr>
          <w:sz w:val="20"/>
          <w:szCs w:val="20"/>
          <w:color w:val="auto"/>
        </w:rPr>
      </w:pPr>
    </w:p>
    <w:p>
      <w:pPr>
        <w:jc w:val="center"/>
        <w:ind w:left="4320"/>
        <w:spacing w:after="0"/>
        <w:rPr>
          <w:sz w:val="20"/>
          <w:szCs w:val="20"/>
          <w:color w:val="auto"/>
        </w:rPr>
      </w:pPr>
      <w:r>
        <w:rPr>
          <w:rFonts w:ascii="Arial" w:cs="Arial" w:eastAsia="Arial" w:hAnsi="Arial"/>
          <w:sz w:val="14"/>
          <w:szCs w:val="14"/>
          <w:b w:val="1"/>
          <w:bCs w:val="1"/>
          <w:color w:val="auto"/>
        </w:rPr>
        <w:t>Year Ended</w:t>
      </w:r>
    </w:p>
    <w:p>
      <w:pPr>
        <w:jc w:val="center"/>
        <w:ind w:left="4320"/>
        <w:spacing w:after="0" w:line="234" w:lineRule="auto"/>
        <w:rPr>
          <w:sz w:val="20"/>
          <w:szCs w:val="20"/>
          <w:color w:val="auto"/>
        </w:rPr>
      </w:pPr>
      <w:r>
        <w:rPr>
          <w:rFonts w:ascii="Arial" w:cs="Arial" w:eastAsia="Arial" w:hAnsi="Arial"/>
          <w:sz w:val="14"/>
          <w:szCs w:val="14"/>
          <w:b w:val="1"/>
          <w:bCs w:val="1"/>
          <w:color w:val="auto"/>
        </w:rPr>
        <w:t>December 31,</w:t>
      </w:r>
    </w:p>
    <w:tbl>
      <w:tblPr>
        <w:tblLayout w:type="fixed"/>
        <w:tblInd w:w="1720" w:type="dxa"/>
        <w:tblCellMar>
          <w:top w:w="0" w:type="dxa"/>
          <w:left w:w="0" w:type="dxa"/>
          <w:bottom w:w="0" w:type="dxa"/>
          <w:right w:w="0" w:type="dxa"/>
        </w:tblCellMar>
      </w:tblPr>
      <w:tr>
        <w:trPr>
          <w:trHeight w:val="155"/>
        </w:trPr>
        <w:tc>
          <w:tcPr>
            <w:tcW w:w="45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2"/>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Employee Stock Purchase Plan</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8"/>
        </w:trPr>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r>
      <w:tr>
        <w:trPr>
          <w:trHeight w:val="228"/>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70.41%</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38.34%</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51.65%</w:t>
            </w:r>
          </w:p>
        </w:tc>
      </w:tr>
      <w:tr>
        <w:trPr>
          <w:trHeight w:val="228"/>
        </w:trPr>
        <w:tc>
          <w:tcPr>
            <w:tcW w:w="4520" w:type="dxa"/>
            <w:vAlign w:val="bottom"/>
          </w:tcPr>
          <w:p>
            <w:pPr>
              <w:spacing w:after="0"/>
              <w:rPr>
                <w:sz w:val="20"/>
                <w:szCs w:val="20"/>
                <w:color w:val="auto"/>
              </w:rPr>
            </w:pPr>
            <w:r>
              <w:rPr>
                <w:rFonts w:ascii="Arial" w:cs="Arial" w:eastAsia="Arial" w:hAnsi="Arial"/>
                <w:sz w:val="18"/>
                <w:szCs w:val="18"/>
                <w:color w:val="auto"/>
              </w:rPr>
              <w:t>Dividend yield</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r>
        <w:trPr>
          <w:trHeight w:val="228"/>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term (in years)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r>
    </w:tbl>
    <w:p>
      <w:pPr>
        <w:spacing w:after="0" w:line="227" w:lineRule="exact"/>
        <w:rPr>
          <w:sz w:val="20"/>
          <w:szCs w:val="20"/>
          <w:color w:val="auto"/>
        </w:rPr>
      </w:pPr>
    </w:p>
    <w:p>
      <w:pPr>
        <w:ind w:firstLine="439"/>
        <w:spacing w:after="0" w:line="300" w:lineRule="auto"/>
        <w:rPr>
          <w:sz w:val="20"/>
          <w:szCs w:val="20"/>
          <w:color w:val="auto"/>
        </w:rPr>
      </w:pPr>
      <w:r>
        <w:rPr>
          <w:rFonts w:ascii="Arial" w:cs="Arial" w:eastAsia="Arial" w:hAnsi="Arial"/>
          <w:sz w:val="16"/>
          <w:szCs w:val="16"/>
          <w:color w:val="auto"/>
        </w:rPr>
        <w:t>The risk-free interest rate assumption is based upon observed interest rates appropriate for the expected term of employee stock options. The expected volatility is based on the historical volatility of the Company’s common stock. The Company has not paid nor does the Company anticipate paying dividends on its common stock in the foreseeable future. The expected term of employee stock options is based on the simplified method as provided by the authoritative guidance on stock compensation, as the historical stock option exercise experience does not provide a reasonable basis to estimate the expected term.</w:t>
      </w:r>
    </w:p>
    <w:p>
      <w:pPr>
        <w:spacing w:after="0" w:line="154" w:lineRule="exact"/>
        <w:rPr>
          <w:sz w:val="20"/>
          <w:szCs w:val="20"/>
          <w:color w:val="auto"/>
        </w:rPr>
      </w:pPr>
    </w:p>
    <w:p>
      <w:pPr>
        <w:ind w:right="80" w:firstLine="439"/>
        <w:spacing w:after="0" w:line="275" w:lineRule="auto"/>
        <w:rPr>
          <w:sz w:val="20"/>
          <w:szCs w:val="20"/>
          <w:color w:val="auto"/>
        </w:rPr>
      </w:pPr>
      <w:r>
        <w:rPr>
          <w:rFonts w:ascii="Arial" w:cs="Arial" w:eastAsia="Arial" w:hAnsi="Arial"/>
          <w:sz w:val="18"/>
          <w:szCs w:val="18"/>
          <w:color w:val="auto"/>
        </w:rPr>
        <w:t>The weighted-average fair value of each stock option granted during the years ended December 31, 2018, 2017 and 2016, estimated as of the grant date using the Black-Scholes option valuation model, was $4.57 per option, $3.78 per option and $2.64 per option, respectively.</w:t>
      </w:r>
    </w:p>
    <w:p>
      <w:pPr>
        <w:spacing w:after="0" w:line="170" w:lineRule="exact"/>
        <w:rPr>
          <w:sz w:val="20"/>
          <w:szCs w:val="20"/>
          <w:color w:val="auto"/>
        </w:rPr>
      </w:pPr>
    </w:p>
    <w:p>
      <w:pPr>
        <w:ind w:right="80" w:firstLine="439"/>
        <w:spacing w:after="0" w:line="300" w:lineRule="auto"/>
        <w:rPr>
          <w:sz w:val="20"/>
          <w:szCs w:val="20"/>
          <w:color w:val="auto"/>
        </w:rPr>
      </w:pPr>
      <w:r>
        <w:rPr>
          <w:rFonts w:ascii="Arial" w:cs="Arial" w:eastAsia="Arial" w:hAnsi="Arial"/>
          <w:sz w:val="16"/>
          <w:szCs w:val="16"/>
          <w:color w:val="auto"/>
        </w:rPr>
        <w:t>Share-based compensation expense for stock option awards and ESPP shares are reflected in total operating expense for each respective year. For the years ended December 31, 2018, 2017 and 2016, share-based compensation expense related to stock options and the ESPP was $6.3 million, $4.5 million and $4.0 million, respectively, of which $4.5 million, $3.1 million and $2.9 million was recorded as a component of general and administrative expense, respectively, and $1.8 million, $1.4 million and $1.1 million was recorded as a component of research, development and patents expense, respectively.</w:t>
      </w:r>
    </w:p>
    <w:p>
      <w:pPr>
        <w:spacing w:after="0" w:line="154" w:lineRule="exact"/>
        <w:rPr>
          <w:sz w:val="20"/>
          <w:szCs w:val="20"/>
          <w:color w:val="auto"/>
        </w:rPr>
      </w:pPr>
    </w:p>
    <w:p>
      <w:pPr>
        <w:ind w:right="300" w:firstLine="439"/>
        <w:spacing w:after="0" w:line="275" w:lineRule="auto"/>
        <w:rPr>
          <w:sz w:val="20"/>
          <w:szCs w:val="20"/>
          <w:color w:val="auto"/>
        </w:rPr>
      </w:pPr>
      <w:r>
        <w:rPr>
          <w:rFonts w:ascii="Arial" w:cs="Arial" w:eastAsia="Arial" w:hAnsi="Arial"/>
          <w:sz w:val="18"/>
          <w:szCs w:val="18"/>
          <w:color w:val="auto"/>
        </w:rPr>
        <w:t>As of December 31, 2018, there was $0.3 million of unamortized compensation cost related to unvested stock option awards which is expected to be recognized over a remaining weighted-average vesting period of 0.03 years, on a straight-line basis.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3" w:lineRule="exact"/>
        <w:rPr>
          <w:sz w:val="20"/>
          <w:szCs w:val="20"/>
          <w:color w:val="auto"/>
        </w:rPr>
      </w:pPr>
    </w:p>
    <w:p>
      <w:pPr>
        <w:ind w:right="200" w:firstLine="439"/>
        <w:spacing w:after="0" w:line="262" w:lineRule="auto"/>
        <w:rPr>
          <w:sz w:val="20"/>
          <w:szCs w:val="20"/>
          <w:color w:val="auto"/>
        </w:rPr>
      </w:pPr>
      <w:r>
        <w:rPr>
          <w:rFonts w:ascii="Arial" w:cs="Arial" w:eastAsia="Arial" w:hAnsi="Arial"/>
          <w:sz w:val="18"/>
          <w:szCs w:val="18"/>
          <w:color w:val="auto"/>
        </w:rPr>
        <w:t>On May 22, 2015, the Company entered into an at-the-market issuance sales agreement (ATM Agreement) with MLV &amp; Co. LLC (MLV), pursuant to which the Company may sell common stock through MLV from time to time up to an aggregate offering price of $30.0 million. Sales of the Company’s common stock through MLV, if any, can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662" w:right="279" w:bottom="1440" w:gutter="0" w:footer="0" w:header="0"/>
        </w:sectPr>
      </w:pPr>
    </w:p>
    <w:bookmarkStart w:id="74" w:name="page75"/>
    <w:bookmarkEnd w:id="74"/>
    <w:p>
      <w:pPr>
        <w:ind w:right="100"/>
        <w:spacing w:after="0" w:line="270" w:lineRule="auto"/>
        <w:rPr>
          <w:sz w:val="20"/>
          <w:szCs w:val="20"/>
          <w:color w:val="auto"/>
        </w:rPr>
      </w:pPr>
      <w:r>
        <w:rPr>
          <w:rFonts w:ascii="Arial" w:cs="Arial" w:eastAsia="Arial" w:hAnsi="Arial"/>
          <w:sz w:val="17"/>
          <w:szCs w:val="17"/>
          <w:color w:val="auto"/>
        </w:rPr>
        <w:t>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The Company is not obligated to make any sales of common stock under the sales agreement and may terminate the sales agreement at any time upon written notice. On September 16, 2016, the Company amended the original sales agreement with MLV to also include FBR Capital Markets &amp; Co as a sales agent.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activity under the ATM agreements for the following periods (in thousands except share price and shares sold):</w:t>
      </w:r>
    </w:p>
    <w:p>
      <w:pPr>
        <w:spacing w:after="0" w:line="23"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Year Ended</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0"/>
              </w:rPr>
              <w:t>December 31,</w:t>
            </w: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980" w:type="dxa"/>
            <w:vAlign w:val="bottom"/>
            <w:gridSpan w:val="2"/>
            <w:vMerge w:val="restart"/>
          </w:tcPr>
          <w:p>
            <w:pPr>
              <w:spacing w:after="0"/>
              <w:rPr>
                <w:sz w:val="20"/>
                <w:szCs w:val="20"/>
                <w:color w:val="auto"/>
              </w:rPr>
            </w:pPr>
            <w:r>
              <w:rPr>
                <w:rFonts w:ascii="Arial" w:cs="Arial" w:eastAsia="Arial" w:hAnsi="Arial"/>
                <w:sz w:val="18"/>
                <w:szCs w:val="18"/>
                <w:color w:val="auto"/>
              </w:rPr>
              <w:t>Gross proceeds</w:t>
            </w:r>
          </w:p>
        </w:tc>
        <w:tc>
          <w:tcPr>
            <w:tcW w:w="15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0"/>
                <w:szCs w:val="20"/>
                <w:color w:val="auto"/>
              </w:rPr>
            </w:pPr>
          </w:p>
        </w:tc>
        <w:tc>
          <w:tcPr>
            <w:tcW w:w="178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20"/>
                <w:szCs w:val="20"/>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80" w:type="dxa"/>
            <w:vAlign w:val="bottom"/>
            <w:gridSpan w:val="2"/>
            <w:vMerge w:val="continue"/>
          </w:tcPr>
          <w:p>
            <w:pPr>
              <w:spacing w:after="0"/>
              <w:rPr>
                <w:sz w:val="19"/>
                <w:szCs w:val="19"/>
                <w:color w:val="auto"/>
              </w:rPr>
            </w:pPr>
          </w:p>
        </w:tc>
        <w:tc>
          <w:tcPr>
            <w:tcW w:w="1540" w:type="dxa"/>
            <w:vAlign w:val="bottom"/>
          </w:tcPr>
          <w:p>
            <w:pPr>
              <w:ind w:left="620"/>
              <w:spacing w:after="0"/>
              <w:rPr>
                <w:sz w:val="20"/>
                <w:szCs w:val="20"/>
                <w:color w:val="auto"/>
              </w:rPr>
            </w:pPr>
            <w:r>
              <w:rPr>
                <w:rFonts w:ascii="Arial" w:cs="Arial" w:eastAsia="Arial" w:hAnsi="Arial"/>
                <w:sz w:val="18"/>
                <w:szCs w:val="18"/>
                <w:color w:val="auto"/>
              </w:rPr>
              <w:t>1,562</w:t>
            </w:r>
          </w:p>
        </w:tc>
        <w:tc>
          <w:tcPr>
            <w:tcW w:w="3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10,303.0</w:t>
            </w:r>
          </w:p>
        </w:tc>
        <w:tc>
          <w:tcPr>
            <w:tcW w:w="300" w:type="dxa"/>
            <w:vAlign w:val="bottom"/>
          </w:tcPr>
          <w:p>
            <w:pPr>
              <w:spacing w:after="0"/>
              <w:rPr>
                <w:sz w:val="19"/>
                <w:szCs w:val="19"/>
                <w:color w:val="auto"/>
              </w:rPr>
            </w:pPr>
          </w:p>
        </w:tc>
        <w:tc>
          <w:tcPr>
            <w:tcW w:w="1220" w:type="dxa"/>
            <w:vAlign w:val="bottom"/>
          </w:tcPr>
          <w:p>
            <w:pPr>
              <w:jc w:val="center"/>
              <w:ind w:left="14"/>
              <w:spacing w:after="0"/>
              <w:rPr>
                <w:sz w:val="20"/>
                <w:szCs w:val="20"/>
                <w:color w:val="auto"/>
              </w:rPr>
            </w:pPr>
            <w:r>
              <w:rPr>
                <w:rFonts w:ascii="Arial" w:cs="Arial" w:eastAsia="Arial" w:hAnsi="Arial"/>
                <w:sz w:val="18"/>
                <w:szCs w:val="18"/>
                <w:color w:val="auto"/>
                <w:w w:val="93"/>
              </w:rPr>
              <w:t>264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Net proceeds</w:t>
            </w:r>
          </w:p>
        </w:tc>
        <w:tc>
          <w:tcPr>
            <w:tcW w:w="15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1,515</w:t>
            </w:r>
          </w:p>
        </w:tc>
        <w:tc>
          <w:tcPr>
            <w:tcW w:w="320" w:type="dxa"/>
            <w:vAlign w:val="bottom"/>
            <w:shd w:val="clear" w:color="auto" w:fill="CFF0FC"/>
          </w:tcPr>
          <w:p>
            <w:pPr>
              <w:spacing w:after="0"/>
              <w:rPr>
                <w:sz w:val="19"/>
                <w:szCs w:val="19"/>
                <w:color w:val="auto"/>
              </w:rPr>
            </w:pP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9,891.3</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left="14"/>
              <w:spacing w:after="0"/>
              <w:rPr>
                <w:sz w:val="20"/>
                <w:szCs w:val="20"/>
                <w:color w:val="auto"/>
              </w:rPr>
            </w:pPr>
            <w:r>
              <w:rPr>
                <w:rFonts w:ascii="Arial" w:cs="Arial" w:eastAsia="Arial" w:hAnsi="Arial"/>
                <w:sz w:val="18"/>
                <w:szCs w:val="18"/>
                <w:color w:val="auto"/>
                <w:w w:val="88"/>
              </w:rPr>
              <w:t>159.5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Shares sold</w:t>
            </w:r>
          </w:p>
        </w:tc>
        <w:tc>
          <w:tcPr>
            <w:tcW w:w="1540" w:type="dxa"/>
            <w:vAlign w:val="bottom"/>
          </w:tcPr>
          <w:p>
            <w:pPr>
              <w:jc w:val="right"/>
              <w:ind w:right="354"/>
              <w:spacing w:after="0"/>
              <w:rPr>
                <w:sz w:val="20"/>
                <w:szCs w:val="20"/>
                <w:color w:val="auto"/>
              </w:rPr>
            </w:pPr>
            <w:r>
              <w:rPr>
                <w:rFonts w:ascii="Arial" w:cs="Arial" w:eastAsia="Arial" w:hAnsi="Arial"/>
                <w:sz w:val="18"/>
                <w:szCs w:val="18"/>
                <w:color w:val="auto"/>
              </w:rPr>
              <w:t>200,000</w:t>
            </w:r>
          </w:p>
        </w:tc>
        <w:tc>
          <w:tcPr>
            <w:tcW w:w="3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1,689,436</w:t>
            </w:r>
          </w:p>
        </w:tc>
        <w:tc>
          <w:tcPr>
            <w:tcW w:w="300" w:type="dxa"/>
            <w:vAlign w:val="bottom"/>
          </w:tcPr>
          <w:p>
            <w:pPr>
              <w:spacing w:after="0"/>
              <w:rPr>
                <w:sz w:val="19"/>
                <w:szCs w:val="19"/>
                <w:color w:val="auto"/>
              </w:rPr>
            </w:pPr>
          </w:p>
        </w:tc>
        <w:tc>
          <w:tcPr>
            <w:tcW w:w="1220" w:type="dxa"/>
            <w:vAlign w:val="bottom"/>
          </w:tcPr>
          <w:p>
            <w:pPr>
              <w:jc w:val="center"/>
              <w:ind w:left="14"/>
              <w:spacing w:after="0"/>
              <w:rPr>
                <w:sz w:val="20"/>
                <w:szCs w:val="20"/>
                <w:color w:val="auto"/>
              </w:rPr>
            </w:pPr>
            <w:r>
              <w:rPr>
                <w:rFonts w:ascii="Arial" w:cs="Arial" w:eastAsia="Arial" w:hAnsi="Arial"/>
                <w:sz w:val="18"/>
                <w:szCs w:val="18"/>
                <w:color w:val="auto"/>
                <w:w w:val="87"/>
              </w:rPr>
              <w:t>36,248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Price range</w:t>
            </w:r>
          </w:p>
        </w:tc>
        <w:tc>
          <w:tcPr>
            <w:tcW w:w="1540" w:type="dxa"/>
            <w:vAlign w:val="bottom"/>
            <w:shd w:val="clear" w:color="auto" w:fill="CFF0FC"/>
          </w:tcPr>
          <w:p>
            <w:pPr>
              <w:jc w:val="right"/>
              <w:ind w:right="494"/>
              <w:spacing w:after="0"/>
              <w:rPr>
                <w:sz w:val="20"/>
                <w:szCs w:val="20"/>
                <w:color w:val="auto"/>
              </w:rPr>
            </w:pPr>
            <w:r>
              <w:rPr>
                <w:rFonts w:ascii="Arial" w:cs="Arial" w:eastAsia="Arial" w:hAnsi="Arial"/>
                <w:sz w:val="18"/>
                <w:szCs w:val="18"/>
                <w:color w:val="auto"/>
              </w:rPr>
              <w:t>$7.81</w:t>
            </w:r>
          </w:p>
        </w:tc>
        <w:tc>
          <w:tcPr>
            <w:tcW w:w="3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98"/>
              <w:spacing w:after="0"/>
              <w:rPr>
                <w:sz w:val="20"/>
                <w:szCs w:val="20"/>
                <w:color w:val="auto"/>
              </w:rPr>
            </w:pPr>
            <w:r>
              <w:rPr>
                <w:rFonts w:ascii="Arial" w:cs="Arial" w:eastAsia="Arial" w:hAnsi="Arial"/>
                <w:sz w:val="18"/>
                <w:szCs w:val="18"/>
                <w:color w:val="auto"/>
              </w:rPr>
              <w:t>$5.30 - 6.98</w:t>
            </w: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$6.90 - 7.54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15" w:lineRule="exact"/>
        <w:rPr>
          <w:sz w:val="20"/>
          <w:szCs w:val="20"/>
          <w:color w:val="auto"/>
        </w:rPr>
      </w:pPr>
    </w:p>
    <w:p>
      <w:pPr>
        <w:ind w:firstLine="439"/>
        <w:spacing w:after="0" w:line="257" w:lineRule="auto"/>
        <w:rPr>
          <w:sz w:val="20"/>
          <w:szCs w:val="20"/>
          <w:color w:val="auto"/>
        </w:rPr>
      </w:pPr>
      <w:r>
        <w:rPr>
          <w:rFonts w:ascii="Arial" w:cs="Arial" w:eastAsia="Arial" w:hAnsi="Arial"/>
          <w:sz w:val="18"/>
          <w:szCs w:val="18"/>
          <w:color w:val="auto"/>
        </w:rPr>
        <w:t>During the year ended December 31, 2018, 750,000 shares of the Company’s common stock were issued upon exercise of warrants for gross proceeds of $2.4 million. During the years ended December 31, 2017 and 2016, 119,047 and 2,131,700 shares of the Company’s common stock were issued upon exercise of warrants for gross proceeds of $0.4 million and $7.6 million, respectively, with warrants exercisable for 198,020 shares expiring unexercised on May 10, 2017.</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2018, there were no warrants outstanding to purchase shares of the Company’s common stock.</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Reserved for Future Issuance</w:t>
      </w:r>
    </w:p>
    <w:p>
      <w:pPr>
        <w:spacing w:after="0" w:line="115" w:lineRule="exact"/>
        <w:rPr>
          <w:sz w:val="20"/>
          <w:szCs w:val="20"/>
          <w:color w:val="auto"/>
        </w:rPr>
      </w:pPr>
    </w:p>
    <w:tbl>
      <w:tblPr>
        <w:tblLayout w:type="fixed"/>
        <w:tblInd w:w="440" w:type="dxa"/>
        <w:tblCellMar>
          <w:top w:w="0" w:type="dxa"/>
          <w:left w:w="0" w:type="dxa"/>
          <w:bottom w:w="0" w:type="dxa"/>
          <w:right w:w="0" w:type="dxa"/>
        </w:tblCellMar>
      </w:tblPr>
      <w:tr>
        <w:trPr>
          <w:trHeight w:val="229"/>
        </w:trPr>
        <w:tc>
          <w:tcPr>
            <w:tcW w:w="8580" w:type="dxa"/>
            <w:vAlign w:val="bottom"/>
            <w:gridSpan w:val="2"/>
          </w:tcPr>
          <w:p>
            <w:pPr>
              <w:spacing w:after="0"/>
              <w:rPr>
                <w:sz w:val="20"/>
                <w:szCs w:val="20"/>
                <w:color w:val="auto"/>
              </w:rPr>
            </w:pPr>
            <w:r>
              <w:rPr>
                <w:rFonts w:ascii="Arial" w:cs="Arial" w:eastAsia="Arial" w:hAnsi="Arial"/>
                <w:sz w:val="18"/>
                <w:szCs w:val="18"/>
                <w:color w:val="auto"/>
              </w:rPr>
              <w:t>The following table summarizes common stock reserved for future issuance at December 31, 2018:</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0" w:type="dxa"/>
            <w:vAlign w:val="bottom"/>
            <w:vMerge w:val="continue"/>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Common Stock reserved for issuance under the ESPP</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191,878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6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Common stock reserved for issuance upon exercise of options outstanding</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(under the 2004 Plan and 2013 Plan)</w:t>
            </w:r>
          </w:p>
        </w:tc>
        <w:tc>
          <w:tcPr>
            <w:tcW w:w="1140" w:type="dxa"/>
            <w:vAlign w:val="bottom"/>
          </w:tcPr>
          <w:p>
            <w:pPr>
              <w:jc w:val="right"/>
              <w:spacing w:after="0"/>
              <w:rPr>
                <w:sz w:val="20"/>
                <w:szCs w:val="20"/>
                <w:color w:val="auto"/>
              </w:rPr>
            </w:pPr>
            <w:r>
              <w:rPr>
                <w:rFonts w:ascii="Arial" w:cs="Arial" w:eastAsia="Arial" w:hAnsi="Arial"/>
                <w:sz w:val="18"/>
                <w:szCs w:val="18"/>
                <w:color w:val="auto"/>
              </w:rPr>
              <w:t>6,609,647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60" w:type="dxa"/>
            <w:vAlign w:val="bottom"/>
          </w:tcPr>
          <w:p>
            <w:pPr>
              <w:spacing w:after="0"/>
              <w:rPr>
                <w:sz w:val="18"/>
                <w:szCs w:val="18"/>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Common stock reserved for future equity awards (under</w:t>
            </w: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7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2013 Plan)</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1,494,592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8,296,117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w:t>
      </w:r>
    </w:p>
    <w:p>
      <w:pPr>
        <w:spacing w:after="0" w:line="115" w:lineRule="exact"/>
        <w:rPr>
          <w:sz w:val="20"/>
          <w:szCs w:val="20"/>
          <w:color w:val="auto"/>
        </w:rPr>
      </w:pPr>
    </w:p>
    <w:p>
      <w:pPr>
        <w:ind w:firstLine="439"/>
        <w:spacing w:after="0" w:line="274" w:lineRule="auto"/>
        <w:rPr>
          <w:sz w:val="20"/>
          <w:szCs w:val="20"/>
          <w:color w:val="auto"/>
        </w:rPr>
      </w:pPr>
      <w:r>
        <w:rPr>
          <w:rFonts w:ascii="Arial" w:cs="Arial" w:eastAsia="Arial" w:hAnsi="Arial"/>
          <w:sz w:val="17"/>
          <w:szCs w:val="17"/>
          <w:color w:val="auto"/>
        </w:rPr>
        <w:t>On February 12, 2018, the Company completed a firm-commitment underwritten public offering of 4,419,890 shares of common stock at a purchase price of $9.05 per share for aggregate gross proceeds of $40.0 million and received aggregate net proceeds of approximately $37.4 million, net of underwriting discounts and commissions and offering expenses. Additionally, the Company granted the underwriters a 30-day option to purchase up to an additional 662,983 shares of common stock at the public offering price, and on February 21, 2018, the Company sold an additional 126,038 shares of Common Stock for gross proceeds of $1.1 million pursuant to the partial exercise by the underwriters of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9. Income Taxes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reconciliation of loss before income taxes for domestic and foreign locations for the years ended December 31, 2018, 2017 and 2016 is as follows:</w:t>
      </w:r>
    </w:p>
    <w:p>
      <w:pPr>
        <w:spacing w:after="0" w:line="200" w:lineRule="exact"/>
        <w:rPr>
          <w:sz w:val="20"/>
          <w:szCs w:val="20"/>
          <w:color w:val="auto"/>
        </w:rPr>
      </w:pPr>
    </w:p>
    <w:p>
      <w:pPr>
        <w:spacing w:after="0" w:line="212"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234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08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06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222"/>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 (14,689,617)</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 (12,940,362)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 (10,892,276)</w:t>
            </w:r>
          </w:p>
        </w:tc>
        <w:tc>
          <w:tcPr>
            <w:tcW w:w="80" w:type="dxa"/>
            <w:vAlign w:val="bottom"/>
            <w:tcBorders>
              <w:top w:val="single" w:sz="8" w:color="CFF0FC"/>
            </w:tcBorders>
            <w:shd w:val="clear" w:color="auto" w:fill="CFF0FC"/>
          </w:tcPr>
          <w:p>
            <w:pPr>
              <w:spacing w:after="0"/>
              <w:rPr>
                <w:sz w:val="19"/>
                <w:szCs w:val="19"/>
                <w:color w:val="auto"/>
              </w:rPr>
            </w:pPr>
          </w:p>
        </w:tc>
      </w:tr>
      <w:tr>
        <w:trPr>
          <w:trHeight w:val="228"/>
        </w:trPr>
        <w:tc>
          <w:tcPr>
            <w:tcW w:w="3220" w:type="dxa"/>
            <w:vAlign w:val="bottom"/>
          </w:tcPr>
          <w:p>
            <w:pPr>
              <w:spacing w:after="0"/>
              <w:rPr>
                <w:sz w:val="20"/>
                <w:szCs w:val="20"/>
                <w:color w:val="auto"/>
              </w:rPr>
            </w:pPr>
            <w:r>
              <w:rPr>
                <w:rFonts w:ascii="Arial" w:cs="Arial" w:eastAsia="Arial" w:hAnsi="Arial"/>
                <w:sz w:val="18"/>
                <w:szCs w:val="18"/>
                <w:color w:val="auto"/>
              </w:rPr>
              <w:t>Foreign</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19,807</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33,176</w:t>
            </w: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30,050</w:t>
            </w:r>
          </w:p>
        </w:tc>
        <w:tc>
          <w:tcPr>
            <w:tcW w:w="80" w:type="dxa"/>
            <w:vAlign w:val="bottom"/>
          </w:tcPr>
          <w:p>
            <w:pPr>
              <w:spacing w:after="0"/>
              <w:rPr>
                <w:sz w:val="19"/>
                <w:szCs w:val="19"/>
                <w:color w:val="auto"/>
              </w:rPr>
            </w:pPr>
          </w:p>
        </w:tc>
      </w:tr>
      <w:tr>
        <w:trPr>
          <w:trHeight w:val="222"/>
        </w:trPr>
        <w:tc>
          <w:tcPr>
            <w:tcW w:w="3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(14,669,810</w:t>
            </w:r>
          </w:p>
        </w:tc>
        <w:tc>
          <w:tcPr>
            <w:tcW w:w="10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(12,907,186</w:t>
            </w:r>
          </w:p>
        </w:tc>
        <w:tc>
          <w:tcPr>
            <w:tcW w:w="12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(10,862,226</w:t>
            </w:r>
          </w:p>
        </w:tc>
        <w:tc>
          <w:tcPr>
            <w:tcW w:w="8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8"/>
                <w:szCs w:val="8"/>
                <w:color w:val="auto"/>
                <w:w w:val="73"/>
              </w:rPr>
              <w:t>)</w:t>
            </w:r>
          </w:p>
        </w:tc>
      </w:tr>
      <w:tr>
        <w:trPr>
          <w:trHeight w:val="20"/>
        </w:trPr>
        <w:tc>
          <w:tcPr>
            <w:tcW w:w="3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income tax benefit (expense) for the years ended December 31, 2018, 2017 and 2016 is as follows:</w:t>
      </w:r>
    </w:p>
    <w:p>
      <w:pPr>
        <w:spacing w:after="0" w:line="200" w:lineRule="exact"/>
        <w:rPr>
          <w:sz w:val="20"/>
          <w:szCs w:val="20"/>
          <w:color w:val="auto"/>
        </w:rPr>
      </w:pPr>
    </w:p>
    <w:p>
      <w:pPr>
        <w:spacing w:after="0" w:line="278" w:lineRule="exact"/>
        <w:rPr>
          <w:sz w:val="20"/>
          <w:szCs w:val="20"/>
          <w:color w:val="auto"/>
        </w:rPr>
      </w:pPr>
    </w:p>
    <w:tbl>
      <w:tblPr>
        <w:tblLayout w:type="fixed"/>
        <w:tblInd w:w="1720" w:type="dxa"/>
        <w:tblCellMar>
          <w:top w:w="0" w:type="dxa"/>
          <w:left w:w="0" w:type="dxa"/>
          <w:bottom w:w="0" w:type="dxa"/>
          <w:right w:w="0" w:type="dxa"/>
        </w:tblCellMar>
      </w:tblPr>
      <w:tr>
        <w:trPr>
          <w:trHeight w:val="229"/>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w:t>
            </w:r>
          </w:p>
        </w:tc>
        <w:tc>
          <w:tcPr>
            <w:tcW w:w="7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9"/>
                <w:szCs w:val="19"/>
                <w:color w:val="auto"/>
              </w:rPr>
            </w:pPr>
          </w:p>
        </w:tc>
      </w:tr>
      <w:tr>
        <w:trPr>
          <w:trHeight w:val="222"/>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80" w:type="dxa"/>
            <w:vAlign w:val="bottom"/>
            <w:shd w:val="clear" w:color="auto" w:fill="CFF0FC"/>
          </w:tcPr>
          <w:p>
            <w:pPr>
              <w:spacing w:after="0"/>
              <w:rPr>
                <w:sz w:val="19"/>
                <w:szCs w:val="19"/>
                <w:color w:val="auto"/>
              </w:rPr>
            </w:pPr>
          </w:p>
        </w:tc>
      </w:tr>
      <w:tr>
        <w:trPr>
          <w:trHeight w:val="228"/>
        </w:trPr>
        <w:tc>
          <w:tcPr>
            <w:tcW w:w="3880" w:type="dxa"/>
            <w:vAlign w:val="bottom"/>
          </w:tcPr>
          <w:p>
            <w:pPr>
              <w:ind w:left="240"/>
              <w:spacing w:after="0"/>
              <w:rPr>
                <w:sz w:val="20"/>
                <w:szCs w:val="20"/>
                <w:color w:val="auto"/>
              </w:rPr>
            </w:pPr>
            <w:r>
              <w:rPr>
                <w:rFonts w:ascii="Arial" w:cs="Arial" w:eastAsia="Arial" w:hAnsi="Arial"/>
                <w:sz w:val="18"/>
                <w:szCs w:val="18"/>
                <w:color w:val="auto"/>
              </w:rPr>
              <w:t>State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9"/>
                <w:szCs w:val="19"/>
                <w:color w:val="auto"/>
              </w:rPr>
            </w:pPr>
          </w:p>
        </w:tc>
      </w:tr>
      <w:tr>
        <w:trPr>
          <w:trHeight w:val="228"/>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(5,276)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(10,158)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(5,655)</w:t>
            </w:r>
          </w:p>
        </w:tc>
      </w:tr>
      <w:tr>
        <w:trPr>
          <w:trHeight w:val="222"/>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income tax benefit (expense)</w:t>
            </w:r>
          </w:p>
        </w:tc>
        <w:tc>
          <w:tcPr>
            <w:tcW w:w="7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(10,158)</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(3,754)</w:t>
            </w:r>
          </w:p>
        </w:tc>
        <w:tc>
          <w:tcPr>
            <w:tcW w:w="80" w:type="dxa"/>
            <w:vAlign w:val="bottom"/>
            <w:tcBorders>
              <w:bottom w:val="single" w:sz="8" w:color="CFF0FC"/>
            </w:tcBorders>
          </w:tcPr>
          <w:p>
            <w:pPr>
              <w:spacing w:after="0"/>
              <w:rPr>
                <w:sz w:val="19"/>
                <w:szCs w:val="19"/>
                <w:color w:val="auto"/>
              </w:rPr>
            </w:pPr>
          </w:p>
        </w:tc>
      </w:tr>
      <w:tr>
        <w:trPr>
          <w:trHeight w:val="222"/>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8"/>
        </w:trPr>
        <w:tc>
          <w:tcPr>
            <w:tcW w:w="3880" w:type="dxa"/>
            <w:vAlign w:val="bottom"/>
          </w:tcPr>
          <w:p>
            <w:pPr>
              <w:ind w:left="240"/>
              <w:spacing w:after="0"/>
              <w:rPr>
                <w:sz w:val="20"/>
                <w:szCs w:val="20"/>
                <w:color w:val="auto"/>
              </w:rPr>
            </w:pPr>
            <w:r>
              <w:rPr>
                <w:rFonts w:ascii="Arial" w:cs="Arial" w:eastAsia="Arial" w:hAnsi="Arial"/>
                <w:sz w:val="18"/>
                <w:szCs w:val="18"/>
                <w:color w:val="auto"/>
              </w:rPr>
              <w:t>Federal</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1,329,888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8"/>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424,320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8"/>
        </w:trPr>
        <w:tc>
          <w:tcPr>
            <w:tcW w:w="3880" w:type="dxa"/>
            <w:vAlign w:val="bottom"/>
          </w:tcPr>
          <w:p>
            <w:pPr>
              <w:ind w:left="240"/>
              <w:spacing w:after="0"/>
              <w:rPr>
                <w:sz w:val="20"/>
                <w:szCs w:val="20"/>
                <w:color w:val="auto"/>
              </w:rPr>
            </w:pPr>
            <w:r>
              <w:rPr>
                <w:rFonts w:ascii="Arial" w:cs="Arial" w:eastAsia="Arial" w:hAnsi="Arial"/>
                <w:sz w:val="18"/>
                <w:szCs w:val="18"/>
                <w:color w:val="auto"/>
              </w:rPr>
              <w:t>Foreign</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income tax benefit (expense)</w:t>
            </w:r>
          </w:p>
        </w:tc>
        <w:tc>
          <w:tcPr>
            <w:tcW w:w="7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1,754,208</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22"/>
        </w:trPr>
        <w:tc>
          <w:tcPr>
            <w:tcW w:w="3880" w:type="dxa"/>
            <w:vAlign w:val="bottom"/>
          </w:tcPr>
          <w:p>
            <w:pPr>
              <w:spacing w:after="0"/>
              <w:rPr>
                <w:sz w:val="20"/>
                <w:szCs w:val="20"/>
                <w:color w:val="auto"/>
              </w:rPr>
            </w:pPr>
            <w:r>
              <w:rPr>
                <w:rFonts w:ascii="Arial" w:cs="Arial" w:eastAsia="Arial" w:hAnsi="Arial"/>
                <w:sz w:val="18"/>
                <w:szCs w:val="18"/>
                <w:b w:val="1"/>
                <w:bCs w:val="1"/>
                <w:color w:val="auto"/>
              </w:rPr>
              <w:t>Total income tax benefit (expense)</w:t>
            </w:r>
          </w:p>
        </w:tc>
        <w:tc>
          <w:tcPr>
            <w:tcW w:w="7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1,744,050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w:t>
            </w:r>
          </w:p>
        </w:tc>
        <w:tc>
          <w:tcPr>
            <w:tcW w:w="8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components of deferred income taxes at December 31, 2018 and 2017 are as follows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1720" w:type="dxa"/>
        <w:tblCellMar>
          <w:top w:w="0" w:type="dxa"/>
          <w:left w:w="0" w:type="dxa"/>
          <w:bottom w:w="0" w:type="dxa"/>
          <w:right w:w="0" w:type="dxa"/>
        </w:tblCellMar>
      </w:tblPr>
      <w:tr>
        <w:trPr>
          <w:trHeight w:val="229"/>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tax assets:</w:t>
            </w:r>
          </w:p>
        </w:tc>
        <w:tc>
          <w:tcPr>
            <w:tcW w:w="1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9"/>
                <w:szCs w:val="19"/>
                <w:color w:val="auto"/>
              </w:rPr>
            </w:pPr>
          </w:p>
        </w:tc>
      </w:tr>
      <w:tr>
        <w:trPr>
          <w:trHeight w:val="222"/>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loss carryforwards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59,480</w:t>
            </w:r>
          </w:p>
        </w:tc>
        <w:tc>
          <w:tcPr>
            <w:tcW w:w="80" w:type="dxa"/>
            <w:vAlign w:val="bottom"/>
            <w:shd w:val="clear" w:color="auto" w:fill="CFF0FC"/>
          </w:tcPr>
          <w:p>
            <w:pPr>
              <w:spacing w:after="0"/>
              <w:rPr>
                <w:sz w:val="19"/>
                <w:szCs w:val="19"/>
                <w:color w:val="auto"/>
              </w:rPr>
            </w:pPr>
          </w:p>
        </w:tc>
      </w:tr>
      <w:tr>
        <w:trPr>
          <w:trHeight w:val="228"/>
        </w:trPr>
        <w:tc>
          <w:tcPr>
            <w:tcW w:w="4020" w:type="dxa"/>
            <w:vAlign w:val="bottom"/>
          </w:tcPr>
          <w:p>
            <w:pPr>
              <w:ind w:left="240"/>
              <w:spacing w:after="0"/>
              <w:rPr>
                <w:sz w:val="20"/>
                <w:szCs w:val="20"/>
                <w:color w:val="auto"/>
              </w:rPr>
            </w:pPr>
            <w:r>
              <w:rPr>
                <w:rFonts w:ascii="Arial" w:cs="Arial" w:eastAsia="Arial" w:hAnsi="Arial"/>
                <w:sz w:val="18"/>
                <w:szCs w:val="18"/>
                <w:color w:val="auto"/>
              </w:rPr>
              <w:t>Capitalized licenses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9"/>
                <w:szCs w:val="19"/>
                <w:color w:val="auto"/>
              </w:rPr>
            </w:pPr>
          </w:p>
        </w:tc>
      </w:tr>
      <w:tr>
        <w:trPr>
          <w:trHeight w:val="228"/>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tax credits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8,160</w:t>
            </w:r>
          </w:p>
        </w:tc>
        <w:tc>
          <w:tcPr>
            <w:tcW w:w="80" w:type="dxa"/>
            <w:vAlign w:val="bottom"/>
            <w:shd w:val="clear" w:color="auto" w:fill="CFF0FC"/>
          </w:tcPr>
          <w:p>
            <w:pPr>
              <w:spacing w:after="0"/>
              <w:rPr>
                <w:sz w:val="19"/>
                <w:szCs w:val="19"/>
                <w:color w:val="auto"/>
              </w:rPr>
            </w:pPr>
          </w:p>
        </w:tc>
      </w:tr>
      <w:tr>
        <w:trPr>
          <w:trHeight w:val="228"/>
        </w:trPr>
        <w:tc>
          <w:tcPr>
            <w:tcW w:w="402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2,585</w:t>
            </w:r>
          </w:p>
        </w:tc>
        <w:tc>
          <w:tcPr>
            <w:tcW w:w="80" w:type="dxa"/>
            <w:vAlign w:val="bottom"/>
          </w:tcPr>
          <w:p>
            <w:pPr>
              <w:spacing w:after="0"/>
              <w:rPr>
                <w:sz w:val="19"/>
                <w:szCs w:val="19"/>
                <w:color w:val="auto"/>
              </w:rPr>
            </w:pPr>
          </w:p>
        </w:tc>
      </w:tr>
      <w:tr>
        <w:trPr>
          <w:trHeight w:val="228"/>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net</w:t>
            </w:r>
          </w:p>
        </w:tc>
        <w:tc>
          <w:tcPr>
            <w:tcW w:w="1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FF0FC"/>
          </w:tcPr>
          <w:p>
            <w:pPr>
              <w:spacing w:after="0"/>
              <w:rPr>
                <w:sz w:val="19"/>
                <w:szCs w:val="19"/>
                <w:color w:val="auto"/>
              </w:rPr>
            </w:pPr>
          </w:p>
        </w:tc>
      </w:tr>
      <w:tr>
        <w:trPr>
          <w:trHeight w:val="222"/>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assets</w:t>
            </w:r>
          </w:p>
        </w:tc>
        <w:tc>
          <w:tcPr>
            <w:tcW w:w="1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75,247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71,226</w:t>
            </w:r>
          </w:p>
        </w:tc>
        <w:tc>
          <w:tcPr>
            <w:tcW w:w="80" w:type="dxa"/>
            <w:vAlign w:val="bottom"/>
            <w:tcBorders>
              <w:bottom w:val="single" w:sz="8" w:color="CFF0FC"/>
            </w:tcBorders>
          </w:tcPr>
          <w:p>
            <w:pPr>
              <w:spacing w:after="0"/>
              <w:rPr>
                <w:sz w:val="19"/>
                <w:szCs w:val="19"/>
                <w:color w:val="auto"/>
              </w:rPr>
            </w:pPr>
          </w:p>
        </w:tc>
      </w:tr>
      <w:tr>
        <w:trPr>
          <w:trHeight w:val="222"/>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8"/>
        </w:trPr>
        <w:tc>
          <w:tcPr>
            <w:tcW w:w="4020" w:type="dxa"/>
            <w:vAlign w:val="bottom"/>
          </w:tcPr>
          <w:p>
            <w:pPr>
              <w:ind w:left="240"/>
              <w:spacing w:after="0"/>
              <w:rPr>
                <w:sz w:val="20"/>
                <w:szCs w:val="20"/>
                <w:color w:val="auto"/>
              </w:rPr>
            </w:pPr>
            <w:r>
              <w:rPr>
                <w:rFonts w:ascii="Arial" w:cs="Arial" w:eastAsia="Arial" w:hAnsi="Arial"/>
                <w:sz w:val="18"/>
                <w:szCs w:val="18"/>
                <w:color w:val="auto"/>
              </w:rPr>
              <w:t>In process R&amp;D</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(1,343)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(1,343)</w:t>
            </w:r>
          </w:p>
        </w:tc>
      </w:tr>
      <w:tr>
        <w:trPr>
          <w:trHeight w:val="222"/>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14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80" w:type="dxa"/>
            <w:vAlign w:val="bottom"/>
            <w:tcBorders>
              <w:top w:val="single" w:sz="8" w:color="CFF0FC"/>
            </w:tcBorders>
            <w:shd w:val="clear" w:color="auto" w:fill="CFF0FC"/>
          </w:tcPr>
          <w:p>
            <w:pPr>
              <w:spacing w:after="0"/>
              <w:rPr>
                <w:sz w:val="19"/>
                <w:szCs w:val="19"/>
                <w:color w:val="auto"/>
              </w:rPr>
            </w:pP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73,904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69,883</w:t>
            </w:r>
          </w:p>
        </w:tc>
        <w:tc>
          <w:tcPr>
            <w:tcW w:w="80" w:type="dxa"/>
            <w:vAlign w:val="bottom"/>
          </w:tcPr>
          <w:p>
            <w:pPr>
              <w:spacing w:after="0"/>
              <w:rPr>
                <w:sz w:val="19"/>
                <w:szCs w:val="19"/>
                <w:color w:val="auto"/>
              </w:rPr>
            </w:pPr>
          </w:p>
        </w:tc>
      </w:tr>
      <w:tr>
        <w:trPr>
          <w:trHeight w:val="228"/>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(74,106)</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(70,085)</w:t>
            </w:r>
          </w:p>
        </w:tc>
      </w:tr>
      <w:tr>
        <w:trPr>
          <w:trHeight w:val="222"/>
        </w:trPr>
        <w:tc>
          <w:tcPr>
            <w:tcW w:w="4020" w:type="dxa"/>
            <w:vAlign w:val="bottom"/>
          </w:tcPr>
          <w:p>
            <w:pPr>
              <w:spacing w:after="0"/>
              <w:rPr>
                <w:sz w:val="20"/>
                <w:szCs w:val="20"/>
                <w:color w:val="auto"/>
              </w:rPr>
            </w:pPr>
            <w:r>
              <w:rPr>
                <w:rFonts w:ascii="Arial" w:cs="Arial" w:eastAsia="Arial" w:hAnsi="Arial"/>
                <w:sz w:val="18"/>
                <w:szCs w:val="18"/>
                <w:b w:val="1"/>
                <w:bCs w:val="1"/>
                <w:color w:val="auto"/>
              </w:rPr>
              <w:t>Net deferred tax liability</w:t>
            </w:r>
          </w:p>
        </w:tc>
        <w:tc>
          <w:tcPr>
            <w:tcW w:w="14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439"/>
        <w:spacing w:after="0" w:line="262"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537" w:right="279" w:bottom="1440" w:gutter="0" w:footer="0" w:header="0"/>
        </w:sectPr>
      </w:pPr>
    </w:p>
    <w:bookmarkStart w:id="76" w:name="page77"/>
    <w:bookmarkEnd w:id="76"/>
    <w:p>
      <w:pPr>
        <w:ind w:right="40" w:firstLine="439"/>
        <w:spacing w:after="0" w:line="255" w:lineRule="auto"/>
        <w:rPr>
          <w:sz w:val="20"/>
          <w:szCs w:val="20"/>
          <w:color w:val="auto"/>
        </w:rPr>
      </w:pPr>
      <w:r>
        <w:rPr>
          <w:rFonts w:ascii="Arial" w:cs="Arial" w:eastAsia="Arial" w:hAnsi="Arial"/>
          <w:sz w:val="18"/>
          <w:szCs w:val="18"/>
          <w:color w:val="auto"/>
        </w:rPr>
        <w:t>At December 31, 2018, the Company has federal and California net operating losses, or NOL, carryforwards of approximately $248.9 million and $139.6 million, respectively. The federal NOL carryforwards begin to expire in 2020, and the California NOL carryforwards begin to expire in 2028. At December 31, 2018, the Company also had federal and California research tax credit carryforwards of approximately $6.96 million and $1.9 million, respectively. The federal research tax credit carryforwards begin to expire in 2024, and the California research tax credit carryforward does not expire and can be carried forward indefinitely until utilized.</w:t>
      </w:r>
    </w:p>
    <w:p>
      <w:pPr>
        <w:spacing w:after="0" w:line="189" w:lineRule="exact"/>
        <w:rPr>
          <w:sz w:val="20"/>
          <w:szCs w:val="20"/>
          <w:color w:val="auto"/>
        </w:rPr>
      </w:pPr>
    </w:p>
    <w:p>
      <w:pPr>
        <w:ind w:firstLine="439"/>
        <w:spacing w:after="0" w:line="268" w:lineRule="auto"/>
        <w:rPr>
          <w:sz w:val="20"/>
          <w:szCs w:val="20"/>
          <w:color w:val="auto"/>
        </w:rPr>
      </w:pPr>
      <w:r>
        <w:rPr>
          <w:rFonts w:ascii="Arial" w:cs="Arial" w:eastAsia="Arial" w:hAnsi="Arial"/>
          <w:sz w:val="17"/>
          <w:szCs w:val="17"/>
          <w:color w:val="auto"/>
        </w:rPr>
        <w:t>The above NOL carryforward and the research tax credit carryforwards are subject to an annual limitation under Section 382 and 383 of the Internal Revenue Code of 1986,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has not completed an IRC Section 382/383 analysis since 2011 regarding the limitation of net operating loss and research and development credit carryforwards. There is a risk that additional changes in ownership have occurred since the completion of the Company’s analysis, which was through December 2011.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United States will not impact the Company’s effective tax rate.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federal statutory income tax rate to the Company’s effective income tax rate is as follows:</w:t>
      </w:r>
    </w:p>
    <w:p>
      <w:pPr>
        <w:spacing w:after="0" w:line="389"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482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21.0%</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35.0%</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8"/>
        </w:trPr>
        <w:tc>
          <w:tcPr>
            <w:tcW w:w="482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Tax credits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820" w:type="dxa"/>
            <w:vAlign w:val="bottom"/>
          </w:tcPr>
          <w:p>
            <w:pPr>
              <w:jc w:val="right"/>
              <w:spacing w:after="0"/>
              <w:rPr>
                <w:sz w:val="20"/>
                <w:szCs w:val="20"/>
                <w:color w:val="auto"/>
              </w:rPr>
            </w:pPr>
            <w:r>
              <w:rPr>
                <w:rFonts w:ascii="Arial" w:cs="Arial" w:eastAsia="Arial" w:hAnsi="Arial"/>
                <w:sz w:val="18"/>
                <w:szCs w:val="18"/>
                <w:color w:val="auto"/>
              </w:rPr>
              <w:t>247.4</w:t>
            </w:r>
          </w:p>
        </w:tc>
        <w:tc>
          <w:tcPr>
            <w:tcW w:w="2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8"/>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(0.3)</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4820" w:type="dxa"/>
            <w:vAlign w:val="bottom"/>
          </w:tcPr>
          <w:p>
            <w:pPr>
              <w:spacing w:after="0"/>
              <w:rPr>
                <w:sz w:val="20"/>
                <w:szCs w:val="20"/>
                <w:color w:val="auto"/>
              </w:rPr>
            </w:pPr>
            <w:r>
              <w:rPr>
                <w:rFonts w:ascii="Arial" w:cs="Arial" w:eastAsia="Arial" w:hAnsi="Arial"/>
                <w:sz w:val="18"/>
                <w:szCs w:val="18"/>
                <w:color w:val="auto"/>
              </w:rPr>
              <w:t>Expiration of attributes</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8"/>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Tax Cuts and Jobs Act</w:t>
            </w: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(253.7)</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820" w:type="dxa"/>
            <w:vAlign w:val="bottom"/>
          </w:tcPr>
          <w:p>
            <w:pPr>
              <w:spacing w:after="0"/>
              <w:rPr>
                <w:sz w:val="20"/>
                <w:szCs w:val="20"/>
                <w:color w:val="auto"/>
              </w:rPr>
            </w:pPr>
            <w:r>
              <w:rPr>
                <w:rFonts w:ascii="Arial" w:cs="Arial" w:eastAsia="Arial" w:hAnsi="Arial"/>
                <w:sz w:val="18"/>
                <w:szCs w:val="18"/>
                <w:color w:val="auto"/>
              </w:rPr>
              <w:t>Stock compensation</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8"/>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right="20" w:firstLine="439"/>
        <w:spacing w:after="0" w:line="274" w:lineRule="auto"/>
        <w:rPr>
          <w:sz w:val="20"/>
          <w:szCs w:val="20"/>
          <w:color w:val="auto"/>
        </w:rPr>
      </w:pPr>
      <w:r>
        <w:rPr>
          <w:rFonts w:ascii="Arial" w:cs="Arial" w:eastAsia="Arial" w:hAnsi="Arial"/>
          <w:sz w:val="17"/>
          <w:szCs w:val="17"/>
          <w:color w:val="auto"/>
        </w:rPr>
        <w:t>On December 22, 2017, the Tax Cuts and Jobs Act of 2017 (TCJA) was signed into law making significant changes to the Internal Revenue Code, including, but are not limited to (a) reducing the federal corporate income tax rate from 35% to 21%, effective January 1, 2018; and (b) eliminating the federal corporate alternative minimum tax (AMT) and changing how existing AMT credits can be realized; and (c) eliminating several business deductions and credits, including deductions for certain executive compensation in excess of $1 million. As a result of the rate reduction, the company reduced the deferred tax asset balance as of December 31, 2017 by $32.7 million and the valuation allowance by $33.4 million.</w:t>
      </w:r>
    </w:p>
    <w:p>
      <w:pPr>
        <w:spacing w:after="0" w:line="240" w:lineRule="exact"/>
        <w:rPr>
          <w:sz w:val="20"/>
          <w:szCs w:val="20"/>
          <w:color w:val="auto"/>
        </w:rPr>
      </w:pPr>
    </w:p>
    <w:p>
      <w:pPr>
        <w:ind w:right="40" w:firstLine="439"/>
        <w:spacing w:after="0" w:line="270" w:lineRule="auto"/>
        <w:rPr>
          <w:sz w:val="20"/>
          <w:szCs w:val="20"/>
          <w:color w:val="auto"/>
        </w:rPr>
      </w:pPr>
      <w:r>
        <w:rPr>
          <w:rFonts w:ascii="Arial" w:cs="Arial" w:eastAsia="Arial" w:hAnsi="Arial"/>
          <w:sz w:val="17"/>
          <w:szCs w:val="17"/>
          <w:color w:val="auto"/>
        </w:rPr>
        <w:t>In December 2017, the SEC issued Staff Accounting Bulletin No. 118 (SAB 118), which provides guidance on accounting for the income tax effects of the TCJA. SAB 118 provides a measurement period that should not extend beyond one year from the TCJA enactment date for companies to complete the accounting relating to the TCJA under Accounting Standards Codification Topic 740, “Income Taxes” (ASC 740). In accordance with SAB 118, a company must reflect the income tax effects of those aspects of the TCJA for which the accounting under ASC 740 is complete. To the extent that a company’s accounting for TCJA-related income tax effects is incomplete, but the company is able to determine a reasonable estimate, it must record a provisional estimate in its financial statements. If a company cannot determine a provisional estimate to be included in its financial statements, it should continue to apply ASC 740 on the basis of the provisions of the tax laws that were in effect immediately before the enactment of</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555" w:right="299" w:bottom="1440" w:gutter="0" w:footer="0" w:header="0"/>
        </w:sectPr>
      </w:pPr>
    </w:p>
    <w:bookmarkStart w:id="77" w:name="page78"/>
    <w:bookmarkEnd w:id="77"/>
    <w:p>
      <w:pPr>
        <w:ind w:right="200"/>
        <w:spacing w:after="0" w:line="275" w:lineRule="auto"/>
        <w:rPr>
          <w:sz w:val="20"/>
          <w:szCs w:val="20"/>
          <w:color w:val="auto"/>
        </w:rPr>
      </w:pPr>
      <w:r>
        <w:rPr>
          <w:rFonts w:ascii="Arial" w:cs="Arial" w:eastAsia="Arial" w:hAnsi="Arial"/>
          <w:sz w:val="18"/>
          <w:szCs w:val="18"/>
          <w:color w:val="auto"/>
        </w:rPr>
        <w:t>the TCJA. The Company has completed its evaluation of the potential impacts of IRC Section 162(m) as amended by the Act of 2017 prior to December 22, 2018 and there was no change to the Company’s previous analysis.</w:t>
      </w:r>
    </w:p>
    <w:p>
      <w:pPr>
        <w:spacing w:after="0" w:line="237" w:lineRule="exact"/>
        <w:rPr>
          <w:sz w:val="20"/>
          <w:szCs w:val="20"/>
          <w:color w:val="auto"/>
        </w:rPr>
      </w:pPr>
    </w:p>
    <w:p>
      <w:pPr>
        <w:ind w:right="120" w:firstLine="439"/>
        <w:spacing w:after="0" w:line="257" w:lineRule="auto"/>
        <w:rPr>
          <w:sz w:val="20"/>
          <w:szCs w:val="20"/>
          <w:color w:val="auto"/>
        </w:rPr>
      </w:pPr>
      <w:r>
        <w:rPr>
          <w:rFonts w:ascii="Arial" w:cs="Arial" w:eastAsia="Arial" w:hAnsi="Arial"/>
          <w:sz w:val="18"/>
          <w:szCs w:val="18"/>
          <w:color w:val="auto"/>
        </w:rPr>
        <w:t>The Company files income tax returns in the United States, California and foreign jurisdictions. Due to the Company’s losses incurred, the Company is essentially subject to income tax examination by tax authorities from inception to date. The Company’s policy is to recognize interest expense and penalties related to income tax matters as tax expense. At December 31, 2018, there are no unrecognized tax benefits nor any significant accruals for interest related to unrecognized tax benefits or tax penalties.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Savings Plan</w:t>
      </w:r>
    </w:p>
    <w:p>
      <w:pPr>
        <w:spacing w:after="0" w:line="119" w:lineRule="exact"/>
        <w:rPr>
          <w:sz w:val="20"/>
          <w:szCs w:val="20"/>
          <w:color w:val="auto"/>
        </w:rPr>
      </w:pPr>
    </w:p>
    <w:p>
      <w:pPr>
        <w:ind w:right="20" w:firstLine="439"/>
        <w:spacing w:after="0" w:line="262" w:lineRule="auto"/>
        <w:rPr>
          <w:sz w:val="20"/>
          <w:szCs w:val="20"/>
          <w:color w:val="auto"/>
        </w:rPr>
      </w:pPr>
      <w:r>
        <w:rPr>
          <w:rFonts w:ascii="Arial" w:cs="Arial" w:eastAsia="Arial" w:hAnsi="Arial"/>
          <w:sz w:val="18"/>
          <w:szCs w:val="18"/>
          <w:color w:val="auto"/>
        </w:rPr>
        <w:t>The Company has an employee savings plan available to substantially all employees. Under the plan, an employee may elect salary reductions which are contributed to the plan. The plan provides for discretionary contributions by the Company, which totaled $76,903, $65,995 and $66,289 for the years ended December 31, 2018, 2017 and 2016, respectively.</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Quarterly Financial Data (Unaudited)</w:t>
      </w:r>
    </w:p>
    <w:p>
      <w:pPr>
        <w:spacing w:after="0" w:line="26"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 following table presents certain quarterly financial data for eight consecutive quarters ended December 31, 2018 and 2017. The unaudited quarterly information has been prepared on the same basis as the audited consolidated financial statements and, in the opinion of management, includes all adjustments, necessary for a fair presentation of this data (in thousands, except per share data).</w:t>
      </w:r>
    </w:p>
    <w:tbl>
      <w:tblPr>
        <w:tblLayout w:type="fixed"/>
        <w:tblInd w:w="5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3"/>
              </w:rPr>
              <w:t>Year Ended December 31, 2018</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2"/>
        </w:trPr>
        <w:tc>
          <w:tcPr>
            <w:tcW w:w="4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20"/>
              <w:spacing w:after="0" w:line="132" w:lineRule="exact"/>
              <w:rPr>
                <w:sz w:val="20"/>
                <w:szCs w:val="20"/>
                <w:color w:val="auto"/>
              </w:rPr>
            </w:pPr>
            <w:r>
              <w:rPr>
                <w:rFonts w:ascii="Arial" w:cs="Arial" w:eastAsia="Arial" w:hAnsi="Arial"/>
                <w:sz w:val="14"/>
                <w:szCs w:val="14"/>
                <w:b w:val="1"/>
                <w:bCs w:val="1"/>
                <w:color w:val="auto"/>
                <w:w w:val="88"/>
              </w:rPr>
              <w:t>1st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300"/>
              <w:spacing w:after="0" w:line="132" w:lineRule="exact"/>
              <w:rPr>
                <w:sz w:val="20"/>
                <w:szCs w:val="20"/>
                <w:color w:val="auto"/>
              </w:rPr>
            </w:pPr>
            <w:r>
              <w:rPr>
                <w:rFonts w:ascii="Arial" w:cs="Arial" w:eastAsia="Arial" w:hAnsi="Arial"/>
                <w:sz w:val="14"/>
                <w:szCs w:val="14"/>
                <w:b w:val="1"/>
                <w:bCs w:val="1"/>
                <w:color w:val="auto"/>
                <w:w w:val="88"/>
              </w:rPr>
              <w:t>2nd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40"/>
              <w:spacing w:after="0" w:line="132" w:lineRule="exact"/>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center"/>
              <w:ind w:right="116"/>
              <w:spacing w:after="0" w:line="132" w:lineRule="exact"/>
              <w:rPr>
                <w:sz w:val="20"/>
                <w:szCs w:val="20"/>
                <w:color w:val="auto"/>
              </w:rPr>
            </w:pPr>
            <w:r>
              <w:rPr>
                <w:rFonts w:ascii="Arial" w:cs="Arial" w:eastAsia="Arial" w:hAnsi="Arial"/>
                <w:sz w:val="14"/>
                <w:szCs w:val="14"/>
                <w:b w:val="1"/>
                <w:bCs w:val="1"/>
                <w:color w:val="auto"/>
                <w:w w:val="95"/>
              </w:rPr>
              <w:t>4th</w:t>
            </w:r>
          </w:p>
        </w:tc>
        <w:tc>
          <w:tcPr>
            <w:tcW w:w="100" w:type="dxa"/>
            <w:vAlign w:val="bottom"/>
          </w:tcPr>
          <w:p>
            <w:pPr>
              <w:spacing w:after="0"/>
              <w:rPr>
                <w:sz w:val="11"/>
                <w:szCs w:val="11"/>
                <w:color w:val="auto"/>
              </w:rPr>
            </w:pPr>
          </w:p>
        </w:tc>
      </w:tr>
      <w:tr>
        <w:trPr>
          <w:trHeight w:val="170"/>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r>
      <w:tr>
        <w:trPr>
          <w:trHeight w:val="222"/>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8"/>
        </w:trPr>
        <w:tc>
          <w:tcPr>
            <w:tcW w:w="43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4,667</w:t>
            </w:r>
          </w:p>
        </w:tc>
        <w:tc>
          <w:tcPr>
            <w:tcW w:w="1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3,400</w:t>
            </w:r>
          </w:p>
        </w:tc>
        <w:tc>
          <w:tcPr>
            <w:tcW w:w="14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7,028</w:t>
            </w:r>
          </w:p>
        </w:tc>
        <w:tc>
          <w:tcPr>
            <w:tcW w:w="14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r>
      <w:tr>
        <w:trPr>
          <w:trHeight w:val="228"/>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(4,543)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(3,144)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(6,780)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w:t>
            </w:r>
          </w:p>
        </w:tc>
      </w:tr>
      <w:tr>
        <w:trPr>
          <w:trHeight w:val="228"/>
        </w:trPr>
        <w:tc>
          <w:tcPr>
            <w:tcW w:w="438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(4,543)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(6,780)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r>
      <w:tr>
        <w:trPr>
          <w:trHeight w:val="228"/>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 (1)</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(0.00)</w:t>
            </w:r>
          </w:p>
        </w:tc>
      </w:tr>
      <w:tr>
        <w:trPr>
          <w:trHeight w:val="376"/>
        </w:trPr>
        <w:tc>
          <w:tcPr>
            <w:tcW w:w="4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3"/>
              </w:rPr>
              <w:t>Year Ended December 31, 2017</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2"/>
        </w:trPr>
        <w:tc>
          <w:tcPr>
            <w:tcW w:w="4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20"/>
              <w:spacing w:after="0" w:line="132" w:lineRule="exact"/>
              <w:rPr>
                <w:sz w:val="20"/>
                <w:szCs w:val="20"/>
                <w:color w:val="auto"/>
              </w:rPr>
            </w:pPr>
            <w:r>
              <w:rPr>
                <w:rFonts w:ascii="Arial" w:cs="Arial" w:eastAsia="Arial" w:hAnsi="Arial"/>
                <w:sz w:val="14"/>
                <w:szCs w:val="14"/>
                <w:b w:val="1"/>
                <w:bCs w:val="1"/>
                <w:color w:val="auto"/>
                <w:w w:val="88"/>
              </w:rPr>
              <w:t>1st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300"/>
              <w:spacing w:after="0" w:line="132" w:lineRule="exact"/>
              <w:rPr>
                <w:sz w:val="20"/>
                <w:szCs w:val="20"/>
                <w:color w:val="auto"/>
              </w:rPr>
            </w:pPr>
            <w:r>
              <w:rPr>
                <w:rFonts w:ascii="Arial" w:cs="Arial" w:eastAsia="Arial" w:hAnsi="Arial"/>
                <w:sz w:val="14"/>
                <w:szCs w:val="14"/>
                <w:b w:val="1"/>
                <w:bCs w:val="1"/>
                <w:color w:val="auto"/>
                <w:w w:val="88"/>
              </w:rPr>
              <w:t>2nd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40"/>
              <w:spacing w:after="0" w:line="132" w:lineRule="exact"/>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center"/>
              <w:ind w:right="116"/>
              <w:spacing w:after="0" w:line="132" w:lineRule="exact"/>
              <w:rPr>
                <w:sz w:val="20"/>
                <w:szCs w:val="20"/>
                <w:color w:val="auto"/>
              </w:rPr>
            </w:pPr>
            <w:r>
              <w:rPr>
                <w:rFonts w:ascii="Arial" w:cs="Arial" w:eastAsia="Arial" w:hAnsi="Arial"/>
                <w:sz w:val="14"/>
                <w:szCs w:val="14"/>
                <w:b w:val="1"/>
                <w:bCs w:val="1"/>
                <w:color w:val="auto"/>
                <w:w w:val="95"/>
              </w:rPr>
              <w:t>4th</w:t>
            </w:r>
          </w:p>
        </w:tc>
        <w:tc>
          <w:tcPr>
            <w:tcW w:w="100" w:type="dxa"/>
            <w:vAlign w:val="bottom"/>
          </w:tcPr>
          <w:p>
            <w:pPr>
              <w:spacing w:after="0"/>
              <w:rPr>
                <w:sz w:val="11"/>
                <w:szCs w:val="11"/>
                <w:color w:val="auto"/>
              </w:rPr>
            </w:pPr>
          </w:p>
        </w:tc>
      </w:tr>
      <w:tr>
        <w:trPr>
          <w:trHeight w:val="170"/>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r>
      <w:tr>
        <w:trPr>
          <w:trHeight w:val="222"/>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8"/>
        </w:trPr>
        <w:tc>
          <w:tcPr>
            <w:tcW w:w="43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3,024</w:t>
            </w:r>
          </w:p>
        </w:tc>
        <w:tc>
          <w:tcPr>
            <w:tcW w:w="1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2,805</w:t>
            </w:r>
          </w:p>
        </w:tc>
        <w:tc>
          <w:tcPr>
            <w:tcW w:w="14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3,792</w:t>
            </w:r>
          </w:p>
        </w:tc>
        <w:tc>
          <w:tcPr>
            <w:tcW w:w="14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3,406</w:t>
            </w:r>
          </w:p>
        </w:tc>
        <w:tc>
          <w:tcPr>
            <w:tcW w:w="100" w:type="dxa"/>
            <w:vAlign w:val="bottom"/>
          </w:tcPr>
          <w:p>
            <w:pPr>
              <w:spacing w:after="0"/>
              <w:rPr>
                <w:sz w:val="19"/>
                <w:szCs w:val="19"/>
                <w:color w:val="auto"/>
              </w:rPr>
            </w:pPr>
          </w:p>
        </w:tc>
      </w:tr>
      <w:tr>
        <w:trPr>
          <w:trHeight w:val="228"/>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(3,017)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(2,789)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(3,755)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(1,602)</w:t>
            </w:r>
          </w:p>
        </w:tc>
      </w:tr>
      <w:tr>
        <w:trPr>
          <w:trHeight w:val="228"/>
        </w:trPr>
        <w:tc>
          <w:tcPr>
            <w:tcW w:w="438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(3,017)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(3,755)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(1,602)</w:t>
            </w:r>
          </w:p>
        </w:tc>
      </w:tr>
      <w:tr>
        <w:trPr>
          <w:trHeight w:val="228"/>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 (1)</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11169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154" w:lineRule="exact"/>
        <w:rPr>
          <w:sz w:val="20"/>
          <w:szCs w:val="20"/>
          <w:color w:val="auto"/>
        </w:rPr>
      </w:pPr>
    </w:p>
    <w:p>
      <w:pPr>
        <w:ind w:left="600" w:right="40" w:hanging="593"/>
        <w:spacing w:after="0" w:line="275"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loss per share is computed independently for each of the quarters presented. Therefore, the sum of the quarterly net income and loss per share will not necessarily equal the annual per share calculation.</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19" w:lineRule="exact"/>
        <w:rPr>
          <w:sz w:val="20"/>
          <w:szCs w:val="20"/>
          <w:color w:val="auto"/>
        </w:rPr>
      </w:pPr>
    </w:p>
    <w:p>
      <w:pPr>
        <w:jc w:val="both"/>
        <w:ind w:firstLine="439"/>
        <w:spacing w:after="0" w:line="339" w:lineRule="auto"/>
        <w:rPr>
          <w:sz w:val="20"/>
          <w:szCs w:val="20"/>
          <w:color w:val="auto"/>
        </w:rPr>
      </w:pPr>
      <w:r>
        <w:rPr>
          <w:rFonts w:ascii="Arial" w:cs="Arial" w:eastAsia="Arial" w:hAnsi="Arial"/>
          <w:sz w:val="16"/>
          <w:szCs w:val="16"/>
          <w:color w:val="auto"/>
        </w:rPr>
        <w:t>The Company has evaluated all subsequent events that have occurred after the date of the accompanying financial statements through February 13, 2019 and determined that there were no events or transactions occurring which require recognition or disclosure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80"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9" w:lineRule="exact"/>
        <w:rPr>
          <w:sz w:val="20"/>
          <w:szCs w:val="20"/>
          <w:color w:val="auto"/>
        </w:rPr>
      </w:pPr>
    </w:p>
    <w:p>
      <w:pPr>
        <w:ind w:right="20" w:firstLine="439"/>
        <w:spacing w:after="0" w:line="270" w:lineRule="auto"/>
        <w:rPr>
          <w:sz w:val="20"/>
          <w:szCs w:val="20"/>
          <w:color w:val="auto"/>
        </w:rPr>
      </w:pPr>
      <w:r>
        <w:rPr>
          <w:rFonts w:ascii="Arial" w:cs="Arial" w:eastAsia="Arial" w:hAnsi="Arial"/>
          <w:sz w:val="17"/>
          <w:szCs w:val="17"/>
          <w:color w:val="auto"/>
        </w:rPr>
        <w:t>An evaluation was performed by our Chief Executive Officer and Chief Financial Officer of the effectiveness of the design and operation of our disclosure controls and procedures as defined in the Rules 13(a)-15(e) of the 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 (2) accumulated and communicated to management, including our Chief Executive Officer and Chief Financial Officer, as appropriate, to allow timely decisions regarding required disclosure. Based on that evaluation, our Chief Executive Officer and Chief Financial Officer concluded that, as of December 31, 2018, our disclosure controls and procedures were effective.</w:t>
      </w:r>
    </w:p>
    <w:p>
      <w:pPr>
        <w:spacing w:after="0" w:line="179" w:lineRule="exact"/>
        <w:rPr>
          <w:sz w:val="20"/>
          <w:szCs w:val="20"/>
          <w:color w:val="auto"/>
        </w:rPr>
      </w:pPr>
    </w:p>
    <w:p>
      <w:pPr>
        <w:ind w:right="40" w:firstLine="439"/>
        <w:spacing w:after="0" w:line="277"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9" w:lineRule="exact"/>
        <w:rPr>
          <w:sz w:val="20"/>
          <w:szCs w:val="20"/>
          <w:color w:val="auto"/>
        </w:rPr>
      </w:pPr>
    </w:p>
    <w:p>
      <w:pPr>
        <w:ind w:right="360" w:firstLine="439"/>
        <w:spacing w:after="0" w:line="305" w:lineRule="auto"/>
        <w:rPr>
          <w:sz w:val="20"/>
          <w:szCs w:val="20"/>
          <w:color w:val="auto"/>
        </w:rPr>
      </w:pPr>
      <w:r>
        <w:rPr>
          <w:rFonts w:ascii="Arial" w:cs="Arial" w:eastAsia="Arial" w:hAnsi="Arial"/>
          <w:sz w:val="17"/>
          <w:szCs w:val="17"/>
          <w:color w:val="auto"/>
        </w:rPr>
        <w:t>There was no change in internal control over financial reporting (as such term is defined in Exchange Act Rules 13a-15(f) and 15d-15(f)) during our fourth fiscal quarter that has materially affected, or is reasonably likely to materially affect, our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9" w:lineRule="exact"/>
        <w:rPr>
          <w:sz w:val="20"/>
          <w:szCs w:val="20"/>
          <w:color w:val="auto"/>
        </w:rPr>
      </w:pPr>
    </w:p>
    <w:p>
      <w:pPr>
        <w:ind w:right="200" w:firstLine="439"/>
        <w:spacing w:after="0" w:line="257" w:lineRule="auto"/>
        <w:rPr>
          <w:sz w:val="20"/>
          <w:szCs w:val="20"/>
          <w:color w:val="auto"/>
        </w:rPr>
      </w:pPr>
      <w:r>
        <w:rPr>
          <w:rFonts w:ascii="Arial" w:cs="Arial" w:eastAsia="Arial" w:hAnsi="Arial"/>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0" w:lineRule="exact"/>
        <w:rPr>
          <w:sz w:val="20"/>
          <w:szCs w:val="20"/>
          <w:color w:val="auto"/>
        </w:rPr>
      </w:pPr>
    </w:p>
    <w:p>
      <w:pPr>
        <w:ind w:left="720" w:hanging="251"/>
        <w:spacing w:after="0"/>
        <w:tabs>
          <w:tab w:leader="none" w:pos="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6" w:lineRule="exact"/>
        <w:rPr>
          <w:rFonts w:ascii="Arial" w:cs="Arial" w:eastAsia="Arial" w:hAnsi="Arial"/>
          <w:sz w:val="17"/>
          <w:szCs w:val="17"/>
          <w:color w:val="auto"/>
        </w:rPr>
      </w:pPr>
    </w:p>
    <w:p>
      <w:pPr>
        <w:ind w:left="780" w:hanging="311"/>
        <w:spacing w:after="0" w:line="262" w:lineRule="auto"/>
        <w:tabs>
          <w:tab w:leader="none" w:pos="727"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74" w:lineRule="exact"/>
        <w:rPr>
          <w:rFonts w:ascii="Arial" w:cs="Arial" w:eastAsia="Arial" w:hAnsi="Arial"/>
          <w:sz w:val="18"/>
          <w:szCs w:val="18"/>
          <w:color w:val="auto"/>
        </w:rPr>
      </w:pPr>
    </w:p>
    <w:p>
      <w:pPr>
        <w:ind w:left="780" w:right="100" w:hanging="311"/>
        <w:spacing w:after="0" w:line="275" w:lineRule="auto"/>
        <w:tabs>
          <w:tab w:leader="none" w:pos="727"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79" w:name="page80"/>
    <w:bookmarkEnd w:id="79"/>
    <w:p>
      <w:pPr>
        <w:spacing w:after="0"/>
        <w:rPr>
          <w:sz w:val="20"/>
          <w:szCs w:val="20"/>
          <w:color w:val="auto"/>
        </w:rPr>
      </w:pPr>
      <w:r>
        <w:rPr>
          <w:rFonts w:ascii="Arial" w:cs="Arial" w:eastAsia="Arial" w:hAnsi="Arial"/>
          <w:sz w:val="17"/>
          <w:szCs w:val="17"/>
          <w:color w:val="auto"/>
        </w:rPr>
        <w:t>eliminate, this risk. Management is responsible for establishing and maintaining adequate internal control over financial reporting for the company.</w:t>
      </w:r>
    </w:p>
    <w:p>
      <w:pPr>
        <w:spacing w:after="0" w:line="234" w:lineRule="exact"/>
        <w:rPr>
          <w:sz w:val="20"/>
          <w:szCs w:val="20"/>
          <w:color w:val="auto"/>
        </w:rPr>
      </w:pPr>
    </w:p>
    <w:p>
      <w:pPr>
        <w:ind w:right="240" w:firstLine="439"/>
        <w:spacing w:after="0" w:line="257" w:lineRule="auto"/>
        <w:rPr>
          <w:sz w:val="20"/>
          <w:szCs w:val="20"/>
          <w:color w:val="auto"/>
        </w:rPr>
      </w:pPr>
      <w:r>
        <w:rPr>
          <w:rFonts w:ascii="Arial" w:cs="Arial" w:eastAsia="Arial" w:hAnsi="Arial"/>
          <w:sz w:val="18"/>
          <w:szCs w:val="18"/>
          <w:color w:val="auto"/>
        </w:rPr>
        <w:t>Management has used the framework set forth in the report entitled Internal Control-Integrated Framework (2013 framework) published by the Committee of Sponsoring Organizations of the Treadway Commission (2013 framework), known as COSO, to evaluate the effectiveness of our internal control over financial reporting. Based on this assessment, management has concluded that our internal control over financial reporting was effective as of December 31, 2018.</w:t>
      </w:r>
    </w:p>
    <w:p>
      <w:pPr>
        <w:spacing w:after="0" w:line="188" w:lineRule="exact"/>
        <w:rPr>
          <w:sz w:val="20"/>
          <w:szCs w:val="20"/>
          <w:color w:val="auto"/>
        </w:rPr>
      </w:pPr>
    </w:p>
    <w:p>
      <w:pPr>
        <w:jc w:val="both"/>
        <w:ind w:firstLine="439"/>
        <w:spacing w:after="0" w:line="339" w:lineRule="auto"/>
        <w:rPr>
          <w:sz w:val="20"/>
          <w:szCs w:val="20"/>
          <w:color w:val="auto"/>
        </w:rPr>
      </w:pPr>
      <w:r>
        <w:rPr>
          <w:rFonts w:ascii="Arial" w:cs="Arial" w:eastAsia="Arial" w:hAnsi="Arial"/>
          <w:sz w:val="16"/>
          <w:szCs w:val="16"/>
          <w:color w:val="auto"/>
        </w:rPr>
        <w:t>BDO USA, LLP, an independent registered public accounting firm, has audited our consolidated financial statements included in this Annual Report on Form 10-K and has issued an attestation report, included herein, on the effectiveness of our internal control over financial reporting as of December 31, 2018.</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00"/>
          </w:cols>
          <w:pgMar w:left="240" w:top="555" w:right="359" w:bottom="1440" w:gutter="0" w:footer="0" w:header="0"/>
        </w:sectPr>
      </w:pPr>
    </w:p>
    <w:bookmarkStart w:id="80" w:name="page81"/>
    <w:bookmarkEnd w:id="80"/>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MediciNova, Inc.’s (the “Company’s”) internal control over financial reporting as of December 31, 2018,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 (the “COSO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In our opinion, the Company maintained, in all material respects, effective internal control over financial reporting as of December 31, 2018, based on the COSO criteria</w:t>
      </w:r>
      <w:r>
        <w:rPr>
          <w:rFonts w:ascii="Arial" w:cs="Arial" w:eastAsia="Arial" w:hAnsi="Arial"/>
          <w:sz w:val="18"/>
          <w:szCs w:val="18"/>
          <w:i w:val="1"/>
          <w:iCs w:val="1"/>
          <w:color w:val="auto"/>
        </w:rPr>
        <w: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and subsidiaries as of December 31, 2018 and 2017, the related consolidated statements of operations and comprehensive loss, stockholders’ equity, and cash flows for each of the three years in the period ended December 31, 2018, and the related notes and our report dated February 13, 2019 expressed an unqualified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/s/ BDO USA, LLP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San Diego, California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219"/>
          </w:cols>
          <w:pgMar w:left="240" w:top="555"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9B. Other Information</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219"/>
          </w:cols>
          <w:pgMar w:left="240" w:top="336" w:right="1440"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9" w:lineRule="exact"/>
        <w:rPr>
          <w:sz w:val="20"/>
          <w:szCs w:val="20"/>
          <w:color w:val="auto"/>
        </w:rPr>
      </w:pPr>
    </w:p>
    <w:p>
      <w:pPr>
        <w:ind w:right="180" w:firstLine="439"/>
        <w:spacing w:after="0" w:line="277" w:lineRule="auto"/>
        <w:rPr>
          <w:sz w:val="20"/>
          <w:szCs w:val="20"/>
          <w:color w:val="auto"/>
        </w:rPr>
      </w:pPr>
      <w:r>
        <w:rPr>
          <w:rFonts w:ascii="Arial" w:cs="Arial" w:eastAsia="Arial" w:hAnsi="Arial"/>
          <w:sz w:val="17"/>
          <w:szCs w:val="17"/>
          <w:color w:val="auto"/>
        </w:rPr>
        <w:t>The information required by this item and not set forth below will be contained in the sections titled “Election of Directors,” “Section 16(a) Beneficial Ownership Reporting Compliance, “Corporate Governance,” “Meetings and Committees of the Board, and “Executive Officers” in our definitive proxy statement for our 2019 Annual Meeting of Stockholders to be filed with the SEC within 120 days after the conclusion of our fiscal year ended December 31, 2018 (the “Proxy Statement”) and is incorporated in this Annual Report on Form 10-K by reference.</w:t>
      </w:r>
    </w:p>
    <w:p>
      <w:pPr>
        <w:spacing w:after="0" w:line="172" w:lineRule="exact"/>
        <w:rPr>
          <w:sz w:val="20"/>
          <w:szCs w:val="20"/>
          <w:color w:val="auto"/>
        </w:rPr>
      </w:pPr>
    </w:p>
    <w:p>
      <w:pPr>
        <w:ind w:right="80" w:firstLine="439"/>
        <w:spacing w:after="0" w:line="272" w:lineRule="auto"/>
        <w:rPr>
          <w:sz w:val="20"/>
          <w:szCs w:val="20"/>
          <w:color w:val="auto"/>
        </w:rPr>
      </w:pPr>
      <w:r>
        <w:rPr>
          <w:rFonts w:ascii="Arial" w:cs="Arial" w:eastAsia="Arial" w:hAnsi="Arial"/>
          <w:sz w:val="17"/>
          <w:szCs w:val="17"/>
          <w:color w:val="auto"/>
        </w:rPr>
        <w:t xml:space="preserve">We have adopted a Code of Ethics for Senior Officers, or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Arial" w:cs="Arial" w:eastAsia="Arial" w:hAnsi="Arial"/>
          <w:sz w:val="17"/>
          <w:szCs w:val="17"/>
          <w:i w:val="1"/>
          <w:iCs w:val="1"/>
          <w:color w:val="auto"/>
        </w:rPr>
        <w:t>www.medicinova.com</w:t>
      </w:r>
      <w:r>
        <w:rPr>
          <w:rFonts w:ascii="Arial" w:cs="Arial" w:eastAsia="Arial" w:hAnsi="Arial"/>
          <w:sz w:val="17"/>
          <w:szCs w:val="17"/>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 (ii) any amendment to the Code of Ethics or Code of Business Conduct.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9" w:lineRule="exact"/>
        <w:rPr>
          <w:sz w:val="20"/>
          <w:szCs w:val="20"/>
          <w:color w:val="auto"/>
        </w:rPr>
      </w:pPr>
    </w:p>
    <w:p>
      <w:pPr>
        <w:ind w:right="260" w:firstLine="439"/>
        <w:spacing w:after="0" w:line="275" w:lineRule="auto"/>
        <w:rPr>
          <w:sz w:val="20"/>
          <w:szCs w:val="20"/>
          <w:color w:val="auto"/>
        </w:rPr>
      </w:pPr>
      <w:r>
        <w:rPr>
          <w:rFonts w:ascii="Arial" w:cs="Arial" w:eastAsia="Arial" w:hAnsi="Arial"/>
          <w:sz w:val="18"/>
          <w:szCs w:val="18"/>
          <w:color w:val="auto"/>
        </w:rPr>
        <w:t>The information required by this item will be contained in the section titled “Executive Compensation” in our Proxy Statement and is incorporated in this Annual Report on Form 10-K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9" w:lineRule="exact"/>
        <w:rPr>
          <w:sz w:val="20"/>
          <w:szCs w:val="20"/>
          <w:color w:val="auto"/>
        </w:rPr>
      </w:pPr>
    </w:p>
    <w:p>
      <w:pPr>
        <w:ind w:right="60" w:firstLine="439"/>
        <w:spacing w:after="0" w:line="275" w:lineRule="auto"/>
        <w:rPr>
          <w:sz w:val="20"/>
          <w:szCs w:val="20"/>
          <w:color w:val="auto"/>
        </w:rPr>
      </w:pPr>
      <w:r>
        <w:rPr>
          <w:rFonts w:ascii="Arial" w:cs="Arial" w:eastAsia="Arial" w:hAnsi="Arial"/>
          <w:sz w:val="18"/>
          <w:szCs w:val="18"/>
          <w:color w:val="auto"/>
        </w:rPr>
        <w:t>Certain of the information required by this item will be contained in section titled “Security Ownership of Certain Beneficial Owners and Management” the Proxy Statement and is incorporated in this Annual Report on Form 10-K by reference.</w:t>
      </w:r>
    </w:p>
    <w:p>
      <w:pPr>
        <w:spacing w:after="0" w:line="170" w:lineRule="exact"/>
        <w:rPr>
          <w:sz w:val="20"/>
          <w:szCs w:val="20"/>
          <w:color w:val="auto"/>
        </w:rPr>
      </w:pPr>
    </w:p>
    <w:p>
      <w:pPr>
        <w:ind w:firstLine="439"/>
        <w:spacing w:after="0" w:line="275" w:lineRule="auto"/>
        <w:rPr>
          <w:sz w:val="20"/>
          <w:szCs w:val="20"/>
          <w:color w:val="auto"/>
        </w:rPr>
      </w:pPr>
      <w:r>
        <w:rPr>
          <w:rFonts w:ascii="Arial" w:cs="Arial" w:eastAsia="Arial" w:hAnsi="Arial"/>
          <w:sz w:val="18"/>
          <w:szCs w:val="18"/>
          <w:color w:val="auto"/>
        </w:rPr>
        <w:t>The following table provides information as of December 31, 2018 with respect to the shares of our common stock that may be issued under our existing equity compensation plans.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Equity Compensation Plan Information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Number of Securities</w:t>
            </w:r>
          </w:p>
        </w:tc>
        <w:tc>
          <w:tcPr>
            <w:tcW w:w="160" w:type="dxa"/>
            <w:vAlign w:val="bottom"/>
          </w:tcPr>
          <w:p>
            <w:pPr>
              <w:spacing w:after="0"/>
              <w:rPr>
                <w:sz w:val="14"/>
                <w:szCs w:val="14"/>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Weighted Average</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to be Issued</w:t>
            </w:r>
          </w:p>
        </w:tc>
        <w:tc>
          <w:tcPr>
            <w:tcW w:w="160" w:type="dxa"/>
            <w:vAlign w:val="bottom"/>
          </w:tcPr>
          <w:p>
            <w:pPr>
              <w:spacing w:after="0"/>
              <w:rPr>
                <w:sz w:val="12"/>
                <w:szCs w:val="12"/>
                <w:color w:val="auto"/>
              </w:rPr>
            </w:pPr>
          </w:p>
        </w:tc>
        <w:tc>
          <w:tcPr>
            <w:tcW w:w="158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0"/>
              </w:rPr>
              <w:t>Exercise Price of</w:t>
            </w:r>
          </w:p>
        </w:tc>
        <w:tc>
          <w:tcPr>
            <w:tcW w:w="16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Upon Exercise of</w:t>
            </w:r>
          </w:p>
        </w:tc>
        <w:tc>
          <w:tcPr>
            <w:tcW w:w="160" w:type="dxa"/>
            <w:vAlign w:val="bottom"/>
          </w:tcPr>
          <w:p>
            <w:pPr>
              <w:spacing w:after="0"/>
              <w:rPr>
                <w:sz w:val="12"/>
                <w:szCs w:val="12"/>
                <w:color w:val="auto"/>
              </w:rPr>
            </w:pPr>
          </w:p>
        </w:tc>
        <w:tc>
          <w:tcPr>
            <w:tcW w:w="158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2"/>
              </w:rPr>
              <w:t>Outstanding</w:t>
            </w:r>
          </w:p>
        </w:tc>
        <w:tc>
          <w:tcPr>
            <w:tcW w:w="16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2"/>
                <w:szCs w:val="12"/>
                <w:color w:val="auto"/>
              </w:rPr>
            </w:pPr>
          </w:p>
        </w:tc>
        <w:tc>
          <w:tcPr>
            <w:tcW w:w="158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4"/>
              </w:rPr>
              <w:t>Options</w:t>
            </w:r>
          </w:p>
        </w:tc>
        <w:tc>
          <w:tcPr>
            <w:tcW w:w="16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4100" w:type="dxa"/>
            <w:vAlign w:val="bottom"/>
            <w:gridSpan w:val="3"/>
            <w:vMerge w:val="continue"/>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Options and Rights</w:t>
            </w:r>
          </w:p>
        </w:tc>
        <w:tc>
          <w:tcPr>
            <w:tcW w:w="16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and Rights</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9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w:t>
            </w:r>
          </w:p>
        </w:tc>
        <w:tc>
          <w:tcPr>
            <w:tcW w:w="120" w:type="dxa"/>
            <w:vAlign w:val="bottom"/>
            <w:tcBorders>
              <w:top w:val="single" w:sz="8" w:color="CFF0FC"/>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by Stockholders (1)</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6,609,647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1,686,470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00" w:type="dxa"/>
            <w:vAlign w:val="bottom"/>
            <w:gridSpan w:val="3"/>
          </w:tcPr>
          <w:p>
            <w:pPr>
              <w:ind w:left="140"/>
              <w:spacing w:after="0"/>
              <w:rPr>
                <w:sz w:val="20"/>
                <w:szCs w:val="20"/>
                <w:color w:val="auto"/>
              </w:rPr>
            </w:pPr>
            <w:r>
              <w:rPr>
                <w:rFonts w:ascii="Arial" w:cs="Arial" w:eastAsia="Arial" w:hAnsi="Arial"/>
                <w:sz w:val="18"/>
                <w:szCs w:val="18"/>
                <w:color w:val="auto"/>
              </w:rPr>
              <w:t>by Stockholders</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41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6,609,647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1,686,470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40" w:hanging="433"/>
        <w:spacing w:after="0" w:line="309" w:lineRule="auto"/>
        <w:tabs>
          <w:tab w:leader="none" w:pos="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the Amended and Restated 2004 Stock Incentive Plan, the 2013 Equity Incentive Plan and the 2007 Employee Stock Purchase Plan, or ESPP. Under the ESPP, the shares reserved automatically increase by a number equal to the lesser of: (i) 15,000 shares; (ii) 1% of the outstanding shares of our common stock on the last day of the immediately preceding fiscal year; or (iii) such lesser amount as determined by the Board.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9" w:lineRule="exact"/>
        <w:rPr>
          <w:sz w:val="20"/>
          <w:szCs w:val="20"/>
          <w:color w:val="auto"/>
        </w:rPr>
      </w:pPr>
    </w:p>
    <w:p>
      <w:pPr>
        <w:ind w:right="660" w:firstLine="439"/>
        <w:spacing w:after="0" w:line="275" w:lineRule="auto"/>
        <w:rPr>
          <w:sz w:val="20"/>
          <w:szCs w:val="20"/>
          <w:color w:val="auto"/>
        </w:rPr>
      </w:pPr>
      <w:r>
        <w:rPr>
          <w:rFonts w:ascii="Arial" w:cs="Arial" w:eastAsia="Arial" w:hAnsi="Arial"/>
          <w:sz w:val="18"/>
          <w:szCs w:val="18"/>
          <w:color w:val="auto"/>
        </w:rPr>
        <w:t>The information required by this item will be contained in the sections titled “Certain Relationships and Related Transactions” and “Corporate Governance” in our Proxy Statement and is incorporated in this Annual Report on Form 10-K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19" w:lineRule="exact"/>
        <w:rPr>
          <w:sz w:val="20"/>
          <w:szCs w:val="20"/>
          <w:color w:val="auto"/>
        </w:rPr>
      </w:pPr>
    </w:p>
    <w:p>
      <w:pPr>
        <w:ind w:firstLine="439"/>
        <w:spacing w:after="0" w:line="275" w:lineRule="auto"/>
        <w:rPr>
          <w:sz w:val="20"/>
          <w:szCs w:val="20"/>
          <w:color w:val="auto"/>
        </w:rPr>
      </w:pPr>
      <w:r>
        <w:rPr>
          <w:rFonts w:ascii="Arial" w:cs="Arial" w:eastAsia="Arial" w:hAnsi="Arial"/>
          <w:sz w:val="18"/>
          <w:szCs w:val="18"/>
          <w:color w:val="auto"/>
        </w:rPr>
        <w:t>The information required by this item will be contained in the section titled “Ratification of Appointment of Independent Registered Public Accounting Firm” in our Proxy Statement and is incorporated in this Annual Report on Form 10-K by reference.</w:t>
      </w: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342265</wp:posOffset>
            </wp:positionV>
            <wp:extent cx="728980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00"/>
          </w:cols>
          <w:pgMar w:left="240" w:top="658" w:right="359" w:bottom="1440" w:gutter="0" w:footer="0" w:header="0"/>
        </w:sectPr>
      </w:pPr>
    </w:p>
    <w:bookmarkStart w:id="85" w:name="page86"/>
    <w:bookmarkEnd w:id="85"/>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19" w:lineRule="exact"/>
        <w:rPr>
          <w:sz w:val="20"/>
          <w:szCs w:val="20"/>
          <w:color w:val="auto"/>
        </w:rPr>
      </w:pPr>
    </w:p>
    <w:p>
      <w:pPr>
        <w:ind w:left="700" w:hanging="253"/>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223" w:lineRule="exact"/>
        <w:rPr>
          <w:sz w:val="20"/>
          <w:szCs w:val="20"/>
          <w:color w:val="auto"/>
        </w:rPr>
      </w:pPr>
    </w:p>
    <w:p>
      <w:pPr>
        <w:ind w:right="500" w:firstLine="447"/>
        <w:spacing w:after="0" w:line="275" w:lineRule="auto"/>
        <w:tabs>
          <w:tab w:leader="none" w:pos="61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following financial statements of MediciNova, Inc. and Reports of BDO USA, LLP, an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are included in this Annual Report on Form 10-K: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60" w:type="dxa"/>
            <w:vAlign w:val="bottom"/>
            <w:gridSpan w:val="18"/>
            <w:vMerge w:val="restart"/>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Report of Independent Registered Public Accounting Firm</w:t>
              </w:r>
            </w:hyperlink>
          </w:p>
        </w:tc>
        <w:tc>
          <w:tcPr>
            <w:tcW w:w="100" w:type="dxa"/>
            <w:vAlign w:val="bottom"/>
          </w:tcPr>
          <w:p>
            <w:pPr>
              <w:spacing w:after="0"/>
              <w:rPr>
                <w:sz w:val="14"/>
                <w:szCs w:val="14"/>
                <w:color w:val="auto"/>
              </w:rPr>
            </w:pPr>
          </w:p>
        </w:tc>
        <w:tc>
          <w:tcPr>
            <w:tcW w:w="480" w:type="dxa"/>
            <w:vAlign w:val="bottom"/>
            <w:gridSpan w:val="11"/>
          </w:tcPr>
          <w:p>
            <w:pPr>
              <w:jc w:val="right"/>
              <w:ind w:right="1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8"/>
        </w:trPr>
        <w:tc>
          <w:tcPr>
            <w:tcW w:w="10860" w:type="dxa"/>
            <w:vAlign w:val="bottom"/>
            <w:gridSpan w:val="18"/>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gridSpan w:val="5"/>
          </w:tcPr>
          <w:p>
            <w:pPr>
              <w:jc w:val="right"/>
              <w:spacing w:after="0" w:line="168" w:lineRule="exact"/>
              <w:rPr>
                <w:sz w:val="20"/>
                <w:szCs w:val="20"/>
                <w:color w:val="auto"/>
              </w:rPr>
            </w:pPr>
            <w:r>
              <w:rPr>
                <w:rFonts w:ascii="Arial" w:cs="Arial" w:eastAsia="Arial" w:hAnsi="Arial"/>
                <w:sz w:val="18"/>
                <w:szCs w:val="18"/>
                <w:color w:val="auto"/>
                <w:w w:val="79"/>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200" w:type="dxa"/>
            <w:vAlign w:val="bottom"/>
            <w:tcBorders>
              <w:top w:val="single" w:sz="8" w:color="0000EE"/>
            </w:tcBorders>
            <w:gridSpan w:val="12"/>
          </w:tcPr>
          <w:p>
            <w:pPr>
              <w:spacing w:after="0" w:line="195"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Balance Sheets</w:t>
              </w:r>
            </w:hyperlink>
          </w:p>
        </w:tc>
        <w:tc>
          <w:tcPr>
            <w:tcW w:w="7040" w:type="dxa"/>
            <w:vAlign w:val="bottom"/>
            <w:gridSpan w:val="12"/>
          </w:tcPr>
          <w:p>
            <w:pPr>
              <w:spacing w:after="0"/>
              <w:rPr>
                <w:sz w:val="16"/>
                <w:szCs w:val="16"/>
                <w:color w:val="auto"/>
              </w:rPr>
            </w:pPr>
          </w:p>
        </w:tc>
        <w:tc>
          <w:tcPr>
            <w:tcW w:w="200" w:type="dxa"/>
            <w:vAlign w:val="bottom"/>
            <w:gridSpan w:val="6"/>
          </w:tcPr>
          <w:p>
            <w:pPr>
              <w:jc w:val="right"/>
              <w:ind w:right="20"/>
              <w:spacing w:after="0" w:line="195" w:lineRule="exact"/>
              <w:rPr>
                <w:sz w:val="20"/>
                <w:szCs w:val="20"/>
                <w:color w:val="auto"/>
              </w:rPr>
            </w:pPr>
            <w:r>
              <w:rPr>
                <w:rFonts w:ascii="Arial" w:cs="Arial" w:eastAsia="Arial" w:hAnsi="Arial"/>
                <w:sz w:val="18"/>
                <w:szCs w:val="18"/>
                <w:color w:val="auto"/>
                <w:w w:val="79"/>
              </w:rPr>
              <w:t>62</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60" w:type="dxa"/>
            <w:vAlign w:val="bottom"/>
            <w:tcBorders>
              <w:bottom w:val="single" w:sz="8" w:color="0000EE"/>
            </w:tcBorders>
            <w:gridSpan w:val="14"/>
          </w:tcPr>
          <w:p>
            <w:pPr>
              <w:spacing w:after="0" w:line="195"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Consolidated Statements of Operations and Comprehensive Loss</w:t>
              </w:r>
            </w:hyperlink>
          </w:p>
        </w:tc>
        <w:tc>
          <w:tcPr>
            <w:tcW w:w="6580" w:type="dxa"/>
            <w:vAlign w:val="bottom"/>
            <w:gridSpan w:val="10"/>
          </w:tcPr>
          <w:p>
            <w:pPr>
              <w:spacing w:after="0"/>
              <w:rPr>
                <w:sz w:val="16"/>
                <w:szCs w:val="16"/>
                <w:color w:val="auto"/>
              </w:rPr>
            </w:pPr>
          </w:p>
        </w:tc>
        <w:tc>
          <w:tcPr>
            <w:tcW w:w="200" w:type="dxa"/>
            <w:vAlign w:val="bottom"/>
            <w:gridSpan w:val="6"/>
          </w:tcPr>
          <w:p>
            <w:pPr>
              <w:jc w:val="right"/>
              <w:ind w:right="20"/>
              <w:spacing w:after="0" w:line="195" w:lineRule="exact"/>
              <w:rPr>
                <w:sz w:val="20"/>
                <w:szCs w:val="20"/>
                <w:color w:val="auto"/>
              </w:rPr>
            </w:pPr>
            <w:r>
              <w:rPr>
                <w:rFonts w:ascii="Arial" w:cs="Arial" w:eastAsia="Arial" w:hAnsi="Arial"/>
                <w:sz w:val="18"/>
                <w:szCs w:val="18"/>
                <w:color w:val="auto"/>
                <w:w w:val="79"/>
              </w:rPr>
              <w:t>63</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0000EE"/>
            </w:tcBorders>
            <w:gridSpan w:val="8"/>
          </w:tcPr>
          <w:p>
            <w:pPr>
              <w:spacing w:after="0" w:line="195"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Consolidated Statements of Stockholders’ Equity</w:t>
              </w:r>
            </w:hyperlink>
          </w:p>
        </w:tc>
        <w:tc>
          <w:tcPr>
            <w:tcW w:w="7700" w:type="dxa"/>
            <w:vAlign w:val="bottom"/>
            <w:gridSpan w:val="16"/>
          </w:tcPr>
          <w:p>
            <w:pPr>
              <w:spacing w:after="0"/>
              <w:rPr>
                <w:sz w:val="16"/>
                <w:szCs w:val="16"/>
                <w:color w:val="auto"/>
              </w:rPr>
            </w:pPr>
          </w:p>
        </w:tc>
        <w:tc>
          <w:tcPr>
            <w:tcW w:w="200" w:type="dxa"/>
            <w:vAlign w:val="bottom"/>
            <w:gridSpan w:val="6"/>
          </w:tcPr>
          <w:p>
            <w:pPr>
              <w:jc w:val="right"/>
              <w:ind w:right="20"/>
              <w:spacing w:after="0" w:line="195" w:lineRule="exact"/>
              <w:rPr>
                <w:sz w:val="20"/>
                <w:szCs w:val="20"/>
                <w:color w:val="auto"/>
              </w:rPr>
            </w:pPr>
            <w:r>
              <w:rPr>
                <w:rFonts w:ascii="Arial" w:cs="Arial" w:eastAsia="Arial" w:hAnsi="Arial"/>
                <w:sz w:val="18"/>
                <w:szCs w:val="18"/>
                <w:color w:val="auto"/>
                <w:w w:val="79"/>
              </w:rPr>
              <w:t>64</w:t>
            </w:r>
          </w:p>
        </w:tc>
        <w:tc>
          <w:tcPr>
            <w:tcW w:w="0" w:type="dxa"/>
            <w:vAlign w:val="bottom"/>
          </w:tcPr>
          <w:p>
            <w:pPr>
              <w:spacing w:after="0"/>
              <w:rPr>
                <w:sz w:val="1"/>
                <w:szCs w:val="1"/>
                <w:color w:val="auto"/>
              </w:rPr>
            </w:pPr>
          </w:p>
        </w:tc>
      </w:tr>
      <w:tr>
        <w:trPr>
          <w:trHeight w:val="195"/>
        </w:trPr>
        <w:tc>
          <w:tcPr>
            <w:tcW w:w="11240" w:type="dxa"/>
            <w:vAlign w:val="bottom"/>
            <w:gridSpan w:val="24"/>
          </w:tcPr>
          <w:p>
            <w:pPr>
              <w:spacing w:after="0" w:line="195"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Cash Flows</w:t>
              </w:r>
            </w:hyperlink>
          </w:p>
        </w:tc>
        <w:tc>
          <w:tcPr>
            <w:tcW w:w="200" w:type="dxa"/>
            <w:vAlign w:val="bottom"/>
            <w:gridSpan w:val="6"/>
          </w:tcPr>
          <w:p>
            <w:pPr>
              <w:jc w:val="right"/>
              <w:ind w:right="20"/>
              <w:spacing w:after="0" w:line="195" w:lineRule="exact"/>
              <w:rPr>
                <w:sz w:val="20"/>
                <w:szCs w:val="20"/>
                <w:color w:val="auto"/>
              </w:rPr>
            </w:pPr>
            <w:r>
              <w:rPr>
                <w:rFonts w:ascii="Arial" w:cs="Arial" w:eastAsia="Arial" w:hAnsi="Arial"/>
                <w:sz w:val="18"/>
                <w:szCs w:val="18"/>
                <w:color w:val="auto"/>
                <w:w w:val="79"/>
              </w:rPr>
              <w:t>65</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40" w:type="dxa"/>
            <w:vAlign w:val="bottom"/>
            <w:tcBorders>
              <w:bottom w:val="single" w:sz="8" w:color="0000EE"/>
            </w:tcBorders>
            <w:gridSpan w:val="7"/>
          </w:tcPr>
          <w:p>
            <w:pPr>
              <w:spacing w:after="0" w:line="195"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Notes to Consolidated Financial Statements</w:t>
              </w:r>
            </w:hyperlink>
          </w:p>
        </w:tc>
        <w:tc>
          <w:tcPr>
            <w:tcW w:w="8100" w:type="dxa"/>
            <w:vAlign w:val="bottom"/>
            <w:gridSpan w:val="17"/>
          </w:tcPr>
          <w:p>
            <w:pPr>
              <w:spacing w:after="0"/>
              <w:rPr>
                <w:sz w:val="16"/>
                <w:szCs w:val="16"/>
                <w:color w:val="auto"/>
              </w:rPr>
            </w:pPr>
          </w:p>
        </w:tc>
        <w:tc>
          <w:tcPr>
            <w:tcW w:w="200" w:type="dxa"/>
            <w:vAlign w:val="bottom"/>
            <w:gridSpan w:val="6"/>
          </w:tcPr>
          <w:p>
            <w:pPr>
              <w:jc w:val="right"/>
              <w:ind w:right="20"/>
              <w:spacing w:after="0" w:line="195" w:lineRule="exact"/>
              <w:rPr>
                <w:sz w:val="20"/>
                <w:szCs w:val="20"/>
                <w:color w:val="auto"/>
              </w:rPr>
            </w:pPr>
            <w:r>
              <w:rPr>
                <w:rFonts w:ascii="Arial" w:cs="Arial" w:eastAsia="Arial" w:hAnsi="Arial"/>
                <w:sz w:val="18"/>
                <w:szCs w:val="18"/>
                <w:color w:val="auto"/>
                <w:w w:val="79"/>
              </w:rPr>
              <w:t>66</w:t>
            </w:r>
          </w:p>
        </w:tc>
        <w:tc>
          <w:tcPr>
            <w:tcW w:w="0" w:type="dxa"/>
            <w:vAlign w:val="bottom"/>
          </w:tcPr>
          <w:p>
            <w:pPr>
              <w:spacing w:after="0"/>
              <w:rPr>
                <w:sz w:val="1"/>
                <w:szCs w:val="1"/>
                <w:color w:val="auto"/>
              </w:rPr>
            </w:pPr>
          </w:p>
        </w:tc>
      </w:tr>
      <w:tr>
        <w:trPr>
          <w:trHeight w:val="491"/>
        </w:trPr>
        <w:tc>
          <w:tcPr>
            <w:tcW w:w="80" w:type="dxa"/>
            <w:vAlign w:val="bottom"/>
          </w:tcPr>
          <w:p>
            <w:pPr>
              <w:spacing w:after="0"/>
              <w:rPr>
                <w:sz w:val="24"/>
                <w:szCs w:val="24"/>
                <w:color w:val="auto"/>
              </w:rPr>
            </w:pPr>
          </w:p>
        </w:tc>
        <w:tc>
          <w:tcPr>
            <w:tcW w:w="11160" w:type="dxa"/>
            <w:vAlign w:val="bottom"/>
            <w:gridSpan w:val="23"/>
          </w:tcPr>
          <w:p>
            <w:pPr>
              <w:ind w:left="3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None.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0" w:type="dxa"/>
            <w:vAlign w:val="bottom"/>
          </w:tcPr>
          <w:p>
            <w:pPr>
              <w:spacing w:after="0"/>
              <w:rPr>
                <w:sz w:val="24"/>
                <w:szCs w:val="24"/>
                <w:color w:val="auto"/>
              </w:rPr>
            </w:pPr>
          </w:p>
        </w:tc>
        <w:tc>
          <w:tcPr>
            <w:tcW w:w="11160" w:type="dxa"/>
            <w:vAlign w:val="bottom"/>
            <w:gridSpan w:val="23"/>
          </w:tcPr>
          <w:p>
            <w:pPr>
              <w:ind w:left="3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Exhibit</w:t>
            </w:r>
          </w:p>
        </w:tc>
        <w:tc>
          <w:tcPr>
            <w:tcW w:w="10280" w:type="dxa"/>
            <w:vAlign w:val="bottom"/>
            <w:gridSpan w:val="2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0280" w:type="dxa"/>
            <w:vAlign w:val="bottom"/>
            <w:tcBorders>
              <w:bottom w:val="single" w:sz="8" w:color="auto"/>
            </w:tcBorders>
            <w:gridSpan w:val="21"/>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780" w:type="dxa"/>
            <w:vAlign w:val="bottom"/>
            <w:gridSpan w:val="2"/>
          </w:tcPr>
          <w:p>
            <w:pPr>
              <w:jc w:val="center"/>
              <w:ind w:right="116"/>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Restated Certificate of Incorporation of the Registrant, as amended (incorporated by reference to Exhibit 3.1 of the Registrant’s Quarterly Report</w:t>
              </w:r>
            </w:hyperlink>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tcBorders>
              <w:top w:val="single" w:sz="8" w:color="0000EE"/>
              <w:bottom w:val="single" w:sz="8" w:color="0000EE"/>
            </w:tcBorders>
            <w:gridSpan w:val="6"/>
          </w:tcPr>
          <w:p>
            <w:pPr>
              <w:spacing w:after="0" w:line="195"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on Form 10-Q filed August 9, 2012).</w:t>
              </w:r>
            </w:hyperlink>
          </w:p>
        </w:tc>
        <w:tc>
          <w:tcPr>
            <w:tcW w:w="7640" w:type="dxa"/>
            <w:vAlign w:val="bottom"/>
            <w:tcBorders>
              <w:top w:val="single" w:sz="8" w:color="0000EE"/>
            </w:tcBorders>
            <w:gridSpan w:val="15"/>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jc w:val="center"/>
              <w:ind w:right="116"/>
              <w:spacing w:after="0"/>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Amended and Restated Bylaws of the Registrant (incorporated by reference to Exhibit 3.4 of the Registrant’s Registration Statement on Form S-</w:t>
              </w:r>
            </w:hyperlink>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tcBorders>
              <w:top w:val="single" w:sz="8" w:color="0000EE"/>
              <w:bottom w:val="single" w:sz="8" w:color="0000EE"/>
            </w:tcBorders>
            <w:gridSpan w:val="10"/>
          </w:tcPr>
          <w:p>
            <w:pPr>
              <w:spacing w:after="0" w:line="195"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1 (File No. 333-119433) filed October 1, 2004).</w:t>
              </w:r>
            </w:hyperlink>
          </w:p>
        </w:tc>
        <w:tc>
          <w:tcPr>
            <w:tcW w:w="6860" w:type="dxa"/>
            <w:vAlign w:val="bottom"/>
            <w:tcBorders>
              <w:top w:val="single" w:sz="8" w:color="0000EE"/>
            </w:tcBorders>
            <w:gridSpan w:val="11"/>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jc w:val="center"/>
              <w:ind w:right="116"/>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4"/>
                <w:szCs w:val="24"/>
                <w:color w:val="auto"/>
              </w:rPr>
            </w:pPr>
          </w:p>
        </w:tc>
        <w:tc>
          <w:tcPr>
            <w:tcW w:w="10280" w:type="dxa"/>
            <w:vAlign w:val="bottom"/>
            <w:gridSpan w:val="21"/>
          </w:tcPr>
          <w:p>
            <w:pPr>
              <w:spacing w:after="0"/>
              <w:rPr>
                <w:rFonts w:ascii="Arial" w:cs="Arial" w:eastAsia="Arial" w:hAnsi="Arial"/>
                <w:sz w:val="18"/>
                <w:szCs w:val="18"/>
                <w:color w:val="0000EE"/>
                <w:w w:val="93"/>
              </w:rPr>
            </w:pPr>
            <w:hyperlink r:id="rId107">
              <w:r>
                <w:rPr>
                  <w:rFonts w:ascii="Arial" w:cs="Arial" w:eastAsia="Arial" w:hAnsi="Arial"/>
                  <w:sz w:val="18"/>
                  <w:szCs w:val="18"/>
                  <w:color w:val="0000EE"/>
                  <w:w w:val="93"/>
                </w:rPr>
                <w:t>Specimen of Common Stock Certificate (incorporated by reference to Exhibit 4.1 of the Registrant’s Annual Report on Form 10-K (File No.</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40" w:type="dxa"/>
            <w:vAlign w:val="bottom"/>
            <w:tcBorders>
              <w:top w:val="single" w:sz="8" w:color="0000EE"/>
            </w:tcBorders>
            <w:gridSpan w:val="17"/>
          </w:tcPr>
          <w:p>
            <w:pPr>
              <w:spacing w:after="0" w:line="195" w:lineRule="exact"/>
              <w:rPr>
                <w:rFonts w:ascii="Arial" w:cs="Arial" w:eastAsia="Arial" w:hAnsi="Arial"/>
                <w:sz w:val="18"/>
                <w:szCs w:val="18"/>
                <w:color w:val="0000EE"/>
              </w:rPr>
            </w:pPr>
            <w:hyperlink r:id="rId107">
              <w:r>
                <w:rPr>
                  <w:rFonts w:ascii="Arial" w:cs="Arial" w:eastAsia="Arial" w:hAnsi="Arial"/>
                  <w:sz w:val="18"/>
                  <w:szCs w:val="18"/>
                  <w:color w:val="0000EE"/>
                </w:rPr>
                <w:t>001-33185) filed February 15, 2007).</w:t>
              </w:r>
            </w:hyperlink>
          </w:p>
        </w:tc>
        <w:tc>
          <w:tcPr>
            <w:tcW w:w="24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80" w:type="dxa"/>
            <w:vAlign w:val="bottom"/>
            <w:gridSpan w:val="2"/>
          </w:tcPr>
          <w:p>
            <w:pPr>
              <w:jc w:val="center"/>
              <w:ind w:right="116"/>
              <w:spacing w:after="0"/>
              <w:rPr>
                <w:sz w:val="20"/>
                <w:szCs w:val="20"/>
                <w:color w:val="auto"/>
              </w:rPr>
            </w:pPr>
            <w:r>
              <w:rPr>
                <w:rFonts w:ascii="Arial" w:cs="Arial" w:eastAsia="Arial" w:hAnsi="Arial"/>
                <w:sz w:val="18"/>
                <w:szCs w:val="18"/>
                <w:color w:val="auto"/>
                <w:w w:val="87"/>
              </w:rPr>
              <w:t>4.2</w:t>
            </w:r>
          </w:p>
        </w:tc>
        <w:tc>
          <w:tcPr>
            <w:tcW w:w="180" w:type="dxa"/>
            <w:vAlign w:val="bottom"/>
          </w:tcPr>
          <w:p>
            <w:pPr>
              <w:spacing w:after="0"/>
              <w:rPr>
                <w:sz w:val="24"/>
                <w:szCs w:val="24"/>
                <w:color w:val="auto"/>
              </w:rPr>
            </w:pPr>
          </w:p>
        </w:tc>
        <w:tc>
          <w:tcPr>
            <w:tcW w:w="10280" w:type="dxa"/>
            <w:vAlign w:val="bottom"/>
            <w:gridSpan w:val="21"/>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Amended and Restated Registration Rights Agreement, dated September 2, 2004, by and among the Registrant, its founders and the investors</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0" w:type="dxa"/>
            <w:vAlign w:val="bottom"/>
            <w:tcBorders>
              <w:top w:val="single" w:sz="8" w:color="0000EE"/>
              <w:bottom w:val="single" w:sz="8" w:color="0000EE"/>
            </w:tcBorders>
            <w:gridSpan w:val="16"/>
          </w:tcPr>
          <w:p>
            <w:pPr>
              <w:spacing w:after="0" w:line="195"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named therein (incorporated by reference to Exhibit 4.2 of the Registrant’s Registration Statement on Form S-1 (File No. 333-119433) filed</w:t>
              </w:r>
            </w:hyperlink>
          </w:p>
        </w:tc>
        <w:tc>
          <w:tcPr>
            <w:tcW w:w="120" w:type="dxa"/>
            <w:vAlign w:val="bottom"/>
            <w:tcBorders>
              <w:top w:val="single" w:sz="8" w:color="0000EE"/>
            </w:tcBorders>
            <w:gridSpan w:val="3"/>
          </w:tcPr>
          <w:p>
            <w:pPr>
              <w:spacing w:after="0"/>
              <w:rPr>
                <w:sz w:val="16"/>
                <w:szCs w:val="16"/>
                <w:color w:val="auto"/>
              </w:rPr>
            </w:pPr>
          </w:p>
        </w:tc>
        <w:tc>
          <w:tcPr>
            <w:tcW w:w="1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bottom w:val="single" w:sz="8" w:color="0000EE"/>
            </w:tcBorders>
            <w:gridSpan w:val="2"/>
          </w:tcPr>
          <w:p>
            <w:pPr>
              <w:spacing w:after="0" w:line="195" w:lineRule="exact"/>
              <w:rPr>
                <w:rFonts w:ascii="Arial" w:cs="Arial" w:eastAsia="Arial" w:hAnsi="Arial"/>
                <w:sz w:val="18"/>
                <w:szCs w:val="18"/>
                <w:color w:val="0000EE"/>
                <w:w w:val="88"/>
              </w:rPr>
            </w:pPr>
            <w:hyperlink r:id="rId108">
              <w:r>
                <w:rPr>
                  <w:rFonts w:ascii="Arial" w:cs="Arial" w:eastAsia="Arial" w:hAnsi="Arial"/>
                  <w:sz w:val="18"/>
                  <w:szCs w:val="18"/>
                  <w:color w:val="0000EE"/>
                  <w:w w:val="88"/>
                </w:rPr>
                <w:t>October 1, 2004).</w:t>
              </w:r>
            </w:hyperlink>
          </w:p>
        </w:tc>
        <w:tc>
          <w:tcPr>
            <w:tcW w:w="9020" w:type="dxa"/>
            <w:vAlign w:val="bottom"/>
            <w:gridSpan w:val="19"/>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7"/>
        </w:trPr>
        <w:tc>
          <w:tcPr>
            <w:tcW w:w="780" w:type="dxa"/>
            <w:vAlign w:val="bottom"/>
            <w:gridSpan w:val="2"/>
          </w:tcPr>
          <w:p>
            <w:pPr>
              <w:jc w:val="center"/>
              <w:ind w:right="116"/>
              <w:spacing w:after="0"/>
              <w:rPr>
                <w:sz w:val="20"/>
                <w:szCs w:val="20"/>
                <w:color w:val="auto"/>
              </w:rPr>
            </w:pPr>
            <w:r>
              <w:rPr>
                <w:rFonts w:ascii="Arial" w:cs="Arial" w:eastAsia="Arial" w:hAnsi="Arial"/>
                <w:sz w:val="18"/>
                <w:szCs w:val="18"/>
                <w:color w:val="auto"/>
                <w:w w:val="87"/>
              </w:rPr>
              <w:t>4.3</w:t>
            </w:r>
          </w:p>
        </w:tc>
        <w:tc>
          <w:tcPr>
            <w:tcW w:w="180" w:type="dxa"/>
            <w:vAlign w:val="bottom"/>
          </w:tcPr>
          <w:p>
            <w:pPr>
              <w:spacing w:after="0"/>
              <w:rPr>
                <w:sz w:val="24"/>
                <w:szCs w:val="24"/>
                <w:color w:val="auto"/>
              </w:rPr>
            </w:pPr>
          </w:p>
        </w:tc>
        <w:tc>
          <w:tcPr>
            <w:tcW w:w="10000" w:type="dxa"/>
            <w:vAlign w:val="bottom"/>
            <w:tcBorders>
              <w:bottom w:val="single" w:sz="8" w:color="0000EE"/>
            </w:tcBorders>
            <w:gridSpan w:val="16"/>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Form of Warrant to Purchase Common Stock, dated May 14, 2013, issued to Samurai Investments San Diego LLC and Fountain Erika LLC</w:t>
              </w:r>
            </w:hyperlink>
          </w:p>
        </w:tc>
        <w:tc>
          <w:tcPr>
            <w:tcW w:w="28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900" w:type="dxa"/>
            <w:vAlign w:val="bottom"/>
            <w:tcBorders>
              <w:bottom w:val="single" w:sz="8" w:color="0000EE"/>
            </w:tcBorders>
            <w:gridSpan w:val="13"/>
          </w:tcPr>
          <w:p>
            <w:pPr>
              <w:spacing w:after="0" w:line="195"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(incorporated by reference to Exhibit 4.1 of the Registrant’s Current Report on Form 8-K filed May 10, 2013).</w:t>
              </w:r>
            </w:hyperlink>
          </w:p>
        </w:tc>
        <w:tc>
          <w:tcPr>
            <w:tcW w:w="2380" w:type="dxa"/>
            <w:vAlign w:val="bottom"/>
            <w:gridSpan w:val="8"/>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jc w:val="center"/>
              <w:ind w:right="136"/>
              <w:spacing w:after="0"/>
              <w:rPr>
                <w:sz w:val="20"/>
                <w:szCs w:val="20"/>
                <w:color w:val="auto"/>
              </w:rPr>
            </w:pPr>
            <w:r>
              <w:rPr>
                <w:rFonts w:ascii="Arial" w:cs="Arial" w:eastAsia="Arial" w:hAnsi="Arial"/>
                <w:sz w:val="18"/>
                <w:szCs w:val="18"/>
                <w:color w:val="auto"/>
                <w:w w:val="95"/>
              </w:rPr>
              <w:t>10.1*</w:t>
            </w:r>
          </w:p>
        </w:tc>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Amended and Restated 2004 Stock Incentive Plan of the Registrant (incorporated by reference to Exhibit 10.2 of the Registrant’s Annual Report</w:t>
              </w:r>
            </w:hyperlink>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tcBorders>
              <w:top w:val="single" w:sz="8" w:color="0000EE"/>
              <w:bottom w:val="single" w:sz="8" w:color="0000EE"/>
            </w:tcBorders>
            <w:gridSpan w:val="8"/>
          </w:tcPr>
          <w:p>
            <w:pPr>
              <w:spacing w:after="0" w:line="195"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on Form 10-K filed March 29, 2012).</w:t>
              </w:r>
            </w:hyperlink>
          </w:p>
        </w:tc>
        <w:tc>
          <w:tcPr>
            <w:tcW w:w="7600" w:type="dxa"/>
            <w:vAlign w:val="bottom"/>
            <w:tcBorders>
              <w:top w:val="single" w:sz="8" w:color="0000EE"/>
            </w:tcBorders>
            <w:gridSpan w:val="13"/>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jc w:val="center"/>
              <w:ind w:right="136"/>
              <w:spacing w:after="0"/>
              <w:rPr>
                <w:sz w:val="20"/>
                <w:szCs w:val="20"/>
                <w:color w:val="auto"/>
              </w:rPr>
            </w:pPr>
            <w:r>
              <w:rPr>
                <w:rFonts w:ascii="Arial" w:cs="Arial" w:eastAsia="Arial" w:hAnsi="Arial"/>
                <w:sz w:val="18"/>
                <w:szCs w:val="18"/>
                <w:color w:val="auto"/>
                <w:w w:val="95"/>
              </w:rPr>
              <w:t>10.2*</w:t>
            </w:r>
          </w:p>
        </w:tc>
        <w:tc>
          <w:tcPr>
            <w:tcW w:w="180" w:type="dxa"/>
            <w:vAlign w:val="bottom"/>
          </w:tcPr>
          <w:p>
            <w:pPr>
              <w:spacing w:after="0"/>
              <w:rPr>
                <w:sz w:val="24"/>
                <w:szCs w:val="24"/>
                <w:color w:val="auto"/>
              </w:rPr>
            </w:pPr>
          </w:p>
        </w:tc>
        <w:tc>
          <w:tcPr>
            <w:tcW w:w="10480" w:type="dxa"/>
            <w:vAlign w:val="bottom"/>
            <w:gridSpan w:val="27"/>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Form of Indemnity Agreement between the Registrant and its officers and directors (incorporated by reference to Exhibit 10.3 of the Registrant’s</w:t>
              </w:r>
            </w:hyperlink>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80" w:type="dxa"/>
            <w:vAlign w:val="bottom"/>
            <w:tcBorders>
              <w:top w:val="single" w:sz="8" w:color="0000EE"/>
            </w:tcBorders>
            <w:gridSpan w:val="21"/>
          </w:tcPr>
          <w:p>
            <w:pPr>
              <w:spacing w:after="0" w:line="195" w:lineRule="exact"/>
              <w:rPr>
                <w:rFonts w:ascii="Arial" w:cs="Arial" w:eastAsia="Arial" w:hAnsi="Arial"/>
                <w:sz w:val="18"/>
                <w:szCs w:val="18"/>
                <w:color w:val="0000EE"/>
              </w:rPr>
            </w:pPr>
            <w:hyperlink r:id="rId111">
              <w:r>
                <w:rPr>
                  <w:rFonts w:ascii="Arial" w:cs="Arial" w:eastAsia="Arial" w:hAnsi="Arial"/>
                  <w:sz w:val="18"/>
                  <w:szCs w:val="18"/>
                  <w:color w:val="0000EE"/>
                </w:rPr>
                <w:t>Annual Report on Form 10-K filed March 28, 2013).</w:t>
              </w:r>
            </w:hyperlink>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gridSpan w:val="3"/>
          </w:tcPr>
          <w:p>
            <w:pPr>
              <w:spacing w:after="0" w:line="20" w:lineRule="exact"/>
              <w:rPr>
                <w:sz w:val="1"/>
                <w:szCs w:val="1"/>
                <w:color w:val="auto"/>
              </w:rPr>
            </w:pPr>
          </w:p>
        </w:tc>
        <w:tc>
          <w:tcPr>
            <w:tcW w:w="3780" w:type="dxa"/>
            <w:vAlign w:val="bottom"/>
            <w:gridSpan w:val="12"/>
            <w:shd w:val="clear" w:color="auto" w:fill="0000EE"/>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6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10.3†</w:t>
            </w:r>
          </w:p>
        </w:tc>
        <w:tc>
          <w:tcPr>
            <w:tcW w:w="10280" w:type="dxa"/>
            <w:vAlign w:val="bottom"/>
            <w:gridSpan w:val="21"/>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License Agreement, dated March 14, 2002, between the Registrant and Kyorin Pharmaceutical Co., Ltd. (incorporated by reference to Exhibit</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160" w:type="dxa"/>
            <w:vAlign w:val="bottom"/>
            <w:tcBorders>
              <w:top w:val="single" w:sz="8" w:color="0000EE"/>
            </w:tcBorders>
            <w:gridSpan w:val="20"/>
          </w:tcPr>
          <w:p>
            <w:pPr>
              <w:spacing w:after="0" w:line="195" w:lineRule="exact"/>
              <w:rPr>
                <w:rFonts w:ascii="Arial" w:cs="Arial" w:eastAsia="Arial" w:hAnsi="Arial"/>
                <w:sz w:val="18"/>
                <w:szCs w:val="18"/>
                <w:color w:val="0000EE"/>
                <w:w w:val="95"/>
              </w:rPr>
            </w:pPr>
            <w:hyperlink r:id="rId112">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4</w:t>
              </w:r>
              <w:r>
                <w:rPr>
                  <w:rFonts w:ascii="Arial" w:cs="Arial" w:eastAsia="Arial" w:hAnsi="Arial"/>
                  <w:sz w:val="18"/>
                  <w:szCs w:val="18"/>
                  <w:color w:val="0000EE"/>
                  <w:w w:val="95"/>
                </w:rPr>
                <w:t xml:space="preserve"> of the Registrant’s Registration Statement on Form S-1, as amended (File No. 333-119433), originally filed on October 1, 2004).</w:t>
              </w:r>
            </w:hyperlink>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gridSpan w:val="3"/>
          </w:tcPr>
          <w:p>
            <w:pPr>
              <w:spacing w:after="0" w:line="20" w:lineRule="exact"/>
              <w:rPr>
                <w:sz w:val="1"/>
                <w:szCs w:val="1"/>
                <w:color w:val="auto"/>
              </w:rPr>
            </w:pPr>
          </w:p>
        </w:tc>
        <w:tc>
          <w:tcPr>
            <w:tcW w:w="9560" w:type="dxa"/>
            <w:vAlign w:val="bottom"/>
            <w:gridSpan w:val="14"/>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6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10.4†</w:t>
            </w:r>
          </w:p>
        </w:tc>
        <w:tc>
          <w:tcPr>
            <w:tcW w:w="10080" w:type="dxa"/>
            <w:vAlign w:val="bottom"/>
            <w:tcBorders>
              <w:bottom w:val="single" w:sz="8" w:color="0000EE"/>
            </w:tcBorders>
            <w:gridSpan w:val="18"/>
          </w:tcPr>
          <w:p>
            <w:pPr>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License Agreement, dated June 19, 2002, between the Registrant and Angiogene Pharmaceuticals, Ltd. (incorporated by reference to Exhibit</w:t>
              </w:r>
            </w:hyperlink>
          </w:p>
        </w:tc>
        <w:tc>
          <w:tcPr>
            <w:tcW w:w="2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80" w:type="dxa"/>
            <w:vAlign w:val="bottom"/>
            <w:gridSpan w:val="21"/>
          </w:tcPr>
          <w:p>
            <w:pPr>
              <w:spacing w:after="0" w:line="195" w:lineRule="exact"/>
              <w:rPr>
                <w:rFonts w:ascii="Arial" w:cs="Arial" w:eastAsia="Arial" w:hAnsi="Arial"/>
                <w:sz w:val="18"/>
                <w:szCs w:val="18"/>
                <w:color w:val="0000EE"/>
                <w:w w:val="97"/>
              </w:rPr>
            </w:pPr>
            <w:hyperlink r:id="rId113">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5</w:t>
              </w:r>
              <w:r>
                <w:rPr>
                  <w:rFonts w:ascii="Arial" w:cs="Arial" w:eastAsia="Arial" w:hAnsi="Arial"/>
                  <w:sz w:val="18"/>
                  <w:szCs w:val="18"/>
                  <w:color w:val="0000EE"/>
                  <w:w w:val="97"/>
                </w:rPr>
                <w:t xml:space="preserve"> of the Registrant’s Registration Statement on Form S-1, as amended (File No. 333-119433), originally filed on October 1, 2004).</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gridSpan w:val="3"/>
          </w:tcPr>
          <w:p>
            <w:pPr>
              <w:spacing w:after="0" w:line="20" w:lineRule="exact"/>
              <w:rPr>
                <w:sz w:val="1"/>
                <w:szCs w:val="1"/>
                <w:color w:val="auto"/>
              </w:rPr>
            </w:pPr>
          </w:p>
        </w:tc>
        <w:tc>
          <w:tcPr>
            <w:tcW w:w="9560" w:type="dxa"/>
            <w:vAlign w:val="bottom"/>
            <w:gridSpan w:val="14"/>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6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10.5†</w:t>
            </w:r>
          </w:p>
        </w:tc>
        <w:tc>
          <w:tcPr>
            <w:tcW w:w="10280" w:type="dxa"/>
            <w:vAlign w:val="bottom"/>
            <w:tcBorders>
              <w:bottom w:val="single" w:sz="8" w:color="0000EE"/>
            </w:tcBorders>
            <w:gridSpan w:val="21"/>
          </w:tcPr>
          <w:p>
            <w:pPr>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Exclusive License Agreement, dated February 25, 2004, between the Registrant and Kissei Pharmaceutical Co., Ltd. (incorporated by reference</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80" w:type="dxa"/>
            <w:vAlign w:val="bottom"/>
            <w:gridSpan w:val="27"/>
          </w:tcPr>
          <w:p>
            <w:pPr>
              <w:spacing w:after="0" w:line="195"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to Exhibit 10.7 of the Registrant’s Registration Statement on Form S-1, as amended (File No. 333-119433), originally filed on October 1, 2004).</w:t>
              </w:r>
            </w:hyperlink>
          </w:p>
        </w:tc>
        <w:tc>
          <w:tcPr>
            <w:tcW w:w="0" w:type="dxa"/>
            <w:vAlign w:val="bottom"/>
          </w:tcPr>
          <w:p>
            <w:pPr>
              <w:spacing w:after="0"/>
              <w:rPr>
                <w:sz w:val="1"/>
                <w:szCs w:val="1"/>
                <w:color w:val="auto"/>
              </w:rPr>
            </w:pPr>
          </w:p>
        </w:tc>
      </w:tr>
      <w:tr>
        <w:trPr>
          <w:trHeight w:val="450"/>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tcBorders>
              <w:top w:val="single" w:sz="8" w:color="0000EE"/>
            </w:tcBorders>
            <w:gridSpan w:val="13"/>
          </w:tcPr>
          <w:p>
            <w:pPr>
              <w:ind w:left="4660"/>
              <w:spacing w:after="0"/>
              <w:rPr>
                <w:sz w:val="20"/>
                <w:szCs w:val="20"/>
                <w:color w:val="auto"/>
              </w:rPr>
            </w:pPr>
            <w:r>
              <w:rPr>
                <w:rFonts w:ascii="Arial" w:cs="Arial" w:eastAsia="Arial" w:hAnsi="Arial"/>
                <w:sz w:val="18"/>
                <w:szCs w:val="18"/>
                <w:color w:val="auto"/>
              </w:rPr>
              <w:t>86</w:t>
            </w:r>
          </w:p>
        </w:tc>
        <w:tc>
          <w:tcPr>
            <w:tcW w:w="16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color w:val="auto"/>
        </w:rPr>
        <w:t>Exhibit</w:t>
      </w:r>
    </w:p>
    <w:p>
      <w:pPr>
        <w:spacing w:after="0" w:line="3"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532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53275" cy="8255"/>
                    </a:xfrm>
                    <a:prstGeom prst="rect">
                      <a:avLst/>
                    </a:prstGeom>
                    <a:noFill/>
                  </pic:spPr>
                </pic:pic>
              </a:graphicData>
            </a:graphic>
          </wp:anchor>
        </w:drawing>
      </w:r>
    </w:p>
    <w:p>
      <w:pPr>
        <w:spacing w:after="0" w:line="214" w:lineRule="exact"/>
        <w:rPr>
          <w:sz w:val="20"/>
          <w:szCs w:val="20"/>
          <w:color w:val="auto"/>
        </w:rPr>
      </w:pPr>
    </w:p>
    <w:p>
      <w:pPr>
        <w:ind w:left="880" w:right="180" w:hanging="872"/>
        <w:spacing w:after="0" w:line="339"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118">
        <w:r>
          <w:rPr>
            <w:rFonts w:ascii="Arial" w:cs="Arial" w:eastAsia="Arial" w:hAnsi="Arial"/>
            <w:sz w:val="16"/>
            <w:szCs w:val="16"/>
            <w:u w:val="single" w:color="auto"/>
            <w:color w:val="0000EE"/>
          </w:rPr>
          <w:t>License Agreement, dated April 27, 2004, between the Registrant and Mitsubishi Tanabe Pharma Corporation (incorporated by reference to</w:t>
        </w:r>
      </w:hyperlink>
      <w:r>
        <w:rPr>
          <w:rFonts w:ascii="Arial" w:cs="Arial" w:eastAsia="Arial" w:hAnsi="Arial"/>
          <w:sz w:val="16"/>
          <w:szCs w:val="16"/>
          <w:u w:val="single" w:color="auto"/>
          <w:color w:val="0000EE"/>
        </w:rPr>
        <w:t xml:space="preserve"> </w:t>
      </w:r>
      <w:hyperlink r:id="rId118">
        <w:r>
          <w:rPr>
            <w:rFonts w:ascii="Arial" w:cs="Arial" w:eastAsia="Arial" w:hAnsi="Arial"/>
            <w:sz w:val="16"/>
            <w:szCs w:val="16"/>
            <w:u w:val="single" w:color="auto"/>
            <w:color w:val="0000EE"/>
          </w:rPr>
          <w:t>Exhibit 10.8 of the Registrant’s Registration Statement on Form S-1, as amended (File No. 333-119433), originally filed on October 1, 2004).</w:t>
        </w:r>
      </w:hyperlink>
    </w:p>
    <w:p>
      <w:pPr>
        <w:spacing w:after="0" w:line="3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119">
        <w:r>
          <w:rPr>
            <w:rFonts w:ascii="Arial" w:cs="Arial" w:eastAsia="Arial" w:hAnsi="Arial"/>
            <w:sz w:val="16"/>
            <w:szCs w:val="16"/>
            <w:u w:val="single" w:color="auto"/>
            <w:color w:val="0000EE"/>
          </w:rPr>
          <w:t>License Agreement, dated October 22, 2004, between the Registrant and Kyorin Pharmaceutical Co., Ltd., (incorporated by reference to Exhibit</w:t>
        </w:r>
      </w:hyperlink>
    </w:p>
    <w:p>
      <w:pPr>
        <w:spacing w:after="0" w:line="22" w:lineRule="exact"/>
        <w:rPr>
          <w:sz w:val="20"/>
          <w:szCs w:val="20"/>
          <w:color w:val="auto"/>
        </w:rPr>
      </w:pPr>
    </w:p>
    <w:p>
      <w:pPr>
        <w:ind w:left="880"/>
        <w:spacing w:after="0"/>
        <w:rPr>
          <w:rFonts w:ascii="Arial" w:cs="Arial" w:eastAsia="Arial" w:hAnsi="Arial"/>
          <w:sz w:val="17"/>
          <w:szCs w:val="17"/>
          <w:u w:val="single" w:color="auto"/>
          <w:color w:val="0000EE"/>
        </w:rPr>
      </w:pPr>
      <w:hyperlink r:id="rId119">
        <w:r>
          <w:rPr>
            <w:rFonts w:ascii="Arial" w:cs="Arial" w:eastAsia="Arial" w:hAnsi="Arial"/>
            <w:sz w:val="17"/>
            <w:szCs w:val="17"/>
            <w:u w:val="single" w:color="auto"/>
            <w:color w:val="0000EE"/>
          </w:rPr>
          <w:t>10.18 of the Registrant’s Registration Statement on Form S-1, as amended (File No. 333-119433), originally filed on October 1, 2004).</w:t>
        </w:r>
      </w:hyperlink>
    </w:p>
    <w:p>
      <w:pPr>
        <w:spacing w:after="0" w:line="126" w:lineRule="exact"/>
        <w:rPr>
          <w:sz w:val="20"/>
          <w:szCs w:val="20"/>
          <w:color w:val="auto"/>
        </w:rPr>
      </w:pPr>
    </w:p>
    <w:p>
      <w:pPr>
        <w:jc w:val="right"/>
        <w:ind w:right="60"/>
        <w:spacing w:after="0" w:line="339"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10.8†     </w:t>
      </w:r>
      <w:hyperlink r:id="rId120">
        <w:r>
          <w:rPr>
            <w:rFonts w:ascii="Arial" w:cs="Arial" w:eastAsia="Arial" w:hAnsi="Arial"/>
            <w:sz w:val="16"/>
            <w:szCs w:val="16"/>
            <w:u w:val="single" w:color="auto"/>
            <w:color w:val="0000EE"/>
          </w:rPr>
          <w:t>License Agreement, dated December 8, 2004, between the Registrant and Mitsubishi Tanabe Pharma Corporation (incorporated by reference to</w:t>
        </w:r>
      </w:hyperlink>
      <w:r>
        <w:rPr>
          <w:rFonts w:ascii="Arial" w:cs="Arial" w:eastAsia="Arial" w:hAnsi="Arial"/>
          <w:sz w:val="16"/>
          <w:szCs w:val="16"/>
          <w:color w:val="auto"/>
        </w:rPr>
        <w:t xml:space="preserve"> </w:t>
      </w:r>
      <w:hyperlink r:id="rId120">
        <w:r>
          <w:rPr>
            <w:rFonts w:ascii="Arial" w:cs="Arial" w:eastAsia="Arial" w:hAnsi="Arial"/>
            <w:sz w:val="16"/>
            <w:szCs w:val="16"/>
            <w:u w:val="single" w:color="auto"/>
            <w:color w:val="0000EE"/>
          </w:rPr>
          <w:t>Exhibit 10.21 of the Registrant’s Registration Statement on Form S-1, as amended (File No. 333-119433), originally filed on October 1, 2004).</w:t>
        </w:r>
      </w:hyperlink>
    </w:p>
    <w:p>
      <w:pPr>
        <w:spacing w:after="0" w:line="31" w:lineRule="exact"/>
        <w:rPr>
          <w:sz w:val="20"/>
          <w:szCs w:val="20"/>
          <w:color w:val="auto"/>
        </w:rPr>
      </w:pPr>
    </w:p>
    <w:p>
      <w:pPr>
        <w:ind w:left="880" w:right="40" w:hanging="872"/>
        <w:spacing w:after="0" w:line="27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21">
        <w:r>
          <w:rPr>
            <w:rFonts w:ascii="Arial" w:cs="Arial" w:eastAsia="Arial" w:hAnsi="Arial"/>
            <w:sz w:val="18"/>
            <w:szCs w:val="18"/>
            <w:u w:val="single" w:color="auto"/>
            <w:color w:val="0000EE"/>
          </w:rPr>
          <w:t>Employment Agreement, dated September 1, 2006, between the Registrant and Masatsune Okajima (incorporated by reference to Exhibit 10.12</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of the Registrant’s Annual Report on Form 10-K (File No. 001-33185) filed February 15, 2007).</w:t>
        </w:r>
      </w:hyperlink>
    </w:p>
    <w:p>
      <w:pPr>
        <w:spacing w:after="0" w:line="76"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22">
        <w:r>
          <w:rPr>
            <w:rFonts w:ascii="Arial" w:cs="Arial" w:eastAsia="Arial" w:hAnsi="Arial"/>
            <w:sz w:val="16"/>
            <w:szCs w:val="16"/>
            <w:u w:val="single" w:color="auto"/>
            <w:color w:val="0000EE"/>
          </w:rPr>
          <w:t>License Agreement, dated October 31, 2006, by and between the Registrant and Meiji Seika Kaisha, Ltd. (incorporated by reference to Exhibit</w:t>
        </w:r>
      </w:hyperlink>
    </w:p>
    <w:p>
      <w:pPr>
        <w:spacing w:after="0" w:line="22" w:lineRule="exact"/>
        <w:rPr>
          <w:sz w:val="20"/>
          <w:szCs w:val="20"/>
          <w:color w:val="auto"/>
        </w:rPr>
      </w:pPr>
    </w:p>
    <w:p>
      <w:pPr>
        <w:ind w:left="880"/>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10.1 of the Registrant’s Current Report on Form 8-K (File No. 000-51133) filed November 2, 2006).</w:t>
        </w:r>
      </w:hyperlink>
    </w:p>
    <w:p>
      <w:pPr>
        <w:spacing w:after="0" w:line="114"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123">
        <w:r>
          <w:rPr>
            <w:rFonts w:ascii="Arial" w:cs="Arial" w:eastAsia="Arial" w:hAnsi="Arial"/>
            <w:sz w:val="16"/>
            <w:szCs w:val="16"/>
            <w:u w:val="single" w:color="auto"/>
            <w:color w:val="0000EE"/>
          </w:rPr>
          <w:t>License Agreement, dated October 31, 2006, by and between the Registrant and Meiji Seika Kaisha, Ltd. (incorporated by reference to Exhibit</w:t>
        </w:r>
      </w:hyperlink>
    </w:p>
    <w:p>
      <w:pPr>
        <w:spacing w:after="0" w:line="22" w:lineRule="exact"/>
        <w:rPr>
          <w:sz w:val="20"/>
          <w:szCs w:val="20"/>
          <w:color w:val="auto"/>
        </w:rPr>
      </w:pPr>
    </w:p>
    <w:p>
      <w:pPr>
        <w:ind w:left="880"/>
        <w:spacing w:after="0"/>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10.2 of the Registrant’s Current Report on Form 8-K (File No. 000-51133) filed November 2, 2006).</w:t>
        </w:r>
      </w:hyperlink>
    </w:p>
    <w:p>
      <w:pPr>
        <w:spacing w:after="0" w:line="114" w:lineRule="exact"/>
        <w:rPr>
          <w:sz w:val="20"/>
          <w:szCs w:val="20"/>
          <w:color w:val="auto"/>
        </w:rPr>
      </w:pPr>
    </w:p>
    <w:p>
      <w:pPr>
        <w:ind w:left="880" w:right="240" w:hanging="872"/>
        <w:spacing w:after="0" w:line="27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24">
        <w:r>
          <w:rPr>
            <w:rFonts w:ascii="Arial" w:cs="Arial" w:eastAsia="Arial" w:hAnsi="Arial"/>
            <w:sz w:val="18"/>
            <w:szCs w:val="18"/>
            <w:u w:val="single" w:color="auto"/>
            <w:color w:val="0000EE"/>
          </w:rPr>
          <w:t>Executive Employment Agreement, dated April 1, 2007, between the Registrant and Yuichi Iwaki, M.D., Ph.D. (incorporated by reference to</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Exhibit 10.1 of the Registrant’s Current Report on Form 8-K (File No. 001-33185) filed April 4, 2007).</w:t>
        </w:r>
      </w:hyperlink>
    </w:p>
    <w:p>
      <w:pPr>
        <w:spacing w:after="0" w:line="76" w:lineRule="exact"/>
        <w:rPr>
          <w:sz w:val="20"/>
          <w:szCs w:val="20"/>
          <w:color w:val="auto"/>
        </w:rPr>
      </w:pPr>
    </w:p>
    <w:p>
      <w:pPr>
        <w:ind w:left="880" w:right="40" w:hanging="872"/>
        <w:spacing w:after="0" w:line="27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25">
        <w:r>
          <w:rPr>
            <w:rFonts w:ascii="Arial" w:cs="Arial" w:eastAsia="Arial" w:hAnsi="Arial"/>
            <w:sz w:val="18"/>
            <w:szCs w:val="18"/>
            <w:u w:val="single" w:color="auto"/>
            <w:color w:val="0000EE"/>
          </w:rPr>
          <w:t>2007 Employee Stock Purchase Plan of the Registrant (incorporated by reference to Appendix A of the Registrant’s Definitive Proxy Statement</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on Schedule 14A (File No. 001-33185) filed March 13, 2007).</w:t>
        </w:r>
      </w:hyperlink>
    </w:p>
    <w:p>
      <w:pPr>
        <w:spacing w:after="0" w:line="76" w:lineRule="exact"/>
        <w:rPr>
          <w:sz w:val="20"/>
          <w:szCs w:val="20"/>
          <w:color w:val="auto"/>
        </w:rPr>
      </w:pPr>
    </w:p>
    <w:p>
      <w:pPr>
        <w:ind w:left="880" w:right="540" w:hanging="872"/>
        <w:spacing w:after="0" w:line="27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26">
        <w:r>
          <w:rPr>
            <w:rFonts w:ascii="Arial" w:cs="Arial" w:eastAsia="Arial" w:hAnsi="Arial"/>
            <w:sz w:val="18"/>
            <w:szCs w:val="18"/>
            <w:u w:val="single" w:color="auto"/>
            <w:color w:val="0000EE"/>
          </w:rPr>
          <w:t>Development and Supply Agreement, dated as of March 26, 2009, between the Registrant and Hospira Worldwide, Inc. (incorporated by</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reference to Exhibit 10.1 of the Registrant’s Current Report on Form 8-K filed March 30, 2009).</w:t>
        </w:r>
      </w:hyperlink>
    </w:p>
    <w:p>
      <w:pPr>
        <w:spacing w:after="0" w:line="76" w:lineRule="exact"/>
        <w:rPr>
          <w:sz w:val="20"/>
          <w:szCs w:val="20"/>
          <w:color w:val="auto"/>
        </w:rPr>
      </w:pPr>
    </w:p>
    <w:p>
      <w:pPr>
        <w:ind w:left="880" w:hanging="872"/>
        <w:spacing w:after="0" w:line="27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27">
        <w:r>
          <w:rPr>
            <w:rFonts w:ascii="Arial" w:cs="Arial" w:eastAsia="Arial" w:hAnsi="Arial"/>
            <w:sz w:val="18"/>
            <w:szCs w:val="18"/>
            <w:u w:val="single" w:color="auto"/>
            <w:color w:val="0000EE"/>
          </w:rPr>
          <w:t>Assignment Agreement, dated December 19, 2005, between Genzyme Corporation and Avigen, Inc. (incorporated by reference to Exhibit 10.58</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of Avigen, Inc.’s Annual Report on Form 10-K (File No. 000-28272) filed March 16, 2006).</w:t>
        </w:r>
      </w:hyperlink>
    </w:p>
    <w:p>
      <w:pPr>
        <w:spacing w:after="0" w:line="76" w:lineRule="exact"/>
        <w:rPr>
          <w:sz w:val="20"/>
          <w:szCs w:val="20"/>
          <w:color w:val="auto"/>
        </w:rPr>
      </w:pPr>
    </w:p>
    <w:p>
      <w:pPr>
        <w:ind w:left="880" w:hanging="872"/>
        <w:spacing w:after="0" w:line="262"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28">
        <w:r>
          <w:rPr>
            <w:rFonts w:ascii="Arial" w:cs="Arial" w:eastAsia="Arial" w:hAnsi="Arial"/>
            <w:sz w:val="18"/>
            <w:szCs w:val="18"/>
            <w:u w:val="single" w:color="auto"/>
            <w:color w:val="0000EE"/>
          </w:rPr>
          <w:t>Asset Purchase Agreement, dated December 17, 2008, between Baxter Healthcare Corporation, Baxter International Inc., and Baxter Healthcare</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S.A. and Avigen, Inc. (incorporated by reference to Exhibit 2.2 of Avigen, Inc.’s Annual Report on Form 10-K (File No. 000-28272) filed</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March 16, 2009).</w:t>
        </w:r>
      </w:hyperlink>
    </w:p>
    <w:p>
      <w:pPr>
        <w:spacing w:after="0" w:line="87" w:lineRule="exact"/>
        <w:rPr>
          <w:rFonts w:ascii="Arial" w:cs="Arial" w:eastAsia="Arial" w:hAnsi="Arial"/>
          <w:sz w:val="18"/>
          <w:szCs w:val="18"/>
          <w:u w:val="single" w:color="auto"/>
          <w:color w:val="0000EE"/>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hyperlink r:id="rId129">
        <w:r>
          <w:rPr>
            <w:rFonts w:ascii="Arial" w:cs="Arial" w:eastAsia="Arial" w:hAnsi="Arial"/>
            <w:sz w:val="16"/>
            <w:szCs w:val="16"/>
            <w:u w:val="single" w:color="auto"/>
            <w:color w:val="0000EE"/>
          </w:rPr>
          <w:t>Form of Amendment to Employment Agreement, dated December 31, 2011, between the Registrant and Yuichi Iwaki, M.D., Ph.D.</w:t>
        </w:r>
      </w:hyperlink>
    </w:p>
    <w:p>
      <w:pPr>
        <w:spacing w:after="0" w:line="22" w:lineRule="exact"/>
        <w:rPr>
          <w:rFonts w:ascii="Arial" w:cs="Arial" w:eastAsia="Arial" w:hAnsi="Arial"/>
          <w:sz w:val="18"/>
          <w:szCs w:val="18"/>
          <w:u w:val="single" w:color="auto"/>
          <w:color w:val="0000EE"/>
        </w:rPr>
      </w:pPr>
    </w:p>
    <w:p>
      <w:pPr>
        <w:ind w:left="880"/>
        <w:spacing w:after="0"/>
        <w:rPr>
          <w:rFonts w:ascii="Arial" w:cs="Arial" w:eastAsia="Arial" w:hAnsi="Arial"/>
          <w:sz w:val="17"/>
          <w:szCs w:val="17"/>
          <w:u w:val="single" w:color="auto"/>
          <w:color w:val="0000EE"/>
        </w:rPr>
      </w:pPr>
      <w:hyperlink r:id="rId129">
        <w:r>
          <w:rPr>
            <w:rFonts w:ascii="Arial" w:cs="Arial" w:eastAsia="Arial" w:hAnsi="Arial"/>
            <w:sz w:val="17"/>
            <w:szCs w:val="17"/>
            <w:u w:val="single" w:color="auto"/>
            <w:color w:val="0000EE"/>
          </w:rPr>
          <w:t>(incorporated by reference to Exhibit 10.1 of the Registrant’s Current Report on Form 8-K (File No. 001-33185) filed January 4, 2011).</w:t>
        </w:r>
      </w:hyperlink>
    </w:p>
    <w:p>
      <w:pPr>
        <w:spacing w:after="0" w:line="126" w:lineRule="exact"/>
        <w:rPr>
          <w:rFonts w:ascii="Arial" w:cs="Arial" w:eastAsia="Arial" w:hAnsi="Arial"/>
          <w:sz w:val="18"/>
          <w:szCs w:val="18"/>
          <w:u w:val="single" w:color="auto"/>
          <w:color w:val="0000EE"/>
        </w:rPr>
      </w:pPr>
    </w:p>
    <w:p>
      <w:pPr>
        <w:ind w:left="880" w:right="160" w:hanging="872"/>
        <w:spacing w:after="0" w:line="262"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30">
        <w:r>
          <w:rPr>
            <w:rFonts w:ascii="Arial" w:cs="Arial" w:eastAsia="Arial" w:hAnsi="Arial"/>
            <w:sz w:val="18"/>
            <w:szCs w:val="18"/>
            <w:u w:val="single" w:color="auto"/>
            <w:color w:val="0000EE"/>
          </w:rPr>
          <w:t>Joint Venture Agreement, dated June 29, 2011, among the Registrant, Zhejiang Medicine Co., Ltd. and Beijing Make-Friend Medicine</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Technology Co., Ltd. (incorporated by reference to Exhibit 10.44 of the Registrant’s Current Report on Form 10-Q (File No. 001-33185) filed</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August 15, 2011).</w:t>
        </w:r>
      </w:hyperlink>
    </w:p>
    <w:p>
      <w:pPr>
        <w:spacing w:after="0" w:line="87" w:lineRule="exact"/>
        <w:rPr>
          <w:rFonts w:ascii="Arial" w:cs="Arial" w:eastAsia="Arial" w:hAnsi="Arial"/>
          <w:sz w:val="18"/>
          <w:szCs w:val="18"/>
          <w:u w:val="single" w:color="auto"/>
          <w:color w:val="0000EE"/>
        </w:rPr>
      </w:pPr>
    </w:p>
    <w:p>
      <w:pPr>
        <w:ind w:left="880" w:right="100" w:hanging="872"/>
        <w:spacing w:after="0" w:line="27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31">
        <w:r>
          <w:rPr>
            <w:rFonts w:ascii="Arial" w:cs="Arial" w:eastAsia="Arial" w:hAnsi="Arial"/>
            <w:sz w:val="18"/>
            <w:szCs w:val="18"/>
            <w:u w:val="single" w:color="auto"/>
            <w:color w:val="0000EE"/>
          </w:rPr>
          <w:t>Sublease, by and between MediciNova, Inc. and Cardinal Health 127 Inc., dated August 31, 2017 (incorporated by reference to Exhibit 10.1 to</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Current Report on Form 8-K filed with the SEC on September 7, 2017).</w:t>
        </w:r>
      </w:hyperlink>
    </w:p>
    <w:p>
      <w:pPr>
        <w:spacing w:after="0" w:line="76" w:lineRule="exact"/>
        <w:rPr>
          <w:sz w:val="20"/>
          <w:szCs w:val="20"/>
          <w:color w:val="auto"/>
        </w:rPr>
      </w:pPr>
    </w:p>
    <w:p>
      <w:pPr>
        <w:ind w:left="880" w:right="100" w:hanging="872"/>
        <w:spacing w:after="0" w:line="305" w:lineRule="auto"/>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10.20</w:t>
      </w:r>
      <w:r>
        <w:rPr>
          <w:sz w:val="20"/>
          <w:szCs w:val="20"/>
          <w:color w:val="auto"/>
        </w:rPr>
        <w:tab/>
      </w:r>
      <w:hyperlink r:id="rId132">
        <w:r>
          <w:rPr>
            <w:rFonts w:ascii="Arial" w:cs="Arial" w:eastAsia="Arial" w:hAnsi="Arial"/>
            <w:sz w:val="17"/>
            <w:szCs w:val="17"/>
            <w:u w:val="single" w:color="auto"/>
            <w:color w:val="0000EE"/>
          </w:rPr>
          <w:t>Securities Purchase Agreement, dated May 9, 2013, between the Registrant and Samurai Investments San Diego LLC and Fountain Erika LLC</w:t>
        </w:r>
      </w:hyperlink>
      <w:r>
        <w:rPr>
          <w:rFonts w:ascii="Arial" w:cs="Arial" w:eastAsia="Arial" w:hAnsi="Arial"/>
          <w:sz w:val="17"/>
          <w:szCs w:val="17"/>
          <w:u w:val="single" w:color="auto"/>
          <w:color w:val="0000EE"/>
        </w:rPr>
        <w:t xml:space="preserve"> </w:t>
      </w:r>
      <w:hyperlink r:id="rId132">
        <w:r>
          <w:rPr>
            <w:rFonts w:ascii="Arial" w:cs="Arial" w:eastAsia="Arial" w:hAnsi="Arial"/>
            <w:sz w:val="17"/>
            <w:szCs w:val="17"/>
            <w:u w:val="single" w:color="auto"/>
            <w:color w:val="0000EE"/>
          </w:rPr>
          <w:t>(incorporated by reference to Exhibit 10.1 of the Registrant’s Current Report on Form 8-K filed May 10, 2013).</w:t>
        </w:r>
      </w:hyperlink>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342265</wp:posOffset>
            </wp:positionV>
            <wp:extent cx="728980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200"/>
          </w:cols>
          <w:pgMar w:left="320" w:top="332" w:right="37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Exhibit</w:t>
            </w:r>
          </w:p>
        </w:tc>
        <w:tc>
          <w:tcPr>
            <w:tcW w:w="10400" w:type="dxa"/>
            <w:vAlign w:val="bottom"/>
            <w:gridSpan w:val="2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0400" w:type="dxa"/>
            <w:vAlign w:val="bottom"/>
            <w:tcBorders>
              <w:bottom w:val="single" w:sz="8" w:color="auto"/>
            </w:tcBorders>
            <w:gridSpan w:val="28"/>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0"/>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24"/>
                <w:szCs w:val="24"/>
                <w:color w:val="auto"/>
              </w:rPr>
            </w:pPr>
          </w:p>
        </w:tc>
        <w:tc>
          <w:tcPr>
            <w:tcW w:w="10240" w:type="dxa"/>
            <w:vAlign w:val="bottom"/>
            <w:tcBorders>
              <w:bottom w:val="single" w:sz="8" w:color="0000EE"/>
            </w:tcBorders>
            <w:gridSpan w:val="24"/>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2013 Equity Incentive Plan of the Registrant (incorporated by reference to Exhibit 10.23 of the Registrant’s Annual Report on Form 10-K filed</w:t>
              </w:r>
            </w:hyperlink>
          </w:p>
        </w:tc>
        <w:tc>
          <w:tcPr>
            <w:tcW w:w="1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bottom w:val="single" w:sz="8" w:color="0000EE"/>
            </w:tcBorders>
            <w:gridSpan w:val="5"/>
          </w:tcPr>
          <w:p>
            <w:pPr>
              <w:spacing w:after="0" w:line="195"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March 27, 2014).</w:t>
              </w:r>
            </w:hyperlink>
          </w:p>
        </w:tc>
        <w:tc>
          <w:tcPr>
            <w:tcW w:w="9160" w:type="dxa"/>
            <w:vAlign w:val="bottom"/>
            <w:gridSpan w:val="23"/>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10.22*</w:t>
            </w:r>
          </w:p>
        </w:tc>
        <w:tc>
          <w:tcPr>
            <w:tcW w:w="180" w:type="dxa"/>
            <w:vAlign w:val="bottom"/>
          </w:tcPr>
          <w:p>
            <w:pPr>
              <w:spacing w:after="0"/>
              <w:rPr>
                <w:sz w:val="24"/>
                <w:szCs w:val="24"/>
                <w:color w:val="auto"/>
              </w:rPr>
            </w:pPr>
          </w:p>
        </w:tc>
        <w:tc>
          <w:tcPr>
            <w:tcW w:w="10400" w:type="dxa"/>
            <w:vAlign w:val="bottom"/>
            <w:gridSpan w:val="28"/>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Amended and Restated 2013 Equity Incentive Plan of the Registrant.* (incorporated by reference to Exhibit 10.1 of the Registrant’s Quarterly</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160" w:type="dxa"/>
            <w:vAlign w:val="bottom"/>
            <w:tcBorders>
              <w:top w:val="single" w:sz="8" w:color="0000EE"/>
            </w:tcBorders>
            <w:gridSpan w:val="21"/>
          </w:tcPr>
          <w:p>
            <w:pPr>
              <w:spacing w:after="0" w:line="195" w:lineRule="exact"/>
              <w:rPr>
                <w:rFonts w:ascii="Arial" w:cs="Arial" w:eastAsia="Arial" w:hAnsi="Arial"/>
                <w:sz w:val="18"/>
                <w:szCs w:val="18"/>
                <w:color w:val="0000EE"/>
              </w:rPr>
            </w:pPr>
            <w:hyperlink r:id="rId135">
              <w:r>
                <w:rPr>
                  <w:rFonts w:ascii="Arial" w:cs="Arial" w:eastAsia="Arial" w:hAnsi="Arial"/>
                  <w:sz w:val="18"/>
                  <w:szCs w:val="18"/>
                  <w:color w:val="0000EE"/>
                </w:rPr>
                <w:t>Report on Form 10-Q filed July 26, 2017).</w:t>
              </w:r>
            </w:hyperlink>
          </w:p>
        </w:tc>
        <w:tc>
          <w:tcPr>
            <w:tcW w:w="240" w:type="dxa"/>
            <w:vAlign w:val="bottom"/>
            <w:gridSpan w:val="7"/>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24"/>
                <w:szCs w:val="24"/>
                <w:color w:val="auto"/>
              </w:rPr>
            </w:pPr>
          </w:p>
        </w:tc>
        <w:tc>
          <w:tcPr>
            <w:tcW w:w="10040" w:type="dxa"/>
            <w:vAlign w:val="bottom"/>
            <w:tcBorders>
              <w:bottom w:val="single" w:sz="8" w:color="0000EE"/>
            </w:tcBorders>
            <w:gridSpan w:val="17"/>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Form of Notice of Stock Option Grant and Stock Option Agreement for awards pursuant to the 2013 Equity Incentive Plan (incorporated by</w:t>
              </w:r>
            </w:hyperlink>
          </w:p>
        </w:tc>
        <w:tc>
          <w:tcPr>
            <w:tcW w:w="36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320" w:type="dxa"/>
            <w:vAlign w:val="bottom"/>
            <w:tcBorders>
              <w:bottom w:val="single" w:sz="8" w:color="0000EE"/>
            </w:tcBorders>
            <w:gridSpan w:val="12"/>
          </w:tcPr>
          <w:p>
            <w:pPr>
              <w:spacing w:after="0" w:line="195"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reference to Exhibit 10.3 of the Registrant’s Quarterly Report on Form 10-Q filed November 7, 2013).</w:t>
              </w:r>
            </w:hyperlink>
          </w:p>
        </w:tc>
        <w:tc>
          <w:tcPr>
            <w:tcW w:w="3080" w:type="dxa"/>
            <w:vAlign w:val="bottom"/>
            <w:gridSpan w:val="16"/>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24"/>
                <w:szCs w:val="24"/>
                <w:color w:val="auto"/>
              </w:rPr>
            </w:pPr>
          </w:p>
        </w:tc>
        <w:tc>
          <w:tcPr>
            <w:tcW w:w="10020" w:type="dxa"/>
            <w:vAlign w:val="bottom"/>
            <w:tcBorders>
              <w:bottom w:val="single" w:sz="8" w:color="0000EE"/>
            </w:tcBorders>
            <w:gridSpan w:val="16"/>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Severance Protection Agreement, dated July 14, 2014, by and between MediciNova, Inc. and Dr. Yuichi Iwaki (incorporated by reference to</w:t>
              </w:r>
            </w:hyperlink>
          </w:p>
        </w:tc>
        <w:tc>
          <w:tcPr>
            <w:tcW w:w="38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80" w:type="dxa"/>
            <w:vAlign w:val="bottom"/>
            <w:tcBorders>
              <w:bottom w:val="single" w:sz="8" w:color="0000EE"/>
            </w:tcBorders>
            <w:gridSpan w:val="9"/>
          </w:tcPr>
          <w:p>
            <w:pPr>
              <w:spacing w:after="0" w:line="195"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Exhibit 10.2 of the Registrant’s Quarterly Report on Form 10-Q filed August 13, 2014).</w:t>
              </w:r>
            </w:hyperlink>
          </w:p>
        </w:tc>
        <w:tc>
          <w:tcPr>
            <w:tcW w:w="4120" w:type="dxa"/>
            <w:vAlign w:val="bottom"/>
            <w:gridSpan w:val="19"/>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10.25*</w:t>
            </w:r>
          </w:p>
        </w:tc>
        <w:tc>
          <w:tcPr>
            <w:tcW w:w="180" w:type="dxa"/>
            <w:vAlign w:val="bottom"/>
          </w:tcPr>
          <w:p>
            <w:pPr>
              <w:spacing w:after="0"/>
              <w:rPr>
                <w:sz w:val="24"/>
                <w:szCs w:val="24"/>
                <w:color w:val="auto"/>
              </w:rPr>
            </w:pPr>
          </w:p>
        </w:tc>
        <w:tc>
          <w:tcPr>
            <w:tcW w:w="10260" w:type="dxa"/>
            <w:vAlign w:val="bottom"/>
            <w:tcBorders>
              <w:bottom w:val="single" w:sz="8" w:color="0000EE"/>
            </w:tcBorders>
            <w:gridSpan w:val="25"/>
          </w:tcPr>
          <w:p>
            <w:pPr>
              <w:spacing w:after="0"/>
              <w:rPr>
                <w:rFonts w:ascii="Arial" w:cs="Arial" w:eastAsia="Arial" w:hAnsi="Arial"/>
                <w:sz w:val="18"/>
                <w:szCs w:val="18"/>
                <w:color w:val="0000EE"/>
                <w:w w:val="89"/>
              </w:rPr>
            </w:pPr>
            <w:hyperlink r:id="rId138">
              <w:r>
                <w:rPr>
                  <w:rFonts w:ascii="Arial" w:cs="Arial" w:eastAsia="Arial" w:hAnsi="Arial"/>
                  <w:sz w:val="18"/>
                  <w:szCs w:val="18"/>
                  <w:color w:val="0000EE"/>
                  <w:w w:val="89"/>
                </w:rPr>
                <w:t>Severance Protection Agreement, dated July 14, 2014, by and between MediciNova, Inc. and Masatsune Okajima (incorporated by reference to</w:t>
              </w:r>
            </w:hyperlink>
          </w:p>
        </w:tc>
        <w:tc>
          <w:tcPr>
            <w:tcW w:w="1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80" w:type="dxa"/>
            <w:vAlign w:val="bottom"/>
            <w:tcBorders>
              <w:bottom w:val="single" w:sz="8" w:color="0000EE"/>
            </w:tcBorders>
            <w:gridSpan w:val="9"/>
          </w:tcPr>
          <w:p>
            <w:pPr>
              <w:spacing w:after="0" w:line="195"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Exhibit 10.3 of the Registrant’s Quarterly Report on Form 10-Q filed August 13, 2014).</w:t>
              </w:r>
            </w:hyperlink>
          </w:p>
        </w:tc>
        <w:tc>
          <w:tcPr>
            <w:tcW w:w="4120" w:type="dxa"/>
            <w:vAlign w:val="bottom"/>
            <w:gridSpan w:val="19"/>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4"/>
                <w:szCs w:val="24"/>
                <w:color w:val="auto"/>
              </w:rPr>
            </w:pPr>
          </w:p>
        </w:tc>
        <w:tc>
          <w:tcPr>
            <w:tcW w:w="10320" w:type="dxa"/>
            <w:vAlign w:val="bottom"/>
            <w:tcBorders>
              <w:bottom w:val="single" w:sz="8" w:color="0000EE"/>
            </w:tcBorders>
            <w:gridSpan w:val="26"/>
          </w:tcPr>
          <w:p>
            <w:pPr>
              <w:spacing w:after="0"/>
              <w:rPr>
                <w:rFonts w:ascii="Arial" w:cs="Arial" w:eastAsia="Arial" w:hAnsi="Arial"/>
                <w:sz w:val="18"/>
                <w:szCs w:val="18"/>
                <w:color w:val="0000EE"/>
                <w:w w:val="89"/>
              </w:rPr>
            </w:pPr>
            <w:hyperlink r:id="rId139">
              <w:r>
                <w:rPr>
                  <w:rFonts w:ascii="Arial" w:cs="Arial" w:eastAsia="Arial" w:hAnsi="Arial"/>
                  <w:sz w:val="18"/>
                  <w:szCs w:val="18"/>
                  <w:color w:val="0000EE"/>
                  <w:w w:val="89"/>
                </w:rPr>
                <w:t>Severance Protection Agreement, dated July 14, 2014, by and between MediciNova, Inc. and Dr. Kazuko Matsuda (incorporated by reference to</w:t>
              </w:r>
            </w:hyperlink>
          </w:p>
        </w:tc>
        <w:tc>
          <w:tcPr>
            <w:tcW w:w="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80" w:type="dxa"/>
            <w:vAlign w:val="bottom"/>
            <w:tcBorders>
              <w:bottom w:val="single" w:sz="8" w:color="0000EE"/>
            </w:tcBorders>
            <w:gridSpan w:val="9"/>
          </w:tcPr>
          <w:p>
            <w:pPr>
              <w:spacing w:after="0" w:line="195"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Exhibit 10.4 of the Registrant’s Quarterly Report on Form 10-Q filed August 13, 2014).</w:t>
              </w:r>
            </w:hyperlink>
          </w:p>
        </w:tc>
        <w:tc>
          <w:tcPr>
            <w:tcW w:w="4120" w:type="dxa"/>
            <w:vAlign w:val="bottom"/>
            <w:gridSpan w:val="19"/>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10.27*</w:t>
            </w:r>
          </w:p>
        </w:tc>
        <w:tc>
          <w:tcPr>
            <w:tcW w:w="180" w:type="dxa"/>
            <w:vAlign w:val="bottom"/>
          </w:tcPr>
          <w:p>
            <w:pPr>
              <w:spacing w:after="0"/>
              <w:rPr>
                <w:sz w:val="24"/>
                <w:szCs w:val="24"/>
                <w:color w:val="auto"/>
              </w:rPr>
            </w:pPr>
          </w:p>
        </w:tc>
        <w:tc>
          <w:tcPr>
            <w:tcW w:w="10400" w:type="dxa"/>
            <w:vAlign w:val="bottom"/>
            <w:gridSpan w:val="28"/>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Severance Protection Agreement, dated July 14, 2014, by and between MediciNova, Inc. and Geoffrey O’Brien (incorporated by reference to</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80" w:type="dxa"/>
            <w:vAlign w:val="bottom"/>
            <w:tcBorders>
              <w:top w:val="single" w:sz="8" w:color="0000EE"/>
              <w:bottom w:val="single" w:sz="8" w:color="0000EE"/>
            </w:tcBorders>
            <w:gridSpan w:val="9"/>
          </w:tcPr>
          <w:p>
            <w:pPr>
              <w:spacing w:after="0" w:line="195"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Exhibit 10.5 of the Registrant’s Quarterly Report on Form 10-Q filed August 13, 2014).</w:t>
              </w:r>
            </w:hyperlink>
          </w:p>
        </w:tc>
        <w:tc>
          <w:tcPr>
            <w:tcW w:w="3820" w:type="dxa"/>
            <w:vAlign w:val="bottom"/>
            <w:tcBorders>
              <w:top w:val="single" w:sz="8" w:color="0000EE"/>
            </w:tcBorders>
            <w:gridSpan w:val="10"/>
          </w:tcPr>
          <w:p>
            <w:pPr>
              <w:spacing w:after="0"/>
              <w:rPr>
                <w:sz w:val="16"/>
                <w:szCs w:val="16"/>
                <w:color w:val="auto"/>
              </w:rPr>
            </w:pPr>
          </w:p>
        </w:tc>
        <w:tc>
          <w:tcPr>
            <w:tcW w:w="300" w:type="dxa"/>
            <w:vAlign w:val="bottom"/>
            <w:gridSpan w:val="9"/>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10.28</w:t>
            </w:r>
          </w:p>
        </w:tc>
        <w:tc>
          <w:tcPr>
            <w:tcW w:w="180" w:type="dxa"/>
            <w:vAlign w:val="bottom"/>
          </w:tcPr>
          <w:p>
            <w:pPr>
              <w:spacing w:after="0"/>
              <w:rPr>
                <w:sz w:val="24"/>
                <w:szCs w:val="24"/>
                <w:color w:val="auto"/>
              </w:rPr>
            </w:pPr>
          </w:p>
        </w:tc>
        <w:tc>
          <w:tcPr>
            <w:tcW w:w="9820" w:type="dxa"/>
            <w:vAlign w:val="bottom"/>
            <w:tcBorders>
              <w:bottom w:val="single" w:sz="8" w:color="0000EE"/>
            </w:tcBorders>
            <w:gridSpan w:val="15"/>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At-the-Market Issuance Sales Agreement, dated May 22, 2015, by and between MediciNova, Inc. and MLV &amp; Co. LLC (incorporated by</w:t>
              </w:r>
            </w:hyperlink>
          </w:p>
        </w:tc>
        <w:tc>
          <w:tcPr>
            <w:tcW w:w="580" w:type="dxa"/>
            <w:vAlign w:val="bottom"/>
            <w:gridSpan w:val="13"/>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760" w:type="dxa"/>
            <w:vAlign w:val="bottom"/>
            <w:tcBorders>
              <w:bottom w:val="single" w:sz="8" w:color="0000EE"/>
            </w:tcBorders>
            <w:gridSpan w:val="10"/>
          </w:tcPr>
          <w:p>
            <w:pPr>
              <w:spacing w:after="0" w:line="195"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reference to Exhibit 10.1 of the Registrant’s Current Report on Form 8-K filed May 22, 2015).</w:t>
              </w:r>
            </w:hyperlink>
          </w:p>
        </w:tc>
        <w:tc>
          <w:tcPr>
            <w:tcW w:w="3640" w:type="dxa"/>
            <w:vAlign w:val="bottom"/>
            <w:gridSpan w:val="18"/>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10.29</w:t>
            </w:r>
          </w:p>
        </w:tc>
        <w:tc>
          <w:tcPr>
            <w:tcW w:w="180" w:type="dxa"/>
            <w:vAlign w:val="bottom"/>
          </w:tcPr>
          <w:p>
            <w:pPr>
              <w:spacing w:after="0"/>
              <w:rPr>
                <w:sz w:val="24"/>
                <w:szCs w:val="24"/>
                <w:color w:val="auto"/>
              </w:rPr>
            </w:pPr>
          </w:p>
        </w:tc>
        <w:tc>
          <w:tcPr>
            <w:tcW w:w="10400" w:type="dxa"/>
            <w:vAlign w:val="bottom"/>
            <w:gridSpan w:val="28"/>
          </w:tcPr>
          <w:p>
            <w:pPr>
              <w:spacing w:after="0"/>
              <w:rPr>
                <w:rFonts w:ascii="Arial" w:cs="Arial" w:eastAsia="Arial" w:hAnsi="Arial"/>
                <w:sz w:val="18"/>
                <w:szCs w:val="18"/>
                <w:color w:val="0000EE"/>
                <w:w w:val="93"/>
              </w:rPr>
            </w:pPr>
            <w:hyperlink r:id="rId142">
              <w:r>
                <w:rPr>
                  <w:rFonts w:ascii="Arial" w:cs="Arial" w:eastAsia="Arial" w:hAnsi="Arial"/>
                  <w:sz w:val="18"/>
                  <w:szCs w:val="18"/>
                  <w:color w:val="0000EE"/>
                  <w:w w:val="93"/>
                </w:rPr>
                <w:t>Services Agreement, effective March 31, 2016, by and between MediciNova, Inc. and Signature Analytics San Diego, LLC (incorporated by</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900" w:type="dxa"/>
            <w:vAlign w:val="bottom"/>
            <w:tcBorders>
              <w:top w:val="single" w:sz="8" w:color="0000EE"/>
              <w:bottom w:val="single" w:sz="8" w:color="0000EE"/>
            </w:tcBorders>
            <w:gridSpan w:val="11"/>
          </w:tcPr>
          <w:p>
            <w:pPr>
              <w:spacing w:after="0" w:line="195"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reference to Exhibit 10.1 of the Registrant’s Current Report on Form 8-K filed March 31, 2016).</w:t>
              </w:r>
            </w:hyperlink>
          </w:p>
        </w:tc>
        <w:tc>
          <w:tcPr>
            <w:tcW w:w="3160" w:type="dxa"/>
            <w:vAlign w:val="bottom"/>
            <w:tcBorders>
              <w:top w:val="single" w:sz="8" w:color="0000EE"/>
            </w:tcBorders>
            <w:gridSpan w:val="7"/>
          </w:tcPr>
          <w:p>
            <w:pPr>
              <w:spacing w:after="0"/>
              <w:rPr>
                <w:sz w:val="16"/>
                <w:szCs w:val="16"/>
                <w:color w:val="auto"/>
              </w:rPr>
            </w:pPr>
          </w:p>
        </w:tc>
        <w:tc>
          <w:tcPr>
            <w:tcW w:w="340" w:type="dxa"/>
            <w:vAlign w:val="bottom"/>
            <w:gridSpan w:val="10"/>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7"/>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40" w:type="dxa"/>
            <w:vAlign w:val="bottom"/>
            <w:gridSpan w:val="27"/>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Amendment No. 1 to At-the Market Issuance Sales Agreement, dated September 16, 2016, by and among MediciNova, Inc., MLV &amp; Co. LLC</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22"/>
          </w:tcPr>
          <w:p>
            <w:pPr>
              <w:spacing w:after="0" w:line="195"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and FBR Capital Markets &amp; Co. (incorporated by reference to Exhibit 10.1 of the Registrant’s Current Report on Form 8-K filed September</w:t>
              </w:r>
            </w:hyperlink>
          </w:p>
        </w:tc>
        <w:tc>
          <w:tcPr>
            <w:tcW w:w="160" w:type="dxa"/>
            <w:vAlign w:val="bottom"/>
            <w:tcBorders>
              <w:top w:val="single" w:sz="8" w:color="0000EE"/>
            </w:tcBorders>
            <w:gridSpan w:val="4"/>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0000EE"/>
            </w:tcBorders>
            <w:gridSpan w:val="3"/>
          </w:tcPr>
          <w:p>
            <w:pPr>
              <w:spacing w:after="0" w:line="195" w:lineRule="exact"/>
              <w:rPr>
                <w:rFonts w:ascii="Arial" w:cs="Arial" w:eastAsia="Arial" w:hAnsi="Arial"/>
                <w:sz w:val="18"/>
                <w:szCs w:val="18"/>
                <w:color w:val="0000EE"/>
                <w:w w:val="93"/>
              </w:rPr>
            </w:pPr>
            <w:hyperlink r:id="rId143">
              <w:r>
                <w:rPr>
                  <w:rFonts w:ascii="Arial" w:cs="Arial" w:eastAsia="Arial" w:hAnsi="Arial"/>
                  <w:sz w:val="18"/>
                  <w:szCs w:val="18"/>
                  <w:color w:val="0000EE"/>
                  <w:w w:val="93"/>
                </w:rPr>
                <w:t>16, 2016).</w:t>
              </w:r>
            </w:hyperlink>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4"/>
                <w:szCs w:val="24"/>
                <w:color w:val="auto"/>
              </w:rPr>
            </w:pPr>
          </w:p>
        </w:tc>
        <w:tc>
          <w:tcPr>
            <w:tcW w:w="43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Consent of Independent Registered Public Accounting Firm.</w:t>
              </w:r>
            </w:hyperlink>
          </w:p>
        </w:tc>
        <w:tc>
          <w:tcPr>
            <w:tcW w:w="6060" w:type="dxa"/>
            <w:vAlign w:val="bottom"/>
            <w:gridSpan w:val="20"/>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24"/>
                <w:szCs w:val="24"/>
                <w:color w:val="auto"/>
              </w:rPr>
            </w:pPr>
          </w:p>
        </w:tc>
        <w:tc>
          <w:tcPr>
            <w:tcW w:w="29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90">
              <w:r>
                <w:rPr>
                  <w:rFonts w:ascii="Arial" w:cs="Arial" w:eastAsia="Arial" w:hAnsi="Arial"/>
                  <w:sz w:val="18"/>
                  <w:szCs w:val="18"/>
                  <w:color w:val="0000EE"/>
                  <w:w w:val="88"/>
                </w:rPr>
                <w:t>Powers of Attorney (see signature page).</w:t>
              </w:r>
            </w:hyperlink>
          </w:p>
        </w:tc>
        <w:tc>
          <w:tcPr>
            <w:tcW w:w="7480" w:type="dxa"/>
            <w:vAlign w:val="bottom"/>
            <w:gridSpan w:val="22"/>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94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Certification of the Principal Executive Officer pursuant to Rules 13a-14 and 15d-14 promulgated under the Securities Act of 1933.</w:t>
              </w:r>
            </w:hyperlink>
          </w:p>
        </w:tc>
        <w:tc>
          <w:tcPr>
            <w:tcW w:w="980" w:type="dxa"/>
            <w:vAlign w:val="bottom"/>
            <w:gridSpan w:val="14"/>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0400" w:type="dxa"/>
            <w:vAlign w:val="bottom"/>
            <w:gridSpan w:val="28"/>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Certification of the Principal Financial Officer pursuant to Rules 13a-14 and 15d-14 promulgated under the Securities Act of 1933.</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40" w:type="dxa"/>
            <w:vAlign w:val="bottom"/>
            <w:gridSpan w:val="10"/>
            <w:shd w:val="clear" w:color="auto" w:fill="0000EE"/>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018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Certification of the Principal Executive Officer pursuant to 18 U.S.C. Section 1350, as adopted pursuant to Section 906 of the Sarbanes-Oxley</w:t>
              </w:r>
            </w:hyperlink>
          </w:p>
        </w:tc>
        <w:tc>
          <w:tcPr>
            <w:tcW w:w="2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bottom w:val="single" w:sz="8" w:color="0000EE"/>
            </w:tcBorders>
            <w:gridSpan w:val="3"/>
          </w:tcPr>
          <w:p>
            <w:pPr>
              <w:spacing w:after="0" w:line="195"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Act of 2002.</w:t>
              </w:r>
            </w:hyperlink>
          </w:p>
        </w:tc>
        <w:tc>
          <w:tcPr>
            <w:tcW w:w="9480" w:type="dxa"/>
            <w:vAlign w:val="bottom"/>
            <w:gridSpan w:val="25"/>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ind w:left="8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10400" w:type="dxa"/>
            <w:vAlign w:val="bottom"/>
            <w:gridSpan w:val="28"/>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Certification of the Principal Financial Officer pursuant to 18 U.S.C. Section 1350, as adopted pursuant to Section 906 of the Sarbanes-Oxley</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Act of 2002.</w:t>
              </w:r>
            </w:hyperlink>
          </w:p>
        </w:tc>
        <w:tc>
          <w:tcPr>
            <w:tcW w:w="9220" w:type="dxa"/>
            <w:vAlign w:val="bottom"/>
            <w:tcBorders>
              <w:top w:val="single" w:sz="8" w:color="0000EE"/>
            </w:tcBorders>
            <w:gridSpan w:val="18"/>
          </w:tcPr>
          <w:p>
            <w:pPr>
              <w:spacing w:after="0"/>
              <w:rPr>
                <w:sz w:val="16"/>
                <w:szCs w:val="16"/>
                <w:color w:val="auto"/>
              </w:rPr>
            </w:pPr>
          </w:p>
        </w:tc>
        <w:tc>
          <w:tcPr>
            <w:tcW w:w="280" w:type="dxa"/>
            <w:vAlign w:val="bottom"/>
            <w:gridSpan w:val="8"/>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1"/>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80" w:type="dxa"/>
            <w:vAlign w:val="bottom"/>
            <w:gridSpan w:val="9"/>
          </w:tcPr>
          <w:p>
            <w:pPr>
              <w:ind w:left="4660"/>
              <w:spacing w:after="0"/>
              <w:rPr>
                <w:sz w:val="20"/>
                <w:szCs w:val="20"/>
                <w:color w:val="auto"/>
              </w:rPr>
            </w:pPr>
            <w:r>
              <w:rPr>
                <w:rFonts w:ascii="Arial" w:cs="Arial" w:eastAsia="Arial" w:hAnsi="Arial"/>
                <w:sz w:val="18"/>
                <w:szCs w:val="18"/>
                <w:color w:val="auto"/>
              </w:rPr>
              <w:t>88</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88" w:name="page89"/>
    <w:bookmarkEnd w:id="88"/>
    <w:p>
      <w:pPr>
        <w:ind w:left="73"/>
        <w:spacing w:after="0"/>
        <w:rPr>
          <w:sz w:val="20"/>
          <w:szCs w:val="20"/>
          <w:color w:val="auto"/>
        </w:rPr>
      </w:pPr>
      <w:r>
        <w:rPr>
          <w:rFonts w:ascii="Arial" w:cs="Arial" w:eastAsia="Arial" w:hAnsi="Arial"/>
          <w:sz w:val="14"/>
          <w:szCs w:val="14"/>
          <w:b w:val="1"/>
          <w:bCs w:val="1"/>
          <w:color w:val="auto"/>
        </w:rPr>
        <w:t>Exhibit</w:t>
      </w:r>
    </w:p>
    <w:p>
      <w:pPr>
        <w:spacing w:after="0" w:line="3" w:lineRule="exact"/>
        <w:rPr>
          <w:sz w:val="20"/>
          <w:szCs w:val="20"/>
          <w:color w:val="auto"/>
        </w:rPr>
      </w:pPr>
    </w:p>
    <w:p>
      <w:pPr>
        <w:ind w:left="73"/>
        <w:spacing w:after="0"/>
        <w:tabs>
          <w:tab w:leader="none" w:pos="932"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-3810</wp:posOffset>
            </wp:positionV>
            <wp:extent cx="71532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153275" cy="8255"/>
                    </a:xfrm>
                    <a:prstGeom prst="rect">
                      <a:avLst/>
                    </a:prstGeom>
                    <a:noFill/>
                  </pic:spPr>
                </pic:pic>
              </a:graphicData>
            </a:graphic>
          </wp:anchor>
        </w:drawing>
      </w:r>
    </w:p>
    <w:p>
      <w:pPr>
        <w:spacing w:after="0" w:line="93" w:lineRule="exact"/>
        <w:rPr>
          <w:sz w:val="20"/>
          <w:szCs w:val="20"/>
          <w:color w:val="auto"/>
        </w:rPr>
      </w:pPr>
    </w:p>
    <w:p>
      <w:pPr>
        <w:ind w:left="953" w:hanging="879"/>
        <w:spacing w:after="0" w:line="257" w:lineRule="auto"/>
        <w:tabs>
          <w:tab w:leader="none" w:pos="953"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following financial statements from MediciNova, Inc. on Form 10-K as of and for the year ended December 31, 2018 formatted in Extensible Business Reporting Language (XBRL):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160" w:lineRule="exact"/>
        <w:rPr>
          <w:rFonts w:ascii="Arial" w:cs="Arial" w:eastAsia="Arial" w:hAnsi="Arial"/>
          <w:sz w:val="18"/>
          <w:szCs w:val="18"/>
          <w:color w:val="auto"/>
        </w:rPr>
      </w:pPr>
    </w:p>
    <w:p>
      <w:pPr>
        <w:ind w:left="593" w:hanging="593"/>
        <w:spacing w:after="0"/>
        <w:tabs>
          <w:tab w:leader="none" w:pos="5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11169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2" w:lineRule="exact"/>
        <w:rPr>
          <w:sz w:val="20"/>
          <w:szCs w:val="20"/>
          <w:color w:val="auto"/>
        </w:rPr>
      </w:pPr>
    </w:p>
    <w:p>
      <w:pPr>
        <w:ind w:left="593" w:hanging="593"/>
        <w:spacing w:after="0"/>
        <w:tabs>
          <w:tab w:leader="none" w:pos="59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23"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342265</wp:posOffset>
            </wp:positionV>
            <wp:extent cx="728980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113"/>
          </w:cols>
          <w:pgMar w:left="247" w:top="332" w:right="5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right="420" w:firstLine="439"/>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7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EDICINOVA</w:t>
      </w:r>
      <w:r>
        <w:rPr>
          <w:rFonts w:ascii="Arial" w:cs="Arial" w:eastAsia="Arial" w:hAnsi="Arial"/>
          <w:sz w:val="18"/>
          <w:szCs w:val="18"/>
          <w:color w:val="auto"/>
        </w:rPr>
        <w:t>, I</w:t>
      </w:r>
      <w:r>
        <w:rPr>
          <w:rFonts w:ascii="Arial" w:cs="Arial" w:eastAsia="Arial" w:hAnsi="Arial"/>
          <w:sz w:val="13"/>
          <w:szCs w:val="13"/>
          <w:color w:val="auto"/>
        </w:rPr>
        <w:t>NC</w:t>
      </w:r>
      <w:r>
        <w:rPr>
          <w:rFonts w:ascii="Arial" w:cs="Arial" w:eastAsia="Arial" w:hAnsi="Arial"/>
          <w:sz w:val="18"/>
          <w:szCs w:val="18"/>
          <w:color w:val="auto"/>
        </w:rPr>
        <w:t>.</w:t>
      </w:r>
    </w:p>
    <w:p>
      <w:pPr>
        <w:spacing w:after="0" w:line="22"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 Delaware Corporation</w:t>
      </w:r>
    </w:p>
    <w:p>
      <w:pPr>
        <w:spacing w:after="0" w:line="235" w:lineRule="exact"/>
        <w:rPr>
          <w:sz w:val="20"/>
          <w:szCs w:val="20"/>
          <w:color w:val="auto"/>
        </w:rPr>
      </w:pPr>
    </w:p>
    <w:p>
      <w:pPr>
        <w:spacing w:after="0"/>
        <w:tabs>
          <w:tab w:leader="none" w:pos="6400" w:val="left"/>
          <w:tab w:leader="none" w:pos="8560" w:val="left"/>
        </w:tabs>
        <w:rPr>
          <w:sz w:val="20"/>
          <w:szCs w:val="20"/>
          <w:color w:val="auto"/>
        </w:rPr>
      </w:pPr>
      <w:r>
        <w:rPr>
          <w:rFonts w:ascii="Arial" w:cs="Arial" w:eastAsia="Arial" w:hAnsi="Arial"/>
          <w:sz w:val="18"/>
          <w:szCs w:val="18"/>
          <w:color w:val="auto"/>
        </w:rPr>
        <w:t>Date: February 13,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28905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2890520" cy="8255"/>
                    </a:xfrm>
                    <a:prstGeom prst="rect">
                      <a:avLst/>
                    </a:prstGeom>
                    <a:noFill/>
                  </pic:spPr>
                </pic:pic>
              </a:graphicData>
            </a:graphic>
          </wp:anchor>
        </w:drawing>
      </w:r>
    </w:p>
    <w:p>
      <w:pPr>
        <w:spacing w:after="0" w:line="2"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Yuichi Iwaki, M.D., Ph.D.</w:t>
      </w:r>
    </w:p>
    <w:p>
      <w:pPr>
        <w:spacing w:after="0" w:line="21"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President &amp; Chief Executive Officer</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7" w:lineRule="exact"/>
        <w:rPr>
          <w:sz w:val="20"/>
          <w:szCs w:val="20"/>
          <w:color w:val="auto"/>
        </w:rPr>
      </w:pPr>
    </w:p>
    <w:p>
      <w:pPr>
        <w:jc w:val="both"/>
        <w:ind w:right="120" w:firstLine="439"/>
        <w:spacing w:after="0" w:line="277"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Yuichi Iwaki his true and lawful attorney-in-fact,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or substitutes may do or cause to be done by virtue hereof.</w:t>
      </w:r>
    </w:p>
    <w:p>
      <w:pPr>
        <w:spacing w:after="0" w:line="172" w:lineRule="exact"/>
        <w:rPr>
          <w:sz w:val="20"/>
          <w:szCs w:val="20"/>
          <w:color w:val="auto"/>
        </w:rPr>
      </w:pPr>
    </w:p>
    <w:p>
      <w:pPr>
        <w:ind w:right="60" w:firstLine="439"/>
        <w:spacing w:after="0" w:line="275"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420"/>
          </w:cols>
          <w:pgMar w:left="240" w:top="336" w:right="239" w:bottom="1440" w:gutter="0" w:footer="0" w:header="0"/>
        </w:sectPr>
      </w:pPr>
    </w:p>
    <w:p>
      <w:pPr>
        <w:spacing w:after="0" w:line="162"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25152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2515235" cy="8255"/>
                    </a:xfrm>
                    <a:prstGeom prst="rect">
                      <a:avLst/>
                    </a:prstGeom>
                    <a:noFill/>
                  </pic:spPr>
                </pic:pic>
              </a:graphicData>
            </a:graphic>
          </wp:anchor>
        </w:drawing>
      </w:r>
    </w:p>
    <w:p>
      <w:pPr>
        <w:spacing w:after="0" w:line="109"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Yuichi Iwaki</w:t>
      </w:r>
    </w:p>
    <w:p>
      <w:pPr>
        <w:spacing w:after="0" w:line="35" w:lineRule="exact"/>
        <w:rPr>
          <w:sz w:val="20"/>
          <w:szCs w:val="20"/>
          <w:color w:val="auto"/>
        </w:rPr>
      </w:pPr>
    </w:p>
    <w:p>
      <w:pPr>
        <w:jc w:val="center"/>
        <w:ind w:left="540"/>
        <w:spacing w:after="0"/>
        <w:rPr>
          <w:sz w:val="20"/>
          <w:szCs w:val="20"/>
          <w:color w:val="auto"/>
        </w:rPr>
      </w:pPr>
      <w:r>
        <w:rPr>
          <w:rFonts w:ascii="Arial" w:cs="Arial" w:eastAsia="Arial" w:hAnsi="Arial"/>
          <w:sz w:val="17"/>
          <w:szCs w:val="17"/>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25152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2515235" cy="8255"/>
                    </a:xfrm>
                    <a:prstGeom prst="rect">
                      <a:avLst/>
                    </a:prstGeom>
                    <a:noFill/>
                  </pic:spPr>
                </pic:pic>
              </a:graphicData>
            </a:graphic>
          </wp:anchor>
        </w:drawing>
      </w:r>
    </w:p>
    <w:p>
      <w:pPr>
        <w:spacing w:after="0" w:line="120"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Carla Reyes</w:t>
      </w:r>
    </w:p>
    <w:p>
      <w:pPr>
        <w:spacing w:after="0" w:line="35"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5152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2515235" cy="8255"/>
                    </a:xfrm>
                    <a:prstGeom prst="rect">
                      <a:avLst/>
                    </a:prstGeom>
                    <a:noFill/>
                  </pic:spPr>
                </pic:pic>
              </a:graphicData>
            </a:graphic>
          </wp:anchor>
        </w:drawing>
      </w:r>
    </w:p>
    <w:p>
      <w:pPr>
        <w:spacing w:after="0" w:line="109"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/s/ Jeff Himawan</w:t>
      </w:r>
    </w:p>
    <w:p>
      <w:pPr>
        <w:spacing w:after="0" w:line="35"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Jeff Himawan,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25152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25152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06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Date</w:t>
            </w:r>
          </w:p>
        </w:tc>
      </w:tr>
      <w:tr>
        <w:trPr>
          <w:trHeight w:val="315"/>
        </w:trPr>
        <w:tc>
          <w:tcPr>
            <w:tcW w:w="5200" w:type="dxa"/>
            <w:vAlign w:val="bottom"/>
            <w:gridSpan w:val="2"/>
          </w:tcPr>
          <w:p>
            <w:pPr>
              <w:spacing w:after="0"/>
              <w:rPr>
                <w:sz w:val="20"/>
                <w:szCs w:val="20"/>
                <w:color w:val="auto"/>
              </w:rPr>
            </w:pPr>
            <w:r>
              <w:rPr>
                <w:rFonts w:ascii="Arial" w:cs="Arial" w:eastAsia="Arial" w:hAnsi="Arial"/>
                <w:sz w:val="18"/>
                <w:szCs w:val="18"/>
                <w:color w:val="auto"/>
              </w:rPr>
              <w:t>Director, President and Chief Executive Officer</w:t>
            </w:r>
          </w:p>
        </w:tc>
        <w:tc>
          <w:tcPr>
            <w:tcW w:w="2060" w:type="dxa"/>
            <w:vAlign w:val="bottom"/>
          </w:tcPr>
          <w:p>
            <w:pPr>
              <w:ind w:left="380"/>
              <w:spacing w:after="0"/>
              <w:rPr>
                <w:sz w:val="20"/>
                <w:szCs w:val="20"/>
                <w:color w:val="auto"/>
              </w:rPr>
            </w:pPr>
            <w:r>
              <w:rPr>
                <w:rFonts w:ascii="Arial" w:cs="Arial" w:eastAsia="Arial" w:hAnsi="Arial"/>
                <w:sz w:val="18"/>
                <w:szCs w:val="18"/>
                <w:color w:val="auto"/>
              </w:rPr>
              <w:t>February 13, 2019</w:t>
            </w:r>
          </w:p>
        </w:tc>
      </w:tr>
      <w:tr>
        <w:trPr>
          <w:trHeight w:val="229"/>
        </w:trPr>
        <w:tc>
          <w:tcPr>
            <w:tcW w:w="520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2060" w:type="dxa"/>
            <w:vAlign w:val="bottom"/>
          </w:tcPr>
          <w:p>
            <w:pPr>
              <w:spacing w:after="0"/>
              <w:rPr>
                <w:sz w:val="19"/>
                <w:szCs w:val="19"/>
                <w:color w:val="auto"/>
              </w:rPr>
            </w:pPr>
          </w:p>
        </w:tc>
      </w:tr>
      <w:tr>
        <w:trPr>
          <w:trHeight w:val="348"/>
        </w:trPr>
        <w:tc>
          <w:tcPr>
            <w:tcW w:w="52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060" w:type="dxa"/>
            <w:vAlign w:val="bottom"/>
          </w:tcPr>
          <w:p>
            <w:pPr>
              <w:ind w:left="380"/>
              <w:spacing w:after="0"/>
              <w:rPr>
                <w:sz w:val="20"/>
                <w:szCs w:val="20"/>
                <w:color w:val="auto"/>
              </w:rPr>
            </w:pPr>
            <w:r>
              <w:rPr>
                <w:rFonts w:ascii="Arial" w:cs="Arial" w:eastAsia="Arial" w:hAnsi="Arial"/>
                <w:sz w:val="18"/>
                <w:szCs w:val="18"/>
                <w:color w:val="auto"/>
              </w:rPr>
              <w:t>February 13, 2019</w:t>
            </w:r>
          </w:p>
        </w:tc>
      </w:tr>
      <w:tr>
        <w:trPr>
          <w:trHeight w:val="229"/>
        </w:trPr>
        <w:tc>
          <w:tcPr>
            <w:tcW w:w="520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060" w:type="dxa"/>
            <w:vAlign w:val="bottom"/>
          </w:tcPr>
          <w:p>
            <w:pPr>
              <w:spacing w:after="0"/>
              <w:rPr>
                <w:sz w:val="19"/>
                <w:szCs w:val="19"/>
                <w:color w:val="auto"/>
              </w:rPr>
            </w:pPr>
          </w:p>
        </w:tc>
      </w:tr>
      <w:tr>
        <w:trPr>
          <w:trHeight w:val="363"/>
        </w:trPr>
        <w:tc>
          <w:tcPr>
            <w:tcW w:w="520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2060" w:type="dxa"/>
            <w:vAlign w:val="bottom"/>
          </w:tcPr>
          <w:p>
            <w:pPr>
              <w:ind w:left="380"/>
              <w:spacing w:after="0"/>
              <w:rPr>
                <w:sz w:val="20"/>
                <w:szCs w:val="20"/>
                <w:color w:val="auto"/>
              </w:rPr>
            </w:pPr>
            <w:r>
              <w:rPr>
                <w:rFonts w:ascii="Arial" w:cs="Arial" w:eastAsia="Arial" w:hAnsi="Arial"/>
                <w:sz w:val="18"/>
                <w:szCs w:val="18"/>
                <w:color w:val="auto"/>
              </w:rPr>
              <w:t>February 13, 2019</w:t>
            </w:r>
          </w:p>
        </w:tc>
      </w:tr>
    </w:tbl>
    <w:p>
      <w:pPr>
        <w:spacing w:after="0" w:line="348" w:lineRule="exact"/>
        <w:rPr>
          <w:sz w:val="20"/>
          <w:szCs w:val="20"/>
          <w:color w:val="auto"/>
        </w:rPr>
      </w:pPr>
    </w:p>
    <w:p>
      <w:pPr>
        <w:sectPr>
          <w:pgSz w:w="11900" w:h="16838" w:orient="portrait"/>
          <w:cols w:equalWidth="0" w:num="2">
            <w:col w:w="3440" w:space="720"/>
            <w:col w:w="7260"/>
          </w:cols>
          <w:pgMar w:left="240" w:top="336" w:right="2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Yoshio Ishizaka</w:t>
            </w:r>
          </w:p>
        </w:tc>
        <w:tc>
          <w:tcPr>
            <w:tcW w:w="3280" w:type="dxa"/>
            <w:vAlign w:val="bottom"/>
          </w:tcPr>
          <w:p>
            <w:pPr>
              <w:ind w:left="200"/>
              <w:spacing w:after="0"/>
              <w:rPr>
                <w:sz w:val="20"/>
                <w:szCs w:val="20"/>
                <w:color w:val="auto"/>
              </w:rPr>
            </w:pPr>
            <w:r>
              <w:rPr>
                <w:rFonts w:ascii="Arial" w:cs="Arial" w:eastAsia="Arial" w:hAnsi="Arial"/>
                <w:sz w:val="18"/>
                <w:szCs w:val="18"/>
                <w:color w:val="auto"/>
              </w:rPr>
              <w:t>Director</w:t>
            </w:r>
          </w:p>
        </w:tc>
        <w:tc>
          <w:tcPr>
            <w:tcW w:w="3820" w:type="dxa"/>
            <w:vAlign w:val="bottom"/>
          </w:tcPr>
          <w:p>
            <w:pPr>
              <w:ind w:left="2500"/>
              <w:spacing w:after="0"/>
              <w:rPr>
                <w:sz w:val="20"/>
                <w:szCs w:val="20"/>
                <w:color w:val="auto"/>
              </w:rPr>
            </w:pPr>
            <w:r>
              <w:rPr>
                <w:rFonts w:ascii="Arial" w:cs="Arial" w:eastAsia="Arial" w:hAnsi="Arial"/>
                <w:sz w:val="18"/>
                <w:szCs w:val="18"/>
                <w:color w:val="auto"/>
                <w:w w:val="88"/>
              </w:rPr>
              <w:t>February 13, 2019</w:t>
            </w:r>
          </w:p>
        </w:tc>
      </w:tr>
      <w:tr>
        <w:trPr>
          <w:trHeight w:val="229"/>
        </w:trPr>
        <w:tc>
          <w:tcPr>
            <w:tcW w:w="3960" w:type="dxa"/>
            <w:vAlign w:val="bottom"/>
          </w:tcPr>
          <w:p>
            <w:pPr>
              <w:jc w:val="center"/>
              <w:spacing w:after="0"/>
              <w:rPr>
                <w:sz w:val="20"/>
                <w:szCs w:val="20"/>
                <w:color w:val="auto"/>
              </w:rPr>
            </w:pPr>
            <w:r>
              <w:rPr>
                <w:rFonts w:ascii="Arial" w:cs="Arial" w:eastAsia="Arial" w:hAnsi="Arial"/>
                <w:sz w:val="18"/>
                <w:szCs w:val="18"/>
                <w:color w:val="auto"/>
                <w:w w:val="90"/>
              </w:rPr>
              <w:t>Yoshio Ishizaka</w:t>
            </w:r>
          </w:p>
        </w:tc>
        <w:tc>
          <w:tcPr>
            <w:tcW w:w="328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328"/>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Yutaka Kobayashi</w:t>
            </w:r>
          </w:p>
        </w:tc>
        <w:tc>
          <w:tcPr>
            <w:tcW w:w="3280" w:type="dxa"/>
            <w:vAlign w:val="bottom"/>
          </w:tcPr>
          <w:p>
            <w:pPr>
              <w:ind w:left="200"/>
              <w:spacing w:after="0"/>
              <w:rPr>
                <w:sz w:val="20"/>
                <w:szCs w:val="20"/>
                <w:color w:val="auto"/>
              </w:rPr>
            </w:pPr>
            <w:r>
              <w:rPr>
                <w:rFonts w:ascii="Arial" w:cs="Arial" w:eastAsia="Arial" w:hAnsi="Arial"/>
                <w:sz w:val="18"/>
                <w:szCs w:val="18"/>
                <w:color w:val="auto"/>
              </w:rPr>
              <w:t>Director</w:t>
            </w:r>
          </w:p>
        </w:tc>
        <w:tc>
          <w:tcPr>
            <w:tcW w:w="3820" w:type="dxa"/>
            <w:vAlign w:val="bottom"/>
          </w:tcPr>
          <w:p>
            <w:pPr>
              <w:ind w:left="2500"/>
              <w:spacing w:after="0"/>
              <w:rPr>
                <w:sz w:val="20"/>
                <w:szCs w:val="20"/>
                <w:color w:val="auto"/>
              </w:rPr>
            </w:pPr>
            <w:r>
              <w:rPr>
                <w:rFonts w:ascii="Arial" w:cs="Arial" w:eastAsia="Arial" w:hAnsi="Arial"/>
                <w:sz w:val="18"/>
                <w:szCs w:val="18"/>
                <w:color w:val="auto"/>
                <w:w w:val="88"/>
              </w:rPr>
              <w:t>February 13, 2019</w:t>
            </w:r>
          </w:p>
        </w:tc>
      </w:tr>
      <w:tr>
        <w:trPr>
          <w:trHeight w:val="229"/>
        </w:trPr>
        <w:tc>
          <w:tcPr>
            <w:tcW w:w="3960" w:type="dxa"/>
            <w:vAlign w:val="bottom"/>
          </w:tcPr>
          <w:p>
            <w:pPr>
              <w:jc w:val="center"/>
              <w:spacing w:after="0"/>
              <w:rPr>
                <w:sz w:val="20"/>
                <w:szCs w:val="20"/>
                <w:color w:val="auto"/>
              </w:rPr>
            </w:pPr>
            <w:r>
              <w:rPr>
                <w:rFonts w:ascii="Arial" w:cs="Arial" w:eastAsia="Arial" w:hAnsi="Arial"/>
                <w:sz w:val="18"/>
                <w:szCs w:val="18"/>
                <w:color w:val="auto"/>
                <w:w w:val="89"/>
              </w:rPr>
              <w:t>Yutaka Kobayashi</w:t>
            </w:r>
          </w:p>
        </w:tc>
        <w:tc>
          <w:tcPr>
            <w:tcW w:w="328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328"/>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Hideki Nagao</w:t>
            </w:r>
          </w:p>
        </w:tc>
        <w:tc>
          <w:tcPr>
            <w:tcW w:w="3280" w:type="dxa"/>
            <w:vAlign w:val="bottom"/>
          </w:tcPr>
          <w:p>
            <w:pPr>
              <w:ind w:left="200"/>
              <w:spacing w:after="0"/>
              <w:rPr>
                <w:sz w:val="20"/>
                <w:szCs w:val="20"/>
                <w:color w:val="auto"/>
              </w:rPr>
            </w:pPr>
            <w:r>
              <w:rPr>
                <w:rFonts w:ascii="Arial" w:cs="Arial" w:eastAsia="Arial" w:hAnsi="Arial"/>
                <w:sz w:val="18"/>
                <w:szCs w:val="18"/>
                <w:color w:val="auto"/>
              </w:rPr>
              <w:t>Director</w:t>
            </w:r>
          </w:p>
        </w:tc>
        <w:tc>
          <w:tcPr>
            <w:tcW w:w="3820" w:type="dxa"/>
            <w:vAlign w:val="bottom"/>
          </w:tcPr>
          <w:p>
            <w:pPr>
              <w:ind w:left="2500"/>
              <w:spacing w:after="0"/>
              <w:rPr>
                <w:sz w:val="20"/>
                <w:szCs w:val="20"/>
                <w:color w:val="auto"/>
              </w:rPr>
            </w:pPr>
            <w:r>
              <w:rPr>
                <w:rFonts w:ascii="Arial" w:cs="Arial" w:eastAsia="Arial" w:hAnsi="Arial"/>
                <w:sz w:val="18"/>
                <w:szCs w:val="18"/>
                <w:color w:val="auto"/>
                <w:w w:val="88"/>
              </w:rPr>
              <w:t>February 13, 2019</w:t>
            </w:r>
          </w:p>
        </w:tc>
      </w:tr>
      <w:tr>
        <w:trPr>
          <w:trHeight w:val="229"/>
        </w:trPr>
        <w:tc>
          <w:tcPr>
            <w:tcW w:w="3960" w:type="dxa"/>
            <w:vAlign w:val="bottom"/>
          </w:tcPr>
          <w:p>
            <w:pPr>
              <w:jc w:val="center"/>
              <w:spacing w:after="0"/>
              <w:rPr>
                <w:sz w:val="20"/>
                <w:szCs w:val="20"/>
                <w:color w:val="auto"/>
              </w:rPr>
            </w:pPr>
            <w:r>
              <w:rPr>
                <w:rFonts w:ascii="Arial" w:cs="Arial" w:eastAsia="Arial" w:hAnsi="Arial"/>
                <w:sz w:val="18"/>
                <w:szCs w:val="18"/>
                <w:color w:val="auto"/>
                <w:w w:val="92"/>
              </w:rPr>
              <w:t>Hideki Nagao</w:t>
            </w:r>
          </w:p>
        </w:tc>
        <w:tc>
          <w:tcPr>
            <w:tcW w:w="3280" w:type="dxa"/>
            <w:vAlign w:val="bottom"/>
          </w:tcPr>
          <w:p>
            <w:pPr>
              <w:spacing w:after="0"/>
              <w:rPr>
                <w:sz w:val="19"/>
                <w:szCs w:val="19"/>
                <w:color w:val="auto"/>
              </w:rPr>
            </w:pPr>
          </w:p>
        </w:tc>
        <w:tc>
          <w:tcPr>
            <w:tcW w:w="38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36" w:right="23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208"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We hereby consent to the incorporation by reference in the Registration Statements on Form S-3 (Nos. 333-220593, 333-214830 and 333-208274) and Form S-8 (Nos. 333-219491, 333-190490, 333-151808, 333-141694 and 333-122665) of MediciNova, Inc. of our reports dated February 13, 2019, relating to the consolidated financial statements and the effectiveness of MediciNova, Inc.’s internal control over financial reporting, which appear in this Form 10-K.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2019</w:t>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5" w:lineRule="exact"/>
        <w:rPr>
          <w:sz w:val="20"/>
          <w:szCs w:val="20"/>
          <w:color w:val="auto"/>
        </w:rPr>
      </w:pPr>
    </w:p>
    <w:p>
      <w:pPr>
        <w:ind w:left="180" w:hanging="173"/>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2018 of MediciNova, Inc.;</w:t>
      </w:r>
    </w:p>
    <w:p>
      <w:pPr>
        <w:spacing w:after="0" w:line="115" w:lineRule="exact"/>
        <w:rPr>
          <w:rFonts w:ascii="Arial" w:cs="Arial" w:eastAsia="Arial" w:hAnsi="Arial"/>
          <w:sz w:val="18"/>
          <w:szCs w:val="18"/>
          <w:color w:val="auto"/>
        </w:rPr>
      </w:pPr>
    </w:p>
    <w:p>
      <w:pPr>
        <w:ind w:right="20" w:firstLine="7"/>
        <w:spacing w:after="0" w:line="339" w:lineRule="auto"/>
        <w:tabs>
          <w:tab w:leader="none" w:pos="179"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Arial" w:cs="Arial" w:eastAsia="Arial" w:hAnsi="Arial"/>
          <w:sz w:val="16"/>
          <w:szCs w:val="16"/>
          <w:color w:val="auto"/>
        </w:rPr>
      </w:pPr>
    </w:p>
    <w:p>
      <w:pPr>
        <w:ind w:right="120" w:firstLine="7"/>
        <w:spacing w:after="0" w:line="275" w:lineRule="auto"/>
        <w:tabs>
          <w:tab w:leader="none" w:pos="1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7"/>
        <w:spacing w:after="0" w:line="262" w:lineRule="auto"/>
        <w:tabs>
          <w:tab w:leader="none" w:pos="1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right="480" w:firstLine="605"/>
        <w:spacing w:after="0" w:line="262" w:lineRule="auto"/>
        <w:tabs>
          <w:tab w:leader="none" w:pos="782"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800" w:hanging="195"/>
        <w:spacing w:after="0"/>
        <w:tabs>
          <w:tab w:leader="none" w:pos="8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80"/>
        <w:spacing w:after="0" w:line="258"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7"/>
          <w:szCs w:val="17"/>
          <w:color w:val="auto"/>
        </w:rPr>
      </w:pPr>
    </w:p>
    <w:p>
      <w:pPr>
        <w:ind w:firstLine="605"/>
        <w:spacing w:after="0" w:line="275" w:lineRule="auto"/>
        <w:tabs>
          <w:tab w:leader="none" w:pos="782"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0" w:firstLine="605"/>
        <w:spacing w:after="0" w:line="262" w:lineRule="auto"/>
        <w:tabs>
          <w:tab w:leader="none" w:pos="7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right="520" w:firstLine="7"/>
        <w:spacing w:after="0" w:line="305" w:lineRule="auto"/>
        <w:tabs>
          <w:tab w:leader="none" w:pos="179"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Arial" w:cs="Arial" w:eastAsia="Arial" w:hAnsi="Arial"/>
          <w:sz w:val="17"/>
          <w:szCs w:val="17"/>
          <w:color w:val="auto"/>
        </w:rPr>
      </w:pPr>
    </w:p>
    <w:p>
      <w:pPr>
        <w:ind w:right="380" w:firstLine="605"/>
        <w:spacing w:after="0" w:line="275" w:lineRule="auto"/>
        <w:tabs>
          <w:tab w:leader="none" w:pos="782"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20" w:firstLine="605"/>
        <w:spacing w:after="0" w:line="275" w:lineRule="auto"/>
        <w:tabs>
          <w:tab w:leader="none" w:pos="7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wp:posOffset>
            </wp:positionV>
            <wp:extent cx="28987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Yuichi Iwaki, M.D., Ph.D.</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executive officer)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2019</w:t>
      </w:r>
    </w:p>
    <w:p>
      <w:pPr>
        <w:sectPr>
          <w:pgSz w:w="11900" w:h="16838" w:orient="portrait"/>
          <w:cols w:equalWidth="0" w:num="1">
            <w:col w:w="11420"/>
          </w:cols>
          <w:pgMar w:left="240" w:top="121" w:right="239" w:bottom="1440" w:gutter="0" w:footer="0" w:header="0"/>
        </w:sectPr>
      </w:pPr>
    </w:p>
    <w:bookmarkStart w:id="92" w:name="page93"/>
    <w:bookmarkEnd w:id="92"/>
    <w:p>
      <w:pPr>
        <w:ind w:left="966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Carla Reyes, certify that:</w:t>
      </w:r>
    </w:p>
    <w:p>
      <w:pPr>
        <w:spacing w:after="0" w:line="115" w:lineRule="exact"/>
        <w:rPr>
          <w:sz w:val="20"/>
          <w:szCs w:val="20"/>
          <w:color w:val="auto"/>
        </w:rPr>
      </w:pPr>
    </w:p>
    <w:p>
      <w:pPr>
        <w:ind w:left="180" w:hanging="173"/>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2018 of MediciNova, Inc.;</w:t>
      </w:r>
    </w:p>
    <w:p>
      <w:pPr>
        <w:spacing w:after="0" w:line="115" w:lineRule="exact"/>
        <w:rPr>
          <w:rFonts w:ascii="Arial" w:cs="Arial" w:eastAsia="Arial" w:hAnsi="Arial"/>
          <w:sz w:val="18"/>
          <w:szCs w:val="18"/>
          <w:color w:val="auto"/>
        </w:rPr>
      </w:pPr>
    </w:p>
    <w:p>
      <w:pPr>
        <w:ind w:right="20" w:firstLine="7"/>
        <w:spacing w:after="0" w:line="339" w:lineRule="auto"/>
        <w:tabs>
          <w:tab w:leader="none" w:pos="179"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Arial" w:cs="Arial" w:eastAsia="Arial" w:hAnsi="Arial"/>
          <w:sz w:val="16"/>
          <w:szCs w:val="16"/>
          <w:color w:val="auto"/>
        </w:rPr>
      </w:pPr>
    </w:p>
    <w:p>
      <w:pPr>
        <w:ind w:right="120" w:firstLine="7"/>
        <w:spacing w:after="0" w:line="275" w:lineRule="auto"/>
        <w:tabs>
          <w:tab w:leader="none" w:pos="179"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7"/>
        <w:spacing w:after="0" w:line="262" w:lineRule="auto"/>
        <w:tabs>
          <w:tab w:leader="none" w:pos="17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right="480" w:firstLine="605"/>
        <w:spacing w:after="0" w:line="262" w:lineRule="auto"/>
        <w:tabs>
          <w:tab w:leader="none" w:pos="782"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800" w:hanging="195"/>
        <w:spacing w:after="0"/>
        <w:tabs>
          <w:tab w:leader="none" w:pos="8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80"/>
        <w:spacing w:after="0" w:line="258"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7"/>
          <w:szCs w:val="17"/>
          <w:color w:val="auto"/>
        </w:rPr>
      </w:pPr>
    </w:p>
    <w:p>
      <w:pPr>
        <w:ind w:firstLine="605"/>
        <w:spacing w:after="0" w:line="275" w:lineRule="auto"/>
        <w:tabs>
          <w:tab w:leader="none" w:pos="782"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0" w:firstLine="605"/>
        <w:spacing w:after="0" w:line="262" w:lineRule="auto"/>
        <w:tabs>
          <w:tab w:leader="none" w:pos="7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right="520" w:firstLine="7"/>
        <w:spacing w:after="0" w:line="305" w:lineRule="auto"/>
        <w:tabs>
          <w:tab w:leader="none" w:pos="17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Arial" w:cs="Arial" w:eastAsia="Arial" w:hAnsi="Arial"/>
          <w:sz w:val="17"/>
          <w:szCs w:val="17"/>
          <w:color w:val="auto"/>
        </w:rPr>
      </w:pPr>
    </w:p>
    <w:p>
      <w:pPr>
        <w:ind w:right="380" w:firstLine="605"/>
        <w:spacing w:after="0" w:line="275" w:lineRule="auto"/>
        <w:tabs>
          <w:tab w:leader="none" w:pos="782"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20" w:firstLine="605"/>
        <w:spacing w:after="0" w:line="275" w:lineRule="auto"/>
        <w:tabs>
          <w:tab w:leader="none" w:pos="7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wp:posOffset>
            </wp:positionV>
            <wp:extent cx="28987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Carla Reyes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2019</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b w:val="1"/>
          <w:bCs w:val="1"/>
          <w:color w:val="auto"/>
        </w:rPr>
        <w:t>CERTIFICATION OF THE PRINCIPAL EXECUTIVE OFFICER Pursuant to Section 906 of the Sarbanes-Oxley Act of 2002 (Subsections (a) and (b) of Section 1350, Chapter 63 of Title 18, United States Code)</w:t>
      </w:r>
    </w:p>
    <w:p>
      <w:pPr>
        <w:spacing w:after="0" w:line="180" w:lineRule="exact"/>
        <w:rPr>
          <w:sz w:val="20"/>
          <w:szCs w:val="20"/>
          <w:color w:val="auto"/>
        </w:rPr>
      </w:pPr>
    </w:p>
    <w:p>
      <w:pPr>
        <w:ind w:right="80" w:firstLine="598"/>
        <w:spacing w:after="0" w:line="309" w:lineRule="auto"/>
        <w:rPr>
          <w:sz w:val="20"/>
          <w:szCs w:val="20"/>
          <w:color w:val="auto"/>
        </w:rPr>
      </w:pPr>
      <w:r>
        <w:rPr>
          <w:rFonts w:ascii="Arial" w:cs="Arial" w:eastAsia="Arial" w:hAnsi="Arial"/>
          <w:sz w:val="16"/>
          <w:szCs w:val="16"/>
          <w:color w:val="auto"/>
        </w:rPr>
        <w:t>In connection with the Annual Report on Form 10-K of MediciNova, Inc. (the “Company”) for the period ended December 31, 2018,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41" w:lineRule="exact"/>
        <w:rPr>
          <w:sz w:val="20"/>
          <w:szCs w:val="20"/>
          <w:color w:val="auto"/>
        </w:rPr>
      </w:pPr>
    </w:p>
    <w:p>
      <w:pPr>
        <w:ind w:left="780" w:hanging="175"/>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5" w:lineRule="exact"/>
        <w:rPr>
          <w:rFonts w:ascii="Arial" w:cs="Arial" w:eastAsia="Arial" w:hAnsi="Arial"/>
          <w:sz w:val="18"/>
          <w:szCs w:val="18"/>
          <w:color w:val="auto"/>
        </w:rPr>
      </w:pPr>
    </w:p>
    <w:p>
      <w:pPr>
        <w:ind w:left="780" w:hanging="175"/>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Date: February 13,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Yuichi Iwaki</w:t>
            </w:r>
          </w:p>
        </w:tc>
      </w:tr>
      <w:tr>
        <w:trPr>
          <w:trHeight w:val="194"/>
        </w:trPr>
        <w:tc>
          <w:tcPr>
            <w:tcW w:w="6860" w:type="dxa"/>
            <w:vAlign w:val="bottom"/>
          </w:tcPr>
          <w:p>
            <w:pPr>
              <w:spacing w:after="0"/>
              <w:rPr>
                <w:sz w:val="16"/>
                <w:szCs w:val="16"/>
                <w:color w:val="auto"/>
              </w:rPr>
            </w:pPr>
          </w:p>
        </w:tc>
        <w:tc>
          <w:tcPr>
            <w:tcW w:w="4560" w:type="dxa"/>
            <w:vAlign w:val="bottom"/>
          </w:tcPr>
          <w:p>
            <w:pPr>
              <w:spacing w:after="0" w:line="194" w:lineRule="exact"/>
              <w:rPr>
                <w:sz w:val="20"/>
                <w:szCs w:val="20"/>
                <w:color w:val="auto"/>
              </w:rPr>
            </w:pPr>
            <w:r>
              <w:rPr>
                <w:rFonts w:ascii="Arial" w:cs="Arial" w:eastAsia="Arial" w:hAnsi="Arial"/>
                <w:sz w:val="18"/>
                <w:szCs w:val="18"/>
                <w:color w:val="auto"/>
              </w:rPr>
              <w:t>Yuichi Iwaki, M.D., Ph.D.</w:t>
            </w:r>
          </w:p>
        </w:tc>
      </w:tr>
      <w:tr>
        <w:trPr>
          <w:trHeight w:val="215"/>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ind w:firstLine="598"/>
        <w:spacing w:after="0" w:line="300" w:lineRule="auto"/>
        <w:rPr>
          <w:sz w:val="20"/>
          <w:szCs w:val="20"/>
          <w:color w:val="auto"/>
        </w:rPr>
      </w:pPr>
      <w:r>
        <w:rPr>
          <w:rFonts w:ascii="Arial" w:cs="Arial" w:eastAsia="Arial" w:hAnsi="Arial"/>
          <w:sz w:val="16"/>
          <w:szCs w:val="16"/>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94" w:name="page95"/>
    <w:bookmarkEnd w:id="94"/>
    <w:p>
      <w:pPr>
        <w:ind w:left="9860"/>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51"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b w:val="1"/>
          <w:bCs w:val="1"/>
          <w:color w:val="auto"/>
        </w:rPr>
        <w:t>CERTIFICATION OF THE PRINCIPAL FINANCIAL OFFICER Pursuant to Section 906 of the Sarbanes-Oxley Act of 2002 (Subsections (a) and (b) of Section 1350, Chapter 63 of Title 18, United States Code)</w:t>
      </w:r>
    </w:p>
    <w:p>
      <w:pPr>
        <w:spacing w:after="0" w:line="180" w:lineRule="exact"/>
        <w:rPr>
          <w:sz w:val="20"/>
          <w:szCs w:val="20"/>
          <w:color w:val="auto"/>
        </w:rPr>
      </w:pPr>
    </w:p>
    <w:p>
      <w:pPr>
        <w:ind w:right="80" w:firstLine="598"/>
        <w:spacing w:after="0" w:line="275" w:lineRule="auto"/>
        <w:rPr>
          <w:sz w:val="20"/>
          <w:szCs w:val="20"/>
          <w:color w:val="auto"/>
        </w:rPr>
      </w:pPr>
      <w:r>
        <w:rPr>
          <w:rFonts w:ascii="Arial" w:cs="Arial" w:eastAsia="Arial" w:hAnsi="Arial"/>
          <w:sz w:val="18"/>
          <w:szCs w:val="18"/>
          <w:color w:val="auto"/>
        </w:rPr>
        <w:t>In connection with the Annual Report on Form 10-K of MediciNova, Inc. (the “Company”) for the period ended December 31, 2018, as filed with the Securities and Exchange Commission on the date hereof (the “Report”),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 Carla Reyes, as Chief Financial Officer of the Company, certify, pursuant to 18 U.S.C. Section 1350, as adopted pursuant to Section 906 of the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that to my knowledge:</w:t>
      </w:r>
    </w:p>
    <w:p>
      <w:pPr>
        <w:spacing w:after="0" w:line="101" w:lineRule="exact"/>
        <w:rPr>
          <w:sz w:val="20"/>
          <w:szCs w:val="20"/>
          <w:color w:val="auto"/>
        </w:rPr>
      </w:pPr>
    </w:p>
    <w:p>
      <w:pPr>
        <w:ind w:left="780" w:hanging="175"/>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5" w:lineRule="exact"/>
        <w:rPr>
          <w:rFonts w:ascii="Arial" w:cs="Arial" w:eastAsia="Arial" w:hAnsi="Arial"/>
          <w:sz w:val="18"/>
          <w:szCs w:val="18"/>
          <w:color w:val="auto"/>
        </w:rPr>
      </w:pPr>
    </w:p>
    <w:p>
      <w:pPr>
        <w:ind w:left="780" w:hanging="175"/>
        <w:spacing w:after="0"/>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Date: February 13,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Carla Reyes</w:t>
            </w:r>
          </w:p>
        </w:tc>
      </w:tr>
      <w:tr>
        <w:trPr>
          <w:trHeight w:val="194"/>
        </w:trPr>
        <w:tc>
          <w:tcPr>
            <w:tcW w:w="6860" w:type="dxa"/>
            <w:vAlign w:val="bottom"/>
          </w:tcPr>
          <w:p>
            <w:pPr>
              <w:spacing w:after="0"/>
              <w:rPr>
                <w:sz w:val="16"/>
                <w:szCs w:val="16"/>
                <w:color w:val="auto"/>
              </w:rPr>
            </w:pPr>
          </w:p>
        </w:tc>
        <w:tc>
          <w:tcPr>
            <w:tcW w:w="4560" w:type="dxa"/>
            <w:vAlign w:val="bottom"/>
          </w:tcPr>
          <w:p>
            <w:pPr>
              <w:spacing w:after="0" w:line="194" w:lineRule="exact"/>
              <w:rPr>
                <w:sz w:val="20"/>
                <w:szCs w:val="20"/>
                <w:color w:val="auto"/>
              </w:rPr>
            </w:pPr>
            <w:r>
              <w:rPr>
                <w:rFonts w:ascii="Arial" w:cs="Arial" w:eastAsia="Arial" w:hAnsi="Arial"/>
                <w:sz w:val="18"/>
                <w:szCs w:val="18"/>
                <w:color w:val="auto"/>
              </w:rPr>
              <w:t>Carla Reyes</w:t>
            </w:r>
          </w:p>
        </w:tc>
      </w:tr>
      <w:tr>
        <w:trPr>
          <w:trHeight w:val="215"/>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9"/>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ind w:firstLine="598"/>
        <w:spacing w:after="0" w:line="300" w:lineRule="auto"/>
        <w:rPr>
          <w:sz w:val="20"/>
          <w:szCs w:val="20"/>
          <w:color w:val="auto"/>
        </w:rPr>
      </w:pPr>
      <w:r>
        <w:rPr>
          <w:rFonts w:ascii="Arial" w:cs="Arial" w:eastAsia="Arial" w:hAnsi="Arial"/>
          <w:sz w:val="16"/>
          <w:szCs w:val="16"/>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upperLetter"/>
      <w:start w:val="35"/>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2"/>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
      <w:numFmt w:val="bullet"/>
      <w:start w:val="1"/>
    </w:lvl>
    <w:lvl w:ilvl="1">
      <w:lvlJc w:val="left"/>
      <w:lvlText w:val="%2"/>
      <w:numFmt w:val="decimal"/>
      <w:start w:val="10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3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05" Type="http://schemas.openxmlformats.org/officeDocument/2006/relationships/hyperlink" Target="http://www.sec.gov/Archives/edgar/data/1226616/000119312512347932/d344794dex31.htm" TargetMode="External"/><Relationship Id="rId106" Type="http://schemas.openxmlformats.org/officeDocument/2006/relationships/hyperlink" Target="http://www.sec.gov/Archives/edgar/data/1226616/000119312504164964/dex34.htm" TargetMode="External"/><Relationship Id="rId107" Type="http://schemas.openxmlformats.org/officeDocument/2006/relationships/hyperlink" Target="http://www.sec.gov/Archives/edgar/data/1226616/000119312507033031/dex41.htm" TargetMode="External"/><Relationship Id="rId108" Type="http://schemas.openxmlformats.org/officeDocument/2006/relationships/hyperlink" Target="http://www.sec.gov/Archives/edgar/data/1226616/000119312504164964/dex42.htm" TargetMode="External"/><Relationship Id="rId109" Type="http://schemas.openxmlformats.org/officeDocument/2006/relationships/hyperlink" Target="http://www.sec.gov/Archives/edgar/data/1226616/000119312513212371/d536081dex41.htm" TargetMode="External"/><Relationship Id="rId110" Type="http://schemas.openxmlformats.org/officeDocument/2006/relationships/hyperlink" Target="http://www.sec.gov/Archives/edgar/data/1226616/000119312512137788/d270304dex102.htm" TargetMode="External"/><Relationship Id="rId111" Type="http://schemas.openxmlformats.org/officeDocument/2006/relationships/hyperlink" Target="http://www.sec.gov/Archives/edgar/data/1226616/000119312513132600/d448827dex103.htm" TargetMode="External"/><Relationship Id="rId112" Type="http://schemas.openxmlformats.org/officeDocument/2006/relationships/hyperlink" Target="http://www.sec.gov/Archives/edgar/data/1226616/000119312504202924/dex104.htm" TargetMode="External"/><Relationship Id="rId113" Type="http://schemas.openxmlformats.org/officeDocument/2006/relationships/hyperlink" Target="http://www.sec.gov/Archives/edgar/data/1226616/000119312504202924/dex105.htm" TargetMode="External"/><Relationship Id="rId114" Type="http://schemas.openxmlformats.org/officeDocument/2006/relationships/hyperlink" Target="http://www.sec.gov/Archives/edgar/data/1226616/000119312504202924/dex107.htm" TargetMode="External"/><Relationship Id="rId118" Type="http://schemas.openxmlformats.org/officeDocument/2006/relationships/hyperlink" Target="http://www.sec.gov/Archives/edgar/data/1226616/000119312504202924/dex108.htm" TargetMode="External"/><Relationship Id="rId119" Type="http://schemas.openxmlformats.org/officeDocument/2006/relationships/hyperlink" Target="http://www.sec.gov/Archives/edgar/data/1226616/000119312504202924/dex1018.htm" TargetMode="External"/><Relationship Id="rId120" Type="http://schemas.openxmlformats.org/officeDocument/2006/relationships/hyperlink" Target="http://www.sec.gov/Archives/edgar/data/1226616/000119312505002494/dex1021.htm" TargetMode="External"/><Relationship Id="rId121" Type="http://schemas.openxmlformats.org/officeDocument/2006/relationships/hyperlink" Target="http://www.sec.gov/Archives/edgar/data/1226616/000119312507033031/dex1012.htm" TargetMode="External"/><Relationship Id="rId122" Type="http://schemas.openxmlformats.org/officeDocument/2006/relationships/hyperlink" Target="http://www.sec.gov/Archives/edgar/data/1226616/000119312506221980/dex101.htm" TargetMode="External"/><Relationship Id="rId123" Type="http://schemas.openxmlformats.org/officeDocument/2006/relationships/hyperlink" Target="http://www.sec.gov/Archives/edgar/data/1226616/000119312506221980/dex102.htm" TargetMode="External"/><Relationship Id="rId124" Type="http://schemas.openxmlformats.org/officeDocument/2006/relationships/hyperlink" Target="http://www.sec.gov/Archives/edgar/data/1226616/000119312507074153/dex101.htm" TargetMode="External"/><Relationship Id="rId125" Type="http://schemas.openxmlformats.org/officeDocument/2006/relationships/hyperlink" Target="http://www.sec.gov/Archives/edgar/data/1226616/000119312507053569/ddef14a.htm" TargetMode="External"/><Relationship Id="rId126" Type="http://schemas.openxmlformats.org/officeDocument/2006/relationships/hyperlink" Target="http://www.sec.gov/Archives/edgar/data/1226616/000119312509066501/dex101.htm" TargetMode="External"/><Relationship Id="rId127" Type="http://schemas.openxmlformats.org/officeDocument/2006/relationships/hyperlink" Target="http://www.sec.gov/Archives/edgar/data/932903/000114544306000811/d18787ex10-58.htm" TargetMode="External"/><Relationship Id="rId128" Type="http://schemas.openxmlformats.org/officeDocument/2006/relationships/hyperlink" Target="http://www.sec.gov/Archives/edgar/data/932903/000120677409000503/exhibit_2-2.htm" TargetMode="External"/><Relationship Id="rId129" Type="http://schemas.openxmlformats.org/officeDocument/2006/relationships/hyperlink" Target="http://www.sec.gov/Archives/edgar/data/1226616/000119312511001216/dex101.htm" TargetMode="External"/><Relationship Id="rId130" Type="http://schemas.openxmlformats.org/officeDocument/2006/relationships/hyperlink" Target="http://www.sec.gov/Archives/edgar/data/1226616/000119312511222788/dex1044.htm" TargetMode="External"/><Relationship Id="rId131" Type="http://schemas.openxmlformats.org/officeDocument/2006/relationships/hyperlink" Target="http://www.sec.gov/Archives/edgar/data/1226616/000119312517279377/d414779dex101.htm" TargetMode="External"/><Relationship Id="rId132" Type="http://schemas.openxmlformats.org/officeDocument/2006/relationships/hyperlink" Target="http://www.sec.gov/Archives/edgar/data/1226616/000119312513212371/d536081dex101.htm" TargetMode="External"/><Relationship Id="rId134" Type="http://schemas.openxmlformats.org/officeDocument/2006/relationships/hyperlink" Target="http://www.sec.gov/Archives/edgar/data/1226616/000119312514118744/d652763dex1023.htm" TargetMode="External"/><Relationship Id="rId135" Type="http://schemas.openxmlformats.org/officeDocument/2006/relationships/hyperlink" Target="http://www.sec.gov/Archives/edgar/data/1226616/000156459017014096/mnov-ex101_306.htm" TargetMode="External"/><Relationship Id="rId136" Type="http://schemas.openxmlformats.org/officeDocument/2006/relationships/hyperlink" Target="http://www.sec.gov/Archives/edgar/data/1226616/000119312513433171/d595996dex103.htm" TargetMode="External"/><Relationship Id="rId137" Type="http://schemas.openxmlformats.org/officeDocument/2006/relationships/hyperlink" Target="http://www.sec.gov/Archives/edgar/data/1226616/000119312514308545/d745670dex102.htm" TargetMode="External"/><Relationship Id="rId138" Type="http://schemas.openxmlformats.org/officeDocument/2006/relationships/hyperlink" Target="http://www.sec.gov/Archives/edgar/data/1226616/000119312514308545/d745670dex103.htm" TargetMode="External"/><Relationship Id="rId139" Type="http://schemas.openxmlformats.org/officeDocument/2006/relationships/hyperlink" Target="http://www.sec.gov/Archives/edgar/data/1226616/000119312514308545/d745670dex104.htm" TargetMode="External"/><Relationship Id="rId140" Type="http://schemas.openxmlformats.org/officeDocument/2006/relationships/hyperlink" Target="http://www.sec.gov/Archives/edgar/data/1226616/000119312514308545/d745670dex105.htm" TargetMode="External"/><Relationship Id="rId141" Type="http://schemas.openxmlformats.org/officeDocument/2006/relationships/hyperlink" Target="http://www.sec.gov/Archives/edgar/data/1226616/000119312515198902/d932175dex101.htm" TargetMode="External"/><Relationship Id="rId142" Type="http://schemas.openxmlformats.org/officeDocument/2006/relationships/hyperlink" Target="http://www.sec.gov/Archives/edgar/data/1226616/000119312516524645/d171332dex101.htm" TargetMode="External"/><Relationship Id="rId143" Type="http://schemas.openxmlformats.org/officeDocument/2006/relationships/hyperlink" Target="http://www.sec.gov/Archives/edgar/data/1226616/000119312516712376/d22887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2019-12-28T16:32:13Z</dcterms:created>
  <dcterms:modified xsi:type="dcterms:W3CDTF">2019-12-28T16:32:13Z</dcterms:modified>
</cp:coreProperties>
</file>