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right="2380" w:hanging="452"/>
        <w:spacing w:after="0" w:line="32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1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880" w:type="dxa"/>
            <w:vAlign w:val="bottom"/>
            <w:gridSpan w:val="3"/>
          </w:tcPr>
          <w:p>
            <w:pPr>
              <w:ind w:left="260"/>
              <w:spacing w:after="0"/>
              <w:rPr>
                <w:sz w:val="20"/>
                <w:szCs w:val="20"/>
                <w:color w:val="auto"/>
              </w:rPr>
            </w:pPr>
            <w:r>
              <w:rPr>
                <w:rFonts w:ascii="Arial" w:cs="Arial" w:eastAsia="Arial" w:hAnsi="Arial"/>
                <w:sz w:val="18"/>
                <w:szCs w:val="18"/>
                <w:b w:val="1"/>
                <w:bCs w:val="1"/>
                <w:color w:val="auto"/>
              </w:rPr>
              <w:t>to</w:t>
            </w:r>
          </w:p>
        </w:tc>
        <w:tc>
          <w:tcPr>
            <w:tcW w:w="2240" w:type="dxa"/>
            <w:vAlign w:val="bottom"/>
          </w:tcPr>
          <w:p>
            <w:pPr>
              <w:spacing w:after="0"/>
              <w:rPr>
                <w:sz w:val="19"/>
                <w:szCs w:val="19"/>
                <w:color w:val="auto"/>
              </w:rPr>
            </w:pPr>
          </w:p>
        </w:tc>
      </w:tr>
      <w:tr>
        <w:trPr>
          <w:trHeight w:val="151"/>
        </w:trPr>
        <w:tc>
          <w:tcPr>
            <w:tcW w:w="3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63"/>
        </w:trPr>
        <w:tc>
          <w:tcPr>
            <w:tcW w:w="3140" w:type="dxa"/>
            <w:vAlign w:val="bottom"/>
          </w:tcPr>
          <w:p>
            <w:pPr>
              <w:spacing w:after="0"/>
              <w:rPr>
                <w:sz w:val="22"/>
                <w:szCs w:val="22"/>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8"/>
                <w:szCs w:val="18"/>
                <w:b w:val="1"/>
                <w:bCs w:val="1"/>
                <w:color w:val="auto"/>
                <w:w w:val="87"/>
              </w:rPr>
              <w:t>Commission file number: 001-33185</w:t>
            </w:r>
          </w:p>
        </w:tc>
        <w:tc>
          <w:tcPr>
            <w:tcW w:w="2240" w:type="dxa"/>
            <w:vAlign w:val="bottom"/>
          </w:tcPr>
          <w:p>
            <w:pPr>
              <w:spacing w:after="0"/>
              <w:rPr>
                <w:sz w:val="22"/>
                <w:szCs w:val="22"/>
                <w:color w:val="auto"/>
              </w:rPr>
            </w:pPr>
          </w:p>
        </w:tc>
      </w:tr>
      <w:tr>
        <w:trPr>
          <w:trHeight w:val="393"/>
        </w:trPr>
        <w:tc>
          <w:tcPr>
            <w:tcW w:w="3140" w:type="dxa"/>
            <w:vAlign w:val="bottom"/>
          </w:tcPr>
          <w:p>
            <w:pPr>
              <w:spacing w:after="0"/>
              <w:rPr>
                <w:sz w:val="24"/>
                <w:szCs w:val="24"/>
                <w:color w:val="auto"/>
              </w:rPr>
            </w:pPr>
          </w:p>
        </w:tc>
        <w:tc>
          <w:tcPr>
            <w:tcW w:w="3880" w:type="dxa"/>
            <w:vAlign w:val="bottom"/>
            <w:gridSpan w:val="3"/>
          </w:tcPr>
          <w:p>
            <w:pPr>
              <w:jc w:val="center"/>
              <w:ind w:left="267"/>
              <w:spacing w:after="0"/>
              <w:rPr>
                <w:sz w:val="20"/>
                <w:szCs w:val="20"/>
                <w:color w:val="auto"/>
              </w:rPr>
            </w:pPr>
            <w:r>
              <w:rPr>
                <w:rFonts w:ascii="Arial" w:cs="Arial" w:eastAsia="Arial" w:hAnsi="Arial"/>
                <w:sz w:val="32"/>
                <w:szCs w:val="32"/>
                <w:b w:val="1"/>
                <w:bCs w:val="1"/>
                <w:color w:val="auto"/>
              </w:rPr>
              <w:t>MEDICINOVA, INC.</w:t>
            </w:r>
          </w:p>
        </w:tc>
        <w:tc>
          <w:tcPr>
            <w:tcW w:w="2240" w:type="dxa"/>
            <w:vAlign w:val="bottom"/>
          </w:tcPr>
          <w:p>
            <w:pPr>
              <w:spacing w:after="0"/>
              <w:rPr>
                <w:sz w:val="24"/>
                <w:szCs w:val="24"/>
                <w:color w:val="auto"/>
              </w:rPr>
            </w:pPr>
          </w:p>
        </w:tc>
      </w:tr>
      <w:tr>
        <w:trPr>
          <w:trHeight w:val="174"/>
        </w:trPr>
        <w:tc>
          <w:tcPr>
            <w:tcW w:w="3140" w:type="dxa"/>
            <w:vAlign w:val="bottom"/>
          </w:tcPr>
          <w:p>
            <w:pPr>
              <w:spacing w:after="0"/>
              <w:rPr>
                <w:sz w:val="15"/>
                <w:szCs w:val="15"/>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40" w:type="dxa"/>
            <w:vAlign w:val="bottom"/>
          </w:tcPr>
          <w:p>
            <w:pPr>
              <w:spacing w:after="0"/>
              <w:rPr>
                <w:sz w:val="15"/>
                <w:szCs w:val="15"/>
                <w:color w:val="auto"/>
              </w:rPr>
            </w:pPr>
          </w:p>
        </w:tc>
      </w:tr>
      <w:tr>
        <w:trPr>
          <w:trHeight w:val="258"/>
        </w:trPr>
        <w:tc>
          <w:tcPr>
            <w:tcW w:w="3140" w:type="dxa"/>
            <w:vAlign w:val="bottom"/>
          </w:tcPr>
          <w:p>
            <w:pPr>
              <w:jc w:val="center"/>
              <w:ind w:left="1602"/>
              <w:spacing w:after="0"/>
              <w:rPr>
                <w:sz w:val="20"/>
                <w:szCs w:val="20"/>
                <w:color w:val="auto"/>
              </w:rPr>
            </w:pPr>
            <w:r>
              <w:rPr>
                <w:rFonts w:ascii="Arial" w:cs="Arial" w:eastAsia="Arial" w:hAnsi="Arial"/>
                <w:sz w:val="18"/>
                <w:szCs w:val="18"/>
                <w:b w:val="1"/>
                <w:bCs w:val="1"/>
                <w:color w:val="auto"/>
                <w:w w:val="88"/>
              </w:rPr>
              <w:t>Delaware</w:t>
            </w:r>
          </w:p>
        </w:tc>
        <w:tc>
          <w:tcPr>
            <w:tcW w:w="9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40" w:type="dxa"/>
            <w:vAlign w:val="bottom"/>
          </w:tcPr>
          <w:p>
            <w:pPr>
              <w:jc w:val="right"/>
              <w:ind w:right="54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140" w:type="dxa"/>
            <w:vAlign w:val="bottom"/>
          </w:tcPr>
          <w:p>
            <w:pPr>
              <w:jc w:val="center"/>
              <w:ind w:left="1602"/>
              <w:spacing w:after="0"/>
              <w:rPr>
                <w:sz w:val="20"/>
                <w:szCs w:val="20"/>
                <w:color w:val="auto"/>
              </w:rPr>
            </w:pPr>
            <w:r>
              <w:rPr>
                <w:rFonts w:ascii="Arial" w:cs="Arial" w:eastAsia="Arial" w:hAnsi="Arial"/>
                <w:sz w:val="14"/>
                <w:szCs w:val="14"/>
                <w:b w:val="1"/>
                <w:bCs w:val="1"/>
                <w:color w:val="auto"/>
                <w:w w:val="90"/>
              </w:rPr>
              <w:t>or Organization)</w:t>
            </w:r>
          </w:p>
        </w:tc>
        <w:tc>
          <w:tcPr>
            <w:tcW w:w="9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2"/>
        </w:trPr>
        <w:tc>
          <w:tcPr>
            <w:tcW w:w="702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9"/>
              </w:rPr>
              <w:t>4350 La Jolla Village Drive, Suite 950, San Diego, CA</w:t>
            </w:r>
          </w:p>
        </w:tc>
        <w:tc>
          <w:tcPr>
            <w:tcW w:w="2240" w:type="dxa"/>
            <w:vAlign w:val="bottom"/>
          </w:tcPr>
          <w:p>
            <w:pPr>
              <w:jc w:val="right"/>
              <w:ind w:right="742"/>
              <w:spacing w:after="0"/>
              <w:rPr>
                <w:sz w:val="20"/>
                <w:szCs w:val="20"/>
                <w:color w:val="auto"/>
              </w:rPr>
            </w:pPr>
            <w:r>
              <w:rPr>
                <w:rFonts w:ascii="Arial" w:cs="Arial" w:eastAsia="Arial" w:hAnsi="Arial"/>
                <w:sz w:val="18"/>
                <w:szCs w:val="18"/>
                <w:b w:val="1"/>
                <w:bCs w:val="1"/>
                <w:color w:val="auto"/>
              </w:rPr>
              <w:t>92122</w:t>
            </w:r>
          </w:p>
        </w:tc>
      </w:tr>
      <w:tr>
        <w:trPr>
          <w:trHeight w:val="174"/>
        </w:trPr>
        <w:tc>
          <w:tcPr>
            <w:tcW w:w="70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140" w:type="dxa"/>
            <w:vAlign w:val="bottom"/>
          </w:tcPr>
          <w:p>
            <w:pPr>
              <w:spacing w:after="0"/>
              <w:rPr>
                <w:sz w:val="22"/>
                <w:szCs w:val="22"/>
                <w:color w:val="auto"/>
              </w:rPr>
            </w:pPr>
          </w:p>
        </w:tc>
        <w:tc>
          <w:tcPr>
            <w:tcW w:w="3300" w:type="dxa"/>
            <w:vAlign w:val="bottom"/>
            <w:gridSpan w:val="2"/>
          </w:tcPr>
          <w:p>
            <w:pPr>
              <w:jc w:val="center"/>
              <w:ind w:left="827"/>
              <w:spacing w:after="0"/>
              <w:rPr>
                <w:sz w:val="20"/>
                <w:szCs w:val="20"/>
                <w:color w:val="auto"/>
              </w:rPr>
            </w:pPr>
            <w:r>
              <w:rPr>
                <w:rFonts w:ascii="Arial" w:cs="Arial" w:eastAsia="Arial" w:hAnsi="Arial"/>
                <w:sz w:val="18"/>
                <w:szCs w:val="18"/>
                <w:b w:val="1"/>
                <w:bCs w:val="1"/>
                <w:color w:val="auto"/>
                <w:w w:val="89"/>
              </w:rPr>
              <w:t>(858) 373-1500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167"/>
        </w:trPr>
        <w:tc>
          <w:tcPr>
            <w:tcW w:w="3140" w:type="dxa"/>
            <w:vAlign w:val="bottom"/>
          </w:tcPr>
          <w:p>
            <w:pPr>
              <w:spacing w:after="0"/>
              <w:rPr>
                <w:sz w:val="14"/>
                <w:szCs w:val="14"/>
                <w:color w:val="auto"/>
              </w:rPr>
            </w:pPr>
          </w:p>
        </w:tc>
        <w:tc>
          <w:tcPr>
            <w:tcW w:w="388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4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6820" w:type="dxa"/>
            <w:vAlign w:val="bottom"/>
            <w:gridSpan w:val="3"/>
          </w:tcPr>
          <w:p>
            <w:pPr>
              <w:jc w:val="center"/>
              <w:ind w:right="1932"/>
              <w:spacing w:after="0"/>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75"/>
        </w:trPr>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8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No</w:t>
            </w:r>
          </w:p>
        </w:tc>
        <w:tc>
          <w:tcPr>
            <w:tcW w:w="76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 ] No</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4020" w:val="left"/>
          <w:tab w:leader="none" w:pos="6020" w:val="left"/>
        </w:tabs>
        <w:rPr>
          <w:sz w:val="20"/>
          <w:szCs w:val="20"/>
          <w:color w:val="auto"/>
        </w:rPr>
      </w:pPr>
      <w:r>
        <w:rPr>
          <w:rFonts w:ascii="Arial" w:cs="Arial" w:eastAsia="Arial" w:hAnsi="Arial"/>
          <w:sz w:val="18"/>
          <w:szCs w:val="18"/>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6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$41,116,072 based on the closing price of the registrant’s common stock on the Nasdaq Global Market of $2.69 per share on June 30, 2011.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27, 2012 was 16,088,015.</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2012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8"/>
          </w:tcPr>
          <w:p>
            <w:pPr>
              <w:jc w:val="center"/>
              <w:ind w:right="4140"/>
              <w:spacing w:after="0"/>
              <w:rPr>
                <w:sz w:val="20"/>
                <w:szCs w:val="20"/>
                <w:color w:val="auto"/>
              </w:rPr>
            </w:pPr>
            <w:r>
              <w:rPr>
                <w:rFonts w:ascii="Arial" w:cs="Arial" w:eastAsia="Arial" w:hAnsi="Arial"/>
                <w:sz w:val="18"/>
                <w:szCs w:val="18"/>
                <w:b w:val="1"/>
                <w:bCs w:val="1"/>
                <w:color w:val="auto"/>
              </w:rPr>
              <w:t>MEDICINOVA, INC.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auto"/>
                <w:w w:val="97"/>
              </w:rPr>
              <w:t>FORM 10-K—ANNUAL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2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88"/>
              </w:rPr>
              <w:t>For the Fiscal Year Ended December 31, 2011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86"/>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9"/>
        </w:trPr>
        <w:tc>
          <w:tcPr>
            <w:tcW w:w="13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620" w:type="dxa"/>
            <w:vAlign w:val="bottom"/>
            <w:gridSpan w:val="19"/>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62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Unresolved Staff Comments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6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2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2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9620" w:type="dxa"/>
            <w:vAlign w:val="bottom"/>
            <w:gridSpan w:val="19"/>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20" w:type="dxa"/>
            <w:vAlign w:val="bottom"/>
            <w:gridSpan w:val="1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3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Financial Statements and Supplementary Data</w:t>
              </w:r>
            </w:hyperlink>
          </w:p>
        </w:tc>
        <w:tc>
          <w:tcPr>
            <w:tcW w:w="63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9A(T)</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Controls and Procedures</w:t>
              </w:r>
            </w:hyperlink>
          </w:p>
        </w:tc>
        <w:tc>
          <w:tcPr>
            <w:tcW w:w="78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620" w:type="dxa"/>
            <w:vAlign w:val="bottom"/>
            <w:gridSpan w:val="19"/>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2"/>
          </w:tcPr>
          <w:p>
            <w:pPr>
              <w:spacing w:after="0" w:line="184"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Directors, Executive Officers and Corporate Governance</w:t>
              </w:r>
            </w:hyperlink>
          </w:p>
        </w:tc>
        <w:tc>
          <w:tcPr>
            <w:tcW w:w="5620" w:type="dxa"/>
            <w:vAlign w:val="bottom"/>
            <w:gridSpan w:val="7"/>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620" w:type="dxa"/>
            <w:vAlign w:val="bottom"/>
            <w:gridSpan w:val="1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Security Ownership of Certain Beneficial Owners and Management and Related Stockholder Matters</w:t>
              </w:r>
            </w:hyperlink>
          </w:p>
        </w:tc>
        <w:tc>
          <w:tcPr>
            <w:tcW w:w="25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620" w:type="dxa"/>
            <w:vAlign w:val="bottom"/>
            <w:gridSpan w:val="19"/>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Certain Relationships and Related Transactions, and Director Independence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Principal Accounting Fees and Services</w:t>
              </w:r>
            </w:hyperlink>
          </w:p>
        </w:tc>
        <w:tc>
          <w:tcPr>
            <w:tcW w:w="43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3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620" w:type="dxa"/>
            <w:vAlign w:val="bottom"/>
            <w:gridSpan w:val="19"/>
          </w:tcPr>
          <w:p>
            <w:pPr>
              <w:spacing w:after="0" w:line="184" w:lineRule="exact"/>
              <w:rPr>
                <w:rFonts w:ascii="Arial" w:cs="Arial" w:eastAsia="Arial" w:hAnsi="Arial"/>
                <w:sz w:val="18"/>
                <w:szCs w:val="18"/>
                <w:color w:val="0000EE"/>
              </w:rPr>
            </w:pPr>
            <w:hyperlink w:anchor="page116">
              <w:r>
                <w:rPr>
                  <w:rFonts w:ascii="Arial" w:cs="Arial" w:eastAsia="Arial" w:hAnsi="Arial"/>
                  <w:sz w:val="18"/>
                  <w:szCs w:val="18"/>
                  <w:color w:val="0000EE"/>
                </w:rPr>
                <w:t>Exhibits, Financial Statement Schedules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our ability to realize the anticipated strategic and financial benefits of our acquisition of Avigen, Inc., or Avigen; our ability to integrate Avigen’s ibudilast development program with ours; the potential impact of uncertainties in the credit and capital markets or a future deterioration of these markets on our investment portfolio;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 In December 2009 we acquired Avigen Inc., or Avigen, a biopharmaceutical company that focused on identifying and developing differentiated products to treat patients with serious disorders, whose potential product candidate is a macrophage migration inhibitory and a glial attenuator for central nervous system, or CNS, disorders such as neuropathic pain, opioid addiction and withdrawal and methamphetamine addiction.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our ability to gain access to and acquire potentially high-value product candidates from Japanese and European pharmaceutical companies is largely attributable to the established relationships and broad industry experience of our management team. In particular, we believe our relationships with Japanese pharmaceutical companies and their executives provide us with a competitive advantage in opportunistically sourcing product candidates from Japanese pharmaceutical companies at attractive terms. Since our inception, we have established relationships with a number of pharmaceutical companies, including Kissei Pharmaceutical Co., Ltd., or Kissei Pharmaceutical, Kyorin Pharmaceutical Co., Ltd., or Kyorin Pharmaceutical, Mitsubishi Tanabe Pharma Corporation and Meiji Seika Kaisha, Ltd., or Meiji Seika Kaisha, in Japan and Angiogene Pharmaceuticals, Ltd., or Angiogene Pharmaceuticals, in the United Kingdom, pursuant to which we have obtained rights to develop and commercialize our current product candidates.</w:t>
      </w:r>
    </w:p>
    <w:p>
      <w:pPr>
        <w:spacing w:after="0" w:line="10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Since our inception, we have acquired licenses to eight compounds for the development of ten product candidates which include clinical development for the treatment of acute exacerbations of asthma, multiple sclerosis (MS) and other central nervous system (CNS) disorders, bronchial asthma, interstitial cystitis (IC), solid tumor cancers, generalized anxiety disorders/insomnia, preterm labor and urinary incontinence. Two of such compounds have been in preclinical development for the treatment of thrombotic disorders. In addition, we have expanded our development program for MN-221 for the treatment of chronic obstructive pulmonary disease (COPD) exacerbations.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ectPr>
          <w:pgSz w:w="11900" w:h="16838" w:orient="portrait"/>
          <w:cols w:equalWidth="0" w:num="1">
            <w:col w:w="11420"/>
          </w:cols>
          <w:pgMar w:left="240" w:top="459" w:right="239" w:bottom="1440" w:gutter="0" w:footer="0" w:header="0"/>
        </w:sectPr>
      </w:pPr>
    </w:p>
    <w:p>
      <w:pPr>
        <w:spacing w:after="0" w:line="15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Product</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u w:val="single" w:color="auto"/>
          <w:color w:val="auto"/>
        </w:rPr>
        <w:t>Candidate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MN-221</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980" w:type="dxa"/>
            <w:vAlign w:val="bottom"/>
            <w:gridSpan w:val="2"/>
          </w:tcPr>
          <w:p>
            <w:pPr>
              <w:ind w:left="740"/>
              <w:spacing w:after="0"/>
              <w:rPr>
                <w:sz w:val="20"/>
                <w:szCs w:val="20"/>
                <w:color w:val="auto"/>
              </w:rPr>
            </w:pPr>
            <w:r>
              <w:rPr>
                <w:rFonts w:ascii="Arial" w:cs="Arial" w:eastAsia="Arial" w:hAnsi="Arial"/>
                <w:sz w:val="18"/>
                <w:szCs w:val="18"/>
                <w:b w:val="1"/>
                <w:bCs w:val="1"/>
                <w:color w:val="auto"/>
              </w:rPr>
              <w:t>Disease/Indication</w:t>
            </w:r>
          </w:p>
        </w:tc>
        <w:tc>
          <w:tcPr>
            <w:tcW w:w="2860" w:type="dxa"/>
            <w:vAlign w:val="bottom"/>
            <w:gridSpan w:val="2"/>
          </w:tcPr>
          <w:p>
            <w:pPr>
              <w:ind w:left="540"/>
              <w:spacing w:after="0"/>
              <w:rPr>
                <w:sz w:val="20"/>
                <w:szCs w:val="20"/>
                <w:color w:val="auto"/>
              </w:rPr>
            </w:pPr>
            <w:r>
              <w:rPr>
                <w:rFonts w:ascii="Arial" w:cs="Arial" w:eastAsia="Arial" w:hAnsi="Arial"/>
                <w:sz w:val="18"/>
                <w:szCs w:val="18"/>
                <w:b w:val="1"/>
                <w:bCs w:val="1"/>
                <w:color w:val="auto"/>
              </w:rPr>
              <w:t>Phase of Development</w:t>
            </w: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Licensor</w:t>
            </w:r>
          </w:p>
        </w:tc>
        <w:tc>
          <w:tcPr>
            <w:tcW w:w="2720" w:type="dxa"/>
            <w:vAlign w:val="bottom"/>
          </w:tcPr>
          <w:p>
            <w:pPr>
              <w:ind w:left="660"/>
              <w:spacing w:after="0"/>
              <w:rPr>
                <w:sz w:val="20"/>
                <w:szCs w:val="20"/>
                <w:color w:val="auto"/>
              </w:rPr>
            </w:pPr>
            <w:r>
              <w:rPr>
                <w:rFonts w:ascii="Arial" w:cs="Arial" w:eastAsia="Arial" w:hAnsi="Arial"/>
                <w:sz w:val="18"/>
                <w:szCs w:val="18"/>
                <w:b w:val="1"/>
                <w:bCs w:val="1"/>
                <w:color w:val="auto"/>
              </w:rPr>
              <w:t>Licensed Territory</w:t>
            </w:r>
          </w:p>
        </w:tc>
      </w:tr>
      <w:tr>
        <w:trPr>
          <w:trHeight w:val="208"/>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Acute exacerbations of asthma and</w:t>
            </w: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Phase 2 clinical trial in emergency</w:t>
            </w: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Kissei</w:t>
            </w: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Worldwide, except Japan*</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COPD exacerbations</w:t>
            </w:r>
          </w:p>
        </w:tc>
        <w:tc>
          <w:tcPr>
            <w:tcW w:w="2860" w:type="dxa"/>
            <w:vAlign w:val="bottom"/>
            <w:gridSpan w:val="2"/>
          </w:tcPr>
          <w:p>
            <w:pPr>
              <w:spacing w:after="0"/>
              <w:rPr>
                <w:sz w:val="20"/>
                <w:szCs w:val="20"/>
                <w:color w:val="auto"/>
              </w:rPr>
            </w:pPr>
            <w:r>
              <w:rPr>
                <w:rFonts w:ascii="Arial" w:cs="Arial" w:eastAsia="Arial" w:hAnsi="Arial"/>
                <w:sz w:val="18"/>
                <w:szCs w:val="18"/>
                <w:color w:val="auto"/>
                <w:w w:val="95"/>
              </w:rPr>
              <w:t>rooms at planned escalating doses in</w:t>
            </w:r>
          </w:p>
        </w:tc>
        <w:tc>
          <w:tcPr>
            <w:tcW w:w="158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27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patients with severe, acute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3"/>
              </w:rPr>
              <w:t>exacerbations of asthma completed in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the second quarter of 2009</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6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Phase 2 clinical trial (CL-007) in</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emergency rooms to evaluate safety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and efficacy in patients with acute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exacerbations of asthma initiated in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first quarter of 2009. On March 21,</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2012 we announced completion of the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176 patient enrollment of the Phase 2</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MN-221-CL-007 clinical trial. We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expect trial results in the second</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quarter of 2012.</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Phase 1b clinical trial to evaluate the</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safety and efficacy in patients with</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stable, moderate to severe COPD</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completed in the first quarter of 2010.</w:t>
      </w:r>
    </w:p>
    <w:p>
      <w:pPr>
        <w:spacing w:after="0" w:line="165" w:lineRule="exact"/>
        <w:rPr>
          <w:sz w:val="20"/>
          <w:szCs w:val="20"/>
          <w:color w:val="auto"/>
        </w:rPr>
      </w:pPr>
    </w:p>
    <w:p>
      <w:pPr>
        <w:sectPr>
          <w:pgSz w:w="11900" w:h="16838" w:orient="portrait"/>
          <w:cols w:equalWidth="0" w:num="2">
            <w:col w:w="980" w:space="300"/>
            <w:col w:w="101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00" w:type="dxa"/>
            <w:vAlign w:val="bottom"/>
          </w:tcPr>
          <w:p>
            <w:pPr>
              <w:spacing w:after="0"/>
              <w:rPr>
                <w:sz w:val="20"/>
                <w:szCs w:val="20"/>
                <w:color w:val="auto"/>
              </w:rPr>
            </w:pPr>
          </w:p>
        </w:tc>
        <w:tc>
          <w:tcPr>
            <w:tcW w:w="2980" w:type="dxa"/>
            <w:vAlign w:val="bottom"/>
            <w:gridSpan w:val="2"/>
          </w:tcPr>
          <w:p>
            <w:pPr>
              <w:ind w:left="740"/>
              <w:spacing w:after="0"/>
              <w:rPr>
                <w:sz w:val="20"/>
                <w:szCs w:val="20"/>
                <w:color w:val="auto"/>
              </w:rPr>
            </w:pPr>
            <w:r>
              <w:rPr>
                <w:rFonts w:ascii="Arial" w:cs="Arial" w:eastAsia="Arial" w:hAnsi="Arial"/>
                <w:sz w:val="18"/>
                <w:szCs w:val="18"/>
                <w:b w:val="1"/>
                <w:bCs w:val="1"/>
                <w:color w:val="auto"/>
              </w:rPr>
              <w:t>Disease/Indication</w:t>
            </w:r>
          </w:p>
        </w:tc>
        <w:tc>
          <w:tcPr>
            <w:tcW w:w="2740" w:type="dxa"/>
            <w:vAlign w:val="bottom"/>
          </w:tcPr>
          <w:p>
            <w:pPr>
              <w:ind w:left="540"/>
              <w:spacing w:after="0"/>
              <w:rPr>
                <w:sz w:val="20"/>
                <w:szCs w:val="20"/>
                <w:color w:val="auto"/>
              </w:rPr>
            </w:pPr>
            <w:r>
              <w:rPr>
                <w:rFonts w:ascii="Arial" w:cs="Arial" w:eastAsia="Arial" w:hAnsi="Arial"/>
                <w:sz w:val="18"/>
                <w:szCs w:val="18"/>
                <w:b w:val="1"/>
                <w:bCs w:val="1"/>
                <w:color w:val="auto"/>
              </w:rPr>
              <w:t>Phase of Development</w:t>
            </w:r>
          </w:p>
        </w:tc>
      </w:tr>
      <w:tr>
        <w:trPr>
          <w:trHeight w:val="20"/>
        </w:trPr>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line="189" w:lineRule="exact"/>
              <w:rPr>
                <w:sz w:val="20"/>
                <w:szCs w:val="20"/>
                <w:color w:val="auto"/>
              </w:rPr>
            </w:pPr>
            <w:r>
              <w:rPr>
                <w:rFonts w:ascii="Arial" w:cs="Arial" w:eastAsia="Arial" w:hAnsi="Arial"/>
                <w:sz w:val="18"/>
                <w:szCs w:val="18"/>
                <w:color w:val="auto"/>
                <w:w w:val="92"/>
              </w:rPr>
              <w:t>Encouraging safety and efficacy data</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for the -007 trial was reported via</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press release in the first quarter of</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2010 and at the CHEST Society</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meeting later in 2010. In the first</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quarter of 2012 we initiated an</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additional Phase 1b COPD clinical</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3"/>
              </w:rPr>
              <w:t>trial that has commenced enrollment</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8"/>
              </w:rPr>
              <w:t>and has an anticipated trial completion</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around the end of the second quarter</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of 2012.</w:t>
            </w: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color w:val="auto"/>
              </w:rPr>
              <w:t>MN-166</w:t>
            </w:r>
          </w:p>
        </w:tc>
        <w:tc>
          <w:tcPr>
            <w:tcW w:w="30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CNS disorders**</w:t>
            </w:r>
          </w:p>
        </w:tc>
        <w:tc>
          <w:tcPr>
            <w:tcW w:w="2740" w:type="dxa"/>
            <w:vAlign w:val="bottom"/>
          </w:tcPr>
          <w:p>
            <w:pPr>
              <w:spacing w:after="0"/>
              <w:rPr>
                <w:sz w:val="20"/>
                <w:szCs w:val="20"/>
                <w:color w:val="auto"/>
              </w:rPr>
            </w:pPr>
            <w:r>
              <w:rPr>
                <w:rFonts w:ascii="Arial" w:cs="Arial" w:eastAsia="Arial" w:hAnsi="Arial"/>
                <w:sz w:val="18"/>
                <w:szCs w:val="18"/>
                <w:color w:val="auto"/>
                <w:w w:val="91"/>
              </w:rPr>
              <w:t>Phase 2 clinical trial completed in the</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second quarter of 2008.</w:t>
            </w: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Prototype once-per-day oral</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formulation developed for future</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clinical trials</w:t>
            </w: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Phase 1b/2a clinical trial in diabetic</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neuropathic pain completed in the</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fourth quarter of 2007</w:t>
            </w: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5"/>
              </w:rPr>
              <w:t>Phase 1b National Institute on Drug</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6"/>
              </w:rPr>
              <w:t>Abuse, or NIDA, funded clinical trial</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 methamphetamine-dependent</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volunteers initiated in the fourth</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quarter of 2010</w:t>
            </w: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Phase 1b/2a NIDA funded clinical</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trial to evaluate safety and efficacy in</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heroin-dependent volunteers</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completed in the fourth quarter of</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2010</w:t>
            </w:r>
          </w:p>
        </w:tc>
      </w:tr>
      <w:tr>
        <w:trPr>
          <w:trHeight w:val="277"/>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3"/>
              </w:rPr>
              <w:t>Investigator initiated Phase 2 clinical</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8"/>
              </w:rPr>
              <w:t>trial collaboration with a headache and</w:t>
            </w:r>
          </w:p>
        </w:tc>
      </w:t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pain specialist in Australia initiated in</w:t>
            </w:r>
          </w:p>
        </w:tc>
      </w:tr>
      <w:tr>
        <w:trPr>
          <w:trHeight w:val="222"/>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the third quarter of 2011</w:t>
            </w:r>
          </w:p>
        </w:tc>
      </w:tr>
      <w:tr>
        <w:trPr>
          <w:trHeight w:val="378"/>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142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0"/>
        <w:spacing w:after="0"/>
        <w:tabs>
          <w:tab w:leader="none" w:pos="2220" w:val="left"/>
        </w:tabs>
        <w:rPr>
          <w:sz w:val="20"/>
          <w:szCs w:val="20"/>
          <w:color w:val="auto"/>
        </w:rPr>
      </w:pPr>
      <w:r>
        <w:rPr>
          <w:rFonts w:ascii="Arial" w:cs="Arial" w:eastAsia="Arial" w:hAnsi="Arial"/>
          <w:sz w:val="18"/>
          <w:szCs w:val="18"/>
          <w:b w:val="1"/>
          <w:bCs w:val="1"/>
          <w:color w:val="auto"/>
        </w:rPr>
        <w:t>Licensor</w:t>
      </w:r>
      <w:r>
        <w:rPr>
          <w:sz w:val="20"/>
          <w:szCs w:val="20"/>
          <w:color w:val="auto"/>
        </w:rPr>
        <w:tab/>
      </w:r>
      <w:r>
        <w:rPr>
          <w:rFonts w:ascii="Arial" w:cs="Arial" w:eastAsia="Arial" w:hAnsi="Arial"/>
          <w:sz w:val="18"/>
          <w:szCs w:val="18"/>
          <w:b w:val="1"/>
          <w:bCs w:val="1"/>
          <w:color w:val="auto"/>
        </w:rPr>
        <w:t>Licensed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Kyorin</w:t>
      </w:r>
      <w:r>
        <w:rPr>
          <w:sz w:val="20"/>
          <w:szCs w:val="20"/>
          <w:color w:val="auto"/>
        </w:rPr>
        <w:tab/>
      </w:r>
      <w:r>
        <w:rPr>
          <w:rFonts w:ascii="Arial" w:cs="Arial" w:eastAsia="Arial" w:hAnsi="Arial"/>
          <w:sz w:val="16"/>
          <w:szCs w:val="16"/>
          <w:color w:val="auto"/>
        </w:rPr>
        <w:t>Worldwide, except Japan, China,</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Pharmaceutical</w:t>
      </w:r>
      <w:r>
        <w:rPr>
          <w:sz w:val="20"/>
          <w:szCs w:val="20"/>
          <w:color w:val="auto"/>
        </w:rPr>
        <w:tab/>
      </w:r>
      <w:r>
        <w:rPr>
          <w:rFonts w:ascii="Arial" w:cs="Arial" w:eastAsia="Arial" w:hAnsi="Arial"/>
          <w:sz w:val="16"/>
          <w:szCs w:val="16"/>
          <w:color w:val="auto"/>
        </w:rPr>
        <w:t>Taiwan and South Korea (MN-166)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(MN-166)</w:t>
      </w:r>
    </w:p>
    <w:p>
      <w:pPr>
        <w:sectPr>
          <w:pgSz w:w="11900" w:h="16838" w:orient="portrait"/>
          <w:cols w:equalWidth="0" w:num="2">
            <w:col w:w="7000" w:space="120"/>
            <w:col w:w="408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302"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Pursuant to our license agreement with Kissei Pharmaceutical, Kissei has the right to co-promote licensed products in our territory on terms to be agreed upon by the parties. 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w:t>
      </w:r>
    </w:p>
    <w:p>
      <w:pPr>
        <w:spacing w:after="0" w:line="3"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consent of Kissei.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CNS disorders encompass MS, neuropathic pain, opioid addiction and withdrawal and methamphetamine addiction.</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Upon completion of proof-of-concept Phase 2 clinical trials, we intend to enter into strategic alliances with leading pharmaceutical or biotech companies to support further clinical development if we are unable to raise additional capital to conduct Phase 3 trials. Depending on the results of our the MN-221 Phase 2 trial that completed enrollment in March 2012 and our ability to raise additional capital and/or to enter into a collaboration with a leading pharmaceutical or biotech company, we intend to define a Phase 3 trial and other development plans for MN-221 for the treatment of acute exacerbations of asthma and conduct one or more Phase 3 trials, and we intend to pursue the development of this drug candidate for the treatment of COPD. We also intend to enter into strategic alliances with leading pharmaceutical or biotech companies to support further clinical development of MN-166. We may also pursue potential partners and potential acquirers of license rights to our programs in markets outside the U.S. In addition, we continue to limit development activities for the balance of our existing product development programs in order to focus on our prioritized product development programs. For each of these remaining product candidates, we plan to conduct development activities only to the extent deemed necessary to maintain our license rights or maximize their value while pursuing a variety of initiatives to monetize such development programs. We cannot assure you that we will be successful in monetizing these programs on attractive terms, or at all.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Pr>
          <w:p>
            <w:pPr>
              <w:spacing w:after="0"/>
              <w:rPr>
                <w:sz w:val="19"/>
                <w:szCs w:val="19"/>
                <w:color w:val="auto"/>
              </w:rPr>
            </w:pPr>
          </w:p>
        </w:tc>
        <w:tc>
          <w:tcPr>
            <w:tcW w:w="6800" w:type="dxa"/>
            <w:vAlign w:val="bottom"/>
            <w:gridSpan w:val="6"/>
          </w:tcPr>
          <w:p>
            <w:pPr>
              <w:ind w:left="340"/>
              <w:spacing w:after="0"/>
              <w:rPr>
                <w:sz w:val="20"/>
                <w:szCs w:val="20"/>
                <w:color w:val="auto"/>
              </w:rPr>
            </w:pPr>
            <w:r>
              <w:rPr>
                <w:rFonts w:ascii="Arial" w:cs="Arial" w:eastAsia="Arial" w:hAnsi="Arial"/>
                <w:sz w:val="18"/>
                <w:szCs w:val="18"/>
                <w:color w:val="auto"/>
              </w:rPr>
              <w:t>Our eight non-prioritized product development programs consist of the following:</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1"/>
        </w:trPr>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w w:val="88"/>
              </w:rPr>
              <w:t>Disease/Indication</w:t>
            </w: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w w:val="85"/>
              </w:rPr>
              <w:t>Phase of Development</w:t>
            </w:r>
          </w:p>
        </w:tc>
        <w:tc>
          <w:tcPr>
            <w:tcW w:w="108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rPr>
              <w:t>Licensor</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r>
      <w:tr>
        <w:trPr>
          <w:trHeight w:val="27"/>
        </w:trPr>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24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Bronchial asthma</w:t>
            </w:r>
          </w:p>
        </w:tc>
        <w:tc>
          <w:tcPr>
            <w:tcW w:w="158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Phase 3 clinical trial initiated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fourth quarter of 2006 and terminated</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3"/>
              </w:rPr>
              <w:t>in the second quarter of 2007; Once-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per-day oral dosing formulation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prototypes developed</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Interstitial cystitis</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Phase 2 clinical trial completed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first quarter of 2007†</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91"/>
        </w:trPr>
        <w:tc>
          <w:tcPr>
            <w:tcW w:w="920" w:type="dxa"/>
            <w:vAlign w:val="bottom"/>
            <w:gridSpan w:val="2"/>
          </w:tcPr>
          <w:p>
            <w:pPr>
              <w:spacing w:after="0"/>
              <w:rPr>
                <w:sz w:val="20"/>
                <w:szCs w:val="20"/>
                <w:color w:val="auto"/>
              </w:rPr>
            </w:pPr>
            <w:r>
              <w:rPr>
                <w:rFonts w:ascii="Arial" w:cs="Arial" w:eastAsia="Arial" w:hAnsi="Arial"/>
                <w:sz w:val="18"/>
                <w:szCs w:val="18"/>
                <w:color w:val="auto"/>
              </w:rPr>
              <w:t>MN-029</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Solid tumors</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Phase 1 clinical trial completed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Angiogene</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7"/>
              </w:rPr>
              <w:t>second quarter of 2006; Second Phase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Pharmaceuticals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4"/>
              </w:rPr>
              <w:t>1 clinical trial completed in the fourth</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quarter of 2007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MN-305</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w w:val="95"/>
              </w:rPr>
              <w:t>Generalized anxiety disorder/ Insomnia</w:t>
            </w:r>
          </w:p>
        </w:tc>
        <w:tc>
          <w:tcPr>
            <w:tcW w:w="2760" w:type="dxa"/>
            <w:vAlign w:val="bottom"/>
            <w:gridSpan w:val="2"/>
          </w:tcPr>
          <w:p>
            <w:pPr>
              <w:spacing w:after="0"/>
              <w:rPr>
                <w:sz w:val="20"/>
                <w:szCs w:val="20"/>
                <w:color w:val="auto"/>
              </w:rPr>
            </w:pPr>
            <w:r>
              <w:rPr>
                <w:rFonts w:ascii="Arial" w:cs="Arial" w:eastAsia="Arial" w:hAnsi="Arial"/>
                <w:sz w:val="18"/>
                <w:szCs w:val="18"/>
                <w:color w:val="auto"/>
              </w:rPr>
              <w:t>Phase 2 clinical trial completed in</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generalized anxiety disorder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second quarter of 2006†; Phase 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4"/>
              </w:rPr>
              <w:t>clinical trial in insomnia completed in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the fourth quarter of 2007††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MN-221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Preterm labor</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Phase 1 clinical trial completed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w w:val="94"/>
              </w:rPr>
              <w:t>Kissei 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 except Japan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second quarter of 2007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MN-246</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Urinary incontinence</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Phase 1 clinical trial completed in the</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4"/>
              </w:rPr>
              <w:t>fourth quarter of 2006; Phase 1 food</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effects study completed in the first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quarter of 2007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MN-447</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Thrombotic disorders</w:t>
            </w:r>
          </w:p>
        </w:tc>
        <w:tc>
          <w:tcPr>
            <w:tcW w:w="276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Meiji Seika Kaisha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MN-462</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Thrombotic disorders</w:t>
            </w:r>
          </w:p>
        </w:tc>
        <w:tc>
          <w:tcPr>
            <w:tcW w:w="276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Meiji Seika Kaisha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MN-001 licensed from Kyorin Pharmaceutical exclude ophthalmic solution formulations.</w:t>
      </w:r>
    </w:p>
    <w:p>
      <w:pPr>
        <w:spacing w:after="0" w:line="15" w:lineRule="exact"/>
        <w:rPr>
          <w:sz w:val="20"/>
          <w:szCs w:val="20"/>
          <w:color w:val="auto"/>
        </w:rPr>
      </w:pPr>
    </w:p>
    <w:p>
      <w:pPr>
        <w:ind w:left="460" w:right="10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positive signs of efficacy were obtained in the clinical trials conducted on MN-001 in interstitial cystitis and MN-305 in generalized anxiety disorder, the predefined primary statistical endpoints of the clinical trials were not achieved; therefore, we would not anticipate submitting either clinical trial as a pivotal trial supporting a New Drug Application, or NDA, to the U.S. Food and Drug Administration, or the FDA.</w:t>
      </w:r>
    </w:p>
    <w:p>
      <w:pPr>
        <w:spacing w:after="0" w:line="2" w:lineRule="exact"/>
        <w:rPr>
          <w:sz w:val="20"/>
          <w:szCs w:val="20"/>
          <w:color w:val="auto"/>
        </w:rPr>
      </w:pPr>
    </w:p>
    <w:p>
      <w:pPr>
        <w:ind w:left="460" w:right="3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Phase 2 clinical trial conducted on MN-305 in insomnia, the predefined statistical endpoint of the clinical trial was not achieved; therefore, we terminated any further development of MN-305 for the treatment of insomnia.</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goal is to build a sustainable biopharmaceutical business through the successful acquisition, development and commercialization of differentiated products for the treatment of serious diseases with unmet medical needs in high-value therapeutic areas. Our focus is on the U.S. market. Key elements of our strategy are as follows:</w:t>
      </w:r>
    </w:p>
    <w:p>
      <w:pPr>
        <w:spacing w:after="0" w:line="127" w:lineRule="exact"/>
        <w:rPr>
          <w:sz w:val="20"/>
          <w:szCs w:val="20"/>
          <w:color w:val="auto"/>
        </w:rPr>
      </w:pPr>
    </w:p>
    <w:p>
      <w:pPr>
        <w:ind w:left="780" w:right="80" w:hanging="326"/>
        <w:spacing w:after="0" w:line="253"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Concentrate our resources on our two prioritized product development programs, MN-221 and MN-166. </w:t>
      </w:r>
      <w:r>
        <w:rPr>
          <w:rFonts w:ascii="Arial" w:cs="Arial" w:eastAsia="Arial" w:hAnsi="Arial"/>
          <w:sz w:val="18"/>
          <w:szCs w:val="18"/>
          <w:color w:val="auto"/>
        </w:rPr>
        <w:t>Depending on the results of our the MN-221</w:t>
      </w:r>
      <w:r>
        <w:rPr>
          <w:rFonts w:ascii="Arial" w:cs="Arial" w:eastAsia="Arial" w:hAnsi="Arial"/>
          <w:sz w:val="18"/>
          <w:szCs w:val="18"/>
          <w:i w:val="1"/>
          <w:iCs w:val="1"/>
          <w:color w:val="auto"/>
        </w:rPr>
        <w:t xml:space="preserve"> </w:t>
      </w:r>
      <w:r>
        <w:rPr>
          <w:rFonts w:ascii="Arial" w:cs="Arial" w:eastAsia="Arial" w:hAnsi="Arial"/>
          <w:sz w:val="18"/>
          <w:szCs w:val="18"/>
          <w:color w:val="auto"/>
        </w:rPr>
        <w:t>Phase 2 trial that completed enrollment in March 2012 and our ability to raise additional capital and/or to enter into a collaboration with a leading pharmaceutical or biotech company to fund development costs, we intend to define a Phase 3 trial and other development plans for MN-221 for the treatment of acute exacerbations of asthma and conduct one or more Phase 3 trials, and we intend to pursue the development of this drug candidate for the treatment of COPD. We also intend to enter into strategic alliances with leading pharmaceutical or biotech companies to support further clinical development of MN-166. We may also decide to pursue potential partners and potential acquirers of license rights to our programs in markets outside the U.S.</w:t>
      </w:r>
    </w:p>
    <w:p>
      <w:pPr>
        <w:spacing w:after="0" w:line="52"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Pursue additional indications and commercial opportunities for our prioritized product candidates</w:t>
      </w:r>
      <w:r>
        <w:rPr>
          <w:rFonts w:ascii="Arial" w:cs="Arial" w:eastAsia="Arial" w:hAnsi="Arial"/>
          <w:sz w:val="18"/>
          <w:szCs w:val="18"/>
          <w:color w:val="auto"/>
        </w:rPr>
        <w:t>. We will seek to maximize the value of MN-221</w:t>
      </w:r>
      <w:r>
        <w:rPr>
          <w:rFonts w:ascii="Arial" w:cs="Arial" w:eastAsia="Arial" w:hAnsi="Arial"/>
          <w:sz w:val="18"/>
          <w:szCs w:val="18"/>
          <w:i w:val="1"/>
          <w:iCs w:val="1"/>
          <w:color w:val="auto"/>
        </w:rPr>
        <w:t xml:space="preserve"> </w:t>
      </w:r>
      <w:r>
        <w:rPr>
          <w:rFonts w:ascii="Arial" w:cs="Arial" w:eastAsia="Arial" w:hAnsi="Arial"/>
          <w:sz w:val="18"/>
          <w:szCs w:val="18"/>
          <w:color w:val="auto"/>
        </w:rPr>
        <w:t>and MN-166 by pursuing other potential indications and commercial opportunities for such product candidates. For example, we have rights to develop and commercialize MN-221 for any disease or indication. In addition to the ongoing evaluation of MN-221 for the treatment of acute exacerbations of asthma, we expanded our development program for MN-221 to evaluate MN-221 for the treatment of COPD exacerbations utilizing our existing Investigational New Drug Application, or IND for MN-221.</w:t>
      </w:r>
    </w:p>
    <w:p>
      <w:pPr>
        <w:spacing w:after="0" w:line="48" w:lineRule="exact"/>
        <w:rPr>
          <w:rFonts w:ascii="Arial" w:cs="Arial" w:eastAsia="Arial" w:hAnsi="Arial"/>
          <w:sz w:val="18"/>
          <w:szCs w:val="18"/>
          <w:color w:val="auto"/>
        </w:rPr>
      </w:pPr>
    </w:p>
    <w:p>
      <w:pPr>
        <w:jc w:val="both"/>
        <w:ind w:left="780" w:right="6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value of the remainder of our diversified pipeline of existing product candidates. </w:t>
      </w:r>
      <w:r>
        <w:rPr>
          <w:rFonts w:ascii="Arial" w:cs="Arial" w:eastAsia="Arial" w:hAnsi="Arial"/>
          <w:sz w:val="16"/>
          <w:szCs w:val="16"/>
          <w:color w:val="auto"/>
        </w:rPr>
        <w:t>We will conduct development activities strategically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our existing product candidates, to the extent that we deem any further activities necessary to maintain our license rights or maximize their value, while aggressively pursuing a variety of initiatives to monetize these product candidates on appropriate terms.</w:t>
      </w:r>
    </w:p>
    <w:p>
      <w:pPr>
        <w:spacing w:after="0" w:line="12" w:lineRule="exact"/>
        <w:rPr>
          <w:rFonts w:ascii="Arial" w:cs="Arial" w:eastAsia="Arial" w:hAnsi="Arial"/>
          <w:sz w:val="16"/>
          <w:szCs w:val="16"/>
          <w:color w:val="auto"/>
        </w:rPr>
      </w:pPr>
    </w:p>
    <w:p>
      <w:pPr>
        <w:ind w:left="780" w:right="40" w:hanging="326"/>
        <w:spacing w:after="0" w:line="291"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Opportunistically in-license additional product candidates through our global industry relationships. </w:t>
      </w:r>
      <w:r>
        <w:rPr>
          <w:rFonts w:ascii="Arial" w:cs="Arial" w:eastAsia="Arial" w:hAnsi="Arial"/>
          <w:sz w:val="16"/>
          <w:szCs w:val="16"/>
          <w:color w:val="auto"/>
        </w:rPr>
        <w:t>Over the long term, we intend to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of in-licensed product candidates by continuing to cultivate and strengthen our business relationships with pharmaceutical companies in Japan and other markets. We believe our ability leverage industry relationships to acquire product candidates with high potential and existing preclinical or early clinical data from Japanese pharmaceutical companies provides us with a 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spacing w:after="0" w:line="25"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Strategically partner with pharmaceutical companies who are leaders in their fields to complete late stage product development and successfully commercialize our products. </w:t>
      </w:r>
      <w:r>
        <w:rPr>
          <w:rFonts w:ascii="Arial" w:cs="Arial" w:eastAsia="Arial" w:hAnsi="Arial"/>
          <w:sz w:val="16"/>
          <w:szCs w:val="16"/>
          <w:color w:val="auto"/>
        </w:rPr>
        <w:t>We develop and maintain business development relationships with pharmaceutical therapeutic area leaders who seek late</w:t>
      </w:r>
      <w:r>
        <w:rPr>
          <w:rFonts w:ascii="Arial" w:cs="Arial" w:eastAsia="Arial" w:hAnsi="Arial"/>
          <w:sz w:val="16"/>
          <w:szCs w:val="16"/>
          <w:i w:val="1"/>
          <w:iCs w:val="1"/>
          <w:color w:val="auto"/>
        </w:rPr>
        <w:t xml:space="preserve"> </w:t>
      </w:r>
      <w:r>
        <w:rPr>
          <w:rFonts w:ascii="Arial" w:cs="Arial" w:eastAsia="Arial" w:hAnsi="Arial"/>
          <w:sz w:val="16"/>
          <w:szCs w:val="16"/>
          <w:color w:val="auto"/>
        </w:rPr>
        <w:t>stage product candidates to complete development and commercialization. We intend to select partners with demonstrated ability to complete late stage development and successfully commercialize product candidates. To ensure our ability to build a sustainable business, we may selectively add commercial capabilities to our management team to support our evolution into a commercial entity as our product development programs mature.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or INDs, or their foreign equivalents, and in designing and implementing additional preclinical or clinical trials to advance the regulatory approval process in the U.S. or abroad. Following are details of our product development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Prioritized Product Candidates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state of the development program for each of our two prioritized product candidates is described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An acute exacerbation of asthma is an acute asthma symptom episode such as shortness of breath, wheezing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chest tightness due to constricted airways. Severe acute exacerbations of asthma is an emergency situation that can lead to emergency department treatment and, in some cases, hospital admission or, more rarely, death. Inhaled short acting beta-agonist agents are the mainstays of acute treatment for these types of asthma attacks and are included in the recommended standard of care according to the National Guideline Clearinghouse from the U.S. Department of Health and Human Services, or DHSS, for patients suffering from acute exacerbations of asthma.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Data from the National Center for Health Statistics show that in the U.S., annual visits to emergency departments for asthma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1.75 million, and there were approximately 456,000 hospitalizations and approximately 3,447 deaths due to asthma in 2007. According to the National Heart,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Lung and Blood Institute, the direct costs associated with hospital care due to asthma were estimated at $5.5 billion in the U.S. in 2010. Despite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 in the long-term control treatment for asthma, we believe that the number of patients presenting to emergency departments with asthma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exacerbations who do not respond to initial standard of care for asthma exacerbations and which may be admitted to the hospital for further care are very similar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these prior figures. Hence we believe that there remains an unmet medical need for a safe and effective treatment for acute exacerbations of asthma that could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prevent some of these hospitalizations.</w:t>
      </w:r>
    </w:p>
    <w:p>
      <w:pPr>
        <w:spacing w:after="0" w:line="88" w:lineRule="exact"/>
        <w:rPr>
          <w:sz w:val="20"/>
          <w:szCs w:val="20"/>
          <w:color w:val="auto"/>
        </w:rPr>
      </w:pPr>
    </w:p>
    <w:p>
      <w:pPr>
        <w:jc w:val="center"/>
        <w:ind w:right="80"/>
        <w:spacing w:after="0"/>
        <w:rPr>
          <w:sz w:val="20"/>
          <w:szCs w:val="20"/>
          <w:color w:val="auto"/>
        </w:rPr>
      </w:pPr>
      <w:r>
        <w:rPr>
          <w:rFonts w:ascii="Arial" w:cs="Arial" w:eastAsia="Arial" w:hAnsi="Arial"/>
          <w:sz w:val="17"/>
          <w:szCs w:val="17"/>
          <w:i w:val="1"/>
          <w:iCs w:val="1"/>
          <w:color w:val="auto"/>
        </w:rPr>
        <w:t>Overview of MN-221 in Acute Exacerbations of Asthma</w:t>
      </w:r>
      <w:r>
        <w:rPr>
          <w:rFonts w:ascii="Arial" w:cs="Arial" w:eastAsia="Arial" w:hAnsi="Arial"/>
          <w:sz w:val="17"/>
          <w:szCs w:val="17"/>
          <w:color w:val="auto"/>
        </w:rPr>
        <w:t>. MN-221 is a novel, highly selective ß</w:t>
      </w:r>
      <w:r>
        <w:rPr>
          <w:rFonts w:ascii="Arial" w:cs="Arial" w:eastAsia="Arial" w:hAnsi="Arial"/>
          <w:sz w:val="21"/>
          <w:szCs w:val="21"/>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-adrenergic receptor agonist being developed for the</w:t>
      </w:r>
    </w:p>
    <w:p>
      <w:pPr>
        <w:spacing w:after="0" w:line="5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treatment of acute exacerbations of asthma and COPD. We licensed MN-221 from Kissei Pharmaceutical in February 2004. Preclinical studies conducted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showed MN-221 to be highly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In these studies, the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 stimulating activity of MN-221 was less than that of other ß </w:t>
      </w:r>
      <w:r>
        <w:rPr>
          <w:rFonts w:ascii="Arial" w:cs="Arial" w:eastAsia="Arial" w:hAnsi="Arial"/>
          <w:sz w:val="20"/>
          <w:szCs w:val="20"/>
          <w:color w:val="auto"/>
          <w:vertAlign w:val="subscript"/>
        </w:rPr>
        <w:t>2</w:t>
      </w:r>
      <w:r>
        <w:rPr>
          <w:rFonts w:ascii="Arial" w:cs="Arial" w:eastAsia="Arial" w:hAnsi="Arial"/>
          <w:sz w:val="16"/>
          <w:szCs w:val="16"/>
          <w:color w:val="auto"/>
        </w:rPr>
        <w:t xml:space="preserve">-adrenergic receptor agonists in isolated rat atrium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function tests in rats, dogs and sheep, thereby suggesting that the stimulating action of older, less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on the heart via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receptors may be reduced with MN-221. </w:t>
      </w:r>
      <w:r>
        <w:rPr>
          <w:rFonts w:ascii="Arial" w:cs="Arial" w:eastAsia="Arial" w:hAnsi="Arial"/>
          <w:sz w:val="16"/>
          <w:szCs w:val="16"/>
          <w:i w:val="1"/>
          <w:iCs w:val="1"/>
          <w:color w:val="auto"/>
        </w:rPr>
        <w:t>Some in vitro</w:t>
      </w:r>
      <w:r>
        <w:rPr>
          <w:rFonts w:ascii="Arial" w:cs="Arial" w:eastAsia="Arial" w:hAnsi="Arial"/>
          <w:sz w:val="16"/>
          <w:szCs w:val="16"/>
          <w:color w:val="auto"/>
        </w:rPr>
        <w:t xml:space="preserve"> studies also suggested that MN-221 may act as only a partial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 agonist in cardiac tissue, while acting as a full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in lung tissue. In addition, a preclinical drug interaction study in dogs completed during 2008 demonstrated that, while each of albuterol and MN-221 induced an increase in heart rate independently, the addition of MN-221 by intravenous administration in combination with inhaled albuterol did not add to the heart rate increase associated with inhaled albuterol alone. We believe that this improved receptor binding and functional selectivity provides good pharmacological specificity and may result in fewer cardiovascular side effects than are commonly observed with 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used to treat this condition. We have developed and studied an intravenous formulation of MN-221 appropriate for hospital use.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Clinical Results of MN-221 in Acute Exacerbations of Asthma. </w:t>
      </w:r>
      <w:r>
        <w:rPr>
          <w:rFonts w:ascii="Arial" w:cs="Arial" w:eastAsia="Arial" w:hAnsi="Arial"/>
          <w:sz w:val="16"/>
          <w:szCs w:val="16"/>
          <w:color w:val="auto"/>
        </w:rPr>
        <w:t>We completed a randomized, double-blind, placebo-controlled, dose escalation, multi-center</w:t>
      </w:r>
      <w:r>
        <w:rPr>
          <w:rFonts w:ascii="Arial" w:cs="Arial" w:eastAsia="Arial" w:hAnsi="Arial"/>
          <w:sz w:val="16"/>
          <w:szCs w:val="16"/>
          <w:i w:val="1"/>
          <w:iCs w:val="1"/>
          <w:color w:val="auto"/>
        </w:rPr>
        <w:t xml:space="preserve"> </w:t>
      </w:r>
      <w:r>
        <w:rPr>
          <w:rFonts w:ascii="Arial" w:cs="Arial" w:eastAsia="Arial" w:hAnsi="Arial"/>
          <w:sz w:val="16"/>
          <w:szCs w:val="16"/>
          <w:color w:val="auto"/>
        </w:rPr>
        <w:t>Phase 2 clinical trial of MN-221 in 23 stable mild-to-moderate asthmatics, in August 2007. At each dose level in the escalation, patients were randomized to receive either a 15-minute intravenous infusion of MN-221 or placebo. This clinical trial achieved statistical significance in its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primary endpoint of mean change in forced expiratory volume in one second, or FEV</w:t>
      </w:r>
      <w:r>
        <w:rPr>
          <w:rFonts w:ascii="Arial" w:cs="Arial" w:eastAsia="Arial" w:hAnsi="Arial"/>
          <w:sz w:val="21"/>
          <w:szCs w:val="21"/>
          <w:color w:val="auto"/>
          <w:vertAlign w:val="subscript"/>
        </w:rPr>
        <w:t>1</w:t>
      </w:r>
      <w:r>
        <w:rPr>
          <w:rFonts w:ascii="Arial" w:cs="Arial" w:eastAsia="Arial" w:hAnsi="Arial"/>
          <w:sz w:val="17"/>
          <w:szCs w:val="17"/>
          <w:color w:val="auto"/>
        </w:rPr>
        <w:t>, from baseline to measurement at 15 minutes (the end of the infusion) at doses of 10, 16, 30 and 60 micrograms per minute of MN-221 (p-value less than or equal to 0.0006) compared to placebo. MN-221 produced a significant linear, dose-related increase in mean change in post-infusion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from baseline (p-value less than or equal to 0.0001) following a 15-minute intravenous infusion of MN-221. Significant improvements in mean change in post-infusion (15 minute)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from baseline were observed at doses of 10, 16, 30 and 60 micrograms per minute (p-value less than or equal to 0.0006) and at the dose of 3.5 micrograms per minute (p-value=0.0106) compared to placebo. In the protocol correct population for this clinical trial, which consisted of 21 patients, the dose-related increases in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were maintained for four hours (p-value=0.0393) and at eight hours (p-value=0.0424) following the 15-minute infusion of MN-221. MN-221 was well tolerated in this Phase 2 clinical trial, with only the expected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 adrenergic receptor pharmacology noted in some patients (</w:t>
      </w:r>
      <w:r>
        <w:rPr>
          <w:rFonts w:ascii="Arial" w:cs="Arial" w:eastAsia="Arial" w:hAnsi="Arial"/>
          <w:sz w:val="17"/>
          <w:szCs w:val="17"/>
          <w:i w:val="1"/>
          <w:iCs w:val="1"/>
          <w:color w:val="auto"/>
        </w:rPr>
        <w:t>e.g.</w:t>
      </w:r>
      <w:r>
        <w:rPr>
          <w:rFonts w:ascii="Arial" w:cs="Arial" w:eastAsia="Arial" w:hAnsi="Arial"/>
          <w:sz w:val="17"/>
          <w:szCs w:val="17"/>
          <w:color w:val="auto"/>
        </w:rPr>
        <w:t>, fall in serum potassium, elevation in 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42" w:lineRule="exact"/>
        <w:rPr>
          <w:sz w:val="20"/>
          <w:szCs w:val="20"/>
          <w:color w:val="auto"/>
        </w:rPr>
      </w:pPr>
    </w:p>
    <w:p>
      <w:pPr>
        <w:ind w:right="20" w:firstLine="456"/>
        <w:spacing w:after="0" w:line="249" w:lineRule="auto"/>
        <w:rPr>
          <w:sz w:val="20"/>
          <w:szCs w:val="20"/>
          <w:color w:val="auto"/>
        </w:rPr>
      </w:pPr>
      <w:r>
        <w:rPr>
          <w:rFonts w:ascii="Arial" w:cs="Arial" w:eastAsia="Arial" w:hAnsi="Arial"/>
          <w:sz w:val="17"/>
          <w:szCs w:val="17"/>
          <w:color w:val="auto"/>
        </w:rPr>
        <w:t>We completed a randomized, open-label, placebo-controlled Phase 2a clinical trial to evaluate the safety and efficacy of MN-221 in patients with moderate to severe, but stable asthma, which involved 17 patients in two dose cohorts, in September 2008. In one dosing cohort, each patient received MN-221 at a dose of 1,125 micrograms or placebo over one hour by a continuous intravenous infusion. In the other dosing cohort, each patient received MN-221 at a dose of 1,080 micrograms or placebo over two hours by a continuous intravenous infusion. Both infusion rates of MN-221 produced a marked and clinically significant improvement in FEV</w:t>
      </w:r>
      <w:r>
        <w:rPr>
          <w:rFonts w:ascii="Arial" w:cs="Arial" w:eastAsia="Arial" w:hAnsi="Arial"/>
          <w:sz w:val="21"/>
          <w:szCs w:val="21"/>
          <w:color w:val="auto"/>
          <w:vertAlign w:val="subscript"/>
        </w:rPr>
        <w:t>1</w:t>
      </w:r>
      <w:r>
        <w:rPr>
          <w:rFonts w:ascii="Arial" w:cs="Arial" w:eastAsia="Arial" w:hAnsi="Arial"/>
          <w:sz w:val="17"/>
          <w:szCs w:val="17"/>
          <w:color w:val="auto"/>
        </w:rPr>
        <w:t>.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results were expressed as “percent predicted” based on standard reference equations accounting for an individual’s race, gender, age and height. At the end of the one-hour infusion,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increased by 17.5 percent predicted for MN-221 compared to an increase of three percent predicted for placebo. At the end of the two-hour infusion,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increased by an average of 12.1 percent predicted for MN-221 compared to an increase of 1.4 percent predicted for placebo. In accordance with the study protocol, no inferential statistical testing was performed. MN-221 was well tolerated by the patients who received either infusion rate of MN-221. There were no clinically significant safety concerns noted among adverse events, ECG data, vital sign data or laboratory assessments collected throughout this clinical trial.</w:t>
      </w:r>
    </w:p>
    <w:p>
      <w:pPr>
        <w:spacing w:after="0" w:line="13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7"/>
          <w:szCs w:val="17"/>
          <w:color w:val="auto"/>
        </w:rPr>
        <w:t>We completed a randomized, modified single-blind, placebo-controlled, dose escalation Phase 2 clinical trial to evaluate MN-221 in patients with severe, acute exacerbations of asthma in emergency departments, which included 29 patients (13 treated with standard care only and 16 treated with MN-221 plus standard care) at planned escalating doses of 240 to 1,080 micrograms, in April 2009. All patients received standardized care consisting of inhaled albuterol, ipratropium and oral steroid treatment. No safety concerns with adding MN-221 to standardized care were identified following review of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Improvement in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values generally appeared to be greater for patients receiving MN-221 in addition to standardized treatment. As specified in the protocol for this clinical trial, no inferential statistics (</w:t>
      </w:r>
      <w:r>
        <w:rPr>
          <w:rFonts w:ascii="Arial" w:cs="Arial" w:eastAsia="Arial" w:hAnsi="Arial"/>
          <w:sz w:val="17"/>
          <w:szCs w:val="17"/>
          <w:i w:val="1"/>
          <w:iCs w:val="1"/>
          <w:color w:val="auto"/>
        </w:rPr>
        <w:t>e.g.</w:t>
      </w:r>
      <w:r>
        <w:rPr>
          <w:rFonts w:ascii="Arial" w:cs="Arial" w:eastAsia="Arial" w:hAnsi="Arial"/>
          <w:sz w:val="17"/>
          <w:szCs w:val="17"/>
          <w:color w:val="auto"/>
        </w:rPr>
        <w:t>, p-values) were calculated for this study.</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5"/>
          <w:szCs w:val="15"/>
          <w:i w:val="1"/>
          <w:iCs w:val="1"/>
          <w:color w:val="auto"/>
        </w:rPr>
        <w:t>Development Plan of MN-221 in Acute Exacerbations of Asthma</w:t>
      </w:r>
      <w:r>
        <w:rPr>
          <w:rFonts w:ascii="Arial" w:cs="Arial" w:eastAsia="Arial" w:hAnsi="Arial"/>
          <w:sz w:val="15"/>
          <w:szCs w:val="15"/>
          <w:color w:val="auto"/>
        </w:rPr>
        <w:t>. In March 2012 we completed enrollment of a randomized, double-blind, placebo-controlled Phase 2 clinical trial designed to evaluate the safety and efficacy of MN-221 in patients with severe, acute exacerbations of asthma in emergency departments, which involved 176 patients. The trial was designed to compare standardized care to standardized care plus MN-221 at a dose of 1,200 micrograms administered intravenously over one hour. Once a patient has received the initial standardized care treatment regimen, the patient will be assessed for response to that treatment. If the patient’s FEV</w:t>
      </w:r>
      <w:r>
        <w:rPr>
          <w:rFonts w:ascii="Arial" w:cs="Arial" w:eastAsia="Arial" w:hAnsi="Arial"/>
          <w:sz w:val="19"/>
          <w:szCs w:val="19"/>
          <w:color w:val="auto"/>
          <w:vertAlign w:val="subscript"/>
        </w:rPr>
        <w:t>1</w:t>
      </w:r>
      <w:r>
        <w:rPr>
          <w:rFonts w:ascii="Arial" w:cs="Arial" w:eastAsia="Arial" w:hAnsi="Arial"/>
          <w:sz w:val="15"/>
          <w:szCs w:val="15"/>
          <w:color w:val="auto"/>
        </w:rPr>
        <w:t xml:space="preserve"> is less than or equal to 50 percent of predicted and the patient meets all other study entry criteria, the patient will be randomized to receive either MN-221 or placebo. Patients enrolled in the clinical trial will continue to receive standardized care as needed. The primary efficacy endpoint will be improvement in FEV</w:t>
      </w:r>
      <w:r>
        <w:rPr>
          <w:rFonts w:ascii="Arial" w:cs="Arial" w:eastAsia="Arial" w:hAnsi="Arial"/>
          <w:sz w:val="19"/>
          <w:szCs w:val="19"/>
          <w:color w:val="auto"/>
          <w:vertAlign w:val="subscript"/>
        </w:rPr>
        <w:t>1</w:t>
      </w:r>
      <w:r>
        <w:rPr>
          <w:rFonts w:ascii="Arial" w:cs="Arial" w:eastAsia="Arial" w:hAnsi="Arial"/>
          <w:sz w:val="15"/>
          <w:szCs w:val="15"/>
          <w:color w:val="auto"/>
        </w:rPr>
        <w:t>. We expect trial results in the second quarter of 2012. Should we have acceptable findings, we intend to define 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Phase 3 trial and other development plans and request an End-of-Phase 2 meeting with the FDA. Depending on the results of our the MN-221 Phase 2 trial and our ability to raise additional capital and/or to enter into a collaboration with a leading pharmaceutical or biotech company, we intend to initiate our Phase 3 program.</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Kissei.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A COPD exacerbation is a sustained worsening of the patient’s condition, from the stable state and beyond</w:t>
      </w:r>
      <w:r>
        <w:rPr>
          <w:rFonts w:ascii="Arial" w:cs="Arial" w:eastAsia="Arial" w:hAnsi="Arial"/>
          <w:sz w:val="16"/>
          <w:szCs w:val="16"/>
          <w:i w:val="1"/>
          <w:iCs w:val="1"/>
          <w:color w:val="auto"/>
        </w:rPr>
        <w:t xml:space="preserve"> </w:t>
      </w:r>
      <w:r>
        <w:rPr>
          <w:rFonts w:ascii="Arial" w:cs="Arial" w:eastAsia="Arial" w:hAnsi="Arial"/>
          <w:sz w:val="16"/>
          <w:szCs w:val="16"/>
          <w:color w:val="auto"/>
        </w:rPr>
        <w:t>normal day-to-day variations, that is acute in onset and necessitates a change in regular medication in a patient with underlying COPD. Exacerbations are associated with a significant increase in mortality, hospitalization and healthcare utilization. According to data from the National Heart, Lung, and Blood Institute, an estimated 12.1 million adults had a diagnosis of COPD in the U.S. in the year 2001 and about 24 million adults have evidence of impaired lung function indicating that COPD is under diagnosed. According to data from the National Heart, Lung, and Blood Institute, in the year 2000, there were 119,000 deaths, 726,000 hospitalizations, and 1.5 million hospital emergency department visits due to COPD in the U.S. The age-adjusted death rate for COPD increased more than 30 percent since 1980, according to a 2010 report on COPD from the American Lung Association, which used data from the Centers for Disease Control and Prevention. In 2002, according to the National Heart, Lung, and Blood Institute, direct costs for COPD were $18.0 billion and indirect costs were $14.1 billion in the U.S. In 2010, according to the American Lung Association, the direct costs for COPD were approximately $29.5 billion and indirect costs were approximately $20.4 billion in the U.S. We believe there remains an unmet medical need for a safe and effective treatment for COPD exacerbations that could relieve bronchospasm and prevent some of these hospitalizations.</w:t>
      </w:r>
    </w:p>
    <w:p>
      <w:pPr>
        <w:spacing w:after="0" w:line="11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Overview of MN-221 in COPD Exacerbations</w:t>
      </w:r>
      <w:r>
        <w:rPr>
          <w:rFonts w:ascii="Arial" w:cs="Arial" w:eastAsia="Arial" w:hAnsi="Arial"/>
          <w:sz w:val="16"/>
          <w:szCs w:val="16"/>
          <w:color w:val="auto"/>
        </w:rPr>
        <w:t>. In July 2009, we announced our plan to evaluate MN-221 for the treatment of COPD exacerbations. Inhaled</w:t>
      </w:r>
      <w:r>
        <w:rPr>
          <w:rFonts w:ascii="Arial" w:cs="Arial" w:eastAsia="Arial" w:hAnsi="Arial"/>
          <w:sz w:val="16"/>
          <w:szCs w:val="16"/>
          <w:i w:val="1"/>
          <w:iCs w:val="1"/>
          <w:color w:val="auto"/>
        </w:rPr>
        <w:t xml:space="preserve"> </w:t>
      </w:r>
      <w:r>
        <w:rPr>
          <w:rFonts w:ascii="Arial" w:cs="Arial" w:eastAsia="Arial" w:hAnsi="Arial"/>
          <w:sz w:val="16"/>
          <w:szCs w:val="16"/>
          <w:color w:val="auto"/>
        </w:rPr>
        <w:t>ß2-adrenergic receptor agonists, which are the current standard of care, are often inadequate to control the symptoms of COPD exacerbations. We believe that MN-221 may offer an immediate intravenous delivery for this life-threatening condition for patients who cannot get the full benefit from treatment with inhaled ß2-adrenergic receptor agonists due to severe bronchoconstriction. In addition, we believe that MN-221 may offer the potential for fewer cardiovascular side effects than older ß2-adrenergic receptor agonists due to its greater selectivity for the ß2-adrenergic receptor. This could be very significant due to the relative older age population seen in COPD patients who tend to have more underlying heart disease. On October 13, 2011, we entered into an agreement with Kissei to expand research and development services pertaining to the use of MN-221, including MN-221 for the treatment of COPD exacerbations. The current CL-012 trial, wherein enrollment is expected to be completed around the end of the second quarter of 2012, is a component of that agreement.</w:t>
      </w:r>
    </w:p>
    <w:p>
      <w:pPr>
        <w:spacing w:after="0" w:line="105"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i w:val="1"/>
          <w:iCs w:val="1"/>
          <w:color w:val="auto"/>
        </w:rPr>
        <w:t xml:space="preserve">Clinical Results of MN-221 in COPD Exacerbations. </w:t>
      </w:r>
      <w:r>
        <w:rPr>
          <w:rFonts w:ascii="Arial" w:cs="Arial" w:eastAsia="Arial" w:hAnsi="Arial"/>
          <w:sz w:val="16"/>
          <w:szCs w:val="16"/>
          <w:color w:val="auto"/>
        </w:rPr>
        <w:t>We completed a randomized, double-blind, placebo-controlled Phase 1b study involving 48 moderate-to-severe COPD patients who received a one hour intravenous infusion of MN-221 at three different escalating dose levels (300 micrograms, 600 micrograms, or 1200 micrograms) or placebo in the first quarter of 2010. In March 2010, based on preliminary findings, we announced that all doses of MN-221 produced a clinically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(L) as compared to the baseline and placebo. At the end of the one hour 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(L) increased as compared to baseline by an average of 21.5 percent (p=0.0025) for the 1200 micrograms dose, 16.2 percent (p=0.020) for the 600 micrograms dose,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9.2 percent (p=NS) for the 300 micrograms dose compared to a decrease of 4.0 percent for the placebo. MN-221 at doses of 600 micrograms and 1200 micrograms appeared to have an effect for at least six hours as compared to placebo. MN-221 was well tolerated by all patients who received infusions of MN-221.</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Development Plans of MN-221 in COPD Exacerbations</w:t>
      </w:r>
      <w:r>
        <w:rPr>
          <w:rFonts w:ascii="Arial" w:cs="Arial" w:eastAsia="Arial" w:hAnsi="Arial"/>
          <w:sz w:val="16"/>
          <w:szCs w:val="16"/>
          <w:color w:val="auto"/>
        </w:rPr>
        <w:t>. In the first quarter of 2012 we initiated a Phase 1b/2a clinical trial in severe to moderate COPD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which addresses a number of important goals in developing MN-221 in this indication. The trial design includes enrollment of approximately 20 patients with co-morbidities and concomitant medications that typify patients that might present in Emergency Departments s with exacerbations. In addition, we will be exploring the safety, tolerability, pharmacokinetics, and preliminary efficacy of repeat-administration placebo or MN-221 (1.2 mg) over a few days of residence in a clinical trial unit. Finally, we are assessing the correlation and potential future clinical trial utility of certain breathing function testing devices. The protocol has received FDA and IRB review and we anticipate completing this trial by the end of the second quarter of 2012.</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Ibudilast (MN-166)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Ibudilast portfolio, which includes the Phase 2-staged lead drug compound and proprietary analogs, represents novel, first-in-class, non-opioid drugs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treatment of several large pain and drug addiction indications. Ibudilast is a relatively potent and selective inhibitor of macrophage migration inhibitory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 (MIF) and phosphodiesterases (PDEs)-4 and -10. It is a first-in-class, orally bioavailable small molecule, a glial attenuator that suppresses 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inflammatory cytokines IL-1ß, TNF-a, and IL-6, and may increase the release of the anti-inflammatory cytokine IL-10 and neuroprotective growth factors (e.g.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GDNF). It has additionally been shown to be a toll-like receptor 4 (TLR4) functional antagonist that may contribute to its attenuation of</w:t>
      </w:r>
    </w:p>
    <w:p>
      <w:pPr>
        <w:spacing w:after="0" w:line="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neuroinflammation. While considered a New Molecular Entity, or NME, in the U.S. and Europe, it involves redirection of an approved drug, ibudilast, which was first approved in Japan more than 20 years ago. Ibudilast has been prescribed to over one million patients for a different indication and has a good post-marketing safety profile as reported in nearly 15,000 patients studied at the prescribed doses.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our research, we have filed for patents protecting multiple uses of ibudilast in neurological conditions, as well as for patents on analogs which we believe have the potential to be effective second generation molecules. Some of the patent estate has received allowance in the U.S. and foreign countries. As NMEs, MN-166 and its analogs would be entitled to five years of marketing exclusivity from first approval in the U.S. and up to 10 years of exclusivity in the European Union</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Neuropathic pain: </w:t>
      </w:r>
      <w:r>
        <w:rPr>
          <w:rFonts w:ascii="Arial" w:cs="Arial" w:eastAsia="Arial" w:hAnsi="Arial"/>
          <w:sz w:val="16"/>
          <w:szCs w:val="16"/>
          <w:color w:val="auto"/>
        </w:rPr>
        <w:t>MIF activity and glial activation in the brain and spinal cord contribute to the establishment and amplification of the chronic pain state.</w:t>
      </w:r>
      <w:r>
        <w:rPr>
          <w:rFonts w:ascii="Arial" w:cs="Arial" w:eastAsia="Arial" w:hAnsi="Arial"/>
          <w:sz w:val="16"/>
          <w:szCs w:val="16"/>
          <w:i w:val="1"/>
          <w:iCs w:val="1"/>
          <w:color w:val="auto"/>
        </w:rPr>
        <w:t xml:space="preserve"> </w:t>
      </w:r>
      <w:r>
        <w:rPr>
          <w:rFonts w:ascii="Arial" w:cs="Arial" w:eastAsia="Arial" w:hAnsi="Arial"/>
          <w:sz w:val="16"/>
          <w:szCs w:val="16"/>
          <w:color w:val="auto"/>
        </w:rPr>
        <w:t>As part of Avigen’s program investigating glial attenuation as a novel approach to the treatment of neuropathic pain, Avigen conceived and demonstrated that ibudilast was efficacious in preclinical models of neuropathic pain and may be effective in a wide range of neuropathic pain syndromes including neuropathy, post-herpetic neuralgia, HIV neuropathy, radiculopathy, spinal cord injury and chemotherapy-induced neuropathy. While ibudilast was initially developed as a non-selective phosphodiesterase (PDE) inhibitor for the treatment of bronchial asthma, its efficacy in some neuropathic pain models appears to be independent of this activity and yet still linked to glial attenuation.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Ibudilast has advanced through multiple Phase 1 and 2a clinical trials in both healthy volunteers and patients for neuropathic pain, inclusive of a Phase 1b/2a clinical trial in diabetic neuropathic pain. The program, under current FDA standards, is able to enter Phase 2 development for neuropathic pain in the U.S. based on completed Avigen preclinical and clinical development. A Phase 2 investigator-sponsored trial of ibudilast in the treatment of chronic medication overuse headache (MOH) pain is also ongoing in Australia and involves placebo or ibudilast administration for up to two months.</w:t>
      </w:r>
    </w:p>
    <w:p>
      <w:pPr>
        <w:spacing w:after="0" w:line="9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Opioid withdrawal: </w:t>
      </w:r>
      <w:r>
        <w:rPr>
          <w:rFonts w:ascii="Arial" w:cs="Arial" w:eastAsia="Arial" w:hAnsi="Arial"/>
          <w:sz w:val="18"/>
          <w:szCs w:val="18"/>
          <w:color w:val="auto"/>
        </w:rPr>
        <w:t>A Phase 1b/2a clinical trial in opioid withdrawal and analgesia, or OWA, was completed and funded by NIDA and conducted at</w:t>
      </w:r>
      <w:r>
        <w:rPr>
          <w:rFonts w:ascii="Arial" w:cs="Arial" w:eastAsia="Arial" w:hAnsi="Arial"/>
          <w:sz w:val="18"/>
          <w:szCs w:val="18"/>
          <w:i w:val="1"/>
          <w:iCs w:val="1"/>
          <w:color w:val="auto"/>
        </w:rPr>
        <w:t xml:space="preserve"> </w:t>
      </w:r>
      <w:r>
        <w:rPr>
          <w:rFonts w:ascii="Arial" w:cs="Arial" w:eastAsia="Arial" w:hAnsi="Arial"/>
          <w:sz w:val="18"/>
          <w:szCs w:val="18"/>
          <w:color w:val="auto"/>
        </w:rPr>
        <w:t>Columbia University by leading specialists in the study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treatment of substance abuse. MN-166 and analogs have been shown in preclinical models of opioid (morphine or oxycodone) withdrawal to significantly reduce withdrawal symptoms. Moreover, MN-166 attenuates both behavioral and neurochemical markers of opioid reward. MN-166 and analogs are differentiated from other drug candidates in clinical trials that may demonstrate similar effects, in that MN-166 and analogs are not narcotics and do not, themselves, provide reward or “reinforcement” in behavioral models of dependence. Thus, while current therapies involve substitution of one opioid for another (e.g. methadone for heroin), MN-166 represents a novel, non-opioid, approach for the treatment of opioid withdrawal and dependence. Results from the recently-completed OWA trial indicated dose-related attenuation of the opioid withdrawal syndrome (p&lt;0.05 for 80 mg/d treatment arm relative to placebo control on the Subjective Opioid Withdrawal Scale (SOWS) endpoint) and enhanced opioid analgesia (p&lt;0.05 for the McGill Pain Questionnaire endpoint for the 80 mg/d treatment arm vs. placebo control). Other measures of withdrawal (Clinicians Opioid Withdrawal Scale) or analgesia (quantitative time endpoints for cold pressor test) were not significantly attenuated.</w:t>
      </w:r>
    </w:p>
    <w:p>
      <w:pPr>
        <w:spacing w:after="0" w:line="106"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 xml:space="preserve">Methamphetamine addiction: </w:t>
      </w:r>
      <w:r>
        <w:rPr>
          <w:rFonts w:ascii="Arial" w:cs="Arial" w:eastAsia="Arial" w:hAnsi="Arial"/>
          <w:sz w:val="16"/>
          <w:szCs w:val="16"/>
          <w:color w:val="auto"/>
        </w:rPr>
        <w:t>In collaborative studies with NIDA, MN-166 has demonstrated utility in methamphetamine relapse in animals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translated into a NIDA-funded exploratory Phase 1b methamphetamine interaction clinical trial with investigators at the University of California – Los Angeles.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trial is currently enrolling patients.</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Development Plans of Ibudilast for Neuropathic Pain and Drug Addiction. </w:t>
      </w:r>
      <w:r>
        <w:rPr>
          <w:rFonts w:ascii="Arial" w:cs="Arial" w:eastAsia="Arial" w:hAnsi="Arial"/>
          <w:sz w:val="16"/>
          <w:szCs w:val="16"/>
          <w:color w:val="auto"/>
        </w:rPr>
        <w:t>We are not planning to undertake Phase 2b clinical development of ibudilast for</w:t>
      </w:r>
      <w:r>
        <w:rPr>
          <w:rFonts w:ascii="Arial" w:cs="Arial" w:eastAsia="Arial" w:hAnsi="Arial"/>
          <w:sz w:val="16"/>
          <w:szCs w:val="16"/>
          <w:i w:val="1"/>
          <w:iCs w:val="1"/>
          <w:color w:val="auto"/>
        </w:rPr>
        <w:t xml:space="preserve"> </w:t>
      </w:r>
      <w:r>
        <w:rPr>
          <w:rFonts w:ascii="Arial" w:cs="Arial" w:eastAsia="Arial" w:hAnsi="Arial"/>
          <w:sz w:val="16"/>
          <w:szCs w:val="16"/>
          <w:color w:val="auto"/>
        </w:rPr>
        <w:t>pain or drug addiction indications until such time as we are successful in entering into a strategic collaboration and/or funding arrangement to support further clinical development of our combined MN-166 ibudilast-based programs. We are actively pursuing potential partners for such purpose.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Ibudilast (MN-166) for Progressive Multiple Sclerosis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MS is an inflammatory disease of the CNS in which the body’s immune system attacks the protective sheath</w:t>
      </w:r>
      <w:r>
        <w:rPr>
          <w:rFonts w:ascii="Arial" w:cs="Arial" w:eastAsia="Arial" w:hAnsi="Arial"/>
          <w:sz w:val="16"/>
          <w:szCs w:val="16"/>
          <w:i w:val="1"/>
          <w:iCs w:val="1"/>
          <w:color w:val="auto"/>
        </w:rPr>
        <w:t xml:space="preserve"> </w:t>
      </w:r>
      <w:r>
        <w:rPr>
          <w:rFonts w:ascii="Arial" w:cs="Arial" w:eastAsia="Arial" w:hAnsi="Arial"/>
          <w:sz w:val="16"/>
          <w:szCs w:val="16"/>
          <w:color w:val="auto"/>
        </w:rPr>
        <w:t>surrounding nerve fibers. According to the National Multiple Sclerosis Society, MS affects approximately 400,000 people in the U.S. and approximately</w:t>
      </w:r>
    </w:p>
    <w:p>
      <w:pPr>
        <w:ind w:right="20"/>
        <w:spacing w:after="0" w:line="288" w:lineRule="auto"/>
        <w:rPr>
          <w:sz w:val="20"/>
          <w:szCs w:val="20"/>
          <w:color w:val="auto"/>
        </w:rPr>
      </w:pPr>
      <w:r>
        <w:rPr>
          <w:rFonts w:ascii="Arial" w:cs="Arial" w:eastAsia="Arial" w:hAnsi="Arial"/>
          <w:sz w:val="16"/>
          <w:szCs w:val="16"/>
          <w:color w:val="auto"/>
        </w:rPr>
        <w:t>2.5 million people worldwide. In addition, according to the National Multiple Sclerosis Society, approximately 200 people are diagnosed with MS in the U.S. each week. The most obvious effect of MS is its destruction of nerve fibers leading to the loss of muscle control. However, MS also affects multiple CNS functions. Currently, there is no known cure for the disease. According to the National Multiple Sclerosis Society, relapsing-remitting MS, or RRMS, is the most common type of the disease, and 85 percent of people with MS are initially diagnosed with RRMS. Approximately 50% of RRMS patients progress to secondary progressive MS (SPMS). The most severe type of MS, primary progressive MS (PPMS), represents about 10% of all MS. According to sales data included in the most recent annual reports of leading MS drug companies, including Biogen Idec Inc., Merck Serono S.A., Teva Pharmaceuticals Industries Ltd. And Bayer Shering Pharma AG, worldwide sales of drugs to treat MS exceeded $11 billion in 2010.</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aim of treatment is to relieve symptoms of acute attacks by reducing the frequency of relapses and limiting the disabling effects of relapses and to minimize disability caused by disease progression. Steroids are used in treating MS to decrease the severity and shorten the duration of the attacks, but they do not change the course of the disease. Corticosteroid use is normally limited to the short-term treatment of MS, perhaps over a period of one to three weeks, as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and certain side effects may preclude their widespread use. These treatments may slow the course of disease progression and mitigate its effects temporarily, but additional drugs are often required to address the various CNS dysfunctions caused by the disease. Progressive MS (PPMS and SPMS) represents a particularly unmet pharmacotherapy need as there are little or no clearly effective, safe, and well-tolerated drugs approved.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Overview of MN-166 for Progressive Multiple Sclerosis</w:t>
      </w:r>
      <w:r>
        <w:rPr>
          <w:rFonts w:ascii="Arial" w:cs="Arial" w:eastAsia="Arial" w:hAnsi="Arial"/>
          <w:sz w:val="16"/>
          <w:szCs w:val="16"/>
          <w:color w:val="auto"/>
        </w:rPr>
        <w:t>. We licensed MN-166 from Kyorin Pharmaceutical in October 2004. MN-166 has been marketed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Japan and Korea since 1989 to treat cerebrovascular disorders and bronchial asthma. In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MN-166 inhibited leukotriene activity, phosphodiesterases and nitric oxide synthase, all of which are inflammatory mechanisms known to be involved in MS. These studies also suggested that MN-166 may suppress the production of pro-inflammatory cytokines (IL-1ß, TNF-a and enhance the production of the anti-inflammatory cytokines (IL-4, IL-10). Based on the potential mechanisms of action of MN-166, its clinical safety history in Japan, the results of pilot studies conducted by Kyorin Pharmaceutical in MS patients and the issuance of a U.S. patent covering the method of using MN-166 to treat the disease, we decided to pursue development of MN-166 as a novel, oral agent for the treatment of MS.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Clinical Results of MN-166 for Progressive Multiple Sclerosis. </w:t>
      </w:r>
      <w:r>
        <w:rPr>
          <w:rFonts w:ascii="Arial" w:cs="Arial" w:eastAsia="Arial" w:hAnsi="Arial"/>
          <w:sz w:val="16"/>
          <w:szCs w:val="16"/>
          <w:color w:val="auto"/>
        </w:rPr>
        <w:t>Based on its anti-inflammatory activity and safety profile, MN-166 was evaluated for</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activity in MS in two pilot clinical trials sponsored by academic investigators in Japan. In one open-label pilot clinical trial, the investigators studied the effects of MN-166 on relapse rates in six MS patients who had a mean of four relapses per year. Following 12 to 20 months of treatment with MN-166, the average relapse rate was reduced. Over this time frame, there was no significant change in the mean Expanded Disability Status Score, or EDSS, a measure of MS drug efficacy and disease progression. No side effects of MN-166 were reported in this clinical trial. In a second pilot trial involving 12 MS patients receiving MN-166 for four weeks, MN-166 tended to normalize the levels of several chemical mediators of inflammation, including TNF-a and interferon gamma.</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completed a two-year Phase 2 multi-center, randomized, double-blind, placebo-controlled clinical trial of MN-166 for the treatment of patients with relapsing MS in April 2008. This clinical trial involved 297 patients with relapsing MS in several countries in Eastern Europe. Patients received either 30 mg of MN-166 per day, 60 mg of MN-166 per day or a placebo.</w:t>
      </w:r>
    </w:p>
    <w:p>
      <w:pPr>
        <w:spacing w:after="0" w:line="12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the second year of the study, all patients received active drugs.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percent) in those patients receiving MN-166 at either 30 or 60 mg per day for 24 months than in those patients receiving the drug for 12 months (p=0.026). Sustained disability progression was measured as a greater than or equal to 1.0 point increase from baseline in the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PBHs eight months later at month ten by 37 percent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 In September 2008, data from this completed two-year clinical trial was presented at the World Congress for Treatment and Research in MS.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Development Plans of MN-166 for Progressive Multiple Sclerosis. </w:t>
      </w:r>
      <w:r>
        <w:rPr>
          <w:rFonts w:ascii="Arial" w:cs="Arial" w:eastAsia="Arial" w:hAnsi="Arial"/>
          <w:sz w:val="18"/>
          <w:szCs w:val="18"/>
          <w:color w:val="auto"/>
        </w:rPr>
        <w:t>Based on some of our prior Phase 2 RRMS trial outcomes and opinions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sclerosis experts and advisors, MN-166 may be best positioned as a therapy for progressive MS. Combined with the recent USPTO “allowance” of our method of use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patent providing exclusivity for ibudilast in treating progressive MS, including SPMS, we are formulating development plans. It is our intent to advance MN-166 into a Phase 2 proof-of-concept trial in progressive MS and to fund that development via strategic collaboration with a corporate partner and/or funding agency(ies). There can be no assurance that we will be able to successfully secure such strategic collaborations or fundraising activities.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i w:val="1"/>
          <w:iCs w:val="1"/>
          <w:color w:val="auto"/>
        </w:rPr>
        <w:t>Indication Overview and Market Opportunity</w:t>
      </w:r>
      <w:r>
        <w:rPr>
          <w:rFonts w:ascii="Arial" w:cs="Arial" w:eastAsia="Arial" w:hAnsi="Arial"/>
          <w:sz w:val="15"/>
          <w:szCs w:val="15"/>
          <w:color w:val="auto"/>
        </w:rPr>
        <w:t>. Asthma is a chronic inflammatory disease of the airways in which symptom control is the key to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disease management. Alleviation of acute asthmatic symptoms and blocking of late phase inflammation are both important to asthma therapy. According to the CDC and the Global Initiative for Asthma, there are approximately 24.6 million asthma patients in the U.S. and over 300 million asthma patients worldwide.</w:t>
      </w:r>
    </w:p>
    <w:p>
      <w:pPr>
        <w:spacing w:after="0" w:line="7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Overview of MN-001 in Asthma</w:t>
      </w:r>
      <w:r>
        <w:rPr>
          <w:rFonts w:ascii="Arial" w:cs="Arial" w:eastAsia="Arial" w:hAnsi="Arial"/>
          <w:sz w:val="16"/>
          <w:szCs w:val="16"/>
          <w:color w:val="auto"/>
        </w:rPr>
        <w:t>. MN-001 is a novel, orally bioavailable compound being developed for the treatment of bronchial asthma. We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MN-001 from Kyorin Pharmaceutical in March 2002.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conducted by Kyorin Pharmaceutical and us, MN-001 combined the positive attributes of the leukotriene antagonists and inhaled steroids, while maintaining an acceptable safety profile.</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preclinical pharmacology studies, MN-001 inhibited airway hyper-reactivity through a reduction of airway inflammation</w:t>
      </w:r>
      <w:r>
        <w:rPr>
          <w:rFonts w:ascii="Arial" w:cs="Arial" w:eastAsia="Arial" w:hAnsi="Arial"/>
          <w:sz w:val="16"/>
          <w:szCs w:val="16"/>
          <w:i w:val="1"/>
          <w:iCs w:val="1"/>
          <w:color w:val="auto"/>
        </w:rPr>
        <w:t>. In vitro</w:t>
      </w:r>
      <w:r>
        <w:rPr>
          <w:rFonts w:ascii="Arial" w:cs="Arial" w:eastAsia="Arial" w:hAnsi="Arial"/>
          <w:sz w:val="16"/>
          <w:szCs w:val="16"/>
          <w:color w:val="auto"/>
        </w:rPr>
        <w:t xml:space="preserve"> studies and animal studies also suggested that MN-001 may affect many of the downstream mechanisms activated by mast cell degranulation, which is the release of chemicals that cause inflammation. MN-001 also demonstrated that it is a potent inhibitor of pro-inflammatory enzymes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5-lipoxygenase and phosphodiesterase 4), as it prevented migration of inflammatory cells to the lungs of rodents in these studies. In addition, in guinea pig asthma models, MN-001 was more selective than steroids in affecting cells involved in the inflammatory process and not those involved in cellular immunity.</w:t>
      </w:r>
    </w:p>
    <w:p>
      <w:pPr>
        <w:spacing w:after="0" w:line="102"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Clinical Results of MN-001 for Asthma</w:t>
      </w:r>
      <w:r>
        <w:rPr>
          <w:rFonts w:ascii="Arial" w:cs="Arial" w:eastAsia="Arial" w:hAnsi="Arial"/>
          <w:sz w:val="18"/>
          <w:szCs w:val="18"/>
          <w:color w:val="auto"/>
        </w:rPr>
        <w:t>. MN-001 has proven to be well tolerated in early clinical testing. Treatment-related adverse effects,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gastrointestinal discomfort such as diarrhea, loose stools, nausea and upper abdominal pain, were mild, transient and reversible. These adverse effects were consistent with findings in preclinical studies.</w:t>
      </w:r>
    </w:p>
    <w:p>
      <w:pPr>
        <w:spacing w:after="0" w:line="127"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We conducted a randomized, double-blind, placebo-controlled, multi-center Phase 2 clinical trial in patients with mild-to-moderate asthma, which was completed in the fourth quarter of 2005. In this clinical trial, 147 patients were randomly assigned to receive placebo or MN-001 tablets in one of three oral dosing regimens for four weeks. The primary endpoint of the trial was achieved with a statistically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after four weeks of treatment with 500 mg of MN-001 at three times daily dosage, or TID, compared to placebo (p-value=0.021; intent-to-treat, observed cases). A similar trend was observed for the 750 mg two times daily dosage, or BID, of MN-001 (p-value=0.058). Positive trends in secondary outcome measures were also observed in the 500 mg TID treatment group, including serial spirometry, morning and evening peak flow rates, and provocative concentration causing a 20 percent fall in FEV</w:t>
      </w:r>
      <w:r>
        <w:rPr>
          <w:rFonts w:ascii="Arial" w:cs="Arial" w:eastAsia="Arial" w:hAnsi="Arial"/>
          <w:sz w:val="20"/>
          <w:szCs w:val="20"/>
          <w:color w:val="auto"/>
          <w:vertAlign w:val="subscript"/>
        </w:rPr>
        <w:t>1</w:t>
      </w:r>
      <w:r>
        <w:rPr>
          <w:rFonts w:ascii="Arial" w:cs="Arial" w:eastAsia="Arial" w:hAnsi="Arial"/>
          <w:sz w:val="16"/>
          <w:szCs w:val="16"/>
          <w:color w:val="auto"/>
        </w:rPr>
        <w:t>, or PC20, values in a methacholine challenge test, each of which is a common measure of respiratory function. MN-001 was well tolerated in this clinical trial with 89 percent of patients completing four weeks of treatment. There was no apparent difference between placebo and any of the active treatment groups in adverse events leading to discontinuation or in adverse events attributable to treatment.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Interstitial Cystitis (IC) is a chronic disease of the bladder characterized by urinary frequency and urgency,</w:t>
      </w:r>
      <w:r>
        <w:rPr>
          <w:rFonts w:ascii="Arial" w:cs="Arial" w:eastAsia="Arial" w:hAnsi="Arial"/>
          <w:sz w:val="16"/>
          <w:szCs w:val="16"/>
          <w:i w:val="1"/>
          <w:iCs w:val="1"/>
          <w:color w:val="auto"/>
        </w:rPr>
        <w:t xml:space="preserve"> </w:t>
      </w:r>
      <w:r>
        <w:rPr>
          <w:rFonts w:ascii="Arial" w:cs="Arial" w:eastAsia="Arial" w:hAnsi="Arial"/>
          <w:sz w:val="16"/>
          <w:szCs w:val="16"/>
          <w:color w:val="auto"/>
        </w:rPr>
        <w:t>nighttime urination and pelvic and bladder pain. It is widely believed that IC is due to an altered or defective bladder lining and an increased number of activated bladder mast cells, which are specialized cells that release biochemicals and cause inflammation. According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National Kidney and Urologic Diseases Information Clearinghouse, which is a division of the National Institutes of Health, at least 1.3 million patients suffer from IC in the U.S., and more than one million of them are women. We believe that IC is currently under diagnosed and that the market for drugs that treat IC will likely expand with the introduction of effective new treatments.</w:t>
      </w:r>
    </w:p>
    <w:p>
      <w:pPr>
        <w:spacing w:after="0" w:line="12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Overview of MN-001 for Interstitial Cystitis</w:t>
      </w:r>
      <w:r>
        <w:rPr>
          <w:rFonts w:ascii="Arial" w:cs="Arial" w:eastAsia="Arial" w:hAnsi="Arial"/>
          <w:sz w:val="18"/>
          <w:szCs w:val="18"/>
          <w:color w:val="auto"/>
        </w:rPr>
        <w:t>. MN-001 is a novel, orally bioavailable, anti-inflammatory compound being developed for the treatment of IC.</w:t>
      </w:r>
      <w:r>
        <w:rPr>
          <w:rFonts w:ascii="Arial" w:cs="Arial" w:eastAsia="Arial" w:hAnsi="Arial"/>
          <w:sz w:val="18"/>
          <w:szCs w:val="18"/>
          <w:i w:val="1"/>
          <w:iCs w:val="1"/>
          <w:color w:val="auto"/>
        </w:rPr>
        <w:t xml:space="preserve"> </w:t>
      </w:r>
      <w:r>
        <w:rPr>
          <w:rFonts w:ascii="Arial" w:cs="Arial" w:eastAsia="Arial" w:hAnsi="Arial"/>
          <w:sz w:val="18"/>
          <w:szCs w:val="18"/>
          <w:color w:val="auto"/>
        </w:rPr>
        <w:t>Data that we collected in connection with the development of MN-001 for bronchial asthma and data collected by Kyorin Pharmaceutical provided us with a strong scientific rationale for evaluating MN-001 as an oral treatment for IC. MN-001 has been shown to block a number of the inflammatory mechanisms activated by mast cell degranulation that are important in the pathogenesis of inflammatory disorders, including IC and asthma (</w:t>
      </w:r>
      <w:r>
        <w:rPr>
          <w:rFonts w:ascii="Arial" w:cs="Arial" w:eastAsia="Arial" w:hAnsi="Arial"/>
          <w:sz w:val="18"/>
          <w:szCs w:val="18"/>
          <w:i w:val="1"/>
          <w:iCs w:val="1"/>
          <w:color w:val="auto"/>
        </w:rPr>
        <w:t>e.g.</w:t>
      </w:r>
      <w:r>
        <w:rPr>
          <w:rFonts w:ascii="Arial" w:cs="Arial" w:eastAsia="Arial" w:hAnsi="Arial"/>
          <w:sz w:val="18"/>
          <w:szCs w:val="18"/>
          <w:color w:val="auto"/>
        </w:rPr>
        <w:t>, leukotriene receptor antagonism and inhibition of phosphodiesterases III and IV, 5-lipoxygenase, phospholipase C and thromboxane A2). In addition, MN-001 produced anti-inflammatory effects in a variety of rodent models of IC and asthma; in these models, MN-001 reduced bladder hyper-reactivity much in the same way that it reduced airway hyper-reactivity in the lung.</w:t>
      </w:r>
    </w:p>
    <w:p>
      <w:pPr>
        <w:spacing w:after="0" w:line="1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Clinical Results of MN-001 for Interstitial Cystitis</w:t>
      </w:r>
      <w:r>
        <w:rPr>
          <w:rFonts w:ascii="Arial" w:cs="Arial" w:eastAsia="Arial" w:hAnsi="Arial"/>
          <w:sz w:val="16"/>
          <w:szCs w:val="16"/>
          <w:color w:val="auto"/>
        </w:rPr>
        <w:t>. We conducted a randomized, double-blind, placebo-controlled multi-center Phase 2 clinical trial in</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with moderate-to-severe IC, which was completed in the first quarter of 2007. This clinical trial involved 305 patients at 37 clinical sites in the U.S. Results from this clinical trial indicated that, while well-tolerated, MN-001 did not show a statistically significant clinical benefit compared to placebo on the primary endpoint (to be much or very much improved overall on a patient-rated global response assessment) at the doses tested in this clinical trial (500 mg once or twice a day for eight weeks). Results from this clinical trial also indicated that IC patients were more than twice as likely to respond on 500 mg of MN-001 administered twice a day compared to placebo (25 percent compared to 12 percent, p-value=0.04)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The American Cancer Society estimates that more than 1.5 million Americans were diagnosed with cancer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2010, of which more than 750,000 patients were diagnosed with lung, prostate, colon, rectum or breast solid tumor cancers. The American Cancer Society also estimates that approximately 569,000 patients were ultimately to die from cancer in 2010. According to IMS Health, the global market for oncology products exceeded $48.0 billion in 2008.</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whereas VDAs disrupt blood flow through existing tumor blood vessels. We believe that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Overview of MN-029</w:t>
      </w:r>
      <w:r>
        <w:rPr>
          <w:rFonts w:ascii="Arial" w:cs="Arial" w:eastAsia="Arial" w:hAnsi="Arial"/>
          <w:sz w:val="16"/>
          <w:szCs w:val="16"/>
          <w:color w:val="auto"/>
        </w:rPr>
        <w:t>. MN-029 is a novel, small molecule VDA being developed for the treatment of solid tumors. We licensed MN-029 from Angiogene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Pharmaceuticals in June 2002. Several preclinical pharmacology studies conducted by Angiogene Pharmaceuticals and us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or DCE-MRI.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Clinical Results of MN-029 for Solid Tumors. </w:t>
      </w:r>
      <w:r>
        <w:rPr>
          <w:rFonts w:ascii="Arial" w:cs="Arial" w:eastAsia="Arial" w:hAnsi="Arial"/>
          <w:sz w:val="18"/>
          <w:szCs w:val="18"/>
          <w:color w:val="auto"/>
        </w:rPr>
        <w:t>To date, we have conducted two Phase 1 clinical trials of MN-029 for the treatment of solid tumors,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in 2006 and 2007, respectively.</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first Phase 1 clinical trial, MN-029 was administered as an intravenous infusion once every three weeks. Results from this clinical trial showed that MN-029 was well tolerated at doses that reduced tumor blood flow. A maximum tolerated dose of 180 mg/m</w:t>
      </w:r>
      <w:r>
        <w:rPr>
          <w:rFonts w:ascii="Arial" w:cs="Arial" w:eastAsia="Arial" w:hAnsi="Arial"/>
          <w:sz w:val="10"/>
          <w:szCs w:val="10"/>
          <w:color w:val="auto"/>
        </w:rPr>
        <w:t>2</w:t>
      </w:r>
      <w:r>
        <w:rPr>
          <w:rFonts w:ascii="Arial" w:cs="Arial" w:eastAsia="Arial" w:hAnsi="Arial"/>
          <w:sz w:val="16"/>
          <w:szCs w:val="16"/>
          <w:color w:val="auto"/>
        </w:rPr>
        <w:t xml:space="preserve"> per dose was established in this clinical trial. The most common side effects of MN-029 were characteristic of other VDAs and included nausea, vomiting, fatigue and diarrhea. Nine of 34 patients with advanced solid tumors for whom no standard therapy was available had stable disease after three cycles of treatment. Six patients had prolonged (greater than six months) stable disease. Although no patients showed objective responses based on Response Evaluation Criteria in Solid Tumors, or RECIST criteria, which is tumor length on computed tomography, or CT, or MRI scans, semi-automated measurements of tumor volumes from CT scans showed a measureable reduction in tumor burden in the subject with the largest reduction in tumor blood flow (Ktrans -40 percent). Tumor blood flow reduction assessed by dynamic contrast-enhanced magnetic resonance imaging, or DCE-MRI, was recorded at doses greater than or equal to 120 mg/m</w:t>
      </w:r>
      <w:r>
        <w:rPr>
          <w:rFonts w:ascii="Arial" w:cs="Arial" w:eastAsia="Arial" w:hAnsi="Arial"/>
          <w:sz w:val="10"/>
          <w:szCs w:val="10"/>
          <w:color w:val="auto"/>
        </w:rPr>
        <w:t>2</w:t>
      </w:r>
      <w:r>
        <w:rPr>
          <w:rFonts w:ascii="Arial" w:cs="Arial" w:eastAsia="Arial" w:hAnsi="Arial"/>
          <w:sz w:val="16"/>
          <w:szCs w:val="16"/>
          <w:color w:val="auto"/>
        </w:rPr>
        <w:t xml:space="preserve"> .</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second Phase 1 clinical trial, MN-029 was administered as an intravenous infusion every seven days (days 1, 8, 15) followed by a 13-day recovery period (one cycle). Results from this clinical trial showed that MN-029 was well tolerated. The maximum dose was limited to 180 mg/m</w:t>
      </w:r>
      <w:r>
        <w:rPr>
          <w:rFonts w:ascii="Arial" w:cs="Arial" w:eastAsia="Arial" w:hAnsi="Arial"/>
          <w:sz w:val="10"/>
          <w:szCs w:val="10"/>
          <w:color w:val="auto"/>
        </w:rPr>
        <w:t>2</w:t>
      </w:r>
      <w:r>
        <w:rPr>
          <w:rFonts w:ascii="Arial" w:cs="Arial" w:eastAsia="Arial" w:hAnsi="Arial"/>
          <w:sz w:val="16"/>
          <w:szCs w:val="16"/>
          <w:color w:val="auto"/>
        </w:rPr>
        <w:t xml:space="preserve"> per dose based on the results of the other Phase 1 trial that employed a less aggressive dosing schedule. The most common side effects of MN-029 in this clinical trial included nausea, vomiting, arthralgia and headache. Eleven of 20 patients with advanced solid tumors for whom no standard therapy was available had stable disease after two cycles of treatment. Four subjects continued on extended cycles of MN-029 treatment. Based on RECIST criteria, one patient with metastatic pancreatic cancer had an overall partial response with a duration of 74 days. Seven patients had stable disease with a median duration of 83 days.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MN-305 for Generalized Anxiety Disorder/Insomnia</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The essential characteristic of generalized anxiety disorder is excessive, uncontrollable worry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National Institute of Mental Health, anxiety disorders affect approximately 40 million American adults, of whom approximately 6.8 million suffer from generalized anxiety disorder. Anxiety disorders are the most prevalent of neuropsychiatric conditions, yet are generally considered to be under-diagnosed and therefore undertreated. Therefore, we believe that there is a significant opportunity for the introduction of new anxiety reducing drugs.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 or SSRIs, were increasingly used to treat anxiety as well. While effective, the use of SSRIs may result in a variety of undesirable side effects, including agitation and sexual dysfunction. Also, SSRIs may take weeks to exert their beneficial effects.</w:t>
      </w:r>
    </w:p>
    <w:p>
      <w:pPr>
        <w:spacing w:after="0" w:line="102"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i w:val="1"/>
          <w:iCs w:val="1"/>
          <w:color w:val="auto"/>
        </w:rPr>
        <w:t>Overview of MN-305 for Generalized Anxiety Disorder/Insomnia</w:t>
      </w:r>
      <w:r>
        <w:rPr>
          <w:rFonts w:ascii="Arial" w:cs="Arial" w:eastAsia="Arial" w:hAnsi="Arial"/>
          <w:sz w:val="18"/>
          <w:szCs w:val="18"/>
          <w:color w:val="auto"/>
        </w:rPr>
        <w:t>. MN-305 is a serotonin receptor agonist with high affinity and selectivity for the serotonin</w:t>
      </w:r>
      <w:r>
        <w:rPr>
          <w:rFonts w:ascii="Arial" w:cs="Arial" w:eastAsia="Arial" w:hAnsi="Arial"/>
          <w:sz w:val="18"/>
          <w:szCs w:val="18"/>
          <w:i w:val="1"/>
          <w:iCs w:val="1"/>
          <w:color w:val="auto"/>
        </w:rPr>
        <w:t xml:space="preserve"> </w:t>
      </w:r>
      <w:r>
        <w:rPr>
          <w:rFonts w:ascii="Arial" w:cs="Arial" w:eastAsia="Arial" w:hAnsi="Arial"/>
          <w:sz w:val="18"/>
          <w:szCs w:val="18"/>
          <w:color w:val="auto"/>
        </w:rPr>
        <w:t>5-HT</w:t>
      </w:r>
      <w:r>
        <w:rPr>
          <w:rFonts w:ascii="Arial" w:cs="Arial" w:eastAsia="Arial" w:hAnsi="Arial"/>
          <w:sz w:val="22"/>
          <w:szCs w:val="22"/>
          <w:color w:val="auto"/>
          <w:vertAlign w:val="subscript"/>
        </w:rPr>
        <w:t>1A</w:t>
      </w:r>
      <w:r>
        <w:rPr>
          <w:rFonts w:ascii="Arial" w:cs="Arial" w:eastAsia="Arial" w:hAnsi="Arial"/>
          <w:sz w:val="18"/>
          <w:szCs w:val="18"/>
          <w:color w:val="auto"/>
        </w:rPr>
        <w:t xml:space="preserve"> receptor subtype. Drugs that act through this mechanism, such as buspirone, have been proven to be clinically effective in treating generalized anxiety disorder. We licensed MN-305 from Mitsubishi Pharma Corporation, now Mitsubishi Tanabe Pharma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Corporation, in April 2004. MN-305 has been shown to be more potent than buspirone and to exhibit anti-anxiety efficacy in a wide range of preclinical rodent models. For example, in a social interaction test, MN-305 prolonged the duration of social interaction in rats. Preclinical and clinical studies conducted by Mitsubishi Tanabe Pharma Corporation and us also suggest that MN-305 may have a more rapid onset of action than buspirone.</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Clinical Results of MN-305 for Generalized Anxiety Disorder/Insomnia. </w:t>
      </w:r>
      <w:r>
        <w:rPr>
          <w:rFonts w:ascii="Arial" w:cs="Arial" w:eastAsia="Arial" w:hAnsi="Arial"/>
          <w:sz w:val="16"/>
          <w:szCs w:val="16"/>
          <w:color w:val="auto"/>
        </w:rPr>
        <w:t>Preliminary evidence of anti-anxiety efficacy was provided by a six-week, open-label, fixed-flexible dose Phase 2 clinical trial conducted by Mitsubishi Tanabe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clinical trial. At the end of the clinical trial, the mean Hamilton Rating Scale for Anxiety score, or HAM-A score, which is a scale used to measure the intensity of anxiety symptoms, was reduced compared to the pre-treatment value. Similarly, a majority of the patients were rated “Moderately Improved” or better following treatment with MN-305. In addition, MN-305 was well tolerated in several clinical trials conducted by Mitsubishi Tanabe Pharma Corporation in healthy volunteers and patients with anxiety disorders and Major Depressive Disorder. These studies did not evaluate the reduction of anxiety symptoms in patients that were not treated with MN-305.</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IND for MN-305 was transferred to us from Mitsubishi Tanabe Pharma Corporation, which enabled us to conduct a Phase 2 randomized, double-blind, placebo-controlled clinical trial in 416 patients with generalized anxiety disorder, which was completed in the second quarter of 2006. The results revealed trends for improvement in all efficacy outcome measures. Statistically significant improvements in the total HAM-A score and in anxious mood, which is item 1 of the HAM-A score and was a secondary endpoint in this clinical trial, were observed through eight weeks of treatment. However, statistical significance on change from baseline of the total HAM-A score after ten weeks of treatment, which was the primary outcome measure of this clinical trial, was not achieved. MN-305 was well tolerated at all doses in this clinical trial, and we believe the findings were sufficiently positive to warrant further clinical evaluation of this product candidate.</w:t>
      </w:r>
    </w:p>
    <w:p>
      <w:pPr>
        <w:spacing w:after="0" w:line="13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analyzed the results from our Phase 2 clinical trial of MN-305 in generalized anxiety disorder and performed in-depth analyses of subgroups that showed statistically significant improvement in certain aspects of the HAM-A score (</w:t>
      </w:r>
      <w:r>
        <w:rPr>
          <w:rFonts w:ascii="Arial" w:cs="Arial" w:eastAsia="Arial" w:hAnsi="Arial"/>
          <w:sz w:val="16"/>
          <w:szCs w:val="16"/>
          <w:i w:val="1"/>
          <w:iCs w:val="1"/>
          <w:color w:val="auto"/>
        </w:rPr>
        <w:t>e.g.</w:t>
      </w:r>
      <w:r>
        <w:rPr>
          <w:rFonts w:ascii="Arial" w:cs="Arial" w:eastAsia="Arial" w:hAnsi="Arial"/>
          <w:sz w:val="16"/>
          <w:szCs w:val="16"/>
          <w:color w:val="auto"/>
        </w:rPr>
        <w:t>, insomnia). Based on these analyses, we initiated a Phase 2 proof-of-concept clinical trial of MN-305 for the treatment of insomnia in the first quarter of 2007 to assess the effects of three dosages of MN-305 (1 mg, 3 mg and 6 mg) and placebo, all administered orally approximately 60 minutes before bedtime. This clinical trial, which involved 74 subjects at ten study centers in the U.S., was completed in the fourth quarter of 2007. This clinical trial failed to achieve statistical significance in its primary endpoint of reducing Wake (time) After Sleep Onset, or WASO. MN-305 was well tolerated in this clinical trial with no clinically significant adverse events observed at any dose tested, and there was no evidence of any decrements in psychomotor performance, as assessed in digit symbol substitution and symbol copying tests, in patients treated with MN-305. Based upon the results of this clinical trial, we decided to terminate the evaluation of MN-305 for the treatment of insomnia.</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Indication Overview and Market Opportunity. </w:t>
      </w:r>
      <w:r>
        <w:rPr>
          <w:rFonts w:ascii="Arial" w:cs="Arial" w:eastAsia="Arial" w:hAnsi="Arial"/>
          <w:sz w:val="18"/>
          <w:szCs w:val="18"/>
          <w:color w:val="auto"/>
        </w:rPr>
        <w:t>Preterm labor is caused by the onset of uterine contractions before term. According to a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publication in Obstetrics &amp; Gynecology, preterm labor is the leading cause of neonatal mortality and a substantial portion of all birth-related short and long-term morbidity. Successful inhibition of premature birth is known to reduce the risk of complications. Despite extensive research into preterm labor during the past several decades, the rate of premature births has not decreased. According to the National Vital Statistics Reports issued by the U.S. Department of Health and Human Services, or DHHS, there were 4.3 million births in the U.S. in 2007. The 2007 preterm birth rate was 12.7 percent. The DHHS estimates that the costs associated with preterm births are over $26 billion annually. According to the World Health Organization, six percent to seven percent of all births in Europe occur before term.</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120" w:firstLine="456"/>
        <w:spacing w:after="0" w:line="232" w:lineRule="auto"/>
        <w:rPr>
          <w:sz w:val="20"/>
          <w:szCs w:val="20"/>
          <w:color w:val="auto"/>
        </w:rPr>
      </w:pPr>
      <w:r>
        <w:rPr>
          <w:rFonts w:ascii="Arial" w:cs="Arial" w:eastAsia="Arial" w:hAnsi="Arial"/>
          <w:sz w:val="18"/>
          <w:szCs w:val="18"/>
          <w:color w:val="auto"/>
        </w:rPr>
        <w:t>Currently, therapy for preterm labor remains targeted at uterine contractions.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agonists are generally used as first-line treatments for premature labor. The only FDA-approved treatment for preterm labor is ritodrine, a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agonist. However, ritodrine has not been available for sale in the U.S. market since 1999. The more widely used treatment for preterm labor is another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agonist, terbutaline; however, this drug is not approved by the FDA for preterm labor. Atosiban, an oxytocin antagonist, is available in Europe, but was denied regulatory approval in the U.S. The usefulness of these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agonists is often limited by the adverse reactions they produce, which include cardiovascular side effects such as heart palpitations. As a result, we believe that there is a need for treatments with better safety and tolerability profiles that are effective in reducing the premature birth rate and/or providing for longer gestation.</w:t>
      </w:r>
    </w:p>
    <w:p>
      <w:pPr>
        <w:spacing w:after="0" w:line="83" w:lineRule="exact"/>
        <w:rPr>
          <w:sz w:val="20"/>
          <w:szCs w:val="20"/>
          <w:color w:val="auto"/>
        </w:rPr>
      </w:pPr>
    </w:p>
    <w:p>
      <w:pPr>
        <w:ind w:firstLine="456"/>
        <w:spacing w:after="0" w:line="252" w:lineRule="auto"/>
        <w:rPr>
          <w:sz w:val="20"/>
          <w:szCs w:val="20"/>
          <w:color w:val="auto"/>
        </w:rPr>
      </w:pPr>
      <w:r>
        <w:rPr>
          <w:rFonts w:ascii="Arial" w:cs="Arial" w:eastAsia="Arial" w:hAnsi="Arial"/>
          <w:sz w:val="16"/>
          <w:szCs w:val="16"/>
          <w:i w:val="1"/>
          <w:iCs w:val="1"/>
          <w:color w:val="auto"/>
        </w:rPr>
        <w:t>Overview of MN-221 for Preterm Labor</w:t>
      </w:r>
      <w:r>
        <w:rPr>
          <w:rFonts w:ascii="Arial" w:cs="Arial" w:eastAsia="Arial" w:hAnsi="Arial"/>
          <w:sz w:val="16"/>
          <w:szCs w:val="16"/>
          <w:color w:val="auto"/>
        </w:rPr>
        <w:t>. MN-221 is highly-selective ß</w:t>
      </w:r>
      <w:r>
        <w:rPr>
          <w:rFonts w:ascii="Arial" w:cs="Arial" w:eastAsia="Arial" w:hAnsi="Arial"/>
          <w:sz w:val="20"/>
          <w:szCs w:val="20"/>
          <w:color w:val="auto"/>
          <w:vertAlign w:val="subscript"/>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-adrenergic receptor agonist being developed for the treatment of preterm labor.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licensed MN-221 from Kissei Pharmaceutical in February 2004. Preclinical testing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showed MN-221 to be more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than 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currently used to treat preterm labor. Moreover,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also suggested that MN-221 may act as only a partial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 agonist in cardiac tissue, while acting as a full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in the uterus. This improved receptor binding and functional selectivity may result in fewer cardiovascular side effects than are commonly observed with 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used to treat this condition. In preclinical pharmacology studies in pregnant rats and sheep conducted by Kissei Pharmaceutical, MN-221 reduced the number of spontaneous or drug-induced uterine contractions. Furthermore, in these studies, MN-221 delayed both normal and preterm labor in rats and caused a marked increase in the bodyweight of rat pups as a result of prevention of premature birth. In rat and sheep studies which compared MN-221 to ritodrine and/or terbutaline, the potency of MN-221 was greater than those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Clinical Results of MN-221 for Preterm Labor. </w:t>
      </w:r>
      <w:r>
        <w:rPr>
          <w:rFonts w:ascii="Arial" w:cs="Arial" w:eastAsia="Arial" w:hAnsi="Arial"/>
          <w:sz w:val="16"/>
          <w:szCs w:val="16"/>
          <w:color w:val="auto"/>
        </w:rPr>
        <w:t>To date, pharmacokinetic and safety data has been generated from human experience with MN-221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Phase 1 clinical studies in healthy male and non-pregnant female volunteers conducted by Kissei Pharmaceutical in Japan and the United Kingdom and a Phase 1 clinical trial in the U.S. conducted by us. A total of 244 healthy subjects received intravenous infusions of either MN-221 or a placebo. MN-221 was generally well tolerated. A pilot double-blind, placebo-controlled Phase 2 clinical trial of MN-221 was completed in 2004 by Kissei Pharmaceutical in seven women in preterm labor in the United Kingdom. A trend towards a reduction in the number of uterine contractions was observed in MN-221-treated women and, as a result, only limited conclusions could be drawn from this clinical trial. No serious adverse events related to MN-221 were observed in this clinical trial.</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initiated a Phase 1 clinical trial in healthy pregnant women in the third quarter of 2006. Ten healthy, pregnant volunteers who were not in labor participated in this clinical trial, which was completed in the second quarter of 2007. The volunteers received a single-dose intravenous infusion regimen of MN-221, consisting of two consecutive rounds of a 15-minute priming and a 105-minute maintenance infusion to deliver 294 micrograms of MN-221 over four hours. The primary objectives of this clinical trial were to determine the pharmacokinetics, safety and tolerability of this infusion regimen of MN-221 in pregnant women. No significant safety concerns with MN-221 were identified in this clinical trial.</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Indication Overview and Market Opportunity. </w:t>
      </w:r>
      <w:r>
        <w:rPr>
          <w:rFonts w:ascii="Arial" w:cs="Arial" w:eastAsia="Arial" w:hAnsi="Arial"/>
          <w:sz w:val="18"/>
          <w:szCs w:val="18"/>
          <w:color w:val="auto"/>
        </w:rPr>
        <w:t>Urinary incontinence occurs when normal regulation of bladder function is lost. According to the DHHS,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over 13 million adults in the U.S. suffering from urinary incontinence.</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According to GlobalData, the global market for urinary incontinence was $2.5 billion in 2009 and is projected to grow to $3.4 billion by 2017. The current marketplace is dominated by anti-cholinergic drugs that are modestly effective and produce treatment-limiting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side effects such as dry mouth. According to Pfizer Inc.’s 2009 annual report, sales of its Detrol</w:t>
      </w:r>
      <w:r>
        <w:rPr>
          <w:rFonts w:ascii="Arial" w:cs="Arial" w:eastAsia="Arial" w:hAnsi="Arial"/>
          <w:sz w:val="11"/>
          <w:szCs w:val="11"/>
          <w:color w:val="auto"/>
        </w:rPr>
        <w:t>®</w:t>
      </w:r>
      <w:r>
        <w:rPr>
          <w:rFonts w:ascii="Arial" w:cs="Arial" w:eastAsia="Arial" w:hAnsi="Arial"/>
          <w:sz w:val="18"/>
          <w:szCs w:val="18"/>
          <w:color w:val="auto"/>
        </w:rPr>
        <w:t xml:space="preserve"> were approximately $1.2 billion in 2009.</w:t>
      </w:r>
    </w:p>
    <w:p>
      <w:pPr>
        <w:spacing w:after="0" w:line="9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Overview of MN-246 for Urinary Incontinence</w:t>
      </w:r>
      <w:r>
        <w:rPr>
          <w:rFonts w:ascii="Arial" w:cs="Arial" w:eastAsia="Arial" w:hAnsi="Arial"/>
          <w:sz w:val="16"/>
          <w:szCs w:val="16"/>
          <w:color w:val="auto"/>
        </w:rPr>
        <w:t>. MN-246 is a novel ß</w:t>
      </w:r>
      <w:r>
        <w:rPr>
          <w:rFonts w:ascii="Arial" w:cs="Arial" w:eastAsia="Arial" w:hAnsi="Arial"/>
          <w:sz w:val="20"/>
          <w:szCs w:val="20"/>
          <w:color w:val="auto"/>
          <w:vertAlign w:val="subscript"/>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-adrenergic receptor agonist being developed for the treatment of urinary</w:t>
      </w:r>
      <w:r>
        <w:rPr>
          <w:rFonts w:ascii="Arial" w:cs="Arial" w:eastAsia="Arial" w:hAnsi="Arial"/>
          <w:sz w:val="16"/>
          <w:szCs w:val="16"/>
          <w:i w:val="1"/>
          <w:iCs w:val="1"/>
          <w:color w:val="auto"/>
        </w:rPr>
        <w:t xml:space="preserve"> </w:t>
      </w:r>
      <w:r>
        <w:rPr>
          <w:rFonts w:ascii="Arial" w:cs="Arial" w:eastAsia="Arial" w:hAnsi="Arial"/>
          <w:sz w:val="16"/>
          <w:szCs w:val="16"/>
          <w:color w:val="auto"/>
        </w:rPr>
        <w:t>incontinence. We licensed MN-246 from Mitsubishi Pharma Corporation, now Mitsubishi Tanabe Pharma Corporation, in December 2004. We believe that MN-246 represents a new approach to treating urinary incontinence and may have advantages over existing therapies, including potential improvements in efficacy through increases in bladder volume with decreases in involuntary bladder contractions and the absence of anti-cholinergic side effects, such as dry mouth. In preclinical studies in rats conducted by Mitsubishi Tanabe Pharma Corporation, MN-246 was more potent and active than oxybutynin and propiverine in increasing bladder volume. In addition, the studies showed that MN-246 produced little or no increase in residual urine volume and no anti-cholinergic side effects in rats. MN-246 also increased bladder volume in preclinical studies conducted on dogs and monkeys.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Clinical Results of MN-246 for Urinary Incontinence</w:t>
      </w:r>
      <w:r>
        <w:rPr>
          <w:rFonts w:ascii="Arial" w:cs="Arial" w:eastAsia="Arial" w:hAnsi="Arial"/>
          <w:sz w:val="18"/>
          <w:szCs w:val="18"/>
          <w:color w:val="auto"/>
        </w:rPr>
        <w:t>. We completed a double-blind, randomized, placebo-controlled, single escalating dose Phase 1</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of MN-246 for the treatment of urinary incontinence in healthy volunteers to evaluate the safety, tolerability and pharmacokinetics of MN-246 in the fourth quarter of 2006. We also conducted a Phase 1 food effects study in healthy volunteers, which was completed in the first quarter of 2007. MN-246 was tolerated in both clinical trials.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Despite advances in the treatment of cardiovascular disease, or CVD, more than 616,000 people died of</w:t>
      </w:r>
      <w:r>
        <w:rPr>
          <w:rFonts w:ascii="Arial" w:cs="Arial" w:eastAsia="Arial" w:hAnsi="Arial"/>
          <w:sz w:val="18"/>
          <w:szCs w:val="18"/>
          <w:i w:val="1"/>
          <w:iCs w:val="1"/>
          <w:color w:val="auto"/>
        </w:rPr>
        <w:t xml:space="preserve"> </w:t>
      </w:r>
      <w:r>
        <w:rPr>
          <w:rFonts w:ascii="Arial" w:cs="Arial" w:eastAsia="Arial" w:hAnsi="Arial"/>
          <w:sz w:val="18"/>
          <w:szCs w:val="18"/>
          <w:color w:val="auto"/>
        </w:rPr>
        <w:t>heart disease in 2007, according to the CDC’s National Vital Statistics Reports. Heart disease causes approximately 25% of deaths in the U.S. According to the American Heart Association, there are 80 million individuals in the U.S. that currently live with some form of CVD, which can include high blood pressure, coronary heart disease, stroke, angina (chest pain), myocardial infarction (heart attack) and congenital heart defects. According to Datamonitor, worldwide sales of antithrombotic drugs are forecasted to reach approximately $22 billion in 2017. We believe that there remains an unmet medical need for safe and effective treatments for thrombotic conditions, including acute coronary syndrome, myocardial infarction, peripheral arterial disease and percutaneous coronary interventions.</w:t>
      </w:r>
    </w:p>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CDC, CVD remains the leading cause of death in the U.S. for both men and women. Given the high mortality and morbidity rates associated with CVD. We believe there is an urgent need for more targeted therapies that can intervene in known molecular pathways and minimize damage to the heart and related tissues.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Overview of MN-447 and MN-462 for Thrombotic Disorders</w:t>
      </w:r>
      <w:r>
        <w:rPr>
          <w:rFonts w:ascii="Arial" w:cs="Arial" w:eastAsia="Arial" w:hAnsi="Arial"/>
          <w:sz w:val="18"/>
          <w:szCs w:val="18"/>
          <w:color w:val="auto"/>
        </w:rPr>
        <w:t>. MN-447 and MN-462 are novel, small molecule antithrombic agents being developed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thrombotic disorders. We licensed MN-447 and MN-462 from Meiji Seika Kaisha in November 2006.</w:t>
      </w:r>
    </w:p>
    <w:p>
      <w:pPr>
        <w:spacing w:after="0" w:line="55" w:lineRule="exact"/>
        <w:rPr>
          <w:sz w:val="20"/>
          <w:szCs w:val="20"/>
          <w:color w:val="auto"/>
        </w:rPr>
      </w:pPr>
    </w:p>
    <w:p>
      <w:pPr>
        <w:ind w:right="20" w:firstLine="456"/>
        <w:spacing w:after="0" w:line="280" w:lineRule="auto"/>
        <w:rPr>
          <w:sz w:val="20"/>
          <w:szCs w:val="20"/>
          <w:color w:val="auto"/>
        </w:rPr>
      </w:pPr>
      <w:r>
        <w:rPr>
          <w:rFonts w:ascii="Arial" w:cs="Arial" w:eastAsia="Arial" w:hAnsi="Arial"/>
          <w:sz w:val="16"/>
          <w:szCs w:val="16"/>
          <w:color w:val="auto"/>
        </w:rPr>
        <w:t>MN-447 is a cardioprotective, anti-platelet agent that acts as a dual antagonist of glycoprotein, or GP, IIbIIIa and integrin alpha-v-beta-3, or a</w:t>
      </w:r>
      <w:r>
        <w:rPr>
          <w:rFonts w:ascii="Arial" w:cs="Arial" w:eastAsia="Arial" w:hAnsi="Arial"/>
          <w:sz w:val="20"/>
          <w:szCs w:val="20"/>
          <w:color w:val="auto"/>
          <w:vertAlign w:val="subscript"/>
        </w:rPr>
        <w:t>v</w:t>
      </w:r>
      <w:r>
        <w:rPr>
          <w:rFonts w:ascii="Arial" w:cs="Arial" w:eastAsia="Arial" w:hAnsi="Arial"/>
          <w:sz w:val="16"/>
          <w:szCs w:val="16"/>
          <w:color w:val="auto"/>
        </w:rPr>
        <w:t xml:space="preserve"> 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 receptors that play key roles in blood clot formation and various cell behaviors and functions such as leukocyte adhesion. Preclinical studies have demonstrated that MN-447 acts downstream by inhibiting the final common pathway of platelet aggregation—the cross-linking of platelets via fibrinogen bridges to GP IIbIIIa receptors. Inhibition of integrin a</w:t>
      </w:r>
      <w:r>
        <w:rPr>
          <w:rFonts w:ascii="Arial" w:cs="Arial" w:eastAsia="Arial" w:hAnsi="Arial"/>
          <w:sz w:val="20"/>
          <w:szCs w:val="20"/>
          <w:color w:val="auto"/>
          <w:vertAlign w:val="subscript"/>
        </w:rPr>
        <w:t>v</w:t>
      </w:r>
      <w:r>
        <w:rPr>
          <w:rFonts w:ascii="Arial" w:cs="Arial" w:eastAsia="Arial" w:hAnsi="Arial"/>
          <w:sz w:val="16"/>
          <w:szCs w:val="16"/>
          <w:color w:val="auto"/>
        </w:rPr>
        <w:t xml:space="preserve"> 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receptors has been linked to an inhibition of leukocyte adhesion to endothelium (the layer of cells lining blood vessels), 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MN-462 is a selective inhibitor of a key enzyme in the intrinsic antifibrinolytic mechanism, plasma carboxypeptidase B, or CPB, and also called activated thrombin-activatable fibrinolysis inhibitor, or TAFIa,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inhibits physiological fibrinolysis, or the lysis or dissolving of blood clots. By enhancing intrinsic fibrinolysis through plasma CPB inhibition, MN-462 has the potential to reduce and prevent thrombus or blood clot formation, as well as dissolve formed thrombus. In preclinical studies, MN-462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was also observed to result in a low risk of bleeding.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currently have no marketing and sales capabilities and we expect to rely on a strategic partner to complete late stage product development and successfully commercialize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terms of our license agreement with Kissei Pharmaceutical for MN-221, Kissei Pharmaceutical has the exclusive right to manufacture the commercial supply of the API for MN-221. If we enter into a supply agreement with Kissei Pharmaceutical, we will purchase from Kissei Pharmaceutical all API that we require for the commercial supply of MN-221, if such product candidate is approved for commercial sale by the FDA or other regulatory authorities. In September 2011, we entered into a letter agreement with Kissei pursuant to which among, other provisions, we agreed upon a new price for clinical supplies of API.</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2009, we entered into an agreement with Hospira Worldwide, Inc., or Hospira, for the completion of pre-commercialization manufacturing development activities and the manufacture of commercial supplies of finished product for MN-221 utilizing Hospira’s proprietary ADD-Vantage drug delivery system, if such product candidate is approved for commercial sale by the FDA or other regulatory authorities. Pursuant to the terms of the agreement with Hospira, Hospira will receive development fees from us upon completion of specified development activities, which we will expense as the costs are incurred. We are also obligated under the agreement to purchase a minimum number of units each year following regulatory approval, which number will be based on our forecasts submitted to Hospira on a rolling basis. In addition to the agreement with Hospira, we anticipate entering into a commercial supply agreement with a contract manufacturer for finished product of MN-221 in standard vials. However, at present, we do not have any agreement established regarding the commercial supply of MN-221 in standard vials or for the API or finished product of any of our product candidates.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ibudilast development program, we have sourced and imported delayed-release ibudilast capsules, marketed in Japan as Pinatos</w:t>
      </w:r>
      <w:r>
        <w:rPr>
          <w:rFonts w:ascii="Arial" w:cs="Arial" w:eastAsia="Arial" w:hAnsi="Arial"/>
          <w:sz w:val="11"/>
          <w:szCs w:val="11"/>
          <w:color w:val="auto"/>
        </w:rPr>
        <w:t>R</w:t>
      </w:r>
      <w:r>
        <w:rPr>
          <w:rFonts w:ascii="Arial" w:cs="Arial" w:eastAsia="Arial" w:hAnsi="Arial"/>
          <w:sz w:val="18"/>
          <w:szCs w:val="18"/>
          <w:color w:val="auto"/>
        </w:rPr>
        <w:t>, from Taisho-Teva Pharmaceuticals. We are not currently developing our own formulation and will determine our long-term drug supply strategy in tandem with significant development progress in our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64"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Since our inception in September 2000, we have entered into eight license agreements with pharmaceutical companies which cover our current product candidates. We have also entered into license agreements with universities, including the University of Colorado and the University of Adelaide, which cover additional intellectual property related to our product candidates. In general, we seek to procure patent protection for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anticipated products, or obtain such protection from the relevant patents owned by our licensors. To date, we have obtained licensed rights under 14 issued U.S. patents. We also have obtained licensed rights to 170 issued and pending foreign patents and applications corresponding to these U.S. patents and patent applications. In addition to these licensed rights, we hold 13 issued U.S. patents and have filed 15 additional U.S. patent applications. We also hold 59 issued and pending foreign patents and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and patent applications in foreign countries and is sub-licensable upon receipt of the written consent of Kissei Pharmaceutical. The U.S. patent for MN-221 has composition of matter and method of use claims. The U.S. composition of matter patent underlying the license issued on October 17, 2000 and is set to expire no earlier than February 18, 2017. Corresponding composition of matter patents in various other countries are set to expire no earlier than February 18, 2017. In addition to the licensed patents, we have filed patent applications in the U.S. and certain foreign countries regarding additional uses and formulations of MN-221.</w:t>
      </w:r>
    </w:p>
    <w:p>
      <w:pPr>
        <w:spacing w:after="0" w:line="1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Pharmaceutical during the development phase and 180 days’ prior written notice to Kissei Pharmaceutical during the commercialization phase.</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license agreement, we have paid Kissei Pharmaceutical $1.0 million to date, and are obligated to make payments of up to $17.0 million based on the achievement of certain clinical and regulatory milestones. We are also obligated to pay a royalty on net sales of the licensed products. Under the terms of the letter agreement we entered into with Kissei in September 2011, we agree to renegotiate in good faith with Kissei the existing levels of the milestone payment amounts and royalty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October 22, 2004, we entered into an exclusive license agreement with Kyorin Pharmaceutical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in MS underlying the license is set to expire on August 10, 2018. Corresponding method of use patents in certain foreign countries are set to expire on August 10, 2018. Under the terms of the agreement, we granted to Kyorin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700"/>
        <w:spacing w:after="0" w:line="370" w:lineRule="auto"/>
        <w:rPr>
          <w:sz w:val="20"/>
          <w:szCs w:val="20"/>
          <w:color w:val="auto"/>
        </w:rPr>
      </w:pPr>
      <w:r>
        <w:rPr>
          <w:rFonts w:ascii="Arial" w:cs="Arial" w:eastAsia="Arial" w:hAnsi="Arial"/>
          <w:sz w:val="15"/>
          <w:szCs w:val="15"/>
          <w:color w:val="auto"/>
        </w:rPr>
        <w:t>Pharmaceutical an exclusive, royalty-free, sub-licensable license to use the preclinical, clinical and regulatory databases to develop ophthalmic products incorporating the MN-166 compound anywhere in the world and non-ophthalmic products incorporating the MN-166 compound outside of our territory.</w:t>
      </w:r>
    </w:p>
    <w:p>
      <w:pPr>
        <w:spacing w:after="0" w:line="4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MN-166 infringes upon such third party’s intellectual property rights, with 30 days’ written notice.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own, co-own or hold licenses to five issued U.S. patents and nine pending U.S. patent applications as well as corresponding pending foreign patent applications. These patents and patent applications are primarily related to our development portfolio of small molecule-based products and are currently directed to methods of treating various indications using ibudilast and analogs.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received a Notice of Allowance from the U.S. Patent and Trademark Office for a pending patent application which covers the use of ibudilast (MN-166) for the treatment of progressive forms of multiple sclerosis. A patent maturing from this allowed patent application is expected to expire no earlier than early 2029 and covers a method of treating primary progressive multiple sclerosis (PPMS) or secondary progressive MS (SPMS) by administering ibudilast either alone or in combination with other drugs. We are pursuing counterparts of this patent application in certain foreign jurisdictions. We have received an additional Notice of Allowance for a pending patent application which covers the use of ibudilast (MN-166) for the treatment of neuropathic pain in Japan.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March 14, 2002, we entered into an exclusive license agreement with Kyorin Pharmaceutical for the development and commercialization of MN-001. We obtained an exclusive, worldwide (excluding Japan, China, South Korea and Taiwan) sub-licensable license to the patent rights and know-how related to MN-001 and its active metabolite, MN-002, disclosed and included in, or covered by, these patents, in all indications, except for ophthalmic solution formulations. This license includes an exclusive, sub-licensable license under one U.S. patent and certain corresponding patents and patent applications in foreign countries. The U.S. composition of matter patent for MN-001 underlying the license expired on February 23, 2009, and the U.S. composition of matter patent for MN-002 underlying the license expired on December 30, 2011. Foreign composition of matter patents for MN-001 and MN-002 have also expired. We intend to rely upon the applicable period of post-approval exclusivity, in addition to any patents that may issue from our own patent applications. Under the terms of the agreement, we granted to Kyorin Pharmaceutical an exclusive, royalty-free, sub-licensable license to use the preclinical, clinical and regulatory databases to develop ophthalmic products incorporating the MN-001 compound anywhere in the world and non-ophthalmic products incorporating the MN-001 compound outside of our territory.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filed and the U.S. Patent and Trademark Office issued eight U.S. patents covering certain compositions, uses and manufacturing processes associated with MN-001 and its metabolite, MN-002. Patent applications corresponding to these U.S. patents were filed in certain foreign countries and some of the foreign patents have issued.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June 19, 2002, we entered into an exclusive license agreement with Angiogene Pharmaceuticals for the development and commercialization of the ANG-600 series of compounds. Angiogene Pharmaceuticals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-four U.S. patents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 Pharmaceuticals.</w:t>
      </w:r>
    </w:p>
    <w:p>
      <w:pPr>
        <w:spacing w:after="0" w:line="118" w:lineRule="exact"/>
        <w:rPr>
          <w:sz w:val="20"/>
          <w:szCs w:val="20"/>
          <w:color w:val="auto"/>
        </w:rPr>
      </w:pPr>
    </w:p>
    <w:p>
      <w:pPr>
        <w:ind w:right="1160" w:firstLine="456"/>
        <w:spacing w:after="0" w:line="37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Pharmaceuticals patent (or equivalent) under license which has a valid claim to expire or 15 years from the date of first commercial sale.</w:t>
      </w:r>
    </w:p>
    <w:p>
      <w:pPr>
        <w:spacing w:after="0" w:line="4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Under the license agreement, we have paid Angiogene Pharmaceuticals $1.4 million to date and are obligated to make payments of up to $16.5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April 27, 2004, we entered into an exclusive license agreement with Mitsubishi Pharma Corporation, the predecessor to Mitsubishi Tanabe Pharma Corporation, for the development and commercialization of MN-305.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Mitsubishi Tanabe Pharma Corporation is a fully integrated Japanese pharmaceutical company and is listed on the First Section of the Tokyo Stock Exchange. We obtained an exclusive, worldwide (excluding Japan, Singapore, Brunei, Thailand, Malaysia, Indonesia, the Philippines, Vietnam, Bangladesh, Pakistan, South Korea, China and Taiwan), sub-licensable license to the patent rights and know-how related to MN-305 and its active metabolite disclosed and included or covered by these patents for all indications. The license is sub-licensable upon receipt of the written consent of Mitsubishi Tanabe Pharma Corporation. This license includes an exclusive, sub-licensable license under five U.S. patents and certain corresponding patents and patent applications in foreign countries. The U.S. composition of matter patent for MN-305, which issued on December 1, 1992, expired on March 14, 2011. Patent applications corresponding to this U.S. patent were filed in certain foreign countries, and these foreign counterparts expired on or before March 14, 2011. The U.S. patent covering the use of MN-305 to treat anxiety, which issued on August 10, 1993, expired on March 14, 2011.</w:t>
      </w:r>
    </w:p>
    <w:p>
      <w:pPr>
        <w:spacing w:after="0" w:line="10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sub-licensable 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and includes an exclusive license under one U.S. patent and certain corresponding patents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counterparts have been patented in other countries and are also set to expire no earlier than October 24, 2016.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3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MN-447. 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for MN-447 (and any other compound claimed or covered by U.S. patent 6,420,558) for any human use. This license includes an exclusive sub-licensable license under one U.S. patent and certain corresponding patents in foreign countries. The U.S. patent covering MN-447 and methods of treating an integrin avß3-mediated disease, platelet thrombosis, aggregation and related disorders, which issued on July 16, 2002, is set to expire on April 9, 2019. Patent applications corresponding to this U.S. patent were granted in certain foreign countries. Under the terms of the license, we granted a license to Meiji Seika Kaisha to use our know-how and patents relating to MN-447 to develop products incorporating the MN-447 compound outside of our territory.</w:t>
      </w:r>
    </w:p>
    <w:p>
      <w:pPr>
        <w:spacing w:after="0" w:line="1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w:t>
      </w:r>
    </w:p>
    <w:p>
      <w:pPr>
        <w:spacing w:after="0"/>
        <w:rPr>
          <w:sz w:val="20"/>
          <w:szCs w:val="20"/>
          <w:color w:val="auto"/>
        </w:rPr>
      </w:pPr>
      <w:r>
        <w:rPr>
          <w:rFonts w:ascii="Arial" w:cs="Arial" w:eastAsia="Arial" w:hAnsi="Arial"/>
          <w:sz w:val="18"/>
          <w:szCs w:val="18"/>
          <w:color w:val="auto"/>
        </w:rPr>
        <w:t>or, if a valid claim expired more than 15 years from the date of first commercial sale, 15 years from the date of first commercial sale.</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MN-462. We obtained an exclusive, worldwide (excluding Japan, Bangladesh, Brunei, Cambodia, People’s Republic of China, Indonesia, Laos, Malaysia, Myanmar, the Philippines, Singapore, South Korea, Taiwan, Thailand and Vietnam), sub-licensable license from Meiji Seika Kaisha for MN-462 (and any other compound claimed or covered by U.S. patent 6,576,627) for any human use. This license includes an exclusive sub-licensable license under certain corresponding patents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granted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MN-462 does not justify continued development. Meiji Seika Kaisha also has the right to terminate the agreement in the event that we cease development of MN-462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and the method of using MN-166 to treat neuropathic pain, but we do not have any composition of matter patent claims for MN-166. As a result, unrelated third parties may develop products with the same API as MN-166 so long as such parties do not infringe our method of use patent, other patents we have exclusive rights to through our licensor or any patents we may obtain for MN-166.</w:t>
      </w:r>
    </w:p>
    <w:p>
      <w:pPr>
        <w:spacing w:after="0" w:line="13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addition, if we develop certain products that are not covered by any patents, we will be dependent on obtaining market exclusivity under the data exclusivity provisions of Hatch-Waxman Act for such products. If we are unable to obtain strong proprietary rights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5"/>
          <w:szCs w:val="15"/>
          <w:color w:val="auto"/>
        </w:rPr>
        <w:t>Our MN-221 product candidate is being developed for the treatment of acute exacerbations of asthma in the emergency room setting. The current standard of care for acute exacerbations of asthma is inhaled albuterol (a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 -adrenergic receptor agonist), inhaled ipratropium (an anticholinergic) and oral or injected corticosteroids. In addition, subcutaneously administered terbutaline (a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 -adrenergic receptor agonist) is sometimes used to treat this condition, particularly in pediatric patients. Certain oral anti-inflammatory asthma drugs are being investigated in an intravenous form for the treatment of acute exacerbations of asthma.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MN-221 product candidate is also being developed for the treatment of COPD exacerbations. The standard of care for COPD exacerbations is similar to that of acute exacerbations of asthma in that inhaled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bronchodilators and anticholinergics are administered; however, antibiotics are also administered and parenteral terbutaline is excluded because of the exclusively adult patient population. A greater percentage of patients diagnosed with COPD exacerbations are hospitalized than patients diagnosed with asthma exacerbations, and such patients continue the same treatment paradigm as in the emergency department.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Our MN-166 product candidate is pending development for the treatment of progressive MS. Only one drug, mitoxantrone, is approved for treating this disease. </w:t>
      </w:r>
      <w:r>
        <w:rPr>
          <w:rFonts w:ascii="Arial" w:cs="Arial" w:eastAsia="Arial" w:hAnsi="Arial"/>
          <w:sz w:val="18"/>
          <w:szCs w:val="18"/>
          <w:i w:val="1"/>
          <w:iCs w:val="1"/>
          <w:color w:val="auto"/>
        </w:rPr>
        <w:t>MN-166 for Other Central Nervous System Disorders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MN-166 product candidate has been in development for treatment of neuropathic pain and opioid withdrawal and methamphetamine addiction. Current treatments for neuropathic pain include anti-epileptics such as Pfizer Inc.’s Neurontin</w:t>
      </w:r>
      <w:r>
        <w:rPr>
          <w:rFonts w:ascii="Arial" w:cs="Arial" w:eastAsia="Arial" w:hAnsi="Arial"/>
          <w:sz w:val="11"/>
          <w:szCs w:val="11"/>
          <w:color w:val="auto"/>
        </w:rPr>
        <w:t>®</w:t>
      </w:r>
      <w:r>
        <w:rPr>
          <w:rFonts w:ascii="Arial" w:cs="Arial" w:eastAsia="Arial" w:hAnsi="Arial"/>
          <w:sz w:val="18"/>
          <w:szCs w:val="18"/>
          <w:color w:val="auto"/>
        </w:rPr>
        <w:t xml:space="preserve"> (gabapentin) and Lyrica</w:t>
      </w:r>
      <w:r>
        <w:rPr>
          <w:rFonts w:ascii="Arial" w:cs="Arial" w:eastAsia="Arial" w:hAnsi="Arial"/>
          <w:sz w:val="11"/>
          <w:szCs w:val="11"/>
          <w:color w:val="auto"/>
        </w:rPr>
        <w:t>®</w:t>
      </w:r>
      <w:r>
        <w:rPr>
          <w:rFonts w:ascii="Arial" w:cs="Arial" w:eastAsia="Arial" w:hAnsi="Arial"/>
          <w:sz w:val="18"/>
          <w:szCs w:val="18"/>
          <w:color w:val="auto"/>
        </w:rPr>
        <w:t xml:space="preserve"> (pregabalin), and antidepressants, including Eli Lilly &amp; Co.’s Cymbalta</w:t>
      </w:r>
      <w:r>
        <w:rPr>
          <w:rFonts w:ascii="Arial" w:cs="Arial" w:eastAsia="Arial" w:hAnsi="Arial"/>
          <w:sz w:val="11"/>
          <w:szCs w:val="11"/>
          <w:color w:val="auto"/>
        </w:rPr>
        <w:t>®</w:t>
      </w:r>
      <w:r>
        <w:rPr>
          <w:rFonts w:ascii="Arial" w:cs="Arial" w:eastAsia="Arial" w:hAnsi="Arial"/>
          <w:sz w:val="18"/>
          <w:szCs w:val="18"/>
          <w:color w:val="auto"/>
        </w:rPr>
        <w:t xml:space="preserve"> (duloxetine). We are aware of additional compounds for chronic neuropathic pain that are currently in development at numerous companies including GlaxoSmithKline plc, Pfizer Inc., Cognetix, Inc., GW Pharmaceuticals plc, Endo Pharmaceuticals Holdings Inc., Avanir Pharmaceuticals, Pain Therapeutics, Inc., and XenoPort, Inc.</w:t>
      </w:r>
    </w:p>
    <w:p>
      <w:pPr>
        <w:spacing w:after="0" w:line="129"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Current treatments for withdrawal symptoms include narcotics such as generic methadone and Reckitt Benckiser Pharmaceuticals, Inc.’s Suboxone</w:t>
      </w:r>
      <w:r>
        <w:rPr>
          <w:rFonts w:ascii="Arial" w:cs="Arial" w:eastAsia="Arial" w:hAnsi="Arial"/>
          <w:sz w:val="10"/>
          <w:szCs w:val="10"/>
          <w:color w:val="auto"/>
        </w:rPr>
        <w:t>®</w:t>
      </w:r>
      <w:r>
        <w:rPr>
          <w:rFonts w:ascii="Arial" w:cs="Arial" w:eastAsia="Arial" w:hAnsi="Arial"/>
          <w:sz w:val="16"/>
          <w:szCs w:val="16"/>
          <w:color w:val="auto"/>
        </w:rPr>
        <w:t xml:space="preserve"> (buprenorphine) and Subutex</w:t>
      </w:r>
      <w:r>
        <w:rPr>
          <w:rFonts w:ascii="Arial" w:cs="Arial" w:eastAsia="Arial" w:hAnsi="Arial"/>
          <w:sz w:val="10"/>
          <w:szCs w:val="10"/>
          <w:color w:val="auto"/>
        </w:rPr>
        <w:t>®</w:t>
      </w:r>
      <w:r>
        <w:rPr>
          <w:rFonts w:ascii="Arial" w:cs="Arial" w:eastAsia="Arial" w:hAnsi="Arial"/>
          <w:sz w:val="16"/>
          <w:szCs w:val="16"/>
          <w:color w:val="auto"/>
        </w:rPr>
        <w:t xml:space="preserve"> (buprenorphine + the narcotic antagonist naloxone). Limited non-narcotic drug candidates for withdrawal symptoms exist. Britannia Pharmaceuticals Limited’s BritLofex</w:t>
      </w:r>
      <w:r>
        <w:rPr>
          <w:rFonts w:ascii="Arial" w:cs="Arial" w:eastAsia="Arial" w:hAnsi="Arial"/>
          <w:sz w:val="10"/>
          <w:szCs w:val="10"/>
          <w:color w:val="auto"/>
        </w:rPr>
        <w:t>®</w:t>
      </w:r>
      <w:r>
        <w:rPr>
          <w:rFonts w:ascii="Arial" w:cs="Arial" w:eastAsia="Arial" w:hAnsi="Arial"/>
          <w:sz w:val="16"/>
          <w:szCs w:val="16"/>
          <w:color w:val="auto"/>
        </w:rPr>
        <w:t xml:space="preserve"> (Lofexidine), licensed for development in U.S. clinical trials to US WorldMeds LLC, is an alpha adrenoceptor agonist like clonidine which may have somewhat less orthostatic hypotension limitations. Vigabatrin (Sabril</w:t>
      </w:r>
      <w:r>
        <w:rPr>
          <w:rFonts w:ascii="Arial" w:cs="Arial" w:eastAsia="Arial" w:hAnsi="Arial"/>
          <w:sz w:val="10"/>
          <w:szCs w:val="10"/>
          <w:color w:val="auto"/>
        </w:rPr>
        <w:t>®</w:t>
      </w:r>
      <w:r>
        <w:rPr>
          <w:rFonts w:ascii="Arial" w:cs="Arial" w:eastAsia="Arial" w:hAnsi="Arial"/>
          <w:sz w:val="16"/>
          <w:szCs w:val="16"/>
          <w:color w:val="auto"/>
        </w:rPr>
        <w:t>), a re-directed anti-epileptic drug, is in Phase 2 development for cocaine and methamphetamine dependence by Catalyst Pharmaceutical Partners.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Bronchial Asthma</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MN-001 product candidate has been in development for the treatment of bronchial asthma. There are two currently marketed leukotriene inhibitors, Merck &amp; Co. Inc.’s Singulair</w:t>
      </w:r>
      <w:r>
        <w:rPr>
          <w:rFonts w:ascii="Arial" w:cs="Arial" w:eastAsia="Arial" w:hAnsi="Arial"/>
          <w:sz w:val="11"/>
          <w:szCs w:val="11"/>
          <w:color w:val="auto"/>
        </w:rPr>
        <w:t>®</w:t>
      </w:r>
      <w:r>
        <w:rPr>
          <w:rFonts w:ascii="Arial" w:cs="Arial" w:eastAsia="Arial" w:hAnsi="Arial"/>
          <w:sz w:val="18"/>
          <w:szCs w:val="18"/>
          <w:color w:val="auto"/>
        </w:rPr>
        <w:t xml:space="preserve"> (montelukast) and AstraZeneca PLC’s Accolate</w:t>
      </w:r>
      <w:r>
        <w:rPr>
          <w:rFonts w:ascii="Arial" w:cs="Arial" w:eastAsia="Arial" w:hAnsi="Arial"/>
          <w:sz w:val="11"/>
          <w:szCs w:val="11"/>
          <w:color w:val="auto"/>
        </w:rPr>
        <w:t>®</w:t>
      </w:r>
      <w:r>
        <w:rPr>
          <w:rFonts w:ascii="Arial" w:cs="Arial" w:eastAsia="Arial" w:hAnsi="Arial"/>
          <w:sz w:val="18"/>
          <w:szCs w:val="18"/>
          <w:color w:val="auto"/>
        </w:rPr>
        <w:t xml:space="preserve"> (zafirlukast).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MN-001 product candidate has been in development for the treatment of IC. There are two currently marketed products, Ortho-McNeil-Janssen Pharmaceuticals, Inc.’s/Teva Pharmaceuticals Industries Ltd.’s Elmiron</w:t>
      </w:r>
      <w:r>
        <w:rPr>
          <w:rFonts w:ascii="Arial" w:cs="Arial" w:eastAsia="Arial" w:hAnsi="Arial"/>
          <w:sz w:val="11"/>
          <w:szCs w:val="11"/>
          <w:color w:val="auto"/>
        </w:rPr>
        <w:t>®</w:t>
      </w:r>
      <w:r>
        <w:rPr>
          <w:rFonts w:ascii="Arial" w:cs="Arial" w:eastAsia="Arial" w:hAnsi="Arial"/>
          <w:sz w:val="18"/>
          <w:szCs w:val="18"/>
          <w:color w:val="auto"/>
        </w:rPr>
        <w:t xml:space="preserve"> and Bioniche Pharma USA LLC’s RIMSO-50</w:t>
      </w:r>
      <w:r>
        <w:rPr>
          <w:rFonts w:ascii="Arial" w:cs="Arial" w:eastAsia="Arial" w:hAnsi="Arial"/>
          <w:sz w:val="11"/>
          <w:szCs w:val="11"/>
          <w:color w:val="auto"/>
        </w:rPr>
        <w:t>®</w:t>
      </w:r>
      <w:r>
        <w:rPr>
          <w:rFonts w:ascii="Arial" w:cs="Arial" w:eastAsia="Arial" w:hAnsi="Arial"/>
          <w:sz w:val="18"/>
          <w:szCs w:val="18"/>
          <w:color w:val="auto"/>
        </w:rPr>
        <w:t>. Urigen Pharmaceuticals, Inc.’s URG101 for the treatment of painful bladder syndrome/interstitial cystitis is in Phase 2 clinical testing.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MN-029 product candidate has been in development for the treatment of solid tumors. There are a number of compounds in clinical development with a mechanism similar to MN-029, including Oxigene Inc.’s ZYBRESTAT™ (fosbretabulin) and Sanofi-Aventis’ AVE 8062 (ombrabulin), which are in Phase 3 clinical testing.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 Anxiety Disorder</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MN-305 product candidate has been in development for the treatment of General Anxiety Disorder. There are a number of approved products to treat generalized anxiety disorder, including Eli Lilly and Company’s Cymbalta</w:t>
      </w:r>
      <w:r>
        <w:rPr>
          <w:rFonts w:ascii="Arial" w:cs="Arial" w:eastAsia="Arial" w:hAnsi="Arial"/>
          <w:sz w:val="11"/>
          <w:szCs w:val="11"/>
          <w:color w:val="auto"/>
        </w:rPr>
        <w:t>®</w:t>
      </w:r>
      <w:r>
        <w:rPr>
          <w:rFonts w:ascii="Arial" w:cs="Arial" w:eastAsia="Arial" w:hAnsi="Arial"/>
          <w:sz w:val="18"/>
          <w:szCs w:val="18"/>
          <w:color w:val="auto"/>
        </w:rPr>
        <w:t xml:space="preserve"> (duloxetine).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MN-221 product candidate has been in development for the treatment of preterm labor. An oxytocin antagonist on the market is Tractocile (atosiban).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GlaxoSmithKline’s retosiban is an oxytocin antagonist in Phase 2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120" w:firstLine="456"/>
        <w:spacing w:after="0" w:line="243" w:lineRule="auto"/>
        <w:rPr>
          <w:sz w:val="20"/>
          <w:szCs w:val="20"/>
          <w:color w:val="auto"/>
        </w:rPr>
      </w:pPr>
      <w:r>
        <w:rPr>
          <w:rFonts w:ascii="Arial" w:cs="Arial" w:eastAsia="Arial" w:hAnsi="Arial"/>
          <w:sz w:val="18"/>
          <w:szCs w:val="18"/>
          <w:color w:val="auto"/>
        </w:rPr>
        <w:t>Our MN-246 product candidate has been in development for the treatment of urinary incontinence. There are a number of compounds in various stages of clinical development to treat urinary incontinence. Pfizer Inc.’s Detrol/Detrol LA</w:t>
      </w:r>
      <w:r>
        <w:rPr>
          <w:rFonts w:ascii="Arial" w:cs="Arial" w:eastAsia="Arial" w:hAnsi="Arial"/>
          <w:sz w:val="11"/>
          <w:szCs w:val="11"/>
          <w:color w:val="auto"/>
        </w:rPr>
        <w:t>®</w:t>
      </w:r>
      <w:r>
        <w:rPr>
          <w:rFonts w:ascii="Arial" w:cs="Arial" w:eastAsia="Arial" w:hAnsi="Arial"/>
          <w:sz w:val="18"/>
          <w:szCs w:val="18"/>
          <w:color w:val="auto"/>
        </w:rPr>
        <w:t xml:space="preserve"> (tolterodine tartrate) is a market leader, and other marketed drugs include Astellas Pharma Inc.’s VESIcare</w:t>
      </w:r>
      <w:r>
        <w:rPr>
          <w:rFonts w:ascii="Arial" w:cs="Arial" w:eastAsia="Arial" w:hAnsi="Arial"/>
          <w:sz w:val="11"/>
          <w:szCs w:val="11"/>
          <w:color w:val="auto"/>
        </w:rPr>
        <w:t>®</w:t>
      </w:r>
      <w:r>
        <w:rPr>
          <w:rFonts w:ascii="Arial" w:cs="Arial" w:eastAsia="Arial" w:hAnsi="Arial"/>
          <w:sz w:val="18"/>
          <w:szCs w:val="18"/>
          <w:color w:val="auto"/>
        </w:rPr>
        <w:t xml:space="preserve"> (solifenacin succinate) and Novartis AG’s Enablex</w:t>
      </w:r>
      <w:r>
        <w:rPr>
          <w:rFonts w:ascii="Arial" w:cs="Arial" w:eastAsia="Arial" w:hAnsi="Arial"/>
          <w:sz w:val="11"/>
          <w:szCs w:val="11"/>
          <w:color w:val="auto"/>
        </w:rPr>
        <w:t>®</w:t>
      </w:r>
      <w:r>
        <w:rPr>
          <w:rFonts w:ascii="Arial" w:cs="Arial" w:eastAsia="Arial" w:hAnsi="Arial"/>
          <w:sz w:val="18"/>
          <w:szCs w:val="18"/>
          <w:color w:val="auto"/>
        </w:rPr>
        <w:t xml:space="preserve"> (darifenacin), both of which are anti-cholinergic agents. Ono Pharmaceutical Co., Ltd. and Kyorin Pharmaceutical have received approval for Staybla</w:t>
      </w:r>
      <w:r>
        <w:rPr>
          <w:rFonts w:ascii="Arial" w:cs="Arial" w:eastAsia="Arial" w:hAnsi="Arial"/>
          <w:sz w:val="11"/>
          <w:szCs w:val="11"/>
          <w:color w:val="auto"/>
        </w:rPr>
        <w:t>®</w:t>
      </w:r>
      <w:r>
        <w:rPr>
          <w:rFonts w:ascii="Arial" w:cs="Arial" w:eastAsia="Arial" w:hAnsi="Arial"/>
          <w:sz w:val="18"/>
          <w:szCs w:val="18"/>
          <w:color w:val="auto"/>
        </w:rPr>
        <w:t xml:space="preserve"> (muscarinic antagonist). Pfizer Inc.’s Toviaz</w:t>
      </w:r>
      <w:r>
        <w:rPr>
          <w:rFonts w:ascii="Arial" w:cs="Arial" w:eastAsia="Arial" w:hAnsi="Arial"/>
          <w:sz w:val="11"/>
          <w:szCs w:val="11"/>
          <w:color w:val="auto"/>
        </w:rPr>
        <w:t>®</w:t>
      </w:r>
      <w:r>
        <w:rPr>
          <w:rFonts w:ascii="Arial" w:cs="Arial" w:eastAsia="Arial" w:hAnsi="Arial"/>
          <w:sz w:val="18"/>
          <w:szCs w:val="18"/>
          <w:color w:val="auto"/>
        </w:rPr>
        <w:t xml:space="preserve"> (fesoterodine fumarate), another muscarinic antagonist, has also been approved. Astellas Pharma Inc. also has a ß</w:t>
      </w:r>
      <w:r>
        <w:rPr>
          <w:rFonts w:ascii="Arial" w:cs="Arial" w:eastAsia="Arial" w:hAnsi="Arial"/>
          <w:sz w:val="22"/>
          <w:szCs w:val="22"/>
          <w:color w:val="auto"/>
          <w:vertAlign w:val="subscript"/>
        </w:rPr>
        <w:t>3</w:t>
      </w:r>
      <w:r>
        <w:rPr>
          <w:rFonts w:ascii="Arial" w:cs="Arial" w:eastAsia="Arial" w:hAnsi="Arial"/>
          <w:sz w:val="18"/>
          <w:szCs w:val="18"/>
          <w:color w:val="auto"/>
        </w:rPr>
        <w:t xml:space="preserve"> -adrenergic receptor agonist in development for the treatment of this indication (mirabegron).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MN-447 and MN-462 product candidates have been in development for the treatment of thrombotic disorders. Both product candidates are currently in preclinical development; therefore, we have not identified the particular thrombotic disorders that we intend to target upon reaching the clinical development stage for these product candidates. Consequently, we cannot accurately evaluate the competition we will face. Currently, the market leaders for anti-thrombotic drugs are Bristol-Myers Squibb Company’s and Sanofi-Aventis’ Plavix</w:t>
      </w:r>
      <w:r>
        <w:rPr>
          <w:rFonts w:ascii="Arial" w:cs="Arial" w:eastAsia="Arial" w:hAnsi="Arial"/>
          <w:sz w:val="10"/>
          <w:szCs w:val="10"/>
          <w:color w:val="auto"/>
        </w:rPr>
        <w:t>®</w:t>
      </w:r>
      <w:r>
        <w:rPr>
          <w:rFonts w:ascii="Arial" w:cs="Arial" w:eastAsia="Arial" w:hAnsi="Arial"/>
          <w:sz w:val="16"/>
          <w:szCs w:val="16"/>
          <w:color w:val="auto"/>
        </w:rPr>
        <w:t xml:space="preserve"> (clopidogrel) and Sanofi-Aventis’ Lovenox</w:t>
      </w:r>
      <w:r>
        <w:rPr>
          <w:rFonts w:ascii="Arial" w:cs="Arial" w:eastAsia="Arial" w:hAnsi="Arial"/>
          <w:sz w:val="10"/>
          <w:szCs w:val="10"/>
          <w:color w:val="auto"/>
        </w:rPr>
        <w:t>®</w:t>
      </w:r>
      <w:r>
        <w:rPr>
          <w:rFonts w:ascii="Arial" w:cs="Arial" w:eastAsia="Arial" w:hAnsi="Arial"/>
          <w:sz w:val="16"/>
          <w:szCs w:val="16"/>
          <w:color w:val="auto"/>
        </w:rPr>
        <w:t xml:space="preserve"> (enoxaparin).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Government authorities in the U.S. and other countries extensively regulate the research, development, testing, manufacture, labeling, promotion, advertising, distribution, sampling, marketing and import and export 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U.S., drugs and drug testing are regulated by the FDA under the Federal Food, Drug and Cosmetic Act, as well as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02"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of an Investigational New Drug Application, or IND, which must become effective before human clinical trials may begin in the 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NDA accompanied by a substantial user fee;</w:t>
      </w:r>
    </w:p>
    <w:p>
      <w:pPr>
        <w:spacing w:after="0" w:line="103" w:lineRule="exact"/>
        <w:rPr>
          <w:rFonts w:ascii="Arial" w:cs="Arial" w:eastAsia="Arial" w:hAnsi="Arial"/>
          <w:sz w:val="18"/>
          <w:szCs w:val="18"/>
          <w:color w:val="auto"/>
        </w:rPr>
      </w:pPr>
    </w:p>
    <w:p>
      <w:pPr>
        <w:ind w:left="780" w:right="320" w:hanging="326"/>
        <w:spacing w:after="0" w:line="325"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development of manufacturing processes which conform to FDA-mandated commercial good manufacturing practices, or cGMPs, and satisfactory completion of FDA inspections to assess cGMP compliance and clinical investigator compliance with good clinical practices; and</w:t>
      </w:r>
    </w:p>
    <w:p>
      <w:pPr>
        <w:spacing w:after="0" w:line="1"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such approvals. The FDA may not act quickly or favorably in reviewing our applications, and we may encounter significant difficulties and costs in our efforts to obtain FDA approvals that could delay or preclude us from marketing our products.</w:t>
      </w:r>
    </w:p>
    <w:p>
      <w:pPr>
        <w:spacing w:after="0" w:line="13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 after its</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7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1: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2: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3: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cannot be certain that we will successfully complete Phase 1, 2 or 3 testing of our drug candidates within any specific time period, if at all. Clinical trials must be conducted in accordance with the FDA’s good clinical practices requirements. The FDA may order the partial, temporary or permanent discontinuation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w:t>
      </w:r>
    </w:p>
    <w:p>
      <w:pPr>
        <w:spacing w:after="0" w:line="127"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 xml:space="preserve">The NDA Process. </w:t>
      </w:r>
      <w:r>
        <w:rPr>
          <w:rFonts w:ascii="Arial" w:cs="Arial" w:eastAsia="Arial" w:hAnsi="Arial"/>
          <w:sz w:val="15"/>
          <w:szCs w:val="15"/>
          <w:color w:val="auto"/>
        </w:rPr>
        <w:t>If clinical trials are successful, the next step in the drug regulatory approval process is the preparation and submission to the FDA of a</w:t>
      </w:r>
      <w:r>
        <w:rPr>
          <w:rFonts w:ascii="Arial" w:cs="Arial" w:eastAsia="Arial" w:hAnsi="Arial"/>
          <w:sz w:val="15"/>
          <w:szCs w:val="15"/>
          <w:i w:val="1"/>
          <w:iCs w:val="1"/>
          <w:color w:val="auto"/>
        </w:rPr>
        <w:t xml:space="preserve"> </w:t>
      </w:r>
      <w:r>
        <w:rPr>
          <w:rFonts w:ascii="Arial" w:cs="Arial" w:eastAsia="Arial" w:hAnsi="Arial"/>
          <w:sz w:val="15"/>
          <w:szCs w:val="15"/>
          <w:color w:val="auto"/>
        </w:rPr>
        <w:t>NDA. The NDA is the vehicle through which drug sponsors formally propose that the FDA approve a new pharmaceutical product for marketing and sale in the U.S. The NDA must contain a description of the manufacturing process and quality control methods, as well as results of preclinical tests, toxicology studies, clinical trials and proposed labeling, among other things. A substantial user fee must also be paid with the submission of the NDA, unless an exemption applies.</w:t>
      </w:r>
    </w:p>
    <w:p>
      <w:pPr>
        <w:spacing w:after="0" w:line="8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Upon submission of the NDA, the FDA will make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Among the conditions for a NDA approval is the requirement that the prospective manufacturer’s quality control and manufacturing procedures conform on an ongoing basis with cGMPs.</w:t>
      </w:r>
    </w:p>
    <w:p>
      <w:pPr>
        <w:spacing w:after="0" w:line="99"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If the FDA’s evaluations of the NDA and the clinical and manufacturing procedures and facilities cGMPs are favorable, the FDA may issue either an approval letter or a complete response letter, which contains guidance on the conditions that must be met in order to secure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4 clinical trials, or restrictive product labeling, or may impose other restrictions on marketing or distribution, such as the adoption of a Risk Evaluation and Mitigation Strategy, or REMS. The FDA may deny or delay approval of applications that do not meet applicable regulatory criteria or if the FDA determines that the clinical data do not adequately establish the safety and efficacy of the drug.</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 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FDA restrictions on marketing of pharmaceutical products, several other state and federal laws have been applied to restrict certain sales and marketing practices in the pharmaceutical industry in recent years. These laws include licensing requirements, compliance program requirements, annual certificates and disclosures, anti-kickback statutes and false claims statutes. The federal Anti-Kickback Statute, prohibits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have a false claim paid. Several pharmaceutical and other health care companies have been prosecuted under these laws for allegedly promoting their products for off-label uses, which in turn led to claims being submitted to and paid by the Medicare and Medicaid programs. The majority of states also have statutes or regulations similar to the Anti-Kickback Statue and false claims laws, which apply to items and services reimbursed under Medicaid and other state programs, or, in several states, apply regardless of the payor.</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In addition, regulatory approval of prices is required in most countries other than the U.S. We face the risk that the resulting prices would be insufficient to generate an acceptable return to us or our collaborators.</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have assembled an experienced and cohesive management and support team, with core competencies in general management, clinical development, regulatory affairs and corporate development. As of March 27, 2012, we had 14 full-time employees, following a reduction in force which took place in January 2011, wherein we down-sized the company to save costs. We believe that our relations with our employees are good, and we have no history of work stoppages.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Kissei. In accordance with the joint venture agreement, on March 16, 2012, we paid $650,000 for our 30% interest in the joint venture company. The other parties to the joint venture agreement are responsible for providing their initial funding in the joint venture company for their combined 70% interest, and for future funding for the joint venture company’s activities.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4350 La Jolla Village Drive, Suite 950, San Diego, CA 92122. Our telephone number is (858) 373 – 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year ended December 31, 2011, we had a net loss of approximately $17.7 million and our accumulated deficit was approximately $285.3 million. If we are successful in securing a strategic collaboration or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9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believe our existing cash and cash equivalents at December 31, 2011 will be sufficient to fund our operating requirements for at least the next 12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requirements assumptions may prove to be wrong. Our future cash requirements will also depend on many factors, including:</w:t>
      </w:r>
    </w:p>
    <w:p>
      <w:pPr>
        <w:spacing w:after="0" w:line="15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on our existing cash resources, we expect our research and development expenses to decline relative to 2011 as we completed the enrollment of our Phase 2 clinical trial of MN-221 for the treatment of acute exacerbations of asthma, as announced on March 21, 2012. If we are able to raise additional capital and/or enter into one or more strategic alliances, then we expect our research and development expenses to increase in connection with clinical trials primarily related to MN-221 for the treatment of acute exacerbations of asthma and COPD exacerbations, and any other development activities that we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Our estimate of cash requirements for future operating expenses assumes that we do not commence a Phase 3 clinical trial for MN-221 and that we do not fund any further significant clinical development of MN-166 unless we are able to raise additional capital and/or enter into one or more strategic alliances. We do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have consumed substantial amounts of capital since our inception. From our inception to December 31, 2011, we had an accumulated deficit of approximately $285.3 million. Our cash and cash equivalents were approximately $15.1 million at December 31, 2011.</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business will continue to require us to incur substantial research and development expenses and we do not expect to be able to fund these expenses solely from upfront cash or milestones from collaborations or strategic alliances. As such we may be required to raise capital from one or more sources in the near term to continue our operations at or close to the levels currently conducted. We believe that without raising additional capital from accessible sources of financings, we will not otherwise have adequate funding to complete the development of MN-221 including pivotal clinical trials or the commercialization of any products we successfully develop. There is no guarantee that adequate funds will be available when needed from debt or equity financing, arrangements with partners, or from other sources, or on terms attractive to us. The inability to obtain sufficient additional funds when needed to fund our operations would require us to significantly delay, scale back, or eliminate some or all of our clinical or regulatory activities, further reduce general and administrative expenses and have a substantial negative effect on our results of operations and financial condition.</w:t>
      </w:r>
    </w:p>
    <w:p>
      <w:pPr>
        <w:spacing w:after="0" w:line="10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1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our clinical trials’ failure to demonstrate to the FDA’s satisfaction that these product candidates are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 in a timely manner would have a material and adverse impact on our business and our stock price.</w:t>
      </w:r>
    </w:p>
    <w:p>
      <w:pPr>
        <w:spacing w:after="0" w:line="1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depend on the joint venture company formed in China in 2011 to develop and commercialize MN-221 in China and there is no assurance that the joint venture will be able to successful in doing so.</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We have invested $650,000 for 30% interest in the joint venture company. A sublicense under which the joint venture company will license MN-221 from us will be required, which sublicense will require the consent of Kissei. We have no assurances that the joint venture company will be successful in its efforts to conduct clinical trials necessary to gain regulatory approval in China, will be able to successfully manufacture drug candidates for the Chinese market or will receive the future funding it will require to conduct operations.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 or that we will someday recover our investment in the joint venture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2 clinical trial of MN-166 for the treatment of MS in the second quarter of 2008 and the acquisition of Avigen in December 2009, we have not undertaken, nor do we plan to undertake, any further significant clinical development of MN-166 until such time that we secure a strategic collaboration to advance the combined clinical development of MN-166 ibudilast-based development program. We cannot assure you that we will be able to secure such a strategic collaboration or otherwise further advance, or recognize value from, a combined MN-166 clinical development program.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2 clinical trial for MN-221 in Canada, Australia and New Zealand. Through the acquisition of Avigen, we have assumed responsibility for clinical trials including one active IND for neuropathic pain and cross-reference and drug product support of the NIDA-funded opioid withdrawal investigator-initiated IND with Columbia University drug addiction clinical researchers. In the third quarter of 2010, the FDA approved a NIDA-funded investigator-initiated IND with University of California Los Angeles to proceed with an initial trial of our neurological drug candidate, ibudilast (MN-166), as a potential new pharmacotherapy for methamphetamine addiction. The study will be led by established clinical research investigators in the treatment of drug addiction.</w:t>
      </w:r>
    </w:p>
    <w:p>
      <w:pPr>
        <w:spacing w:after="0" w:line="11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2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5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10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If we fail to obtain and maintain approval from regulatory authorities in international markets for any of our current or future product candidates for which we have rights in international markets, our market opportunities will be limited and our business will be adversely impacted.</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Sales of our product candidates outside of the U.S. will be subject to foreign regulatory requirements governing clinical trials and marketing approval. Even if the FDA grants marketing approval for a product candidate, comparable regulatory authorities of foreign countries must also approve the manufacturing and marketing of our product candidates in those countries. Approval procedures vary among jurisdictions and can involve requirements and administrative review periods different from, and greater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is also subject to approval. Obtaining foreign regulatory approvals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may not ultimately approve our proposed trade names for our product candidates.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trade names that we intend to use for our product candidates must be approved by the FDA irrespective of whether we have secured a formal trademark registration from the U.S. Patent and Trademark Office, or PTO. The FDA conducts a rigorous review of proposed product names and may reject a proposed product name for a variety of reasons, including if it believes that the name inappropriately implies medical claims or if it poses the potential for confusion with other product names. In addition, if the FDA determines that the trade names of other product candidates that are approved prior to the approval of our product candidates may present a risk of confusion with any of our proposed trade names, the FDA may not ultimately approve those proposed trade names. If the FDA does not approve any of our proposed product names prior to their applicable NDA approval dates, we may be required to launch commercial sales of such products without brand names, and our efforts to build successful brand identities for, and commercialize, such products may consequently be adversely impacted.</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that we develop may cause undesirable side effects or have other properties that could delay or prevent regulatory approval or commercialization.</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Undesirable side effects caused by any product candidate that we develop could result in the denial of regulatory approval by the FDA or other regulatory authorities for any or all targeted indications, or cause us to evaluate the future of our development programs. In addition, the FDA or other regulatory authorities may require, or we may undertake, additional clinical trials to support the safety profile of our product candidates.</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if any product candidate that we may develop that receives marketing approval and we or others later identify undesirable side effects caused by the product, or there is a perception that the product is associated with undesirable side effects:</w:t>
      </w:r>
    </w:p>
    <w:p>
      <w:pPr>
        <w:spacing w:after="0" w:line="118"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 and</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of these events occurred with respect to our product candidates, our ability to generate significant revenues from the sale of these products would be significantly harmed.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time, or whether our additional planned and ongoing clinical trials for our product candidates will be completed on schedule, if at all.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right="80" w:hanging="326"/>
        <w:spacing w:after="0" w:line="30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03"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9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similar competition in our efforts to identify appropriate collaborators or partners to help develop or commercialize our product candidates.</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2 clinical trial for MN-166 for the treatment of MS in the second quarter of 2008 and the acquisition of Avigen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for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that may impede our ability to operate our business. Any debt financing or additional equity that we raise may contain terms that are not favorable to us or our stockholders.</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entered into an agreement with Hospira Worldwide, Inc. for the development and supply of finished product of MN-221 for the treatment of acute exacerbations of asthma and COPD that we intend to use in clinical trials and the commercial market if MN-221 receives regulatory approval. We do not have agreements established regarding commercial supply of finished product of MN-221 in standard vials or for the active pharmaceutical ingredient, or API, or finished product for any of our product candidates. Pursuant to our license agreement with Kissei Pharmaceutical Co., Ltd., we will negotiate with them a commercial supply agreement on commercially reasonable terms,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1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To date, our product candidates have been manufactured in small quantities for preclinical studies and clinical trials. If any of our product candidates is approved by the FDA or comparable regulatory authorities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payors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payors, including government payors, are instituting could have a material adverse effect on our ability to operate profitably.</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Internationally, the success of our product candidates, if approved, will depend largely on obtaining and maintaining government reimbursement, because in many European countries patients are unlikely to use prescription drugs that are not reimbursed by their governments. Negotiating prices with governmental authorities can delay commercialization by 12 months or more. Reimbursement policies may adversely affect our ability to sell our product candidates, if approved, on a profitable basis. In many international markets, governments control the prices of prescription pharmaceuticals, including through the implementation of reference pricing, price cuts, rebates, revenue-related taxes and profit control, and expect prices of prescription pharmaceuticals to decline over the life of the product or as volumes increase. Recently, many countries in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European Union have increased the amount of discounts required on pharmaceutical products, which may impact the reimbursement rates and timing to launch product candidates. Such pricing practices may affect our ability to achieve profitability or expected rates of growth in revenue or results of operations, which in turn could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4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by (i) consent of the parties, (ii) cause or other material breach of the agreement, (iii) death or permanent disability or (iv) three months’ written notice. Following termination of employment, these individuals may engage in other businesses that may compete with 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 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0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successfully commercialize our product candidates.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payors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President signed into law the Patient Protection and Affordable Care Act, which imposes numerous provisions over a four-year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begun to assess the impact of this Act, but, at this early stage the likely impact cannot be ascertained with any degree of certainty.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8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93"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14 full-time employees as of the date of this report, following a reduction in force which took place in January 2011, wherein we down-sized the company to save costs.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10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37"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Our listing obligations under the Jasdaq Market (formerly the Hercules 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2011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0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2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780" w:right="8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and foreign government tariffs, trade restrictions, price and exchange controls and other regulatory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natural disasters, war, events of terrorism or political instability in particular foreign countries;</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method of use patents for MN-166.</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72"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45"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spacing w:after="0" w:line="303" w:lineRule="auto"/>
        <w:rPr>
          <w:sz w:val="20"/>
          <w:szCs w:val="20"/>
          <w:color w:val="auto"/>
        </w:rPr>
      </w:pPr>
      <w:r>
        <w:rPr>
          <w:rFonts w:ascii="Arial" w:cs="Arial" w:eastAsia="Arial" w:hAnsi="Arial"/>
          <w:sz w:val="15"/>
          <w:szCs w:val="15"/>
          <w:color w:val="auto"/>
        </w:rPr>
        <w:t>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w:t>
      </w:r>
    </w:p>
    <w:p>
      <w:pPr>
        <w:spacing w:after="0" w:line="1"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Enforcing a claim that a party illegally obtained and is using our trade secrets or 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10" w:lineRule="exact"/>
        <w:rPr>
          <w:sz w:val="20"/>
          <w:szCs w:val="20"/>
          <w:color w:val="auto"/>
        </w:rPr>
      </w:pPr>
    </w:p>
    <w:p>
      <w:pPr>
        <w:ind w:left="7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December 2011, our average trading volume was approximately 7,000 shares per day on the Nasdaq Global Market and approximately 10,000 shares per day on the Jasdaq Market.</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2011,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5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U.S. and in foreign countries.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lease approximately 5,089 square feet of office space at our headquarters in San Diego, California under a lease that expires in May 2012. On</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March 19, 2012, we entered into a sixth amendment of our lease agreement of our headquarters which extends the lease term through February, 2013.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 In addition to our headquarters, we also lease approximately 1,726 square feet of office space in Tokyo, Japan under a lease that expires in May 2013.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our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We have engaged legal counsel in this matter. Based on our current assessment, we do not expect its outcome to have a material adverse effect on our business, financial condition and results of operations.</w:t>
      </w:r>
    </w:p>
    <w:p>
      <w:pPr>
        <w:spacing w:after="0" w:line="10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may become involved from time to time in various disputes and legal proceedings which arise in the ordinary course of business. Litigation and governmental investigations can be expensive and disruptive to normal business operations. While it is difficult to accurately predict the outcome of these matters, significant judgments or settlements in connection with legal proceedings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Jasdaq Market under the symbol “4875” and on the Nasdaq Global Market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60" w:type="dxa"/>
            <w:vAlign w:val="bottom"/>
            <w:gridSpan w:val="2"/>
          </w:tcPr>
          <w:p>
            <w:pPr>
              <w:ind w:left="440"/>
              <w:spacing w:after="0"/>
              <w:rPr>
                <w:sz w:val="20"/>
                <w:szCs w:val="20"/>
                <w:color w:val="auto"/>
              </w:rPr>
            </w:pPr>
            <w:r>
              <w:rPr>
                <w:rFonts w:ascii="Arial" w:cs="Arial" w:eastAsia="Arial" w:hAnsi="Arial"/>
                <w:sz w:val="18"/>
                <w:szCs w:val="18"/>
                <w:color w:val="auto"/>
                <w:w w:val="91"/>
              </w:rPr>
              <w:t>The following table sets forth the high and low sale prices per share of our common stock as reported on the Nasdaq Global Market.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40" w:type="dxa"/>
            <w:vAlign w:val="bottom"/>
            <w:gridSpan w:val="4"/>
          </w:tcPr>
          <w:p>
            <w:pPr>
              <w:ind w:left="28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rPr>
              <w:t>Stock Price</w:t>
            </w:r>
          </w:p>
        </w:tc>
        <w:tc>
          <w:tcPr>
            <w:tcW w:w="0" w:type="dxa"/>
            <w:vAlign w:val="bottom"/>
          </w:tcPr>
          <w:p>
            <w:pPr>
              <w:spacing w:after="0"/>
              <w:rPr>
                <w:sz w:val="1"/>
                <w:szCs w:val="1"/>
                <w:color w:val="auto"/>
              </w:rPr>
            </w:pPr>
          </w:p>
        </w:tc>
      </w:tr>
      <w:tr>
        <w:trPr>
          <w:trHeight w:val="212"/>
        </w:trPr>
        <w:tc>
          <w:tcPr>
            <w:tcW w:w="10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2010</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High</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$9.00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$7.51</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$6.40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$5.95</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2011</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$5.90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$2.72</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$3.08</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$2.44</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filing there were approximately 7,000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23, 2011, we consummated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approximately $7.7 million, after underwriter discount and underwriter expenses and no warrants exercised. We are using and intend to continue to use the net proceeds to fund development work for MN-221 and for other research and development on MN-166. We may also use a portion of the net proceeds to acquire or invest in complementary businesses, technologies, product candidates or other intellectual property, although we have no present commitments or agreements to do 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February 8, 2005, which is the date our common stock first began trading on the Hercules Market of the Osaka Securities Exchange, to two indices: the Hercules Total Index and the Hercules Standard Index., through December 31, 2009. The graph assumes an initial investment of $100 on February 8, 2005,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124460</wp:posOffset>
            </wp:positionV>
            <wp:extent cx="5196840" cy="3319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968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2/8/2005</w:t>
            </w:r>
          </w:p>
        </w:tc>
        <w:tc>
          <w:tcPr>
            <w:tcW w:w="6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12/30/2005</w:t>
            </w:r>
          </w:p>
        </w:tc>
        <w:tc>
          <w:tcPr>
            <w:tcW w:w="6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12/29/2006</w:t>
            </w: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w w:val="86"/>
              </w:rPr>
              <w:t>12/28/2007</w:t>
            </w:r>
          </w:p>
        </w:tc>
        <w:tc>
          <w:tcPr>
            <w:tcW w:w="320" w:type="dxa"/>
            <w:vAlign w:val="bottom"/>
          </w:tcPr>
          <w:p>
            <w:pPr>
              <w:spacing w:after="0"/>
              <w:rPr>
                <w:sz w:val="19"/>
                <w:szCs w:val="19"/>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b w:val="1"/>
                <w:bCs w:val="1"/>
                <w:color w:val="auto"/>
                <w:w w:val="86"/>
              </w:rPr>
              <w:t>12/30/2008</w:t>
            </w:r>
          </w:p>
        </w:tc>
        <w:tc>
          <w:tcPr>
            <w:tcW w:w="6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12/30/2009</w:t>
            </w:r>
          </w:p>
        </w:tc>
        <w:tc>
          <w:tcPr>
            <w:tcW w:w="100" w:type="dxa"/>
            <w:vAlign w:val="bottom"/>
          </w:tcPr>
          <w:p>
            <w:pPr>
              <w:spacing w:after="0"/>
              <w:rPr>
                <w:sz w:val="19"/>
                <w:szCs w:val="19"/>
                <w:color w:val="auto"/>
              </w:rPr>
            </w:pPr>
          </w:p>
        </w:tc>
      </w:tr>
      <w:tr>
        <w:trPr>
          <w:trHeight w:val="212"/>
        </w:trPr>
        <w:tc>
          <w:tcPr>
            <w:tcW w:w="26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78"/>
              </w:rPr>
              <w:t>14</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Hercules Total Index</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60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48</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59</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Due to the closure of the Hercules Market of the Osaka Securities Exchange and the inability to retrieve our stock’s performance from the Hercules Market in 2010, the following graph illustrates a comparison of the total cumulative stockholder return on our common stock since March 31, 2010, to the Jasdaq Market (total index). The graph assumes an initial investment of $100 on March 31, 2010,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124460</wp:posOffset>
            </wp:positionV>
            <wp:extent cx="5196840" cy="3310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968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3/31/2010</w:t>
            </w: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6/30/2010</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9/30/2010</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12/30/2010</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3/31/2011</w:t>
            </w:r>
          </w:p>
        </w:tc>
        <w:tc>
          <w:tcPr>
            <w:tcW w:w="3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6/30/2011</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9/30/2011</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12/30/2011</w:t>
            </w:r>
          </w:p>
        </w:tc>
        <w:tc>
          <w:tcPr>
            <w:tcW w:w="100" w:type="dxa"/>
            <w:vAlign w:val="bottom"/>
          </w:tcPr>
          <w:p>
            <w:pPr>
              <w:spacing w:after="0"/>
              <w:rPr>
                <w:sz w:val="19"/>
                <w:szCs w:val="19"/>
                <w:color w:val="auto"/>
              </w:rPr>
            </w:pPr>
          </w:p>
        </w:tc>
      </w:tr>
      <w:tr>
        <w:trPr>
          <w:trHeight w:val="212"/>
        </w:trPr>
        <w:tc>
          <w:tcPr>
            <w:tcW w:w="20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Jasdaq Total Index</w:t>
            </w:r>
          </w:p>
        </w:tc>
        <w:tc>
          <w:tcPr>
            <w:tcW w:w="10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5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9"/>
                <w:szCs w:val="19"/>
                <w:color w:val="auto"/>
              </w:rPr>
            </w:pP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50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7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420" w:hanging="212"/>
        <w:spacing w:after="0" w:line="268"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December 7, 2006 which is the date our common stock first began trading on the Nasdaq Global Market, to two indices: the NASDAQ Composite Index and the NASDAQ Biotechnology Index. The graph assumes an initial investment of $100 on December 7, 2006,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26175" cy="3387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617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right="420" w:hanging="212"/>
        <w:spacing w:after="0" w:line="268"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12/7/2006</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12/31/2007</w:t>
            </w: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12/31/2008</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12/31/2010</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12/30/2011</w:t>
            </w:r>
          </w:p>
        </w:tc>
        <w:tc>
          <w:tcPr>
            <w:tcW w:w="100" w:type="dxa"/>
            <w:vAlign w:val="bottom"/>
          </w:tcPr>
          <w:p>
            <w:pPr>
              <w:spacing w:after="0"/>
              <w:rPr>
                <w:sz w:val="19"/>
                <w:szCs w:val="19"/>
                <w:color w:val="auto"/>
              </w:rPr>
            </w:pPr>
          </w:p>
        </w:tc>
      </w:tr>
      <w:tr>
        <w:trPr>
          <w:trHeight w:val="212"/>
        </w:trPr>
        <w:tc>
          <w:tcPr>
            <w:tcW w:w="44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363"/>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83"/>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8"/>
            <w:vMerge w:val="restart"/>
          </w:tcPr>
          <w:p>
            <w:pPr>
              <w:jc w:val="right"/>
              <w:ind w:right="60"/>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2000 (inception)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3"/>
              </w:rPr>
              <w:t>to 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11,373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22,601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53,494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268,823</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(16,108)</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(21,239)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(22,601)</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(53,494)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(267,265)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charge)/gain, net 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and ARS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(253,910)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Accretion to redemption value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7"/>
              </w:rPr>
              <w:t>redeemable convertible preferred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resulting from</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beneficial conversion on Series 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redeemable convertible preferred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15"/>
        </w:trPr>
        <w:tc>
          <w:tcPr>
            <w:tcW w:w="2820" w:type="dxa"/>
            <w:vAlign w:val="bottom"/>
            <w:gridSpan w:val="2"/>
          </w:tcPr>
          <w:p>
            <w:pPr>
              <w:spacing w:after="0"/>
              <w:rPr>
                <w:sz w:val="20"/>
                <w:szCs w:val="20"/>
                <w:color w:val="auto"/>
              </w:rPr>
            </w:pPr>
            <w:r>
              <w:rPr>
                <w:rFonts w:ascii="Arial" w:cs="Arial" w:eastAsia="Arial" w:hAnsi="Arial"/>
                <w:sz w:val="18"/>
                <w:szCs w:val="18"/>
                <w:color w:val="auto"/>
              </w:rPr>
              <w:t>Net loss applicable to common</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(20,187)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(21,925)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(48,903)</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(285,273)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loss per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diluted net loss 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14,813,156</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12,410,576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12,105,835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12,072,027</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11,752,139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0"/>
              </w:rPr>
              <w:t>As of December 31,</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4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6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cash equivalents and current investment securities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15,093</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28,252</w:t>
            </w:r>
          </w:p>
        </w:tc>
        <w:tc>
          <w:tcPr>
            <w:tcW w:w="14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  43,497</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  19,297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70,635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ARS put—current</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Restricted cash, investment and letter of credit- current</w:t>
            </w:r>
          </w:p>
        </w:tc>
        <w:tc>
          <w:tcPr>
            <w:tcW w:w="6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24,500</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17,836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65,938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Restricted cash, investment and letter of credit- long-term</w:t>
            </w:r>
          </w:p>
        </w:tc>
        <w:tc>
          <w:tcPr>
            <w:tcW w:w="6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31,223</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Investment-long-term</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2,085</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24,047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ARS put—long-term</w:t>
            </w:r>
          </w:p>
        </w:tc>
        <w:tc>
          <w:tcPr>
            <w:tcW w:w="6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5,793</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30,787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72,934</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94,327</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50,224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73,752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ARS loan payable</w:t>
            </w:r>
          </w:p>
        </w:tc>
        <w:tc>
          <w:tcPr>
            <w:tcW w:w="6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17,605</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29,258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(285,272)</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(267,538)</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(247,351)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(226,982)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(205,057)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40,013</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48,045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66,608</w:t>
            </w:r>
          </w:p>
        </w:tc>
      </w:tr>
      <w:tr>
        <w:trPr>
          <w:trHeight w:val="363"/>
        </w:trPr>
        <w:tc>
          <w:tcPr>
            <w:tcW w:w="4700" w:type="dxa"/>
            <w:vAlign w:val="bottom"/>
          </w:tcPr>
          <w:p>
            <w:pPr>
              <w:spacing w:after="0"/>
              <w:rPr>
                <w:sz w:val="24"/>
                <w:szCs w:val="24"/>
                <w:color w:val="auto"/>
              </w:rPr>
            </w:pP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 We were incorporated in Delaware in September 2000.</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incurred significant net losses since our inception. At December 31, 2011, from inception, our accumulated deficit was approximately $285.3 million, including approximately $49.7 million of non-cash stock-based compensation charges related to employee stock-based compensation and founders’ warrants. We expect to incur substantial net losses for the next several years as we continue to develop certain of our existing product development programs, primarily MN-221 for the treatment of acute exacerbations of asthma and COPD exacerbations, and over the long-term if we are successful in expanding our research and development programs and acquiring or in-licensing products, technologies or businesses that are complementary to our own. While there can be no assurances, we believe our working capital at December 31, 2011 to be sufficient to fund our operating requirements for at least through December 31, 2012.</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acquired licenses to eight compounds for the development of ten product candidates, which include clinical development for the treatment of acute exacerbations of asthma, MS, bronchial asthma, IC, solid tumor cancers, generalized anxiety disorders/insomnia, preterm labor and urinary incontinence. Two of such compounds have been in preclinical development for the treatment of thrombotic disorders. In addition, we have expanded our development program for MN-221 for the treatment of COPD exacerbations.</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Kissei. In accordance with the joint venture agreement, on March 16, 2012, we paid $650,000 for our 30% interest in the joint venture company. The other parties to the joint venture agreement are responsible for providing their initial funding in the joint venture company for their combined 70% interest, and for future funding for the joint venture company’s activities which will include managing and operating a facility to manufacture drug candidates for the Chinese market, promoting, distributing and selling drug candidates in the Chinese market and conducting clinical trials necessary to gain regulatory approval in China. The joint venture company will initially conduct these activities with respect to MN-221, however other drug candidates may be brought within the scope of the joint venture company if the parties to the agreement unanimously agree.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 At December 31, 2011, we reflect a long-term asset on our consolidated balance sheet which represents our investment and a corresponding current liability which represents our required capital contribution payable to the joint venture company. We evaluated the joint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venture company under the authoritative guidance and concluded that it is a variable interest entity for which we are not the primary beneficiary as we will not have a majority of the board seats and we will not have any power to direct or significantly influence the actions of the entity. We will therefore not consolidate the joint venture company into our financial results but will account for the activities of the joint venture company under the equity method whereby we will absorb any loss or income generated by the entity according to our percentage ownership.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158"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w:t>
      </w:r>
    </w:p>
    <w:p>
      <w:pPr>
        <w:spacing w:after="0" w:line="38" w:lineRule="exact"/>
        <w:rPr>
          <w:rFonts w:ascii="Arial" w:cs="Arial" w:eastAsia="Arial" w:hAnsi="Arial"/>
          <w:sz w:val="16"/>
          <w:szCs w:val="16"/>
          <w:color w:val="auto"/>
        </w:rPr>
      </w:pPr>
    </w:p>
    <w:p>
      <w:pPr>
        <w:ind w:left="780"/>
        <w:spacing w:after="0" w:line="252" w:lineRule="auto"/>
        <w:rPr>
          <w:rFonts w:ascii="Arial" w:cs="Arial" w:eastAsia="Arial" w:hAnsi="Arial"/>
          <w:sz w:val="16"/>
          <w:szCs w:val="16"/>
          <w:color w:val="auto"/>
        </w:rPr>
      </w:pPr>
      <w:r>
        <w:rPr>
          <w:rFonts w:ascii="Arial" w:cs="Arial" w:eastAsia="Arial" w:hAnsi="Arial"/>
          <w:sz w:val="18"/>
          <w:szCs w:val="18"/>
          <w:color w:val="auto"/>
        </w:rPr>
        <w:t>007) in the first quarter of 2009 to evaluate the safety and efficacy of MN-221 in patients with acute exacerbations of asthma treated in the emergency room. This trial completed enrollment in March 2012. Depending on the results of our Phase 2 clinical trial (MN-221-CL-007) and our ability to raise additional capital and/or to enter into a collaboration with a leading pharmaceutical or biotech company, we intend to define a Phase 3 trial and other development plans for MN-221 for the treatment of acute exacerbations of asthma and conduct one or more Phase 3 trials. COPD development, which included a Phase 1b clinical trial in patients with stable, moderate to severe COPD, was completed in 2010. In the first quarter of 2012 we initiated an additional Phase 1b/2a COPD clinical trial that has commenced enrollment and has an anticipated trial completion around the end of the second quarter of 2012.</w:t>
      </w:r>
    </w:p>
    <w:p>
      <w:pPr>
        <w:spacing w:after="0" w:line="52" w:lineRule="exact"/>
        <w:rPr>
          <w:rFonts w:ascii="Arial" w:cs="Arial" w:eastAsia="Arial" w:hAnsi="Arial"/>
          <w:sz w:val="16"/>
          <w:szCs w:val="16"/>
          <w:color w:val="auto"/>
        </w:rPr>
      </w:pPr>
    </w:p>
    <w:p>
      <w:pPr>
        <w:ind w:left="780" w:right="120" w:hanging="326"/>
        <w:spacing w:after="0" w:line="28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MN-166, an ibudilast-based product development, for which we continue to pursue discussions with potential partners or other strategic collaboration(s). MN-166 has completed a Phase 2 clinical trial in MS in Eastern Europe in 2008 wherein positive safety and neuroprotective efficacy indicators were obtained, thus, directing next stage development towards a Phase 2b progressive MS indication. Limited animal safety and product manufacturing and stability work has been completed or is ongoing. In the drug addiction area, a Phase 1b/2a opioid withdrawal clinical trial funded by the National Institute on Drug Abuse, or NIDA, was completed at the end of 2010. A Phase 1b NIDA-funded clinical trial in methamphetamine-dependent volunteers with expert investigators at UCLA initiated in the fourth quarter of 2010 and is currently enrolling patients. In addition, a headache and pain specialist in Australia initiated an investigator sponsored Phase 2 clinical trial of ibudilast as a potential new pharmacotherapy for medication overuse headache that is expected to complete enrollment at the end of 2012. We intend to enter into additional strategic alliances with leading pharmaceutical or biotech companies to support further clinical development of MN-166.</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completion of proof-of-concept Phase 2 clinical trials, we intend to enter into strategic alliances with leading pharmaceutical or biotech companies to support further clinical development, and to keep certain commercialization rights in select markets. Depending on the outcome of the Phase 2 trial of MN-221 for the treatment of acute exacerbations of asthma, we may seek to raise addition capital and/or enter into a collaboration and conduct a Phase 3 development program. We may also pursue potential partners and potential acquirers of license rights to our programs in markets outside the U.S. In addition, we continue to limit activities for the balance of our existing product development programs in order to focus on our prioritized product development programs. For each of these remaining product development programs, we plan to conduct development activities only to the extent deemed necessary to maintain our license rights or maximize its value while pursuing a variety of initiatives to monetize such programs.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158" w:lineRule="exact"/>
        <w:rPr>
          <w:sz w:val="20"/>
          <w:szCs w:val="20"/>
          <w:color w:val="auto"/>
        </w:rPr>
      </w:pPr>
    </w:p>
    <w:p>
      <w:pPr>
        <w:ind w:left="780" w:right="300" w:hanging="326"/>
        <w:spacing w:after="0" w:line="332"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1 clinical trial in the fourth quarter of 2007;</w:t>
      </w:r>
    </w:p>
    <w:p>
      <w:pPr>
        <w:spacing w:after="0" w:line="37" w:lineRule="exact"/>
        <w:rPr>
          <w:rFonts w:ascii="Arial" w:cs="Arial" w:eastAsia="Arial" w:hAnsi="Arial"/>
          <w:sz w:val="18"/>
          <w:szCs w:val="18"/>
          <w:color w:val="auto"/>
        </w:rPr>
      </w:pPr>
    </w:p>
    <w:p>
      <w:pPr>
        <w:ind w:left="780" w:right="240" w:hanging="326"/>
        <w:spacing w:after="0" w:line="325"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1"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18, 2009, we acquired Avigen a biopharmaceutical company that focused on identifying and developing differentiated products to treat patients with serious disorders, whose potential product candidate is a microphage migration inhibitor and a glial attenuator for central nervous system, or CNS, disorders such as neuropathic pain, and opioid addiction and withdrawal and methamphetamine addiction. We continue to pursue discussions with potential partners to secure a strategic collaboration to advance clinical development of the combined development programs.</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Absolute Merger, Inc., a wholly-owned subsidiary of ours, merged with and into Avigen. Under the terms of the merger, we issued approximately $29.4 million in secured convertible notes that matured on June 18, 2011, the 18-month anniversary of the closing of the merger. Holders of these convertible notes could convert their notes into our common stock at an initial conversion price of $6.80 per share through May 31, 2011. At the maturity of the convertible notes, the remaining holders would be paid the same per share amount as the Avigen shareholders that elected to receive cash at the merger closing plus accrued interest, approximately $1.19 per share. As part of the merger consideration, the former Avigen shareholders were also entitled to receive approximately $0.04 per share, which was paid in two increments in 2010, and rights under contingent payment rights, or CPR, issued as part of the merger consideration. In March 2011 we paid $0.02 per share to former Avigen shareholders related to the management transition plan CPR. All additional CPR expired on August 18, 2011 and no payments were made related to these CPR.</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consolidated financial statements include Avigen’s operations following the completion of the Avigen merger. We accounted for the Avigen merger using the acquisition method of accounting. As a result, we recorded $4.8 million of IPR&amp;D related to Avigen’s product candidate asset and $9.6 million of goodwill related to the excess purchase price over the assigned values of the net assets acquired. The goodwill was primarily a result of the conversion feature related to the convertible notes issued pursuant to the merger agreement. Our annual test date for IPR&amp;D and goodwill impairment is December 31. During the year ended December 31, 2011 and through the date of this report, there were no triggering events, market conditions or other factors (such as adverse clinical trial results) that would indicate possible or actual impairment of IPR&amp;D or goodwill. Since we operate under one reporting segment, goodwill impairment is assessed on our overall market capitalization. We did not record goodwill impairment during the year ended December 31, 2011 since at year-end the Company’s total market capitalization was in excess of the carrying value of its net assets. Based on our assessment of IPR&amp;D using an income approach, we also did not record impairment of IPR&amp;D during the year ended December 31,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At the closing of the Avigen merger, we and American Stock Transfer &amp; Trust Company, LLC, as trustee, entered into an indenture. Under the terms of a separate trust agreement, or Trust Agreement, approximately $29.4 million, which represented the First Payment Consideration less approximately $6.0 million paid out to Avigen shareholders who elected cash payment and the initial principal amount of the convertible notes, or Convertible Notes, was deposited with a trust agent for the benefit of the holders and us.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For the year ended December 31, 2011, approximately $76,000, of Convertible Notes were converted into 11,246 shares of our common stock. All remaining Convertible Notes matured on June 18, 2011 and the principal was repaid in full.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Oxford, under which we borrowed $15.0 million at a stated annual interest rate of 12.87%. The financing was used to satisfy working capital needs, including the continued clinical development of MN-221. Pursuant to the Loan Agreement, we issued to Oxford a warrant to purchase up to 198,020 shares of our common stock, par value $0.001 per share, at an exercise price of $6.06 per share. Based on a Black-Scholes valuation model, the relative fair value of the warrant was approximately $859,000. We accounted for the warrant as a component of stockholders’ equity as the agreement required settlement in shares and under no provision of the agreement were we required to settle the warrant in cash.</w:t>
      </w:r>
    </w:p>
    <w:p>
      <w:pPr>
        <w:spacing w:after="0" w:line="10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accounted for the interest on the debt under the effective interest method wherein we treated the debt issuance costs paid directly to the lender and the relative fair value of the warrants issued to the lender as a discount on the debt (or a contra liability) and we treated the debt issuance costs paid to third parties as an asset. The amortization of the debt discount was recorded as interest expense and the amortization of the debt issuance costs paid to third parties was recorded as other expense in our consolidated statement of operations.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waived the prepayment penalty of approximately $437,000.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2011, we had a reduction-in-force, or RIF, to reduce costs. We believe that we remain adequately staffed given our research and development focus and utilization of external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Firm Commitment Public Offering</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23, 2011, we consummated a firm-commitment underwritten public offering of 2,750,000 units at a price to the public of $3.00 per unit for gross proceeds of approximately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approximately $7.7 million, after underwriter discount and underwriter expenses and no warrants exercised. In accordance with the authoritative guidance, the warrants were classified as equity instruments as they contain no provision which may require cash settlement.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May 5, 2011, we entered into an at-the-market (or ATM) issuance sales agreement, or sales agreement, with McNicoll, Lewis &amp; Vlak LLC, or MLV, pursuant to which we could issue and sell shares of our common stock having an aggregate offering price of up to $15.0 million from time to time through MLV as our sales agent. The issuance and sale of these shares by us under the sales agreement, if any, would be subject to the effectiveness of our shelf registration statement on Form S-3 (File No. 333-163116), initially filed with the Securities and Exchange Commission on November 13, 2009.</w:t>
      </w:r>
    </w:p>
    <w:p>
      <w:pPr>
        <w:spacing w:after="0" w:line="99" w:lineRule="exact"/>
        <w:rPr>
          <w:sz w:val="20"/>
          <w:szCs w:val="20"/>
          <w:color w:val="auto"/>
        </w:rPr>
      </w:pPr>
    </w:p>
    <w:p>
      <w:pPr>
        <w:ind w:right="1700" w:firstLine="456"/>
        <w:spacing w:after="0" w:line="422" w:lineRule="auto"/>
        <w:rPr>
          <w:sz w:val="20"/>
          <w:szCs w:val="20"/>
          <w:color w:val="auto"/>
        </w:rPr>
      </w:pPr>
      <w:r>
        <w:rPr>
          <w:rFonts w:ascii="Arial" w:cs="Arial" w:eastAsia="Arial" w:hAnsi="Arial"/>
          <w:sz w:val="18"/>
          <w:szCs w:val="18"/>
          <w:color w:val="auto"/>
        </w:rPr>
        <w:t xml:space="preserve">Effective October 23, 2011, we terminated the ATM between us and MLV. No shares of common stock were issued under the ATM. </w:t>
      </w:r>
      <w:r>
        <w:rPr>
          <w:rFonts w:ascii="Arial" w:cs="Arial" w:eastAsia="Arial" w:hAnsi="Arial"/>
          <w:sz w:val="18"/>
          <w:szCs w:val="18"/>
          <w:b w:val="1"/>
          <w:bCs w:val="1"/>
          <w:i w:val="1"/>
          <w:iCs w:val="1"/>
          <w:color w:val="auto"/>
        </w:rPr>
        <w:t>Lease Amendments</w:t>
      </w:r>
    </w:p>
    <w:p>
      <w:pPr>
        <w:spacing w:after="0" w:line="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July 6, 2011, we entered into a fifth amendment, or the Fifth Lease Amendment, of our lease agreement with 4350 La Jolla Village LLC, the Landlord. The Fifth Lease Amendment amends the Lease of our headquarters located at 4350 La Jolla Village Drive, Suite 950, San Diego, California, 92122, and extends the Lease term with respect to 5,089 square feet, from August 31, 2011 to May 31, 2012. The Fifth Lease Amendment provides that we will pay the Landlord a monthly base rent of $12,468 for the premises during the nine-month extension period. On March 19, 2012, we entered into a sixth amendment, the Sixth Lease Amendment, of our lease agreement with 4350 the Landlord. The Sixth Lease Amendment extends the lease term through February 28, 2013 and provides that we will pay the Landlord a monthly base rent of $12,672 for the premises during the final nine month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October 13,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Each share of the Series B Preferred Stock is convertible into 10 shares of Common Stock. The Purchase Agreement contained customary representations, warranties and covenants and a standstill agreement from Kissei that terminates if Kissei beneficially owned less than three percent of our outstanding voting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13, 2011, we entered into an agreement with Kissei to perform research and development services relating to MN-221 in exchange for a non-refundable upfront payment of $2.5 million. Under the terms of the agreement, we will be responsible for all costs to be incurred in the performance of these services which are expected to be completed in 2012 and 2013. We assessed the deliverables in accordance with the authoritative guidance and concluded the existence of one deliverable, research and development services. As such, we will recognize as revenue the $2.5 million payment as the research and development services are performed. The amount received from Kissei is recorded on the balance sheet at December 31, 2011 as deferred revenue. As of December 31, 2011, we have not recorded any revenue in 2011 relating to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recognized no revenues for each of the years in the three-year period ended December 31, 2011. We have not generated any revenues from licensing, milestones or product sales to date. Our revenues to date have been generated from providing development management services under master service agreements with Asahi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5" w:lineRule="auto"/>
        <w:rPr>
          <w:sz w:val="20"/>
          <w:szCs w:val="20"/>
          <w:color w:val="auto"/>
        </w:rPr>
      </w:pPr>
      <w:r>
        <w:rPr>
          <w:rFonts w:ascii="Arial" w:cs="Arial" w:eastAsia="Arial" w:hAnsi="Arial"/>
          <w:sz w:val="15"/>
          <w:szCs w:val="15"/>
          <w:color w:val="auto"/>
        </w:rPr>
        <w:t>Kasei Pharma Corporation and Argenes, Inc., pursuant to which we billed consulting fees and our pass-through clinical contract costs. The primary costs associated with our revenue were the clinical contract costs we incurred and passed-through to our customers. Our agreement with Asahi Kasei Pharma Corporation has been completed, and we terminated our agreement with Argenes, Inc., and we will not generate any further revenue from these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8"/>
        </w:trPr>
        <w:tc>
          <w:tcPr>
            <w:tcW w:w="540" w:type="dxa"/>
            <w:vAlign w:val="bottom"/>
          </w:tcPr>
          <w:p>
            <w:pPr>
              <w:spacing w:after="0"/>
              <w:rPr>
                <w:sz w:val="20"/>
                <w:szCs w:val="20"/>
                <w:color w:val="auto"/>
              </w:rPr>
            </w:pPr>
          </w:p>
        </w:tc>
        <w:tc>
          <w:tcPr>
            <w:tcW w:w="8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Candidate</w:t>
            </w:r>
          </w:p>
        </w:tc>
        <w:tc>
          <w:tcPr>
            <w:tcW w:w="740" w:type="dxa"/>
            <w:vAlign w:val="bottom"/>
          </w:tcPr>
          <w:p>
            <w:pPr>
              <w:spacing w:after="0"/>
              <w:rPr>
                <w:sz w:val="20"/>
                <w:szCs w:val="20"/>
                <w:color w:val="auto"/>
              </w:rPr>
            </w:pPr>
          </w:p>
        </w:tc>
        <w:tc>
          <w:tcPr>
            <w:tcW w:w="140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87"/>
              </w:rPr>
              <w:t>Disease/Indication</w:t>
            </w: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2011</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2010</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52"/>
              <w:spacing w:after="0" w:line="198" w:lineRule="exact"/>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r>
      <w:tr>
        <w:trPr>
          <w:trHeight w:val="197"/>
        </w:trPr>
        <w:tc>
          <w:tcPr>
            <w:tcW w:w="1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MN-221</w:t>
            </w:r>
          </w:p>
        </w:tc>
        <w:tc>
          <w:tcPr>
            <w:tcW w:w="74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Acute exacerbations of asthma and COPD</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$5,677</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$7,304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MN-166</w:t>
            </w:r>
          </w:p>
        </w:tc>
        <w:tc>
          <w:tcPr>
            <w:tcW w:w="7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Multiple sclerosis/other CNS disorders</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74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 and Interstitial cystitis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MN-001</w:t>
            </w:r>
          </w:p>
        </w:tc>
        <w:tc>
          <w:tcPr>
            <w:tcW w:w="7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74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MN-305</w:t>
            </w:r>
          </w:p>
        </w:tc>
        <w:tc>
          <w:tcPr>
            <w:tcW w:w="7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4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MN-246</w:t>
            </w:r>
          </w:p>
        </w:tc>
        <w:tc>
          <w:tcPr>
            <w:tcW w:w="7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74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MN-462</w:t>
            </w:r>
          </w:p>
        </w:tc>
        <w:tc>
          <w:tcPr>
            <w:tcW w:w="7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2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gridSpan w:val="5"/>
          </w:tcPr>
          <w:p>
            <w:pPr>
              <w:spacing w:after="0"/>
              <w:rPr>
                <w:sz w:val="20"/>
                <w:szCs w:val="20"/>
                <w:color w:val="auto"/>
              </w:rPr>
            </w:pPr>
            <w:r>
              <w:rPr>
                <w:rFonts w:ascii="Arial" w:cs="Arial" w:eastAsia="Arial" w:hAnsi="Arial"/>
                <w:sz w:val="18"/>
                <w:szCs w:val="18"/>
                <w:color w:val="auto"/>
              </w:rPr>
              <w:t>Total research and development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7,785</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$ 9,711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10,873</w:t>
            </w:r>
          </w:p>
        </w:tc>
      </w:tr>
      <w:tr>
        <w:trPr>
          <w:trHeight w:val="20"/>
        </w:trPr>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2007 we decided to focus our resources on the development of our two prioritized product development programs, MN-221 for the treatment of acute exacerbations of asthma and MN-166 for the treatment of MS. In the third quarter of 2009, we decided to expand the development program for MN-221 to evaluate MN-221 for the treatment of COPD exacerbations. In the second quarter of 2008 we completed the Phase 2 clinical trial of MN-166 ibudilast for the treatment of MS and in December 2009. We continue to pursue discussions with potential partners, including government funding agencies, to secure a strategic collaboration. As such, we do not plan to undertake any further significant clinical development of MN-166 until such time that we secure a strategic collaboration to advance the combined ibudilast-based development program. We do expect 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research and development expenses to increase in connection with clinical trials primarily related to MN-221 for the treatment of acute exacerbations of asthma and COPD exacerbations, and any other development activities that it may initiate.</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While on March 21, 2012 we announced completion of the 176 patient enrollment of the Phase 2 MN-221-CL-007 clinical trial with expected trial results in the second quarter of 2012, due to the risks inherent in clinical trials, we are unable to estimate the acceptability or unacceptability of these results.</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development. As a result, we expect that research and development expenses will remain low for the remainder of our existing product candidates in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current prioritized product development programs and in raising capital to support those and other product development programs or otherwise in connection with increased business development activities related to partnering, out-licensing or product disposition.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Related Charge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Oxford, under which we borrowed $15.0 million. The Oxford loan had an original maturity of August 1, 2013. To preserve cash by eliminating future interest payments, on April 1, 2011 we entered into an agreement with Oxford under which we made an early repayment of the loan in-full and wherein Oxford waived the prepayment penalty of approximately $437,000. In recording the loan repayment, we wrote off the unamortized debt discount and debt issuance costs related to the loan, which resulted in a write-off of approximately $0.5 million recorded in our statement of operations as 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investment securities have consisted of auction rate securities, or ARS, which principally represented insurance notes and portfolios of securities (primarily commercial paper), and had AAA ratings at the time of purchase. We have not held investment securities since July, 2010. We designated our investment securities portfolio as trading investment securities, and any change in the fair value of our investment securities was recorded as either a gain or an impairment charge in our consolidated statement of operations.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2008, we received the right to sell to UBS, the brokerage firm through which we purchased the majority of our investment securities, the ARS held in accounts with UBS at par value at any time during the period beginning June 30, 2010 and ending July 2, 2012 (the ARS Put). Concurrently, UBS also provided to us a no net cost loan program (the ARS Loan) whereby we could borrow up to 75 percent of the market value of our ARS that had been pledged as collateral at an interest cost that would not exceed the interest being paid on the underlying ARS investments. We valued the ARS on a Level 3 basis, as defined by ASC 820, using a discounted cash flow valuation model with subsequent increase or decrease in their fair value recorded as either a gain or an impairment charge, respectively, in our consolidated statement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exercised our ARS Put on June 30, 2010, and in July 2010 the UBS ARS were redeemed at par value and the associated ARS Loan was repaid, resulting in a net gain of approximately $138,000 recorded in our consolidated statement of operations as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Gain/Loss</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To date, we have conducted most of our clinical trials in the U.S. However, we have had clinical sites located in Europe, Australia and New Zealand in which certain related invoices were denominated in local currencies, and, we currently have certain vendors from whom we receive invoices denominated in Japanese Yen and in British Pound. We do not hedge our foreign exchange exposure. Foreign exchange gain/loss is based on the difference between the exchange rate at the transaction date and the exchange rate at the settlement date, or the balance sheet date if the transaction has not yet been settled.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 primarily consists of accretion related to the Convertible Notes and the amortization of debt issuance costs paid to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 expense consists of interest charged on our ARS Loan, interest charged on our long-term debt based on the effective interest method and amortization of debt discount.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primarily consists of interest earned on our cash, cash equivalents and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elsewhere in this Annual Report on Form 10-K. Our most critical accounting estimates include our recognition of research and development expenses, which impacts operating expenses and accrued liabilities, and stock-based compensation, which impacts operating expenses.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regulatory activities, research-related overhead expenses and fees paid to external service providers who conduct certain research and development activities on our behalf. We use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grant options to purchase our common stock to our employees and directors under our Amended and Restated 2004 Stock Incentive Plan. Additionally, we have outstanding stock options that were granted under our 2000 General Stock Incentive Plan. The benefits provided under both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Valuation of our stock option grants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ind w:right="880" w:firstLine="456"/>
        <w:spacing w:after="0" w:line="422" w:lineRule="auto"/>
        <w:rPr>
          <w:sz w:val="20"/>
          <w:szCs w:val="20"/>
          <w:color w:val="auto"/>
        </w:rPr>
      </w:pPr>
      <w:r>
        <w:rPr>
          <w:rFonts w:ascii="Arial" w:cs="Arial" w:eastAsia="Arial" w:hAnsi="Arial"/>
          <w:sz w:val="18"/>
          <w:szCs w:val="18"/>
          <w:color w:val="auto"/>
        </w:rPr>
        <w:t xml:space="preserve">Stock option compensation expense is recognized on a straight-line basis over the vesting period of the underlying option, generally four years. </w:t>
      </w:r>
      <w:r>
        <w:rPr>
          <w:rFonts w:ascii="Arial" w:cs="Arial" w:eastAsia="Arial" w:hAnsi="Arial"/>
          <w:sz w:val="18"/>
          <w:szCs w:val="18"/>
          <w:b w:val="1"/>
          <w:bCs w:val="1"/>
          <w:i w:val="1"/>
          <w:iCs w:val="1"/>
          <w:color w:val="auto"/>
        </w:rPr>
        <w:t>Goodwill and Purchased Intangibles</w:t>
      </w:r>
    </w:p>
    <w:p>
      <w:pPr>
        <w:spacing w:after="0" w:line="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December 31, 2011 and 2010, we had goodwill and IPR&amp;D recorded of $9.6 million and $4.8 million, respectively.</w:t>
      </w:r>
    </w:p>
    <w:p>
      <w:pPr>
        <w:spacing w:after="0" w:line="9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annual test date for goodwill and purchased intangibles impairment is December 31 or more frequently if we believe indicators of impairment are present.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required to measure certain assets and liabilities at fair value, either upon initial measurement or for subsequent accounting or reporting. We use fair value extensively in the initial measurement of net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the assets acquired and liabilities assumed in the Avigen transaction on December 18, 2009 have been recorded at their estimated fair values as of the acquisition date. For information on fair value for our financial instruments, see Notes to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Note 3. Fair Value Measurements—Other Than Intangibles and Goodwill.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updated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and becomes effective for us in the first quarter of fiscal year 2012. We do not expect the adoption to have a material impact on our financial position or results of operations.</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June 2011, the FASB issued a guidance related to the Presentation of Comprehensive Income. The guidance requires an entity to present items of net income and other comprehensive income, or OCI, and total comprehensive income either in a single continuous statement of comprehensive income or two separate but continuous statements. We will no longer be allowed to present OCI in the statement of stockholders’ equity. Earnings per share would continue to be based on net income. Although existing guidance related to items that must be presented in OCI has not changed, companies will be required to display reclassification adjustments for each component of OCI in both net income and OCI. Also, companies will need to present the components of other comprehensive income in their interim and annual financial statements. This guidance is required to be implemented retrospectively during interim and annual periods beginning after December 15, 2011 and becomes effective for us in the first quarter of fiscal year 2012. The adoption of this update is not expected to have a material impact on our consolidated financial statements.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2011, the FASB issued updated guidance related to Fair Value Measurements and Disclosures that clarified and amended the wording used to describe many of the requirements in GAAP for measuring fair value and for disclosing information about fair value measurements. The FASB also clarified the intent of existing fair value measurement requirements. The new and revised disclosures are required to be implemented prospectively during interim and annual periods beginning after December 15, 2011 and become effective for us in the first quarter of fiscal year 2012. Early adoption is not permitted. The adoption of this update is not expected to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2011 and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years ended December 31, 2011 or December 31,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Research and development expenses for the year ended December 31, 2011 were approximately $7.8 million, a decrease of approximately $1.9 million compared to approximately $9.7 million for the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ended December 31, 2010. This decrease was due primarily to a decrease in spending of approximately $1.6 million on our prioritized asset MN-221 for the treatment of acute exacerbations of asthma. We had an additional decrease of approximately $0.3 million in unallocated R&amp;D expenses primarily due to a reduction in research and development headcount.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General and administrative expenses were approximately $8.3 million for the year ended December 31, 2011, an increase of approximately $0.1 million compared to approximately $8.2 million for the year ended December 31, 2010. This increase in general and administrative expenses was the result of higher severance, consulting and legal fees partially offset by a reduction in compensation and stock based compensation expenses related to a reduced general and administrative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net, on Investment Securities and ARS Put</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impairment charge for the year ended December 31, 2010 of $0.8 million was the result of writing down the fair market value of our investment securities still held to liquidation value as we planned to sell investment securities in fourth quarter of 2010, offset by the gain recorded on the redemption of the UBS ARS and ARS Put. There was no impairment charge or gain on investment securities for the year ended December 31,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 for the year ended December 31, 2011 was approximately $0.1 million, as compared to approximately $0.2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decrease in other expenses relates to accretion on the Convertible Notes and amortization of debt issuance costs paid to third parties.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lower in 2011 as we held no debt or convertible notes in the second half of the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consists of interest charged on our long-term debt, write off of unamortized debt discount and debt issuance costs, and interest charged on the ARS Loan which was repaid in the third quarter of 2010. Interest expense for the year ended December 31, 2011 was approximately $1.6 million, as compared to approximately $1.8 million for the year ended December 31, 2010. The decrease in interest expense was due to the retirement of our debt in 2011 partially offset by a lump-sum payment of deferred interest in 2011 upon repayment of our debt with Oxford in April of approximately $0.5 million and a write off of unamortized debt discount and debt issuance costs in April of approximately $0.5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5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Other income for the year ended December 31, 2011 was approximately $0.1 million, as compared to approximately $0.4 million for the year ended December 31, 2010. The decrease is due to lower yields earned on invested balances as we converted higher yielding investment securities into cash and cash equivalents during 2010. Our investment balances are currently held in money market accounts and funds to preserve liquidity and principal.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2010 and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years ended December 31, 2010 or December 31,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Research and development expenses for the year ended December 31, 2010 were approximately $9.7 million, a decrease of approximately $1.2 million compared to approximately $10.9 million for the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ended December 31, 2009. This decrease in research and development expenses was due to a decrease of approximately $1.1 million in spending on our prioritized asset MN-221 for the treatment of acute exacerbations of asthma, primarily due to the completion of the clinical trial evaluating MN-221 at planned escalating doses in patients with severe acute exacerbations of asthma treated in emergency departments in 2009, a decrease of approximately $0.3 million primarily in unallocated R&amp;D expenses due to a reduction in R&amp;D headcount and a reduction in intellectual property legal costs related to the overall review of our patent portfolio, offset by an increase in spending of approximately $0.2 million primarily to complete the clinical trial, principally funded by the National Institute in Drug Addiction, in our other prioritized asset MN-166 ibudilast for the treatment of opioid withdrawal.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General and administrative expenses were approximately $8.2 million for the year ended December 31, 2010, a decrease of approximately $2.2 million compared to approximately $10.4 million for the year ended December 31, 2009. This decrease in general and administrative expenses was the result of a approximately $1.6 million decrease in professional fees incurred due to the completion of the Avigen transaction in 2009, a decrease of approximately $0.7 million due to the absence of bonus accruals in 2010 for company management, offset by an increase of approximately $0.1 million in other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Charge/Gain, net, on Investment Securities and ARS Put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impairment charge on investment securities for the year ended December 31, 2010 was approximately $0.8 million, as compared to a net gain on investment securities of approximately $0.3 million for year ended December 31, 2009. The net impairment charge in 2010 was a result of writing down the fair market value of our investment securities still held to liquidation value as we planned to sell investment securities in fourth quarter of 2010, offset by the gain recorded on the redemption of the UBS ARS and ARS Put. In 2009, all investment securities had been valued based on a discounted cash flow model employing liquidity discounts, which resulted in a net gain.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 for the year ended December 31, 2010 was approximately $0.2 million, as compared to approximately $14,000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2009. The increase in other expense relates to 2010 accretion on the Convertible Notes and amortization of debt issuance costs paid to third parties.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long-term debt in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Interest expense for the year ended December 31, 2010 was approximately $1.8 million, as compared to approximately $0.2 million for the year ended December 31, 2009. The increase in interest expense was due to the interest charged on the long-term debt using the effective interest method, offset by a decrease in the amount of interest charged on the ARS Loan as the ARS Loan was repaid in July 2010. In 2009 interest expense was only comprised of interest charged on the ARS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5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Other income for the year ended December 31, 2010 was approximately $0.4 million, as compared to approximately $0.8 million for the year ended December 31, 2009. The decrease is due to a decrease in interest income due to a lower yield earned on invested balances as we converted higher yielding investment securities into cash, which were invested in money market funds to preserve liquidity and principal.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incurred losses of $17.7 million, $20.2 million and $20.4 million for the years ended December 31, 2011, 2010, and 2009 respectively. We have an accumulated deficit of $285.3 million as of December 31, 2011. Additionally, we have used net cash of $13.3 million, $17.7 million and $17.0 million to fund our operating activities for the years ended December 31, 2011, 2010, and 2009,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To date, these operating losses have been funded primarily through the private placement of our equity securities, the public sale of our common stock, long-term debt, clinical development agreements with partners and the exercise of founders’ warrants, net of treasury stock repurchases.</w:t>
      </w:r>
    </w:p>
    <w:p>
      <w:pPr>
        <w:spacing w:after="0" w:line="129"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w:t>
      </w:r>
    </w:p>
    <w:p>
      <w:pPr>
        <w:spacing w:after="0" w:line="75"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On October 13,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approximately $7.5 million related to this Purchase Agreement.</w:t>
      </w:r>
    </w:p>
    <w:p>
      <w:pPr>
        <w:spacing w:after="0" w:line="13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October 13, 2011, we entered into an agreement with Kissei to perform research and development services relating to MN-221 in exchange for a non-refundable upfront payment of $2.5 million. We will be responsible for all costs to be incurred in the performance of these services which are expected to be completed in 2012 and 2013. We assessed the deliverables in accordance with the authoritative guidance and concluded the existence of one deliverable, research and development services. As such, we will recognize as revenue the $2.5 million payment as the research and development services are performed. The amount received from Kissei is recorded on the balance sheet at December 31, 2011 as deferred revenue. As of December 31, 2011, we have not recorded any revenue in 2011 relating to this agreement.</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current cash and cash equivalents are our principal source of liquidity. We expect to utilize our cash and cash equivalents to fund our operations, including research and development of our product development candidates and clinical trials. It is our belief that we have sufficient cash to fund our operations through at least December 31, 2012. The accompanying consolidated financial statements have been prepared assuming that we will continue as a going concern. We have had, and will continue to have an ongoing need to raise additional cash from outside sources to fund our operations including the activities required to bring our future products to market. We have an established history of raising capital through equity and debt, and management plans to continue financing operations with equity issuances, debt arrangements or a combination thereof.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Cash and Contractual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2011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232"/>
              <w:spacing w:after="0"/>
              <w:rPr>
                <w:sz w:val="20"/>
                <w:szCs w:val="20"/>
                <w:color w:val="auto"/>
              </w:rPr>
            </w:pPr>
            <w:r>
              <w:rPr>
                <w:rFonts w:ascii="Arial" w:cs="Arial" w:eastAsia="Arial" w:hAnsi="Arial"/>
                <w:sz w:val="18"/>
                <w:szCs w:val="18"/>
                <w:b w:val="1"/>
                <w:bCs w:val="1"/>
                <w:color w:val="auto"/>
                <w:w w:val="88"/>
              </w:rPr>
              <w:t>Payment Due By Period</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20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Contractual Obligations</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line="197" w:lineRule="exact"/>
              <w:rPr>
                <w:sz w:val="20"/>
                <w:szCs w:val="20"/>
                <w:color w:val="auto"/>
              </w:rPr>
            </w:pPr>
            <w:r>
              <w:rPr>
                <w:rFonts w:ascii="Arial" w:cs="Arial" w:eastAsia="Arial" w:hAnsi="Arial"/>
                <w:sz w:val="18"/>
                <w:szCs w:val="18"/>
                <w:b w:val="1"/>
                <w:bCs w:val="1"/>
                <w:color w:val="auto"/>
                <w:w w:val="84"/>
              </w:rPr>
              <w:t>Less than 1</w:t>
            </w:r>
          </w:p>
        </w:tc>
        <w:tc>
          <w:tcPr>
            <w:tcW w:w="1060" w:type="dxa"/>
            <w:vAlign w:val="bottom"/>
            <w:gridSpan w:val="2"/>
          </w:tcPr>
          <w:p>
            <w:pPr>
              <w:jc w:val="center"/>
              <w:ind w:left="532"/>
              <w:spacing w:after="0" w:line="197" w:lineRule="exact"/>
              <w:rPr>
                <w:sz w:val="20"/>
                <w:szCs w:val="20"/>
                <w:color w:val="auto"/>
              </w:rPr>
            </w:pPr>
            <w:r>
              <w:rPr>
                <w:rFonts w:ascii="Arial" w:cs="Arial" w:eastAsia="Arial" w:hAnsi="Arial"/>
                <w:sz w:val="18"/>
                <w:szCs w:val="18"/>
                <w:b w:val="1"/>
                <w:bCs w:val="1"/>
                <w:color w:val="auto"/>
                <w:w w:val="92"/>
              </w:rPr>
              <w:t>1-3</w:t>
            </w:r>
          </w:p>
        </w:tc>
        <w:tc>
          <w:tcPr>
            <w:tcW w:w="300" w:type="dxa"/>
            <w:vAlign w:val="bottom"/>
          </w:tcPr>
          <w:p>
            <w:pPr>
              <w:spacing w:after="0"/>
              <w:rPr>
                <w:sz w:val="17"/>
                <w:szCs w:val="17"/>
                <w:color w:val="auto"/>
              </w:rPr>
            </w:pPr>
          </w:p>
        </w:tc>
        <w:tc>
          <w:tcPr>
            <w:tcW w:w="760" w:type="dxa"/>
            <w:vAlign w:val="bottom"/>
            <w:gridSpan w:val="2"/>
          </w:tcPr>
          <w:p>
            <w:pPr>
              <w:jc w:val="right"/>
              <w:ind w:right="12"/>
              <w:spacing w:after="0" w:line="197" w:lineRule="exact"/>
              <w:rPr>
                <w:sz w:val="20"/>
                <w:szCs w:val="20"/>
                <w:color w:val="auto"/>
              </w:rPr>
            </w:pPr>
            <w:r>
              <w:rPr>
                <w:rFonts w:ascii="Arial" w:cs="Arial" w:eastAsia="Arial" w:hAnsi="Arial"/>
                <w:sz w:val="18"/>
                <w:szCs w:val="18"/>
                <w:b w:val="1"/>
                <w:bCs w:val="1"/>
                <w:color w:val="auto"/>
              </w:rPr>
              <w:t>3-5</w:t>
            </w:r>
          </w:p>
        </w:tc>
        <w:tc>
          <w:tcPr>
            <w:tcW w:w="640" w:type="dxa"/>
            <w:vAlign w:val="bottom"/>
          </w:tcPr>
          <w:p>
            <w:pPr>
              <w:spacing w:after="0"/>
              <w:rPr>
                <w:sz w:val="17"/>
                <w:szCs w:val="17"/>
                <w:color w:val="auto"/>
              </w:rPr>
            </w:pPr>
          </w:p>
        </w:tc>
        <w:tc>
          <w:tcPr>
            <w:tcW w:w="92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89"/>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w:t>
            </w:r>
          </w:p>
        </w:tc>
        <w:tc>
          <w:tcPr>
            <w:tcW w:w="6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5"/>
              </w:rPr>
              <w:t>Years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1"/>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$ 359</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233</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$ 126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License obligations(1)</w:t>
            </w:r>
          </w:p>
        </w:tc>
        <w:tc>
          <w:tcPr>
            <w:tcW w:w="54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$ 359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233</w:t>
            </w:r>
          </w:p>
        </w:tc>
        <w:tc>
          <w:tcPr>
            <w:tcW w:w="136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97"/>
              </w:rPr>
              <w:t>$ 126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00" w:type="dxa"/>
            <w:vAlign w:val="bottom"/>
          </w:tcPr>
          <w:p>
            <w:pPr>
              <w:spacing w:after="0"/>
              <w:rPr>
                <w:sz w:val="24"/>
                <w:szCs w:val="24"/>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license agreements for our product candidates, we may be required to make future payments based upon the occurrence of certain milestones related to clinical development, regulatory or commercial events. We will also be required to pay royalties on any net sales of the licensed products, if any are approved by the FDA or foreign regulatory authorities for commercial sale. These milestone payments and royalty payments under our license agreements are not included in the table above because we cannot determine when, or if, the related milestones will be achieved or the events triggering the commencement of payment obligations will occur at present.</w:t>
      </w:r>
    </w:p>
    <w:p>
      <w:pPr>
        <w:spacing w:after="0" w:line="48"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perform data collection and analysis and other services in connection with our product development programs. Our payment obligations under these agreements depend upon the progress of our product development programs. Therefore, we are unable at this time to estimate with certainty the future costs we will incur under these agreements.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December 31, 2011,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02"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Cash and cash equivalents as of December 31, 2011 were approximately $15.1 million and were primarily invested in money market interest bearing accounts and money market funds. A hypothetical 10% adverse change in the average interest rate on our money market cash investments and short-term investments would have had no material effect on net income for the year ended December 31, 2011.</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 of MediciNova, Inc. (a development stage company) as of December 31, 2011, and the related consolidated statements of operations, stockholders’ equity and comprehensive loss, and cash flows for the year then ended, and for the period from September 26, 2000 (inception) through December 31, 2011. These financial statements are the responsibility of the Company’s management. Our responsibility is to express an opinion on these financial statements based on our audits. The financial statements as of December 31, 2010, and for the period January 1, 2009 through December 31, 2010, were audited by other auditors whose report dated March 31, 2011 expressed an unqualified opinion on those statements. The financial statements for the period January 1, 2009 through December 31, 2010 includes total net loss of $40.6 million. Our opinion on the statements of operations, stockholders’ equity and comprehensive loss, and cash flows for the period September 26, 2000 (inception) through December 31, 2011, insofar as it relates to amounts for the period January 1, 2009 through December 31, 2010, is based solely on the report of other auditors.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our opinion, based on our audits and the report of other auditors, the financial statements referred to above present fairly, in all material respects, the consolidated financial position of MediciNova, Inc., (a development stage company) at December 31, 2011, and the consolidated results of its operations and its cash flows for the year then ended and the period from September 26, 2000 (inception) through December 31, 2011, in conformity with U.S. generally accepted accounting principles.</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MediciNova’s internal control over financial reporting as of December 31, 2011, based on criteria established in Internal Control-Integrated Framework issued by the Committee of Sponsoring Organizations of the Treadway Commission and our report dated March 28, 2012 expressed an unqualified opinion thereon.</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MediciNova, Inc. and subsidiaries (a development stage company) (the Company) as of December 31, 2010, and the related consolidated statements of operations, stockholders’ equity and comprehensive loss, and cash flows for each of the years in the two-year period ended December 31, 2010. These consolidated financial statements are the responsibility of the Company’s management. Our responsibility is to express an opinion on these consolidated financial statements based on our audits.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our opinion, based on our audit, the consolidated financial statements referred to above present fairly, in all material respects, the financial position of MediciNova, Inc. and subsidiaries (a development stage company) as of December 31, 2010, and the results of their operations and their cash flows for each of the years in the two-year period ended December 31, 2010, in conformity with U.S. generally accepted accounting principles.</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6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15,093,124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investment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Restricted letter of credit</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15,707,664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58,343,997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China Joint Venture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30,787,330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718,882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Management transition plan liability</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28,626,296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Escrow holdback</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1,509,325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599,087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3,697,294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36,790,204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9,483,605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7,289,784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48,229,809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Preferred stock, $0.01 par value; 500,000 shares authorized at December 31, 2011 and December 31, 2010;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220,000 shares issued at December 31, 2011 and no shares outstanding at December 31, 2010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5"/>
              </w:rPr>
              <w:t>Common stock, $0.001 par value; 30,000,000 shares authorized at December 31, 2011 and December 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2010; 16,127,615 and 12,482,867 shares issued at December 31, 2011 and December 31, 2010,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respectively, and 16,088,015 and 12,439,132 shares outstanding at December 31, 2011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December 31, 2010, respectively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309,998,251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293,483,920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(56,845)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Treasury stock, at cost; 39,600 shares at December 31, 2011 and 43,735 shares at December 31, 2010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(1,189,705)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(285,272,483)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(267,538,407)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23,497,546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30,787,330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CONSOLIDATED STATEMENTS OF OPERATIONS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7"/>
            <w:vMerge w:val="restart"/>
          </w:tcPr>
          <w:p>
            <w:pPr>
              <w:ind w:left="860"/>
              <w:spacing w:after="0"/>
              <w:rPr>
                <w:sz w:val="20"/>
                <w:szCs w:val="20"/>
                <w:color w:val="auto"/>
              </w:rPr>
            </w:pPr>
            <w:r>
              <w:rPr>
                <w:rFonts w:ascii="Arial" w:cs="Arial" w:eastAsia="Arial" w:hAnsi="Arial"/>
                <w:sz w:val="18"/>
                <w:szCs w:val="18"/>
                <w:b w:val="1"/>
                <w:bCs w:val="1"/>
                <w:color w:val="auto"/>
                <w:w w:val="89"/>
              </w:rPr>
              <w:t>Years ended December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7"/>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2"/>
              <w:spacing w:after="0" w:line="203" w:lineRule="exact"/>
              <w:rPr>
                <w:sz w:val="20"/>
                <w:szCs w:val="20"/>
                <w:color w:val="auto"/>
              </w:rPr>
            </w:pPr>
            <w:r>
              <w:rPr>
                <w:rFonts w:ascii="Arial" w:cs="Arial" w:eastAsia="Arial" w:hAnsi="Arial"/>
                <w:sz w:val="18"/>
                <w:szCs w:val="18"/>
                <w:b w:val="1"/>
                <w:bCs w:val="1"/>
                <w:color w:val="auto"/>
                <w:w w:val="89"/>
              </w:rPr>
              <w:t>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7,784,719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9,710,977</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10,873,169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162,041,563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8,323,715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8,171,811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10,366,291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105,522,524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16,108,434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17,882,788</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21,239,460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268,822,508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(16,108,434)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(17,882,788)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(21,239,460)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(267,264,281)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(Impairment charge)/gain, net on investment securities and ARS put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(785,478)</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310,250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(176,552)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(1,595,093)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(1,768,354)</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(242,371)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438,542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823,320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(17,722,503)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(20,174,630)</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(20,361,883)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(253,844,544)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(17,734,076)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(20,187,308)</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(20,368,890)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(253,909,361)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to redemption value of redeemable convertible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2"/>
              </w:rPr>
              <w:t>Deemed dividend resulting from beneficial conversion feature on Series 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(17,734,076)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(20,187,308)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(20,368,890)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(285,272,483)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14,813,156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12,410,576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12,105,835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rPr>
              <w:t>preferred stock</w:t>
            </w:r>
          </w:p>
        </w:tc>
        <w:tc>
          <w:tcPr>
            <w:tcW w:w="120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w w:val="90"/>
              </w:rPr>
              <w:t>Deferred</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200" w:type="dxa"/>
            <w:vAlign w:val="bottom"/>
          </w:tcPr>
          <w:p>
            <w:pPr>
              <w:spacing w:after="0"/>
              <w:rPr>
                <w:sz w:val="2"/>
                <w:szCs w:val="2"/>
                <w:color w:val="auto"/>
              </w:rPr>
            </w:pPr>
          </w:p>
        </w:tc>
        <w:tc>
          <w:tcPr>
            <w:tcW w:w="540" w:type="dxa"/>
            <w:vAlign w:val="bottom"/>
            <w:gridSpan w:val="2"/>
            <w:vMerge w:val="restart"/>
          </w:tcPr>
          <w:p>
            <w:pPr>
              <w:ind w:left="20"/>
              <w:spacing w:after="0" w:line="136" w:lineRule="exact"/>
              <w:rPr>
                <w:sz w:val="20"/>
                <w:szCs w:val="20"/>
                <w:color w:val="auto"/>
              </w:rPr>
            </w:pPr>
            <w:r>
              <w:rPr>
                <w:rFonts w:ascii="Arial" w:cs="Arial" w:eastAsia="Arial" w:hAnsi="Arial"/>
                <w:sz w:val="14"/>
                <w:szCs w:val="14"/>
                <w:b w:val="1"/>
                <w:bCs w:val="1"/>
                <w:color w:val="auto"/>
                <w:w w:val="84"/>
              </w:rPr>
              <w:t>Treasury</w:t>
            </w:r>
          </w:p>
        </w:tc>
        <w:tc>
          <w:tcPr>
            <w:tcW w:w="260" w:type="dxa"/>
            <w:vAlign w:val="bottom"/>
          </w:tcPr>
          <w:p>
            <w:pPr>
              <w:spacing w:after="0"/>
              <w:rPr>
                <w:sz w:val="2"/>
                <w:szCs w:val="2"/>
                <w:color w:val="auto"/>
              </w:rPr>
            </w:pPr>
          </w:p>
        </w:tc>
        <w:tc>
          <w:tcPr>
            <w:tcW w:w="8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78"/>
              </w:rPr>
              <w:t>development</w:t>
            </w: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 stock for cash to founders at</w:t>
            </w: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$1.00 per share in September</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w:t>
            </w:r>
          </w:p>
        </w:tc>
        <w:tc>
          <w:tcPr>
            <w:tcW w:w="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w w:val="96"/>
              </w:rPr>
              <w:t>Issuance of Series A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$10 per share in October</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5,000</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50,000</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5,044,950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Series A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 per share in August</w:t>
            </w: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4,995,000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w w:val="96"/>
              </w:rPr>
              <w:t>Issuance of Series B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w w:val="94"/>
              </w:rPr>
              <w:t>$1,093,453, in March, April, May and December</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107,500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1,075</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(6,209,130)</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9"/>
              </w:rPr>
              <w:t>1,107,500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11,075</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50,000</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19,695,422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Series B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$1,208,896, in January, February, March, April</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May</w:t>
            </w: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183,650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1,837</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17,154,267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rPr>
              <w:t>Stock-based compensation related to founders’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warrants</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34,069,916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1,419,300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(1,419,300)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224,579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Deemed dividend resulting from beneficial</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feature on Series C redeemable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31,264,677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rPr>
              <w:t>Accretion to redemption value of redeemable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(48,272,603)</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1,291,150</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w w:val="83"/>
              </w:rPr>
              <w:t>12,912</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103,603,582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(1,194,721)</w:t>
            </w:r>
          </w:p>
        </w:tc>
        <w:tc>
          <w:tcPr>
            <w:tcW w:w="1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4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Convertible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preferred stock</w:t>
            </w:r>
          </w:p>
        </w:tc>
        <w:tc>
          <w:tcPr>
            <w:tcW w:w="138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1"/>
              </w:rPr>
              <w:t>paid-in</w:t>
            </w:r>
          </w:p>
        </w:tc>
        <w:tc>
          <w:tcPr>
            <w:tcW w:w="96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rPr>
              <w:t>Deferred</w:t>
            </w:r>
          </w:p>
        </w:tc>
        <w:tc>
          <w:tcPr>
            <w:tcW w:w="104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1"/>
              </w:rPr>
              <w:t>loss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 stock in initial public offering at</w:t>
            </w: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$38.80 per share in February</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3,000,000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3,000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104,483,895</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1"/>
              </w:rPr>
              <w:t>Issuance of common stock upon partial exercise of over-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157,300</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157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5,557,616</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Issuance costs for registration statement filed on behalf of</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89"/>
              </w:rPr>
              <w:t>Conversion of redeemable convertible preferred stock into</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9"/>
              </w:rPr>
              <w:t>2,766,785</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2,767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43,499,998</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Conversion of convertible preferred stock into common</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in February</w:t>
            </w:r>
          </w:p>
        </w:tc>
        <w:tc>
          <w:tcPr>
            <w:tcW w:w="8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(1,291,150)</w:t>
            </w:r>
          </w:p>
        </w:tc>
        <w:tc>
          <w:tcPr>
            <w:tcW w:w="6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(12,912)</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3,911,500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3,911</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9,001</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8"/>
              </w:rPr>
              <w:t>Stock-based compensation related to acceleration of</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option vesting upon employee termination and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subsequent reissuance of a fully vested option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127,875</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net of cancelations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311,282</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6"/>
              </w:rPr>
              <w:t>Cancelation of stock options issued to employees and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related deferred compensation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84,000</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Accretion to redemption value of redeemable convertible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(19,689)</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rPr>
              <w:t>Purchase of treasury stock at $11.10 per share in</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December</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(55,445)</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(25,692,135)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9,885,585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9,885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257,032,491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(55,445)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(120,464,525)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2"/>
                <w:szCs w:val="12"/>
                <w:color w:val="auto"/>
              </w:rPr>
            </w:pPr>
          </w:p>
        </w:tc>
        <w:tc>
          <w:tcPr>
            <w:tcW w:w="144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Common stock</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91"/>
              </w:rPr>
              <w:t>paid-in</w:t>
            </w:r>
          </w:p>
        </w:tc>
        <w:tc>
          <w:tcPr>
            <w:tcW w:w="940" w:type="dxa"/>
            <w:vAlign w:val="bottom"/>
            <w:gridSpan w:val="2"/>
            <w:vMerge w:val="restart"/>
          </w:tcPr>
          <w:p>
            <w:pPr>
              <w:ind w:left="140"/>
              <w:spacing w:after="0" w:line="136" w:lineRule="exact"/>
              <w:rPr>
                <w:sz w:val="20"/>
                <w:szCs w:val="20"/>
                <w:color w:val="auto"/>
              </w:rPr>
            </w:pPr>
            <w:r>
              <w:rPr>
                <w:rFonts w:ascii="Arial" w:cs="Arial" w:eastAsia="Arial" w:hAnsi="Arial"/>
                <w:sz w:val="14"/>
                <w:szCs w:val="14"/>
                <w:b w:val="1"/>
                <w:bCs w:val="1"/>
                <w:color w:val="auto"/>
              </w:rPr>
              <w:t>Deferred</w:t>
            </w: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compensation</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Cashless warrant exercises of 260,000 in February, April</w:t>
            </w: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August</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260,000</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260</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(260)</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1"/>
              </w:rPr>
              <w:t>Warrant exercises of 275,000 shares at $1.00 per share in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March and 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275,000</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275</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274,725</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Write off balance of deferred employee stock-based</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as of 12/31/05</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(799,439)</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799,439</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88"/>
              </w:rPr>
              <w:t>Option exercises of 1,400 shares at $10.00 per share in May</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and 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1,400</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13,998</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2,090,182</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1"/>
              </w:rPr>
              <w:t>Purchase of treasury stock from $10.30—$13.10 per share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w w:val="95"/>
              </w:rPr>
              <w:t>in February, March, May, June, July, September and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October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2"/>
              </w:rPr>
              <w:t>(1,382,425)</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(35,689,611)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(34,017)</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(35,723,628)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10,421,985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10,422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258,611,697</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(49,205)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(1,437,870)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(156,154,136)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8"/>
              </w:rPr>
              <w:t>Cashless warrant exercises of 650,047 in January and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September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650,047</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650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Issuance of common stock in a public offering at $12.00 per</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February</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1,000,000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1,000</w:t>
            </w: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10,638,600</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3,939,416</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Issuance of shares under an employee stock purchase plan</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at $6.72</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33,782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(48,903,244)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(82,261)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(48,985,505)</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vMerge w:val="continue"/>
          </w:tcPr>
          <w:p>
            <w:pPr>
              <w:spacing w:after="0"/>
              <w:rPr>
                <w:sz w:val="14"/>
                <w:szCs w:val="1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12,072,027</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12,072</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273,189,063</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(131,466)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(1,404,088)</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(205,057,380)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66,608,201</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200" w:type="dxa"/>
            <w:vAlign w:val="bottom"/>
          </w:tcPr>
          <w:p>
            <w:pPr>
              <w:spacing w:after="0"/>
              <w:rPr>
                <w:sz w:val="12"/>
                <w:szCs w:val="12"/>
                <w:color w:val="auto"/>
              </w:rPr>
            </w:pPr>
          </w:p>
        </w:tc>
        <w:tc>
          <w:tcPr>
            <w:tcW w:w="132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2"/>
                <w:szCs w:val="2"/>
                <w:color w:val="auto"/>
              </w:rPr>
            </w:pPr>
          </w:p>
        </w:tc>
        <w:tc>
          <w:tcPr>
            <w:tcW w:w="780" w:type="dxa"/>
            <w:vAlign w:val="bottom"/>
            <w:vMerge w:val="restart"/>
          </w:tcPr>
          <w:p>
            <w:pPr>
              <w:ind w:left="140"/>
              <w:spacing w:after="0" w:line="136" w:lineRule="exact"/>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2"/>
                <w:szCs w:val="2"/>
                <w:color w:val="auto"/>
              </w:rPr>
            </w:pPr>
          </w:p>
        </w:tc>
        <w:tc>
          <w:tcPr>
            <w:tcW w:w="106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94"/>
              </w:rPr>
              <w:t>Treasury</w:t>
            </w:r>
          </w:p>
        </w:tc>
        <w:tc>
          <w:tcPr>
            <w:tcW w:w="98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2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80"/>
              </w:rPr>
              <w:t>compensation</w:t>
            </w: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 stock-based compensation</w:t>
            </w:r>
          </w:p>
        </w:tc>
        <w:tc>
          <w:tcPr>
            <w:tcW w:w="40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3,172,712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3,172,712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w w:val="87"/>
              </w:rPr>
              <w:t>Issuance of shares under an employee stock purchase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plan at $2.33 average</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86,726</w:t>
            </w:r>
          </w:p>
        </w:tc>
        <w:tc>
          <w:tcPr>
            <w:tcW w:w="200" w:type="dxa"/>
            <w:vAlign w:val="bottom"/>
          </w:tcPr>
          <w:p>
            <w:pPr>
              <w:spacing w:after="0"/>
              <w:rPr>
                <w:sz w:val="13"/>
                <w:szCs w:val="13"/>
                <w:color w:val="auto"/>
              </w:rPr>
            </w:pPr>
          </w:p>
        </w:tc>
        <w:tc>
          <w:tcPr>
            <w:tcW w:w="98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(21,924,829)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(21,924,829)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Accumulated other comprehensive income</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101,722</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101,722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loss</w:t>
            </w: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40" w:type="dxa"/>
            <w:vAlign w:val="bottom"/>
          </w:tcPr>
          <w:p>
            <w:pPr>
              <w:ind w:left="4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ind w:left="66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(21,823,107)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12,072,027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276,361,775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(29,744)</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(1,317,362)</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(226,982,209)</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48,044,532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2,371,636</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100,483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406,259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w w:val="92"/>
              </w:rPr>
              <w:t>Fair value of redemption feature of Avigen purchase</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9,513,042</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9,513,042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Issuance of shares under an employee stock purchase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plan at $2.21 average</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81,967</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(20,368,890)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(20,368,890)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(35,170)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(20,404,060)</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2009</w:t>
            </w: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12,172,510</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12,170</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288,652,712</w:t>
            </w:r>
          </w:p>
        </w:tc>
        <w:tc>
          <w:tcPr>
            <w:tcW w:w="200" w:type="dxa"/>
            <w:vAlign w:val="bottom"/>
          </w:tcPr>
          <w:p>
            <w:pPr>
              <w:spacing w:after="0"/>
              <w:rPr>
                <w:sz w:val="13"/>
                <w:szCs w:val="13"/>
                <w:color w:val="auto"/>
              </w:rPr>
            </w:pPr>
          </w:p>
        </w:tc>
        <w:tc>
          <w:tcPr>
            <w:tcW w:w="78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(64,914)</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2"/>
              </w:rPr>
              <w:t>(1,235,395)</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1"/>
              </w:rPr>
              <w:t>(247,351,099)</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40,013,474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2,000,935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44,948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166,550</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Convertible Notes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265,409</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265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1,804,515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1,804,780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Fair value of warrant issued in conjunction with</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Loan Agreement</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859,208</w:t>
            </w:r>
          </w:p>
        </w:tc>
        <w:tc>
          <w:tcPr>
            <w:tcW w:w="2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859,208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Issuance of shares under an employee stock purchase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plan at $6.56 average</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37,460</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(20,187,308)</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(20,187,308)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420"/>
              <w:spacing w:after="0" w:line="149" w:lineRule="exact"/>
              <w:rPr>
                <w:sz w:val="20"/>
                <w:szCs w:val="20"/>
                <w:color w:val="auto"/>
              </w:rPr>
            </w:pPr>
            <w:r>
              <w:rPr>
                <w:rFonts w:ascii="Arial" w:cs="Arial" w:eastAsia="Arial" w:hAnsi="Arial"/>
                <w:sz w:val="14"/>
                <w:szCs w:val="14"/>
                <w:color w:val="auto"/>
                <w:w w:val="96"/>
              </w:rPr>
              <w:t>Accumulated other comprehensive income</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9,212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(20,178,096)</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2010</w:t>
            </w: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12,482,867</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12,484</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293,483,920</w:t>
            </w:r>
          </w:p>
        </w:tc>
        <w:tc>
          <w:tcPr>
            <w:tcW w:w="200" w:type="dxa"/>
            <w:vAlign w:val="bottom"/>
          </w:tcPr>
          <w:p>
            <w:pPr>
              <w:spacing w:after="0"/>
              <w:rPr>
                <w:sz w:val="13"/>
                <w:szCs w:val="13"/>
                <w:color w:val="auto"/>
              </w:rPr>
            </w:pPr>
          </w:p>
        </w:tc>
        <w:tc>
          <w:tcPr>
            <w:tcW w:w="78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(55,702)</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2"/>
              </w:rPr>
              <w:t>(1,197,935)</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1"/>
              </w:rPr>
              <w:t>(267,538,407)</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24,704,360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1,372,748</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1,372,748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32,836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76,232</w:t>
            </w:r>
          </w:p>
        </w:tc>
        <w:tc>
          <w:tcPr>
            <w:tcW w:w="2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Convertible Notes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11,246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76,461</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w w:val="87"/>
              </w:rPr>
              <w:t>Issuance of shares under an employee stock purchase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plan</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8,230</w:t>
            </w:r>
          </w:p>
        </w:tc>
        <w:tc>
          <w:tcPr>
            <w:tcW w:w="20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8,230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LOSS—(Continued)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Convertible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preferred stock</w:t>
            </w:r>
          </w:p>
        </w:tc>
        <w:tc>
          <w:tcPr>
            <w:tcW w:w="12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other</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20"/>
              <w:spacing w:after="0" w:line="136" w:lineRule="exact"/>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2"/>
                <w:szCs w:val="2"/>
                <w:color w:val="auto"/>
              </w:rPr>
            </w:pPr>
          </w:p>
        </w:tc>
        <w:tc>
          <w:tcPr>
            <w:tcW w:w="960" w:type="dxa"/>
            <w:vAlign w:val="bottom"/>
            <w:gridSpan w:val="3"/>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2"/>
                <w:szCs w:val="2"/>
                <w:color w:val="auto"/>
              </w:rPr>
            </w:pPr>
          </w:p>
        </w:tc>
        <w:tc>
          <w:tcPr>
            <w:tcW w:w="82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7"/>
              </w:rPr>
              <w:t>Treasury</w:t>
            </w:r>
          </w:p>
        </w:tc>
        <w:tc>
          <w:tcPr>
            <w:tcW w:w="9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60" w:type="dxa"/>
            <w:vAlign w:val="bottom"/>
          </w:tcPr>
          <w:p>
            <w:pPr>
              <w:spacing w:after="0"/>
              <w:rPr>
                <w:sz w:val="2"/>
                <w:szCs w:val="2"/>
                <w:color w:val="auto"/>
              </w:rPr>
            </w:pP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compensation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stage</w:t>
            </w:r>
          </w:p>
        </w:tc>
        <w:tc>
          <w:tcPr>
            <w:tcW w:w="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units in a public offering at $3.00 per unit net</w:t>
            </w: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of issuance costs of $715,112, each unit consisting of</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one share of common stock and one warrant to</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purchase one share of common stock.</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2,800,666</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2,801</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7,684,085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7,686,886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88"/>
              </w:rPr>
              <w:t>Issuance of series B convertible preferred stock at $25 per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200"/>
              <w:spacing w:after="0" w:line="159" w:lineRule="exact"/>
              <w:rPr>
                <w:sz w:val="20"/>
                <w:szCs w:val="20"/>
                <w:color w:val="auto"/>
              </w:rPr>
            </w:pPr>
            <w:r>
              <w:rPr>
                <w:rFonts w:ascii="Arial" w:cs="Arial" w:eastAsia="Arial" w:hAnsi="Arial"/>
                <w:sz w:val="14"/>
                <w:szCs w:val="14"/>
                <w:color w:val="auto"/>
              </w:rPr>
              <w:t>share, net of issuance costs of $144,146</w:t>
            </w:r>
          </w:p>
        </w:tc>
        <w:tc>
          <w:tcPr>
            <w:tcW w:w="480" w:type="dxa"/>
            <w:vAlign w:val="bottom"/>
          </w:tcPr>
          <w:p>
            <w:pPr>
              <w:ind w:left="40"/>
              <w:spacing w:after="0" w:line="159" w:lineRule="exact"/>
              <w:rPr>
                <w:sz w:val="20"/>
                <w:szCs w:val="20"/>
                <w:color w:val="auto"/>
              </w:rPr>
            </w:pPr>
            <w:r>
              <w:rPr>
                <w:rFonts w:ascii="Arial" w:cs="Arial" w:eastAsia="Arial" w:hAnsi="Arial"/>
                <w:sz w:val="14"/>
                <w:szCs w:val="14"/>
                <w:color w:val="auto"/>
                <w:w w:val="82"/>
              </w:rPr>
              <w:t>220,000</w:t>
            </w:r>
          </w:p>
        </w:tc>
        <w:tc>
          <w:tcPr>
            <w:tcW w:w="16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2,200</w:t>
            </w:r>
          </w:p>
        </w:tc>
        <w:tc>
          <w:tcPr>
            <w:tcW w:w="7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5,353,654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5,355,854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common stock at $2.50 per share, net of</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issuance costs of $48,049</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800,000</w:t>
            </w:r>
          </w:p>
        </w:tc>
        <w:tc>
          <w:tcPr>
            <w:tcW w:w="5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w w:val="76"/>
              </w:rPr>
              <w:t>800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1,951,151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1,951,951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(17,734,076)</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(17,734,076)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(1,143)</w:t>
            </w:r>
          </w:p>
        </w:tc>
        <w:tc>
          <w:tcPr>
            <w:tcW w:w="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(17,735,219)</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2011</w:t>
            </w: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480" w:type="dxa"/>
            <w:vAlign w:val="bottom"/>
          </w:tcPr>
          <w:p>
            <w:pPr>
              <w:ind w:left="40"/>
              <w:spacing w:after="0" w:line="155" w:lineRule="exact"/>
              <w:rPr>
                <w:sz w:val="20"/>
                <w:szCs w:val="20"/>
                <w:color w:val="auto"/>
              </w:rPr>
            </w:pPr>
            <w:r>
              <w:rPr>
                <w:rFonts w:ascii="Arial" w:cs="Arial" w:eastAsia="Arial" w:hAnsi="Arial"/>
                <w:sz w:val="14"/>
                <w:szCs w:val="14"/>
                <w:color w:val="auto"/>
                <w:w w:val="82"/>
              </w:rPr>
              <w:t>220,000</w:t>
            </w: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  2,200</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16,127,615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84"/>
              </w:rPr>
              <w:t>$ 16,128</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309,998,251</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(56,845)</w:t>
            </w:r>
          </w:p>
        </w:tc>
        <w:tc>
          <w:tcPr>
            <w:tcW w:w="860" w:type="dxa"/>
            <w:vAlign w:val="bottom"/>
            <w:gridSpan w:val="3"/>
          </w:tcPr>
          <w:p>
            <w:pPr>
              <w:jc w:val="right"/>
              <w:ind w:right="100"/>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(1,189,705)</w:t>
            </w: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(285,272,483)</w:t>
            </w:r>
          </w:p>
        </w:tc>
        <w:tc>
          <w:tcPr>
            <w:tcW w:w="9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w w:val="95"/>
              </w:rPr>
              <w:t>$  23,497,546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9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gridSpan w:val="7"/>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(17,734,076)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(20,187,308)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(20,368,890)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(253,909,361)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Non-cash stock-based compensation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1,372,748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2,000,935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2,371,636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49,681,281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108,257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1,945,424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w w:val="94"/>
              </w:rPr>
              <w:t>Amortization of premium/discount on investment securities, convertible debt, debt discount and issuance costs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752,124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624,931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785,478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(310,250)</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(Gain)/loss on disposal of assets</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11,997</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sublease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90,546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(114,383)</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(577,591)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(656,196)</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(327,352)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890,854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1,321,542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(798,205)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285,672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502,947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Restricted assets</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5,982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tcPr>
          <w:p>
            <w:pPr>
              <w:spacing w:after="0"/>
              <w:rPr>
                <w:sz w:val="14"/>
                <w:szCs w:val="14"/>
                <w:color w:val="auto"/>
              </w:rPr>
            </w:pPr>
          </w:p>
        </w:tc>
        <w:tc>
          <w:tcPr>
            <w:tcW w:w="10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0"/>
              </w:rPr>
              <w:t>(13,308,652)</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(17,698,079)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(17,014,162)</w:t>
            </w:r>
          </w:p>
        </w:tc>
        <w:tc>
          <w:tcPr>
            <w:tcW w:w="60" w:type="dxa"/>
            <w:vAlign w:val="bottom"/>
          </w:tcPr>
          <w:p>
            <w:pPr>
              <w:spacing w:after="0"/>
              <w:rPr>
                <w:sz w:val="14"/>
                <w:szCs w:val="14"/>
                <w:color w:val="auto"/>
              </w:rPr>
            </w:pPr>
          </w:p>
        </w:tc>
        <w:tc>
          <w:tcPr>
            <w:tcW w:w="11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(197,848,033)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(458,036)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(2,371,749)</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28,111,943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1,252,846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(16,447)</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(2,277,590)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 (used in) investing activities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27,635,348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(1,135,350)</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(4,138,056)</w:t>
            </w:r>
          </w:p>
        </w:tc>
        <w:tc>
          <w:tcPr>
            <w:tcW w:w="0" w:type="dxa"/>
            <w:vAlign w:val="bottom"/>
          </w:tcPr>
          <w:p>
            <w:pPr>
              <w:spacing w:after="0"/>
              <w:rPr>
                <w:sz w:val="1"/>
                <w:szCs w:val="1"/>
                <w:color w:val="auto"/>
              </w:rPr>
            </w:pPr>
          </w:p>
        </w:tc>
      </w:tr>
      <w:tr>
        <w:trPr>
          <w:trHeight w:val="156"/>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units, net of issuance costs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9,715,100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166,599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406,357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131,178,622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5,355,854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85,572,825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17,605,485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17,605,485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14,670,000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14,670,000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76,473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1,804,780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1,881,253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8,230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37,460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81,967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(1,223,487)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debt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(15,000,000)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Repayment of ARS loan</w:t>
            </w:r>
          </w:p>
        </w:tc>
        <w:tc>
          <w:tcPr>
            <w:tcW w:w="10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(17,605,485)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 provided by financing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155,657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(926,646)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18,093,809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217,079,213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Net increase / (decrease)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0"/>
              </w:rPr>
              <w:t>(13,159,080)</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9,010,623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(55,703)</w:t>
            </w:r>
          </w:p>
        </w:tc>
        <w:tc>
          <w:tcPr>
            <w:tcW w:w="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15,093,124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28,252,204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19,241,581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19,297,284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15,093,124</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28,252,204</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19,241,581</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15,093,124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activities and financing activities: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China joint venture investment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Issuance of warrants</w:t>
            </w: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2,882,258</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2,882,258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43,515,677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76,473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1,805,342</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1,881,815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12,678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4"/>
                <w:szCs w:val="14"/>
                <w:color w:val="auto"/>
              </w:rPr>
              <w:t>Interest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1,088,926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1,163,053</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235,364</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2,487,343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activities related to business acquisition: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Fair value of assets acquired (sold)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(458,036)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36,687,706</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36,229,670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Liabilities assumed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(1,008,687)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(1,956,000)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(1,956,000)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value of total merger consideration (Note 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(42,865,224)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(42,865,224)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incurred losses of $17.7 million, $20.2 million and $20.4 million for the years ended December 31, 2011, 2010, and 2009 respectively. We have an accumulated deficit of $285.3 million as of December 31, 2011. Additionally, we have used net cash of $13.3 million, $17.7 million and $17.0 million to fund our operating activities for the years ended December 31, 2011, 2010, and 2009,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To date, these operating losses have been funded primarily through the private placement of our equity securities, the public sale of our common stock, long-term debt and the exercise of founders’ warrants, net of treasury stock repurchases.</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material commitments for capital expenditures. We do conduct clinical trials which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Our R&amp;D expense and cash payments in future periods could potentially be impacted if we were not to receive complete and accurate information from the CRO or other third parties on a timely basis or correctly estimate the outcome of contract negotiations, activity levels and enrollment rates. We have recently announced on March 21, 2012 the completion of patient enrollment of a significant Phase 2 clinical trial (MN-221-CL-007), the trial results of which are expected in second quarter of 2012.</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had, and will continue to have an ongoing need to raise additional cash from outside sources to fund our operations. Our business will continue to require us to incur substantial research and development expenses and management plans to continue financing operations with equity issuances, debt arrangements or a combination thereof.</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our current liquidity position will be sufficient to fund our operating requirements for at least the next 12 months. We expect to utilize our cash and cash equivalents to fund our operations, including research and development of our product development candidates and for clinical trials. Additionally, we believe that without additional sources of financing, we do not currently have adequate funding to complete the research and development and clinical trials required to bring our future products to market. We will therefore require significant additional funding. If we are unsuccessful in our efforts to raise additional funds, we will be required to significantly reduce or curtail our future research and development activities and other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primary activities since incorporation have been recruiting personnel, conducting research and development, performing business and financial planning and raising capital. Accordingly, in connection with preparation of the consolidated financial statements we operate under one reporting segment and are considered to be in the development stage, in accordance with the authoritative guidance for development stage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quarter of 2005, we completed our initial public offering, or IPO, of 3,000,000 shares of common stock in Japan for proceeds of $104.5 million, net of underwriting discounts and commissions and offering costs. In December 2006, we were listed on the Nasdaq Global Market. Accordingly, we are a public company in both the U.S. and Japan, as our stock is traded on both the Nasdaq Global Market and the Jasdaq Market (formerly the Hercules Market of the Osaka Securities Exchange until its closure in 2010).</w:t>
      </w:r>
    </w:p>
    <w:p>
      <w:pPr>
        <w:spacing w:after="0" w:line="13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Avigen Transaction. </w:t>
      </w:r>
      <w:r>
        <w:rPr>
          <w:rFonts w:ascii="Arial" w:cs="Arial" w:eastAsia="Arial" w:hAnsi="Arial"/>
          <w:sz w:val="18"/>
          <w:szCs w:val="18"/>
          <w:color w:val="auto"/>
        </w:rPr>
        <w:t>On December 18, 2009, or the Merger Date, Absolute Merger, Inc., a wholly-owned subsidiary of ours, merged with and into Avigen,</w:t>
      </w:r>
      <w:r>
        <w:rPr>
          <w:rFonts w:ascii="Arial" w:cs="Arial" w:eastAsia="Arial" w:hAnsi="Arial"/>
          <w:sz w:val="18"/>
          <w:szCs w:val="18"/>
          <w:i w:val="1"/>
          <w:iCs w:val="1"/>
          <w:color w:val="auto"/>
        </w:rPr>
        <w:t xml:space="preserve"> </w:t>
      </w:r>
      <w:r>
        <w:rPr>
          <w:rFonts w:ascii="Arial" w:cs="Arial" w:eastAsia="Arial" w:hAnsi="Arial"/>
          <w:sz w:val="18"/>
          <w:szCs w:val="18"/>
          <w:color w:val="auto"/>
        </w:rPr>
        <w:t>Inc., or Avigen, with Avigen continuing as the surviving entity and wholly-owned subsidiary of ours, or the Merger. Under the terms of the Merger agreement, Avigen shareholders, at their election, received an amount per share either in cash, convertible notes issued by us or a combination thereof, upon closing. Avigen shareholders holding approximately 17% of the 29,852,115 shares of Avigen common stock outstanding at the closing date elected to receive cash in the amount of approximately $1.19 per share with an additional $0.04 per share paid in two increments during fiscal year 2010, while the remaining 83% received the corresponding value of additional convertible notes issued by us. In March 2011 we paid $0.02 per share to former Avigen shareholders related to the management transition plan Contingent Payment Rights (CPR). All additional CPR expired on August 18, 2011 and no payments were made related to these CPR.</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Avigen Management Transition Plan (MTP). </w:t>
      </w:r>
      <w:r>
        <w:rPr>
          <w:rFonts w:ascii="Arial" w:cs="Arial" w:eastAsia="Arial" w:hAnsi="Arial"/>
          <w:sz w:val="18"/>
          <w:szCs w:val="18"/>
          <w:color w:val="auto"/>
        </w:rPr>
        <w:t>On March 11, 2011, a designated representative from Avigen notified us of the termination of the Avigen</w:t>
      </w:r>
      <w:r>
        <w:rPr>
          <w:rFonts w:ascii="Arial" w:cs="Arial" w:eastAsia="Arial" w:hAnsi="Arial"/>
          <w:sz w:val="18"/>
          <w:szCs w:val="18"/>
          <w:i w:val="1"/>
          <w:iCs w:val="1"/>
          <w:color w:val="auto"/>
        </w:rPr>
        <w:t xml:space="preserve"> </w:t>
      </w:r>
      <w:r>
        <w:rPr>
          <w:rFonts w:ascii="Arial" w:cs="Arial" w:eastAsia="Arial" w:hAnsi="Arial"/>
          <w:sz w:val="18"/>
          <w:szCs w:val="18"/>
          <w:color w:val="auto"/>
        </w:rPr>
        <w:t>MTP, with the final distribution to occur on or about March 31, 2011. In connection with the termination of the Avigen MTP and pursuant to the related contingent payment rights agreement, the remaining funds were distributed to American Stock Transfer &amp; Trust Company, LLC, or AST, and AST was instructed to distribute the funds to the Avigen shareholders on a pro rata basis (approximately $0.02 per share) based on the shares of Avigen common stock held immediately prior to the effective time of the Merger.</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Joint Venture. </w:t>
      </w:r>
      <w:r>
        <w:rPr>
          <w:rFonts w:ascii="Arial" w:cs="Arial" w:eastAsia="Arial" w:hAnsi="Arial"/>
          <w:sz w:val="16"/>
          <w:szCs w:val="16"/>
          <w:color w:val="auto"/>
        </w:rPr>
        <w:t>We entered into an agreement to form a joint venture company with Zhejiang Medicine Co., Ltd. and Beijing Make-Friend Medicine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Kissei. In accordance with the joint venture agreement, on March 16, 2012, we paid $650,000 for a 30% interest in the joint venture company. The other parties to the joint venture agreement are responsible for providing their initial funding in the joint venture company for their combined 70% interest, and for future funding for the joint venture company’s activities. We have not entered into the sublicense of MN-221 with the joint venture company as of the date of this filing. At December 31, 2011, we reflect a long-term asset on our consolidated balance sheet which represents our investment and a corresponding current liability which represents our required capital contribution payable to the joint venture company. We evaluated the joint venture company under the authoritative guidance and concluded that it is a variable interest entity for which we are not the primary beneficiary as we will not have a majority of the board seats and we will not have power to direct or significantly influence the actions of the entity. We will therefore not consolidate the joint venture company into our financial results but will account for the activities of the joint venture company under the equity method whereby we will absorb any loss or income generated by the entity according to our percentage ownership. See Notes to Consolidated Financial Statements—Note 12. Subsequent Events, for information regarding our payment for the 30% interest in the joint venture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development of our compounds for the European marketplace. MediciNova (Europe) Limited’s functional currency is the U.S. dollar, the reporting currency of its parent.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Merger with Avigen.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 under different assumptions or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2011 consisted of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Restricted cash consisted of cash held in a separate trust account, managed by a third-party, in connection with the Avigen transaction. We no longer hold restricted cash as of our payment of the Convertible Notes at their maturity on June 18,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w:t>
      </w:r>
    </w:p>
    <w:p>
      <w:pPr>
        <w:spacing w:after="0" w:line="15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Restricted investment consisted of cash held in an irrevocable grantor trust to fund benefit obligations under the Avigen MTP. These funds represented reserves for eligible benefits as defined by the MTP. At December 31, 2011, we no longer held restricted investments as a result of payouts in 2011 of eligible benefits to terminated employees and fees associated with managing the trust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Letter of Credit</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Restricted letter of credit consisted of cash provided as a credit guarantee and security for an irrevocable letter of credit related to the original lease of office space which expired November 30, 2010. The funds remaining after the letter of credit expired reverted to the escrow holdback account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Revenue Recognition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no revenues for each of the years in the three-year period ended December 31, 2011.</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October 13, 2011, we entered into an agreement with Kissei to perform research and development services relating to MN-221 in exchange for a non-refundable upfront payment of $2.5 million. Under the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of the agreement we are responsible for all costs to be incurred in the performance of these services which are expected to be completed in 2012 and 2013. We assessed the deliverables in accordance with the authoritative guidance and concluded the existence of one deliverable, research and development services. As such, we will recognize as revenue the $2.5 million payment as the research and development services are performed. The amount received from Kissei is recorded on the balance sheet at December 31, 2011 as deferred revenue. As of December 31, 2011, we have not recorded any revenue in 2011 relating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At the closing of the Merger, we and AST, as trustee, entered into an indenture. Under the terms of a separate trust agreement, $29.4 million, which represented the First Payment Consideration less approximately $6.0 million paid out to Avigen shareholders who elected cash payment and the initial principal amount of the convertible notes, or Convertible Notes, was deposited with a trust agent for the benefit of the holders and us (the amount of such deposit together with interest accrued and capitalized thereon, the Property). At the Merger Date we recorded the Convertible Notes in our consolidated balance sheet at fair value.</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we would issue the number of whole shares of common stock issuable upon conversion and the trustee would in turn release to us the respective amount of restricted cash to cover the stock issuance. For the year ended December 31, 2011, approximately $76,000, of Convertible Notes were converted into 11,246 shares of our common stock. All remaining Convertible Notes matured on June 18, 2011 and the principal was repaid in full.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Holdback</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closing of the Merger, we and Avigen funded in cash and letter of credit $1,500,000 in a separate escrow account, or Second Payment Consideration, pursuant to an escrow agreement. The Second Payment Consideration was considered the “Escrow Holdback”. We (Avigen and us) had identified certain additional liabilities of approximately $400,000 prior to closing of the Merger. As such, in accordance with the procedures set forth in the escrow agreement, $400,000 was released from the escrow account in satisfaction of these additional liabilities. A reconciliation of expenses was performed around June 30, 2010 and the letter of credit expired in November 2010. As a result, the Second Payment Consideration of $0.04 per share was paid in two installments. At the Merger Date, we recorded the Escrow Holdback in our consolidated balance sheet at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May 5, 2011, we entered into an at-the-market, or ATM, issuance sales agreement, or sales agreement, with McNicoll, Lewis &amp; Vlak LLC, or MLV, pursuant to which we could issue and sell shares of our common stock having an aggregate offering price of up to $15.0 million from time to time through MLV as our sales agent. The issuance and sale of these shares by us under the sales agreement, if any, would be subject to the effectiveness of our shelf registration statement on Form S-3 (File No. 333-163116), initially filed with the Securities and Exchange Commission on November 13, 2009.</w:t>
      </w:r>
    </w:p>
    <w:p>
      <w:pPr>
        <w:spacing w:after="0" w:line="99" w:lineRule="exact"/>
        <w:rPr>
          <w:sz w:val="20"/>
          <w:szCs w:val="20"/>
          <w:color w:val="auto"/>
        </w:rPr>
      </w:pPr>
    </w:p>
    <w:p>
      <w:pPr>
        <w:ind w:right="1680" w:firstLine="456"/>
        <w:spacing w:after="0" w:line="422" w:lineRule="auto"/>
        <w:rPr>
          <w:sz w:val="20"/>
          <w:szCs w:val="20"/>
          <w:color w:val="auto"/>
        </w:rPr>
      </w:pPr>
      <w:r>
        <w:rPr>
          <w:rFonts w:ascii="Arial" w:cs="Arial" w:eastAsia="Arial" w:hAnsi="Arial"/>
          <w:sz w:val="18"/>
          <w:szCs w:val="18"/>
          <w:color w:val="auto"/>
        </w:rPr>
        <w:t xml:space="preserve">Effective October 23, 2011, we terminated the ATM between us and MLV. No shares of common stock were issued under the ATM. </w:t>
      </w:r>
      <w:r>
        <w:rPr>
          <w:rFonts w:ascii="Arial" w:cs="Arial" w:eastAsia="Arial" w:hAnsi="Arial"/>
          <w:sz w:val="18"/>
          <w:szCs w:val="18"/>
          <w:b w:val="1"/>
          <w:bCs w:val="1"/>
          <w:i w:val="1"/>
          <w:iCs w:val="1"/>
          <w:color w:val="auto"/>
        </w:rPr>
        <w:t>Concentrations and Credit Risk</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amount insured by the Federal Deposit Insurance Corporation. We also maintain money market funds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various financial institutions which are not federally insured although are invested primarily in U.S. government securities. We have not experienced any losses in such accounts and management believes that we do not have significant credit risk with respect to such cash and cash equivalents. We have sustained operating losses since inception and expect such losses to continue over the next several years. Management plans to continue financing operations with equity issuances, debt arrangements or a combination thereof. We believe our working capital at December 31, 2011 to be sufficient to fund our operating requirements through at least December 31, 2012.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5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December 31, 2011 and 2010, we had goodwill and IPR&amp;D recorded of $9.6 million and $4.8 million, respectively.</w:t>
      </w:r>
    </w:p>
    <w:p>
      <w:pPr>
        <w:spacing w:after="0" w:line="9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annual test date for goodwill and purchased intangibles impairment is December 31 or more frequently if we believe indicators of impairment are present.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Financial instruments, including cash equivalents, accounts payable and accrued liabilities, are carried at cost, which we believe approximates fair value given their short-term nature. We are required to measure certain assets and liabilities at fair value, either upon initial measurement or for subsequent accounting or reporting. We use fair value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the assets acquired and liabilities assumed in the Avigen transaction on December 18, 2009 have been recorded at their estimated fair values as of the Merger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judgments made in determining an estimate of fair value can materially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Property and equipment, net, which consists of leasehold improvements, furniture and equipment and software, is stated at cost. Leasehold improvements, furniture and equipment, and software are depreciated using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lease at our headquarters in San Diego, California expires in May, 2012. We also lease office space in Tokyo, Japan under a lease that expires in May, 2013. See Notes to Consolidated Financial Statements-Note 12. Subsequent Events, for information regarding a lease amendment for our San Diego lease.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provisions such as those for estimates of work performed, milestones achieved, patient enrollment, etc. As actual costs become known, accruals are adjusted if necessary. To date, our accrual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January 1, 2007, we adopted the authoritative guidance on accounting for uncertainty in income taxes, which prescribes a comprehensive model for how we should recognize, measure, present and disclose in our financial statements for uncertain tax positions that we have taken or expect to take on a tax return. The cumulative effect of adopting the guidance on accounting for uncertainty in income taxes resulted in no adjustment to retained earnings as of January 1, 2007.</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since implementation of guidance on accounting for uncertainty in income taxes.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subject to taxation in the U.S.,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During each of the three years in the period ended December 31, 2011, income tax expense relates to intercompany service income earned by our Japanese subsidiary, MediciNova Japan,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grant stock options to our employees, directors and consultants under the MediciNova, Inc. Amended and Restated 2004 Stock Incentive Plan (the “2004 Plan”), the successor to the MediciNova, Inc. 2000 General Stock Incentive Plan (the “2000 Plan”). No additional stock options have been or will be issued under the 2000 Plan subsequent to our IPO. Stock options issued to non-employees were recorded at their fair value as determined in accordance with the authoritative guidance for equity under ASC 505.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MediciNova, Inc. 2007 Employee Stock Purchase Plan, or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10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exercise price of stock options granted during the years ended December 31, 2011, 2010 and 2009 were equal to market value on the date of grant. During the years ended December 31, 2011, 2010 and 2009, options to purchase 1,431,000, 525,000 and 521,373 shares of common stock, respectively, were granted. For the year ended December 31, 2011, 4,135 shares were issued under the ESPP, leaving 269,992 shares available for future issuance. Stock-based compensation expense for such stock options and employee stock purchase place are reflected in total operating expense for each respective year. The estimated fair value of each stock option award was determined on the date of grant using the Black-Scholes option valuation model with the following weighted-average assumptions for stock option grants: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2"/>
              </w:rPr>
              <w:t>December 31,</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18"/>
                <w:szCs w:val="18"/>
                <w:color w:val="auto"/>
              </w:rPr>
            </w:pPr>
          </w:p>
        </w:tc>
        <w:tc>
          <w:tcPr>
            <w:tcW w:w="82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2010</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78.79%</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70.00%</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Employee Stock Purchase Plan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0.69%</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0.57%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77.88%</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76.00%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73.00%</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r>
    </w:tbl>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employee stock options. The expected volatility is based on the historical volatility of our stock since listing on the Nasdaq Global Market in December 2006. We have not paid nor do we anticipate paying dividends on our common stock in the foreseeable future. The expected term of employee stock options is based on the simplified method as provided by the authoritative guidance on stock compensation, as we concluded that our historical stock option exercise experience does not provide a reasonable basis for us to estimate the expected term.</w:t>
      </w:r>
    </w:p>
    <w:p>
      <w:pPr>
        <w:spacing w:after="0" w:line="12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weighted-average fair value of each stock option granted during the years ended December 31, 2011, 2010 and 2009, estimated as of the grant date using the Black-Scholes option valuation model, was $1.25 per option, $4.02 per option and $1.53 per option, respectively.</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years ended December 31, 2011, 2010 and 2009, stock-based compensation expense related to stock options and the employee stock purchase plan was approximately $1.4 million, $2.0 million and $2.4 million, respectively, and was recorded as a component of general and administrative expense (approximately $1.1 million, $1.6 million and $1.9 million, respectively) and research and development expense (approximately $0.3 million, $0.4 million and $0.5 million, respectively). During the years ended December 31, 2011, 2010 and 2009, there were 32,836, 44,948 and 100,483 stock options exercised, respectively, from which proceeds of approximately $.08 million, $0.2 million and $0.4 million, respectively, were received.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December 31, 2011, there was approximately $2.0 million of unamortized compensation cost related to unvested stock option awards which is expected to be recognized over a remaining weighted-average vesting period of 1.9 years, on a straight-line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authoritative guidance for comprehensive income under ASC 220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available for sale investments, are reported, net of their related tax effect, to arrive at comprehensive income (loss). For the years ended December 31, 2011, 2010 and 2009, comprehensive loss was $17,735,219, $20,178,096 and $20,404,060, respectively. The table below sets forth the components of our accumulated other comprehensive loss at: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(55,702)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(64,914)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(29,744)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Currency translation</w:t>
            </w:r>
          </w:p>
        </w:tc>
        <w:tc>
          <w:tcPr>
            <w:tcW w:w="3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9,212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(56,845)</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(55,702)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(64,914)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attributable to common stockholders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years ended December 31, 2011, 2010 and 2009, 5,436,111, 470,200 and 4,547,300, respectively, of potentially dilutive securities were excluded from determining diluted earnings per share because of their anti-dilutive effect.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updated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and becomes effective for us in the first quarter of fiscal year 2012. We do not expect the adoption to have a material impact on our financial position or results of operations.</w:t>
      </w:r>
    </w:p>
    <w:p>
      <w:pPr>
        <w:spacing w:after="0" w:line="13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June 2011, the FASB issued a guidance related to the Presentation of Comprehensive Income. The guidance requires an entity to present items of net income and other comprehensive income, or OCI, and total comprehensive income either in a single continuous statement of comprehensive income or two separate but continuous statements. We will no longer be allowed to present OCI in the statement of stockholders’ equity.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Earnings per share would continue to be based on net income. Although existing guidance related to items that must be presented in OCI has not changed, companies will be required to display reclassification adjustments for each component of OCI in both net income and OCI. Also, companies will need to present the components of other comprehensive income in their interim and annual financial statements. This guidance is required to be implemented retrospectively during interim and annual periods beginning after December 15, 2011 and becomes effective for us in the first quarter of fiscal year 2012. The adoption of this update is not expected to have a material impact on our consolidated financial statements.</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2011, the FASB issued updated guidance related to Fair Value Measurements and Disclosures that clarified and amended the wording used to describe many of the requirements in GAAP for measuring fair value and for disclosing information about fair value measurements. The FASB also clarified the intent of existing fair value measurement requirements. The new and revised disclosures are required to be implemented prospectively during interim and annual periods beginning after December 15, 2011 and become effective for us in the first quarter of fiscal year 2012. Early adoption is not permitted. The adoption of this update is not expected to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whose potential product candidate is a therapeutic for Central Nervous System, or CNS, disorders. Under the terms of the acquisition, we issued $29.4 million in secured convertible notes that matured on June 18, 2011.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As part of the merger consideration, the former Avigen shareholders were also entitled to receive approximately $0.04 per share, which was paid in two increments in 2010, and rights under contingent payment rights issued as part of the merger consideration. The amount to be paid in the two installments was net of a reconciliation of Avigen expenses and a letter of credit after expiry. Under the first and second installments paid out, we paid $140,119 and $73,449, respectively, to Avigen shareholders who elected payment in cash and we issued an additional principal amount of $685,917 and $359,551, respectively, in convertible notes to Avigen shareholders who elected payment in convertible notes in lieu of a cash payment. We have included Avigen’s business operations in our consolidated financial statements since the merger date and we have accounted for the merger under the acquisition method of accounting.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58" w:lineRule="exact"/>
        <w:rPr>
          <w:sz w:val="20"/>
          <w:szCs w:val="20"/>
          <w:color w:val="auto"/>
        </w:rPr>
      </w:pPr>
    </w:p>
    <w:p>
      <w:pPr>
        <w:ind w:left="1720" w:right="84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186" w:lineRule="exact"/>
        <w:rPr>
          <w:sz w:val="20"/>
          <w:szCs w:val="20"/>
          <w:color w:val="auto"/>
        </w:rPr>
      </w:pPr>
    </w:p>
    <w:p>
      <w:pPr>
        <w:ind w:left="1720" w:right="700" w:hanging="1133"/>
        <w:spacing w:after="0" w:line="259"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w w:val="98"/>
              </w:rPr>
              <w:t>As of December 31, 2011</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8"/>
                <w:szCs w:val="18"/>
                <w:b w:val="1"/>
                <w:bCs w:val="1"/>
                <w:color w:val="auto"/>
                <w:w w:val="88"/>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5"/>
          </w:tcPr>
          <w:p>
            <w:pPr>
              <w:ind w:left="6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1,659</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1,659</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9"/>
              </w:rPr>
              <w:t>As of December 31, 2010</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8"/>
                <w:szCs w:val="18"/>
                <w:b w:val="1"/>
                <w:bCs w:val="1"/>
                <w:color w:val="auto"/>
                <w:w w:val="88"/>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5"/>
          </w:tcPr>
          <w:p>
            <w:pPr>
              <w:ind w:left="8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Level 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8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11,082</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11,082</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9"/>
              </w:rPr>
              <w:t>As of December 31, 2010</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8"/>
                <w:szCs w:val="18"/>
                <w:b w:val="1"/>
                <w:bCs w:val="1"/>
                <w:color w:val="auto"/>
                <w:w w:val="88"/>
              </w:rPr>
              <w:t>Fair Value Measurements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5"/>
          </w:tcPr>
          <w:p>
            <w:pPr>
              <w:ind w:left="6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5"/>
          </w:tcPr>
          <w:p>
            <w:pPr>
              <w:ind w:left="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debt(3)</w:t>
            </w:r>
          </w:p>
        </w:tc>
        <w:tc>
          <w:tcPr>
            <w:tcW w:w="3040" w:type="dxa"/>
            <w:vAlign w:val="bottom"/>
            <w:gridSpan w:val="4"/>
          </w:tcPr>
          <w:p>
            <w:pPr>
              <w:ind w:left="1860"/>
              <w:spacing w:after="0"/>
              <w:rPr>
                <w:sz w:val="20"/>
                <w:szCs w:val="20"/>
                <w:color w:val="auto"/>
              </w:rPr>
            </w:pPr>
            <w:r>
              <w:rPr>
                <w:rFonts w:ascii="Arial" w:cs="Arial" w:eastAsia="Arial" w:hAnsi="Arial"/>
                <w:sz w:val="18"/>
                <w:szCs w:val="18"/>
                <w:color w:val="auto"/>
              </w:rPr>
              <w:t>$ 4,952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notes(1, 2)</w:t>
            </w:r>
          </w:p>
        </w:tc>
        <w:tc>
          <w:tcPr>
            <w:tcW w:w="18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4"/>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liability</w:t>
            </w:r>
          </w:p>
        </w:tc>
        <w:tc>
          <w:tcPr>
            <w:tcW w:w="18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portion(3)</w:t>
            </w:r>
          </w:p>
        </w:tc>
        <w:tc>
          <w:tcPr>
            <w:tcW w:w="18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$ 9,484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liability</w:t>
            </w:r>
          </w:p>
        </w:tc>
        <w:tc>
          <w:tcPr>
            <w:tcW w:w="18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$ 9,484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4"/>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the convertible notes and the related conversion feature was based on a binomial option pricing model, or BOPM. Assumptions used in the BOPM included the maturity date of the Convertible Notes, the time between nodes, volatility, face value of the Convertible Notes at the merger closing date and the risk-free rate.</w:t>
      </w:r>
    </w:p>
    <w:p>
      <w:pPr>
        <w:jc w:val="both"/>
        <w:ind w:left="460" w:right="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measured during interim periods and subsequent settlements (conversions to our stock) would be accounted for in equity.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carrying value of the long-term debt, current and non-current portion, approximates fair value.</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December 31, 2011, cash equivalents (instruments with maturities of three months or less at the date of purchase) were $1.7 million and primarily invested in money market accounts. At December 31, 2011, we no longer held restricted cash. We measure cash equivalents, restricted cash and restricted investments on a recurring basis. The fair value of our cash equivalents, which are current assets, is based on Level 1 criteria in which their carrying amount is a reasonable estimate of their fair value based on daily quoted market prices.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liabilities measured at fair value using significant observable inputs (Level 3)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2011 and 2010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rPr>
              <w:t>Auction Rate</w:t>
            </w:r>
          </w:p>
        </w:tc>
        <w:tc>
          <w:tcPr>
            <w:tcW w:w="4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Auction Rate</w:t>
            </w:r>
          </w:p>
        </w:tc>
        <w:tc>
          <w:tcPr>
            <w:tcW w:w="440" w:type="dxa"/>
            <w:vAlign w:val="bottom"/>
          </w:tcPr>
          <w:p>
            <w:pPr>
              <w:spacing w:after="0"/>
              <w:rPr>
                <w:sz w:val="18"/>
                <w:szCs w:val="18"/>
                <w:color w:val="auto"/>
              </w:rPr>
            </w:pPr>
          </w:p>
        </w:tc>
        <w:tc>
          <w:tcPr>
            <w:tcW w:w="18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w w:val="86"/>
              </w:rPr>
              <w:t>Convertible</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Long-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Security Put(1)</w:t>
            </w:r>
          </w:p>
        </w:tc>
        <w:tc>
          <w:tcPr>
            <w:tcW w:w="44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Securities(2)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w w:val="91"/>
              </w:rPr>
              <w:t>Notes</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term Debt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Balance at December 31, 2009</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Conversion of convertible notes</w:t>
            </w:r>
          </w:p>
        </w:tc>
        <w:tc>
          <w:tcPr>
            <w:tcW w:w="4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increase or proceeds</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 accretion</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Fair value adjustment</w:t>
            </w:r>
          </w:p>
        </w:tc>
        <w:tc>
          <w:tcPr>
            <w:tcW w:w="4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(2,786)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Realized gain</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Redemptions</w:t>
            </w:r>
          </w:p>
        </w:tc>
        <w:tc>
          <w:tcPr>
            <w:tcW w:w="4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(28,112)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(28,626)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Conversion of convertible notes</w:t>
            </w:r>
          </w:p>
        </w:tc>
        <w:tc>
          <w:tcPr>
            <w:tcW w:w="4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increase or proceeds</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 accretion/write-off</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Repayment</w:t>
            </w:r>
          </w:p>
        </w:tc>
        <w:tc>
          <w:tcPr>
            <w:tcW w:w="4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color w:val="auto"/>
              </w:rPr>
              <w:t>28,613</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fair value of the ARS put was determined on a level 3 basis based on a discounted cash flow model, which employed a liquidity discount taking into consideration the cost of capital of the redeeming entity, UBS. At December 31, 2010, we no longer held the ARS put as it was redeemed by UBS on July 1, 2010.</w:t>
      </w:r>
    </w:p>
    <w:p>
      <w:pPr>
        <w:ind w:left="460" w:right="62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fair value of the ARS was determined on a level 3 basis based a discounted cash flow model, which employed liquidity discounts and included assumptions regarding future cash flows and the likelihood of the redemption or refinancing of such 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May 10, 2010, we entered into a loan and security agreement, or the Loan Agreement, with Oxford Finance Corporation, or Oxford, under which we borrowed $15.0 million at a stated interest rate of 12.87 percent.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obligations under the Loan Agreement were secured by a first priority security interest in substantially all of our assets, other than our intellectual property and we also had agreed not to pledge or otherwise encumber our intellectual property. Our obligations under the Loan Agreement were guaranteed on a senior secured basis by Avigen. The Loan Agreement also contained certain restrictive covenants.</w:t>
      </w:r>
    </w:p>
    <w:p>
      <w:pPr>
        <w:spacing w:after="0" w:line="12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Pursuant to the Loan Agreement, we issued to Oxford a warrant to purchase up to 198,020 shares of our common stock. This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were immediately separable and issued separately; thus, we accounted for the warrant as a component of stockholders’ equity as the agreement required settlement in shares and under no provision of the agreement are we required to settle the warrant in cash.</w:t>
      </w:r>
    </w:p>
    <w:p>
      <w:pPr>
        <w:spacing w:after="0" w:line="10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waived the prepayment penalty of approximately $437,000.</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accounted for the interest on the debt using the effective interest method wherein we treated the debt issuance costs paid directly to the lender (financing fees) and the relative fair value of the warrants issued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lender as a discount on the debt (or a contra liability)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 of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long-term debt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Year Ended December 31, 2011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7"/>
              </w:rPr>
              <w:t>Write-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Off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Debt</w:t>
            </w: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(Interest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12/31/2010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Expense)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Payments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Costs</w:t>
            </w: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w w:val="84"/>
              </w:rPr>
              <w:t>12/31/2011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Other Assets:</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Debt issuance costs paid to third parties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124,722</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(21,426)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(103,296)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(15,000,000)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interest charge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(134,491)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(504,207)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188,698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(15,134,491)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(504,207)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15,450,000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188,698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Relative fair value of warrants issued to</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640"/>
              <w:spacing w:after="0"/>
              <w:rPr>
                <w:sz w:val="20"/>
                <w:szCs w:val="20"/>
                <w:color w:val="auto"/>
              </w:rPr>
            </w:pPr>
            <w:r>
              <w:rPr>
                <w:rFonts w:ascii="Arial" w:cs="Arial" w:eastAsia="Arial" w:hAnsi="Arial"/>
                <w:sz w:val="18"/>
                <w:szCs w:val="18"/>
                <w:color w:val="auto"/>
              </w:rPr>
              <w:t>lender(1)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595,342</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(102,274)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(493,068)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paid to lender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(86,079)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699,276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(120,129)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(579,147)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 2010</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18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Carrying</w:t>
            </w: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5/10/10-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5/10/10-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r>
      <w:tr>
        <w:trPr>
          <w:trHeight w:val="228"/>
        </w:trPr>
        <w:tc>
          <w:tcPr>
            <w:tcW w:w="116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5/10/10</w:t>
            </w: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12/31/10</w:t>
            </w: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6"/>
              </w:rPr>
              <w:t>12/31/10</w:t>
            </w:r>
          </w:p>
        </w:tc>
        <w:tc>
          <w:tcPr>
            <w:tcW w:w="8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12/31/2010</w:t>
            </w:r>
          </w:p>
        </w:tc>
        <w:tc>
          <w:tcPr>
            <w:tcW w:w="100" w:type="dxa"/>
            <w:vAlign w:val="bottom"/>
            <w:tcBorders>
              <w:bottom w:val="single" w:sz="8" w:color="CCEEFF"/>
            </w:tcBorders>
          </w:tcPr>
          <w:p>
            <w:pPr>
              <w:spacing w:after="0"/>
              <w:rPr>
                <w:sz w:val="19"/>
                <w:szCs w:val="19"/>
                <w:color w:val="auto"/>
              </w:rPr>
            </w:pPr>
          </w:p>
        </w:tc>
      </w:tr>
      <w:tr>
        <w:trPr>
          <w:trHeight w:val="198"/>
        </w:trPr>
        <w:tc>
          <w:tcPr>
            <w:tcW w:w="48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Debt issuance costs paid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180,000</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(55,278)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124,722</w:t>
            </w: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w w:val="86"/>
              </w:rPr>
              <w:t>(15,000,000)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(15,000,000)</w:t>
            </w: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(134,491)</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(134,491)</w:t>
            </w: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w w:val="86"/>
              </w:rPr>
              <w:t>(15,000,000)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(134,491)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(15,134,491)</w:t>
            </w: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Relative fair value of warrants issued to lender(1)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859,209</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(263,867)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595,342</w:t>
            </w: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(46,066)</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103,934</w:t>
            </w: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1,009,209</w:t>
            </w:r>
          </w:p>
        </w:tc>
        <w:tc>
          <w:tcPr>
            <w:tcW w:w="8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(309,933)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699,276</w:t>
            </w: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relative fair value of the warrants issued to the lender was calculated using a Black-Scholes valuation model. The risk-free interest rate assumption was 2.86 percent based upon observed risk-free interest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appropriate for the expected term of the warrants. The expected volatility assumption was 76 percent consistent with the volatility of our common stock based on the historical volatility of our stock since listing on the Nasdaq Global Market in December 2006. We have not paid and do not anticipate paying dividends on our common stock since our inception, and therefore, the dividend yield assumption was zero. The expected term assumption was seven years, which is the contractual life of the warrants. The fair value of the warrants using the Black-Scholes valuation model was calculated to be $4.34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5"/>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2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1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1160" w:type="dxa"/>
            <w:vAlign w:val="bottom"/>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172,648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561,332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794,498</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221,380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219,652</w:t>
            </w:r>
          </w:p>
        </w:tc>
        <w:tc>
          <w:tcPr>
            <w:tcW w:w="100" w:type="dxa"/>
            <w:vAlign w:val="bottom"/>
            <w:shd w:val="clear" w:color="auto" w:fill="CCEEFF"/>
          </w:tcPr>
          <w:p>
            <w:pPr>
              <w:spacing w:after="0"/>
              <w:rPr>
                <w:sz w:val="18"/>
                <w:szCs w:val="18"/>
                <w:color w:val="auto"/>
              </w:rPr>
            </w:pPr>
          </w:p>
        </w:tc>
      </w:tr>
      <w:tr>
        <w:trPr>
          <w:trHeight w:val="221"/>
        </w:trPr>
        <w:tc>
          <w:tcPr>
            <w:tcW w:w="11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955,360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1,512,731</w:t>
            </w:r>
          </w:p>
        </w:tc>
        <w:tc>
          <w:tcPr>
            <w:tcW w:w="10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(925,935)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(1,447,522)</w:t>
            </w: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29,425</w:t>
            </w:r>
          </w:p>
        </w:tc>
        <w:tc>
          <w:tcPr>
            <w:tcW w:w="3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65,209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108,257</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provided, contractual factors such as milestones or retainer fees and the invoices received from our external service providers. Accrued expenses consist of the following:</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226,362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China Joint Venture capital contribution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1,509,325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1,133,273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entered into a consulting agreement dated June 12, 2009 with Danerius, LLC, or Danerius, an affiliate of Alan W. Dunton, M.D., one of our directors, under which Danerius, would provide consulting services to us related to our product development programs at a rate of $27,500 per month. For the years ended December 31, 2010 and 2009, we paid Danerius approximately $302,000 and $193,000, respectively. We terminated the contract with Danerius in November 2010 and Dr. Dunton resigned as a director in January 2011.</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80"/>
          </w:cols>
          <w:pgMar w:left="24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entered into a stock purchase agreement dated September 26, 2011 with Kissei Pharmaceutical Co., Ltd., or Kissei, under which on October 13, 2011 Kissei purchased for $7.5 million an aggregate of 800,000 shares of our common stock and 220,000 shares of our Series B Convertible Preferred Stock. On the same day, we entered into a letter agreement with Kissei pursuant to which we agreed to renegotiate in good faith the existing levels of the milestone payment amounts and royalty rates under our license agreement for MN-221 and agreed upon a new price for clinical supplies of API. On October 13, 2011 we entered into a services agreement with Kissei to perform two separate studies relating to MN-221 in exchange for $2.5 million paid to us in October, 2011. We are responsible for all costs to be incurred in the performance of these studies which are expected to be completed in 2012 and 2013. The amount received from Kissei is recorded on the balance sheet at December 31, 2011 as deferred revenue and will be recognized as revenue as we perform these services. As of December 31, 2011, we have not recorded any revenue in 2011 relating to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2008, we entered into a fourth amendment to lease for our San Diego corporate headquarters in which we reduced the amount of space 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lease to 12,699 square feet of office space through August 2011. On July 6, 2011, we entered into a fifth amendment, the Fifth Lease Amendment, which extends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Lease term with respect to 5,089 square feet, from August 31, 2011 to May 31, 2012. The Fifth Lease Amendment provides that we pay the Landlord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monthly base rent of $12,468.00 for the premises during the nine-month extension period. See Notes to Consolidated Financial Statements-Note 12. Subsequent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Events, for information regarding a sixth lease amendment related to our lease in San Diego. In June 2005, we leased 1,726 square feet of office space in Tokyo,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Japan under a non-cancelable operating lease that expires in May 2013. Rent expense for the years ended December 31, 2011 and 2010 was $529,114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$612,291, respectively, and rent expense, net of sub-lease income for the period from September 26, 2000 (inception) to December 31, 2011 was $4.7 million.</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Future minimum payments as of December 31, 2011 are as follows: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200,717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8"/>
                <w:szCs w:val="18"/>
                <w:color w:val="auto"/>
              </w:rPr>
              <w:t>Total minimum payments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258,374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inception, we have entered into eight license agreements with pharmaceutical companies which cover our current product candidates. In general, we seek to obtain exclusive licenses to the patent rights and know-how for all indications under the agreements within our licensed territories and to procure patent protection for our anticipated products, or obtain such protection from the relevant patents owned by our licensors. Under our license agreements we generally are required to make an upfront payment and additional payments upon the achievement of specific development and/or regulatory approval milestones. We are also generally obligated to pay royalties under the agreements until the later of the expiration of the applicable patent or the applicable last date of market exclusivity after the first commercial sale, on a country-by-country basis.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amounts expended under these agreements and charged to research and development expense from September 26, 2000 (inception) to December 31, 2011 was $9,850,000. No such amounts have been expended during the three years ended December 31, 2011. As of December 31, 2011, future potential milestone payments totaled approximately $94.1 million, and there are no minimum royalties required under any of the license agreements. We are unable at this time to estimate with certainty the timing on when these milestone payments will occur as these payments are dependent upon the progress of our product development programs.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breached their fiduciary duties in connection with the proposed transaction with us. On October 15, 2009, The Pennsylvania Avenue Funds filed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amended complaint adding us as a defendant. In the amended complaint, The Pennsylvania Avenue funds alleged, among other things, that we aided and abetted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alleged breach of fiduciary duties by the Avigen directors. Avigen and The Pennsylvania Avenue Funds have signed a stipulation of settlement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moved the court for preliminary approval. The Court heard oral arguments on the Motion for Preliminary Approval of Settlement and held a case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on March 8, 2010, during which it raised a few issues regarding the settlement provisions. On April 6, 2010, the Superior Court for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for the County of Alameda approved the preliminary settlement and set a final settlement hearing for June 24, 2010. Under the terms of the Stipulation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Settlement, Avigen agreed not to oppose a fee motion by counsel to The Pennsylvania Avenue Funds for fees and expenses in the amount not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$140,000 and a petition by The Pennsylvania Avenue Funds for an incentive award of up to $2,500. On June 24, 2010, the final order and judgment approving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settlement of $140,000 for fees and expenses was received. The petition for the $2,500 incentive award was denied. Avigen’s insurance carrier paid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$140,000 balance due to The Pennsylvania Avenue Funds on July 2, 2010.</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our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We have engaged legal counsel in this matter. Based on our current assessment, we do not expect its outcome to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 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in Japan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8, 2005, we completed an IPO of 3,000,000 shares of common stock in Japan and received aggregate proceeds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8, 2005 was automatically converted into 6,678,285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U.S.</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U.S. at a purchase price of $12.00 per share and received aggregate net proceeds of approximately $10,639,600 million,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2, 2004, we sold 27,667,856 shares of Series C redeemable convertible preferred stock at a purchase price of $1.62 per share for total net proceeds of $43,404,320, net of issuance costs. The Series C preferred stock was sold at a price per share below our IPO price. Accordingly, pursuant to the authoritative guidance for debt under ASC 470, we recorded a deemed dividend on the Series C preferred stock of $31,264,677, which is equal to the number of shares of Series C preferred stock sold multiplied by the difference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Underwritten Public Offering</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23, 2011, we consummated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approximately $7.7 million, after underwriter discount and underwriter expenses and no warrants exercised. In accordance with the authoritative guidance, the warrants were classified as equity instruments as they contain no provisions which may require cash settlement.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2010, pursuant to the Loan Agreement with Oxford, we issued to Oxford a warrant to purchase up to 198,020 shares of our common stock at an exercise price of $6.06 per share. The warrant will terminate on the earlier of May 10, 2017 or the closing date of a merger or consolidation transaction in which we are not the surviving entity. In addition, the warrant and debt instrument are immediately separable and were issued separately. We therefore accounted for the warrant as a component of stockholders’ equity as the agreement requires settlement in shares and under no provision of the agreement are we required to settle the warrant in cash.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13, 2011, pursuant to a stock purchase agreement by and between us and Kissei Pharmaceutical Co., Ltd., or Kissei, Kissei purchased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In October 2011 we received gross proceeds of approximately $7.5 million related to this purchase agreement.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the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September 2000, we adopted the 2000 Plan under which incentive stock options could be granted to our employees and nonstatutory stock options and other stock-based awards could be granted to employees,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7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At December 31, 2011, stock options to purchase a total of 14,000 shares of common stock were outstanding under the 2000 Plan at a weighted average exercise price of $10.00 per share. No additional stock options have been or will be issued under the 2000 Plan subsequent to our IPO. However, stock options previously granted under the 2000 Plan will remain outstanding until the earlier of expiration or exercise.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and June 2008, the total number of shares available for grant under the 2004 Plan was increased by 300,000 and 1,000,000, respectively.</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and related information as of December 31, 2011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6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w w:val="86"/>
              </w:rPr>
              <w:t>Option Shares</w:t>
            </w:r>
          </w:p>
        </w:tc>
        <w:tc>
          <w:tcPr>
            <w:tcW w:w="1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January 1, 2011</w:t>
            </w:r>
          </w:p>
        </w:tc>
        <w:tc>
          <w:tcPr>
            <w:tcW w:w="3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2,280,931</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1,431,000</w:t>
            </w:r>
          </w:p>
        </w:tc>
        <w:tc>
          <w:tcPr>
            <w:tcW w:w="1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9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(32,836)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3680" w:type="dxa"/>
            <w:vAlign w:val="bottom"/>
          </w:tcPr>
          <w:p>
            <w:pPr>
              <w:spacing w:after="0"/>
              <w:rPr>
                <w:sz w:val="19"/>
                <w:szCs w:val="19"/>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8"/>
                <w:szCs w:val="18"/>
                <w:color w:val="auto"/>
              </w:rPr>
              <w:t>(586,424)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36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3,092,671</w:t>
            </w:r>
          </w:p>
        </w:tc>
        <w:tc>
          <w:tcPr>
            <w:tcW w:w="1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2011</w:t>
            </w:r>
          </w:p>
        </w:tc>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2"/>
            <w:vMerge w:val="continue"/>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1,561,214</w:t>
            </w:r>
          </w:p>
        </w:tc>
        <w:tc>
          <w:tcPr>
            <w:tcW w:w="1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80" w:type="dxa"/>
            <w:vAlign w:val="bottom"/>
            <w:vMerge w:val="restart"/>
          </w:tcPr>
          <w:p>
            <w:pPr>
              <w:jc w:val="right"/>
              <w:ind w:right="1772"/>
              <w:spacing w:after="0"/>
              <w:rPr>
                <w:sz w:val="20"/>
                <w:szCs w:val="20"/>
                <w:color w:val="auto"/>
              </w:rPr>
            </w:pPr>
            <w:r>
              <w:rPr>
                <w:rFonts w:ascii="Arial" w:cs="Arial" w:eastAsia="Arial" w:hAnsi="Arial"/>
                <w:sz w:val="18"/>
                <w:szCs w:val="18"/>
                <w:color w:val="auto"/>
              </w:rPr>
              <w:t>105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weighted average contractual life of options outstanding at December 31, 2011 was 7.7 years and the weighted average contractual life of exercisable options at December 31, 2011 was 6.1 years. The intrinsic value of stock options exercised, during the year ended December 31, 2011 was $5,000 based on the Nasdaq Global Market on such date.</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common stock reserved for future issuance at December 31, 2011:</w:t>
      </w:r>
    </w:p>
    <w:p>
      <w:pPr>
        <w:spacing w:after="0" w:line="192" w:lineRule="exact"/>
        <w:rPr>
          <w:sz w:val="20"/>
          <w:szCs w:val="20"/>
          <w:color w:val="auto"/>
        </w:rPr>
      </w:pPr>
    </w:p>
    <w:p>
      <w:pPr>
        <w:ind w:left="580" w:right="3620"/>
        <w:spacing w:after="0" w:line="298" w:lineRule="auto"/>
        <w:rPr>
          <w:sz w:val="20"/>
          <w:szCs w:val="20"/>
          <w:color w:val="auto"/>
        </w:rPr>
      </w:pPr>
      <w:r>
        <w:rPr>
          <w:rFonts w:ascii="Arial" w:cs="Arial" w:eastAsia="Arial" w:hAnsi="Arial"/>
          <w:sz w:val="16"/>
          <w:szCs w:val="16"/>
          <w:color w:val="auto"/>
        </w:rPr>
        <w:t>Common Stock under the employee stock purchase program Common stock reserved for issuance upon exercise of warrant Common stock options outstanding (under the 2000 Plan and 2004 Plan) Common stock options authorized for future grant (under the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-574040</wp:posOffset>
            </wp:positionV>
            <wp:extent cx="651764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-299720</wp:posOffset>
            </wp:positionV>
            <wp:extent cx="651764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-8255</wp:posOffset>
            </wp:positionV>
            <wp:extent cx="651764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269,992</w:t>
      </w:r>
    </w:p>
    <w:p>
      <w:pPr>
        <w:spacing w:after="0" w:line="15"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198,020</w:t>
      </w:r>
    </w:p>
    <w:p>
      <w:pPr>
        <w:spacing w:after="0" w:line="9" w:lineRule="exact"/>
        <w:rPr>
          <w:sz w:val="20"/>
          <w:szCs w:val="20"/>
          <w:color w:val="auto"/>
        </w:rPr>
      </w:pPr>
    </w:p>
    <w:p>
      <w:pPr>
        <w:jc w:val="right"/>
        <w:ind w:right="680"/>
        <w:spacing w:after="0"/>
        <w:rPr>
          <w:sz w:val="20"/>
          <w:szCs w:val="20"/>
          <w:color w:val="auto"/>
        </w:rPr>
      </w:pPr>
      <w:r>
        <w:rPr>
          <w:rFonts w:ascii="Arial" w:cs="Arial" w:eastAsia="Arial" w:hAnsi="Arial"/>
          <w:sz w:val="15"/>
          <w:szCs w:val="15"/>
          <w:color w:val="auto"/>
        </w:rPr>
        <w:t>3,092,671</w:t>
      </w:r>
    </w:p>
    <w:p>
      <w:pPr>
        <w:spacing w:after="0" w:line="44"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851,329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6985</wp:posOffset>
            </wp:positionV>
            <wp:extent cx="523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4,412,012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33020</wp:posOffset>
            </wp:positionV>
            <wp:extent cx="5232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50165</wp:posOffset>
            </wp:positionV>
            <wp:extent cx="5232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2">
            <w:col w:w="9320" w:space="720"/>
            <w:col w:w="1380"/>
          </w:cols>
          <w:pgMar w:left="240" w:top="459" w:right="239" w:bottom="1440" w:gutter="0" w:footer="0" w:header="0"/>
          <w:type w:val="continuous"/>
        </w:sectPr>
      </w:pPr>
    </w:p>
    <w:p>
      <w:pPr>
        <w:jc w:val="both"/>
        <w:ind w:right="60" w:firstLine="456"/>
        <w:spacing w:after="0" w:line="259" w:lineRule="auto"/>
        <w:rPr>
          <w:sz w:val="20"/>
          <w:szCs w:val="20"/>
          <w:color w:val="auto"/>
        </w:rPr>
      </w:pPr>
      <w:r>
        <w:rPr>
          <w:rFonts w:ascii="Arial" w:cs="Arial" w:eastAsia="Arial" w:hAnsi="Arial"/>
          <w:sz w:val="18"/>
          <w:szCs w:val="18"/>
          <w:color w:val="auto"/>
        </w:rPr>
        <w:t>At the closing of the Merger, we and American Stock Transfer &amp; Trust Company, LLC, as trustee, entered into the indenture. Under the terms of a separate trust agreement (the “Trust Agreement”), $29.4 million, which represented the initial principal amount of the Convertible Notes, was deposited with a trust agent for the benefit of the holders and 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Prior to the maturity of the Convertible Notes, approximately $1.9 million of the convertible notes were converted to 276,655 shares of our common stock. All remaining Convertible Notes matured on June 18, 2011 and the principal was repaid in full.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income taxes at December 31, 2011 and 2010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79,215,000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licenses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Research tax credits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7,124,000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988,000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1,224,000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89,789,000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83,206,000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4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2"/>
            <w:vMerge w:val="continue"/>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IPR&amp;D</w:t>
            </w:r>
          </w:p>
        </w:tc>
        <w:tc>
          <w:tcPr>
            <w:tcW w:w="4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(1,956,000 )</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4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47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(1,956,000 )</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87,833,000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47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(89,789,000)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(83,206,000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4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700" w:type="dxa"/>
            <w:vAlign w:val="bottom"/>
            <w:vMerge w:val="restart"/>
          </w:tcPr>
          <w:p>
            <w:pPr>
              <w:jc w:val="right"/>
              <w:ind w:right="2972"/>
              <w:spacing w:after="0"/>
              <w:rPr>
                <w:sz w:val="20"/>
                <w:szCs w:val="20"/>
                <w:color w:val="auto"/>
              </w:rPr>
            </w:pPr>
            <w:r>
              <w:rPr>
                <w:rFonts w:ascii="Arial" w:cs="Arial" w:eastAsia="Arial" w:hAnsi="Arial"/>
                <w:sz w:val="18"/>
                <w:szCs w:val="18"/>
                <w:color w:val="auto"/>
              </w:rPr>
              <w:t>106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December 31, 2011, we had federal and California net operating loss carry-forwards of approximately $194.5 million and $193.9 million, respectively. Included in these amounts are federal and California tax expense of approximately $22,000 attributable to stock option deductions which will be credited to equity when realized. The federal net operating loss carry-forwards begin to expire in 2020, and the California net operating loss carry-forwards begin to expire in 2013. At December 31, 2011, we also had federal and California research tax credit carry-forwards of approximately $6.2 million and $1.4 million, respectively. The federal research tax credit carry-forwards begin to expire in 2024, and the California research tax credit carry-forward does not expire and can be carried forward indefinitely until utilized.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utilization of the net operating losses, or NOL, and tax credit carry-forwards will be subject to a substantial annual limitation 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382 and 383 of the Internal Revenue Code of 1986, and similar state provisions due to ownership change limitations that have occurred. These ownership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changes will limit the amount of NOL and tax credit carry-forwards that can be utilized to offset future taxable income and tax, respectively. In general,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 as defined by Section 382 and 383, results from transactions increasing ownership of certain stockholders or public groups in the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by more than 50 percentage points over a three-year period. An analysis was performed which indicated that multiple ownership changes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occurred in previous years which created annual limitations on our ability to utilize NOL and tax credit carryovers. Such limitations will result in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 million and $1 million of tax benefits related to federal and state NOL and tax credit carry-forwards, respectively, that will expire unused. Accordingly,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NOL and R&amp;D credit carry-forwards have been removed from deferred tax assets accompanied by a corresponding reduction of the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existence of the valuation allowance, limitations created by future ownership changes, if any, related to our operations in the U.S. will not impact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income tax rate to our effective income tax rate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income tax rate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9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(37.1)</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(44.0)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9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9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file income tax returns in the United States, California and foreign jurisdictions. Due to our losses incurred, we are essentially subject to income tax examination by tax authorities from our inception to date. Our practice is to recognize interest expense and penalties related to income tax matters as tax expense. At December 31, 2011, we do not have any significant accruals for interest related to unrecognized tax benefits or tax penalties. During each of the three years in the period ended December 31, 2011, income tax expense relates to intercompany service income earned by our Japanese subsidiary, MediciNova Japan,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Savings Plan</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an employee savings plan available to substantially all employees. Under the plan, an employee may elect salary reductions which are contributed to the plan. The plan provides for discretionary contributions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by us, which totaled $97,929, $139,621 and $149,994, and $1,099,676 for the years ended December 31, 2011, 2010, 2009 and the period from September 26, 2000 (inception) to December 31, 2011,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2011 and 2010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0"/>
              </w:rPr>
              <w:t>Year Ended December 31, 2011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240" w:type="dxa"/>
            <w:vAlign w:val="bottom"/>
          </w:tcPr>
          <w:p>
            <w:pPr>
              <w:spacing w:after="0"/>
              <w:rPr>
                <w:sz w:val="17"/>
                <w:szCs w:val="17"/>
                <w:color w:val="auto"/>
              </w:rPr>
            </w:pPr>
          </w:p>
        </w:tc>
        <w:tc>
          <w:tcPr>
            <w:tcW w:w="78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17"/>
                <w:szCs w:val="17"/>
                <w:color w:val="auto"/>
              </w:rPr>
            </w:pPr>
          </w:p>
        </w:tc>
        <w:tc>
          <w:tcPr>
            <w:tcW w:w="1140" w:type="dxa"/>
            <w:vAlign w:val="bottom"/>
            <w:gridSpan w:val="2"/>
          </w:tcPr>
          <w:p>
            <w:pPr>
              <w:jc w:val="right"/>
              <w:ind w:right="700"/>
              <w:spacing w:after="0" w:line="197" w:lineRule="exact"/>
              <w:rPr>
                <w:sz w:val="20"/>
                <w:szCs w:val="20"/>
                <w:color w:val="auto"/>
              </w:rPr>
            </w:pPr>
            <w:r>
              <w:rPr>
                <w:rFonts w:ascii="Arial" w:cs="Arial" w:eastAsia="Arial" w:hAnsi="Arial"/>
                <w:sz w:val="18"/>
                <w:szCs w:val="18"/>
                <w:b w:val="1"/>
                <w:bCs w:val="1"/>
                <w:color w:val="auto"/>
              </w:rPr>
              <w:t>2nd</w:t>
            </w:r>
          </w:p>
        </w:tc>
        <w:tc>
          <w:tcPr>
            <w:tcW w:w="1160" w:type="dxa"/>
            <w:vAlign w:val="bottom"/>
            <w:gridSpan w:val="2"/>
          </w:tcPr>
          <w:p>
            <w:pPr>
              <w:jc w:val="right"/>
              <w:ind w:right="720"/>
              <w:spacing w:after="0" w:line="197" w:lineRule="exact"/>
              <w:rPr>
                <w:sz w:val="20"/>
                <w:szCs w:val="20"/>
                <w:color w:val="auto"/>
              </w:rPr>
            </w:pPr>
            <w:r>
              <w:rPr>
                <w:rFonts w:ascii="Arial" w:cs="Arial" w:eastAsia="Arial" w:hAnsi="Arial"/>
                <w:sz w:val="18"/>
                <w:szCs w:val="18"/>
                <w:b w:val="1"/>
                <w:bCs w:val="1"/>
                <w:color w:val="auto"/>
              </w:rPr>
              <w:t>3rd</w:t>
            </w: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8"/>
        </w:trPr>
        <w:tc>
          <w:tcPr>
            <w:tcW w:w="7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Quarter</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Quarter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198"/>
        </w:trPr>
        <w:tc>
          <w:tcPr>
            <w:tcW w:w="72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4,976</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3,722</w:t>
            </w:r>
          </w:p>
        </w:tc>
        <w:tc>
          <w:tcPr>
            <w:tcW w:w="5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3,907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(5,656)</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(4,681)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(5,656)</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(4,681)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(3,894)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0"/>
              </w:rPr>
              <w:t>Year Ended December 31, 2010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240" w:type="dxa"/>
            <w:vAlign w:val="bottom"/>
          </w:tcPr>
          <w:p>
            <w:pPr>
              <w:spacing w:after="0"/>
              <w:rPr>
                <w:sz w:val="17"/>
                <w:szCs w:val="17"/>
                <w:color w:val="auto"/>
              </w:rPr>
            </w:pPr>
          </w:p>
        </w:tc>
        <w:tc>
          <w:tcPr>
            <w:tcW w:w="78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17"/>
                <w:szCs w:val="17"/>
                <w:color w:val="auto"/>
              </w:rPr>
            </w:pPr>
          </w:p>
        </w:tc>
        <w:tc>
          <w:tcPr>
            <w:tcW w:w="1140" w:type="dxa"/>
            <w:vAlign w:val="bottom"/>
            <w:gridSpan w:val="2"/>
          </w:tcPr>
          <w:p>
            <w:pPr>
              <w:jc w:val="right"/>
              <w:ind w:right="700"/>
              <w:spacing w:after="0" w:line="197" w:lineRule="exact"/>
              <w:rPr>
                <w:sz w:val="20"/>
                <w:szCs w:val="20"/>
                <w:color w:val="auto"/>
              </w:rPr>
            </w:pPr>
            <w:r>
              <w:rPr>
                <w:rFonts w:ascii="Arial" w:cs="Arial" w:eastAsia="Arial" w:hAnsi="Arial"/>
                <w:sz w:val="18"/>
                <w:szCs w:val="18"/>
                <w:b w:val="1"/>
                <w:bCs w:val="1"/>
                <w:color w:val="auto"/>
              </w:rPr>
              <w:t>2nd</w:t>
            </w:r>
          </w:p>
        </w:tc>
        <w:tc>
          <w:tcPr>
            <w:tcW w:w="1160" w:type="dxa"/>
            <w:vAlign w:val="bottom"/>
            <w:gridSpan w:val="2"/>
          </w:tcPr>
          <w:p>
            <w:pPr>
              <w:jc w:val="right"/>
              <w:ind w:right="720"/>
              <w:spacing w:after="0" w:line="197" w:lineRule="exact"/>
              <w:rPr>
                <w:sz w:val="20"/>
                <w:szCs w:val="20"/>
                <w:color w:val="auto"/>
              </w:rPr>
            </w:pPr>
            <w:r>
              <w:rPr>
                <w:rFonts w:ascii="Arial" w:cs="Arial" w:eastAsia="Arial" w:hAnsi="Arial"/>
                <w:sz w:val="18"/>
                <w:szCs w:val="18"/>
                <w:b w:val="1"/>
                <w:bCs w:val="1"/>
                <w:color w:val="auto"/>
              </w:rPr>
              <w:t>3rd</w:t>
            </w: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8"/>
        </w:trPr>
        <w:tc>
          <w:tcPr>
            <w:tcW w:w="7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Quarter</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Quarter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198"/>
        </w:trPr>
        <w:tc>
          <w:tcPr>
            <w:tcW w:w="72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5,236</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4,152</w:t>
            </w:r>
          </w:p>
        </w:tc>
        <w:tc>
          <w:tcPr>
            <w:tcW w:w="5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4,148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4,347</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(5,161)</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(4,334)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(5,161)</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(4,334)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(5,701)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(4,991)</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Therefore, the sum of the quarterly net loss per share will not necessarily equal the total for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Amendment</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March 19, 2012, we entered into a sixth amendment of our lease agreement, the Sixth Lease Amendment, with 4350 La Jolla Village LLC, the Landlord. The Sixth Lease Amendment extends the lease term for nine additional months with respect to 5,089 square feet, from May 31, 2012 to February 28, 2013. The Sixth Lease Amendment provides that we will pay the Landlord a monthly base rent of $12,672 for the premises during the nine month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Company Payment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16, 2012, we paid $650,000 for our 30% interest in the joint venture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w:t>
      </w:r>
    </w:p>
    <w:p>
      <w:pPr>
        <w:spacing w:after="0" w:line="3" w:lineRule="exact"/>
        <w:rPr>
          <w:sz w:val="20"/>
          <w:szCs w:val="20"/>
          <w:color w:val="auto"/>
        </w:rPr>
      </w:pPr>
    </w:p>
    <w:p>
      <w:pPr>
        <w:ind w:right="100" w:firstLine="8"/>
        <w:spacing w:after="0" w:line="25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2011, our disclosure controls and procedures were effective.</w:t>
      </w:r>
    </w:p>
    <w:p>
      <w:pPr>
        <w:spacing w:after="0" w:line="13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as of December 31, 2011. In making this assessment, our management used the criteria set forth by the Committee of Sponsoring Organizations of the Treadway Commission (“COSO”) in Internal Control—Integrated Framework. Our management has concluded that, as of December 31, 2011, our internal control over financial reporting was effective based on these criteria.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MediciNova, Inc.’s internal control over financial reporting as of December 31, 2011, based on criteria established in Internal Control — Integrated Framework issued by the Committee of Sponsoring Organizations of the Treadway Commission (the COSO criteria). MediciNova,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our opinion, MediciNova, Inc. maintained, in all material respects, effective internal control over financial reporting as of December 31, 2011, based on the COSO criteria.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MediciNova, Inc. as of December 31, 2011, and the related consolidated statements of operations, stockholders’ equity and comprehensive loss, and cash flows for the year then ended, and for the period from September 26, 2000 (inception) to December 31, 2011, and our report dated March 28, 2012 expressed an unqualified opinion thereon.</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219"/>
          </w:cols>
          <w:pgMar w:left="24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the conclusion of our fiscal year ended December 31, 2011, or the Proxy Statement, and is incorporated in this Annual Report on Form 10-K by reference.</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information required by this item will be contained in the Proxy Statement and is incorporated in this Annual Report on Form 10-K by reference.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104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Upon Exercise of</w:t>
            </w:r>
          </w:p>
        </w:tc>
        <w:tc>
          <w:tcPr>
            <w:tcW w:w="1040" w:type="dxa"/>
            <w:vAlign w:val="bottom"/>
          </w:tcPr>
          <w:p>
            <w:pPr>
              <w:spacing w:after="0"/>
              <w:rPr>
                <w:sz w:val="18"/>
                <w:szCs w:val="18"/>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6"/>
              </w:rPr>
              <w:t>Exercise Price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Outstanding</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w w:val="89"/>
              </w:rPr>
              <w:t>Plan Category</w:t>
            </w:r>
          </w:p>
        </w:tc>
        <w:tc>
          <w:tcPr>
            <w:tcW w:w="3440" w:type="dxa"/>
            <w:vAlign w:val="bottom"/>
            <w:gridSpan w:val="2"/>
            <w:vMerge w:val="restart"/>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5"/>
              </w:rPr>
              <w:t>Options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 Equity</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2"/>
              </w:rPr>
              <w:t>and Rights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181"/>
        </w:trPr>
        <w:tc>
          <w:tcPr>
            <w:tcW w:w="454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5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Stockholders(1)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3,078,671</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4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15,002</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000"/>
              <w:spacing w:after="0"/>
              <w:rPr>
                <w:sz w:val="20"/>
                <w:szCs w:val="20"/>
                <w:color w:val="auto"/>
              </w:rPr>
            </w:pPr>
            <w:r>
              <w:rPr>
                <w:rFonts w:ascii="Arial" w:cs="Arial" w:eastAsia="Arial" w:hAnsi="Arial"/>
                <w:sz w:val="18"/>
                <w:szCs w:val="18"/>
                <w:color w:val="auto"/>
              </w:rPr>
              <w:t>1.79(2)</w:t>
            </w:r>
          </w:p>
        </w:tc>
        <w:tc>
          <w:tcPr>
            <w:tcW w:w="1580" w:type="dxa"/>
            <w:vAlign w:val="bottom"/>
          </w:tcPr>
          <w:p>
            <w:pPr>
              <w:jc w:val="right"/>
              <w:spacing w:after="0"/>
              <w:rPr>
                <w:sz w:val="20"/>
                <w:szCs w:val="20"/>
                <w:color w:val="auto"/>
              </w:rPr>
            </w:pPr>
            <w:r>
              <w:rPr>
                <w:rFonts w:ascii="Arial" w:cs="Arial" w:eastAsia="Arial" w:hAnsi="Arial"/>
                <w:sz w:val="18"/>
                <w:szCs w:val="18"/>
                <w:color w:val="auto"/>
              </w:rPr>
              <w:t>269,992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Stockholders(3)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3,107,673</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1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or 2004 Plan. Awards under the 2004 Plan shall not exceed 3,330,000 shares, plus an annual increase on the first day of each fiscal year, with the first increase occurring on January 1, 2006, in an amount equal to the lesser of</w:t>
      </w:r>
    </w:p>
    <w:p>
      <w:pPr>
        <w:ind w:left="460" w:right="60"/>
        <w:spacing w:after="0" w:line="255" w:lineRule="auto"/>
        <w:rPr>
          <w:rFonts w:ascii="Arial" w:cs="Arial" w:eastAsia="Arial" w:hAnsi="Arial"/>
          <w:sz w:val="15"/>
          <w:szCs w:val="15"/>
          <w:color w:val="auto"/>
        </w:rPr>
      </w:pPr>
      <w:r>
        <w:rPr>
          <w:rFonts w:ascii="Arial" w:cs="Arial" w:eastAsia="Arial" w:hAnsi="Arial"/>
          <w:sz w:val="18"/>
          <w:szCs w:val="18"/>
          <w:color w:val="auto"/>
        </w:rPr>
        <w:t>(i) 100,000 shares, (ii) 3% of the outstanding shares on the last day of the immediately preceding year, or (iii) an amount determined by the Board. Stock options under the 2004 Plan have an exercise price equal to the fair market value of the underlying common stock at the date of grant, generally vest over a period of four years and have a ten-year life.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the MediciNova, Inc. 2007 Employee Stock Purchase Plan, or ESPP. Under the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or 2000 Plan, which was terminated upon the completion of our initial public offering on February 8, 2005. The material terms of the 2000 Plan are described in Note 8 to our consolidated financial statements contained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firstLine="464"/>
        <w:spacing w:after="0" w:line="268"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KPMG LLP and Ernst &amp; Young LLP, each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are included in this Annual Report on Form 10-K:</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6980" w:type="dxa"/>
            <w:vAlign w:val="bottom"/>
            <w:gridSpan w:val="7"/>
            <w:vMerge w:val="restart"/>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w:t>
              </w:r>
            </w:hyperlink>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7"/>
        </w:trPr>
        <w:tc>
          <w:tcPr>
            <w:tcW w:w="6980" w:type="dxa"/>
            <w:vAlign w:val="bottom"/>
            <w:gridSpan w:val="7"/>
            <w:vMerge w:val="continue"/>
          </w:tcPr>
          <w:p>
            <w:pPr>
              <w:spacing w:after="0"/>
              <w:rPr>
                <w:sz w:val="13"/>
                <w:szCs w:val="13"/>
                <w:color w:val="auto"/>
              </w:rPr>
            </w:pPr>
          </w:p>
        </w:tc>
        <w:tc>
          <w:tcPr>
            <w:tcW w:w="170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Balance Sheets</w:t>
              </w:r>
            </w:hyperlink>
          </w:p>
        </w:tc>
        <w:tc>
          <w:tcPr>
            <w:tcW w:w="2860" w:type="dxa"/>
            <w:vAlign w:val="bottom"/>
            <w:gridSpan w:val="2"/>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Consolidated Statements of Operations</w:t>
              </w:r>
            </w:hyperlink>
          </w:p>
        </w:tc>
        <w:tc>
          <w:tcPr>
            <w:tcW w:w="4220" w:type="dxa"/>
            <w:vAlign w:val="bottom"/>
            <w:gridSpan w:val="5"/>
          </w:tcPr>
          <w:p>
            <w:pPr>
              <w:spacing w:after="0"/>
              <w:rPr>
                <w:sz w:val="17"/>
                <w:szCs w:val="17"/>
                <w:color w:val="auto"/>
              </w:rPr>
            </w:pP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698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Stockholders’ Equity and Comprehensive Loss</w:t>
              </w:r>
            </w:hyperlink>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Cash Flows</w:t>
              </w:r>
            </w:hyperlink>
          </w:p>
        </w:tc>
        <w:tc>
          <w:tcPr>
            <w:tcW w:w="1700" w:type="dxa"/>
            <w:vAlign w:val="bottom"/>
          </w:tcPr>
          <w:p>
            <w:pPr>
              <w:spacing w:after="0"/>
              <w:rPr>
                <w:sz w:val="17"/>
                <w:szCs w:val="17"/>
                <w:color w:val="auto"/>
              </w:rPr>
            </w:pP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p>
      <w:pPr>
        <w:sectPr>
          <w:pgSz w:w="11900" w:h="16838" w:orient="portrait"/>
          <w:cols w:equalWidth="0" w:num="1">
            <w:col w:w="11360"/>
          </w:cols>
          <w:pgMar w:left="240" w:top="459" w:right="299" w:bottom="1440" w:gutter="0" w:footer="0" w:header="0"/>
        </w:sectPr>
      </w:pPr>
    </w:p>
    <w:p>
      <w:pPr>
        <w:spacing w:after="0" w:line="158"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2261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Agreement and Plan of Merger dated as of August 20, 2009 by and among Registrant, Absolute Merger, Inc. and Avigen, Inc. (attached as Annex A to the joint proxy statement/prospectus).</w:t>
      </w:r>
    </w:p>
    <w:p>
      <w:pPr>
        <w:spacing w:after="0" w:line="78" w:lineRule="exact"/>
        <w:rPr>
          <w:sz w:val="20"/>
          <w:szCs w:val="20"/>
          <w:color w:val="auto"/>
        </w:rPr>
      </w:pPr>
    </w:p>
    <w:p>
      <w:pPr>
        <w:sectPr>
          <w:pgSz w:w="11900" w:h="16838" w:orient="portrait"/>
          <w:cols w:equalWidth="0" w:num="2">
            <w:col w:w="1260" w:space="360"/>
            <w:col w:w="974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3.1(19)</w:t>
            </w:r>
          </w:p>
        </w:tc>
        <w:tc>
          <w:tcPr>
            <w:tcW w:w="10080" w:type="dxa"/>
            <w:vAlign w:val="bottom"/>
          </w:tcPr>
          <w:p>
            <w:pPr>
              <w:ind w:left="500"/>
              <w:spacing w:after="0"/>
              <w:rPr>
                <w:sz w:val="20"/>
                <w:szCs w:val="20"/>
                <w:color w:val="auto"/>
              </w:rPr>
            </w:pPr>
            <w:r>
              <w:rPr>
                <w:rFonts w:ascii="Arial" w:cs="Arial" w:eastAsia="Arial" w:hAnsi="Arial"/>
                <w:sz w:val="18"/>
                <w:szCs w:val="18"/>
                <w:color w:val="auto"/>
              </w:rPr>
              <w:t>Restated Certificate of Incorporation of the Registrant, as amended.</w:t>
            </w:r>
          </w:p>
        </w:tc>
      </w:tr>
      <w:tr>
        <w:trPr>
          <w:trHeight w:val="324"/>
        </w:trPr>
        <w:tc>
          <w:tcPr>
            <w:tcW w:w="1120" w:type="dxa"/>
            <w:vAlign w:val="bottom"/>
          </w:tcPr>
          <w:p>
            <w:pPr>
              <w:jc w:val="right"/>
              <w:ind w:right="512"/>
              <w:spacing w:after="0"/>
              <w:rPr>
                <w:sz w:val="20"/>
                <w:szCs w:val="20"/>
                <w:color w:val="auto"/>
              </w:rPr>
            </w:pPr>
            <w:r>
              <w:rPr>
                <w:rFonts w:ascii="Arial" w:cs="Arial" w:eastAsia="Arial" w:hAnsi="Arial"/>
                <w:sz w:val="18"/>
                <w:szCs w:val="18"/>
                <w:color w:val="auto"/>
              </w:rPr>
              <w:t>3.2(1)</w:t>
            </w:r>
          </w:p>
        </w:tc>
        <w:tc>
          <w:tcPr>
            <w:tcW w:w="10080" w:type="dxa"/>
            <w:vAlign w:val="bottom"/>
          </w:tcPr>
          <w:p>
            <w:pPr>
              <w:ind w:left="500"/>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3.3(34)</w:t>
            </w:r>
          </w:p>
        </w:tc>
        <w:tc>
          <w:tcPr>
            <w:tcW w:w="10080" w:type="dxa"/>
            <w:vAlign w:val="bottom"/>
          </w:tcPr>
          <w:p>
            <w:pPr>
              <w:ind w:left="50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4.1(11)</w:t>
            </w:r>
          </w:p>
        </w:tc>
        <w:tc>
          <w:tcPr>
            <w:tcW w:w="10080" w:type="dxa"/>
            <w:vAlign w:val="bottom"/>
          </w:tcPr>
          <w:p>
            <w:pPr>
              <w:ind w:left="500"/>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1120" w:type="dxa"/>
            <w:vAlign w:val="bottom"/>
          </w:tcPr>
          <w:p>
            <w:pPr>
              <w:jc w:val="right"/>
              <w:ind w:right="512"/>
              <w:spacing w:after="0"/>
              <w:rPr>
                <w:sz w:val="20"/>
                <w:szCs w:val="20"/>
                <w:color w:val="auto"/>
              </w:rPr>
            </w:pPr>
            <w:r>
              <w:rPr>
                <w:rFonts w:ascii="Arial" w:cs="Arial" w:eastAsia="Arial" w:hAnsi="Arial"/>
                <w:sz w:val="18"/>
                <w:szCs w:val="18"/>
                <w:color w:val="auto"/>
              </w:rPr>
              <w:t>4.2(1)</w:t>
            </w:r>
          </w:p>
        </w:tc>
        <w:tc>
          <w:tcPr>
            <w:tcW w:w="10080" w:type="dxa"/>
            <w:vAlign w:val="bottom"/>
          </w:tcPr>
          <w:p>
            <w:pPr>
              <w:ind w:left="500"/>
              <w:spacing w:after="0"/>
              <w:rPr>
                <w:sz w:val="20"/>
                <w:szCs w:val="20"/>
                <w:color w:val="auto"/>
              </w:rPr>
            </w:pPr>
            <w:r>
              <w:rPr>
                <w:rFonts w:ascii="Arial" w:cs="Arial" w:eastAsia="Arial" w:hAnsi="Arial"/>
                <w:sz w:val="18"/>
                <w:szCs w:val="18"/>
                <w:color w:val="auto"/>
                <w:w w:val="87"/>
              </w:rPr>
              <w:t>Amended and Restated Registration Rights Agreement by and among the Registrant, its founders and the investors named therein, dated</w:t>
            </w:r>
          </w:p>
        </w:tc>
      </w:tr>
      <w:tr>
        <w:trPr>
          <w:trHeight w:val="222"/>
        </w:trPr>
        <w:tc>
          <w:tcPr>
            <w:tcW w:w="1120" w:type="dxa"/>
            <w:vAlign w:val="bottom"/>
          </w:tcPr>
          <w:p>
            <w:pPr>
              <w:spacing w:after="0"/>
              <w:rPr>
                <w:sz w:val="19"/>
                <w:szCs w:val="19"/>
                <w:color w:val="auto"/>
              </w:rPr>
            </w:pPr>
          </w:p>
        </w:tc>
        <w:tc>
          <w:tcPr>
            <w:tcW w:w="10080" w:type="dxa"/>
            <w:vAlign w:val="bottom"/>
          </w:tcPr>
          <w:p>
            <w:pPr>
              <w:ind w:left="500"/>
              <w:spacing w:after="0"/>
              <w:rPr>
                <w:sz w:val="20"/>
                <w:szCs w:val="20"/>
                <w:color w:val="auto"/>
              </w:rPr>
            </w:pPr>
            <w:r>
              <w:rPr>
                <w:rFonts w:ascii="Arial" w:cs="Arial" w:eastAsia="Arial" w:hAnsi="Arial"/>
                <w:sz w:val="18"/>
                <w:szCs w:val="18"/>
                <w:color w:val="auto"/>
              </w:rPr>
              <w:t>September 2, 2004.</w:t>
            </w:r>
          </w:p>
        </w:tc>
      </w:tr>
      <w:tr>
        <w:trPr>
          <w:trHeight w:val="318"/>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4.4(22)</w:t>
            </w:r>
          </w:p>
        </w:tc>
        <w:tc>
          <w:tcPr>
            <w:tcW w:w="10080" w:type="dxa"/>
            <w:vAlign w:val="bottom"/>
          </w:tcPr>
          <w:p>
            <w:pPr>
              <w:ind w:left="500"/>
              <w:spacing w:after="0"/>
              <w:rPr>
                <w:sz w:val="20"/>
                <w:szCs w:val="20"/>
                <w:color w:val="auto"/>
              </w:rPr>
            </w:pPr>
            <w:r>
              <w:rPr>
                <w:rFonts w:ascii="Arial" w:cs="Arial" w:eastAsia="Arial" w:hAnsi="Arial"/>
                <w:sz w:val="18"/>
                <w:szCs w:val="18"/>
                <w:color w:val="auto"/>
                <w:w w:val="89"/>
              </w:rPr>
              <w:t>Form of Indenture by and between Registrant and American Stock Transfer and Trust Company, LLC (attached as Annex C to the joint</w:t>
            </w:r>
          </w:p>
        </w:tc>
      </w:tr>
      <w:tr>
        <w:trPr>
          <w:trHeight w:val="222"/>
        </w:trPr>
        <w:tc>
          <w:tcPr>
            <w:tcW w:w="1120" w:type="dxa"/>
            <w:vAlign w:val="bottom"/>
          </w:tcPr>
          <w:p>
            <w:pPr>
              <w:spacing w:after="0"/>
              <w:rPr>
                <w:sz w:val="19"/>
                <w:szCs w:val="19"/>
                <w:color w:val="auto"/>
              </w:rPr>
            </w:pPr>
          </w:p>
        </w:tc>
        <w:tc>
          <w:tcPr>
            <w:tcW w:w="10080" w:type="dxa"/>
            <w:vAlign w:val="bottom"/>
          </w:tcPr>
          <w:p>
            <w:pPr>
              <w:ind w:left="500"/>
              <w:spacing w:after="0"/>
              <w:rPr>
                <w:sz w:val="20"/>
                <w:szCs w:val="20"/>
                <w:color w:val="auto"/>
              </w:rPr>
            </w:pPr>
            <w:r>
              <w:rPr>
                <w:rFonts w:ascii="Arial" w:cs="Arial" w:eastAsia="Arial" w:hAnsi="Arial"/>
                <w:sz w:val="18"/>
                <w:szCs w:val="18"/>
                <w:color w:val="auto"/>
              </w:rPr>
              <w:t>proxy statement/prospectus).</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4.5(22)</w:t>
            </w:r>
          </w:p>
        </w:tc>
        <w:tc>
          <w:tcPr>
            <w:tcW w:w="10080" w:type="dxa"/>
            <w:vAlign w:val="bottom"/>
          </w:tcPr>
          <w:p>
            <w:pPr>
              <w:ind w:left="500"/>
              <w:spacing w:after="0"/>
              <w:rPr>
                <w:sz w:val="20"/>
                <w:szCs w:val="20"/>
                <w:color w:val="auto"/>
              </w:rPr>
            </w:pPr>
            <w:r>
              <w:rPr>
                <w:rFonts w:ascii="Arial" w:cs="Arial" w:eastAsia="Arial" w:hAnsi="Arial"/>
                <w:sz w:val="18"/>
                <w:szCs w:val="18"/>
                <w:color w:val="auto"/>
              </w:rPr>
              <w:t>Form of Convertible Note (included in Exhibit 4.4).</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4.6(29)</w:t>
            </w:r>
          </w:p>
        </w:tc>
        <w:tc>
          <w:tcPr>
            <w:tcW w:w="10080" w:type="dxa"/>
            <w:vAlign w:val="bottom"/>
          </w:tcPr>
          <w:p>
            <w:pPr>
              <w:ind w:left="500"/>
              <w:spacing w:after="0"/>
              <w:rPr>
                <w:sz w:val="20"/>
                <w:szCs w:val="20"/>
                <w:color w:val="auto"/>
              </w:rPr>
            </w:pPr>
            <w:r>
              <w:rPr>
                <w:rFonts w:ascii="Arial" w:cs="Arial" w:eastAsia="Arial" w:hAnsi="Arial"/>
                <w:sz w:val="18"/>
                <w:szCs w:val="18"/>
                <w:color w:val="auto"/>
              </w:rPr>
              <w:t>Warrant dated May 10, 2010 issued to Oxford Finance Corporation.</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rPr>
              <w:t>4.7(36)</w:t>
            </w:r>
          </w:p>
        </w:tc>
        <w:tc>
          <w:tcPr>
            <w:tcW w:w="10080" w:type="dxa"/>
            <w:vAlign w:val="bottom"/>
          </w:tcPr>
          <w:p>
            <w:pPr>
              <w:ind w:left="50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w w:val="90"/>
              </w:rPr>
              <w:t>10.1(1)*</w:t>
            </w:r>
          </w:p>
        </w:tc>
        <w:tc>
          <w:tcPr>
            <w:tcW w:w="10080" w:type="dxa"/>
            <w:vAlign w:val="bottom"/>
          </w:tcPr>
          <w:p>
            <w:pPr>
              <w:ind w:left="500"/>
              <w:spacing w:after="0"/>
              <w:rPr>
                <w:sz w:val="20"/>
                <w:szCs w:val="20"/>
                <w:color w:val="auto"/>
              </w:rPr>
            </w:pPr>
            <w:r>
              <w:rPr>
                <w:rFonts w:ascii="Arial" w:cs="Arial" w:eastAsia="Arial" w:hAnsi="Arial"/>
                <w:sz w:val="18"/>
                <w:szCs w:val="18"/>
                <w:color w:val="auto"/>
              </w:rPr>
              <w:t>2000 General Stock Incentive Plan of the Registrant.</w:t>
            </w:r>
          </w:p>
        </w:tc>
      </w:tr>
      <w:tr>
        <w:trPr>
          <w:trHeight w:val="324"/>
        </w:trPr>
        <w:tc>
          <w:tcPr>
            <w:tcW w:w="1120" w:type="dxa"/>
            <w:vAlign w:val="bottom"/>
          </w:tcPr>
          <w:p>
            <w:pPr>
              <w:jc w:val="right"/>
              <w:ind w:right="632"/>
              <w:spacing w:after="0"/>
              <w:rPr>
                <w:sz w:val="20"/>
                <w:szCs w:val="20"/>
                <w:color w:val="auto"/>
              </w:rPr>
            </w:pPr>
            <w:r>
              <w:rPr>
                <w:rFonts w:ascii="Arial" w:cs="Arial" w:eastAsia="Arial" w:hAnsi="Arial"/>
                <w:sz w:val="18"/>
                <w:szCs w:val="18"/>
                <w:color w:val="auto"/>
                <w:w w:val="90"/>
              </w:rPr>
              <w:t>10.2*</w:t>
            </w:r>
          </w:p>
        </w:tc>
        <w:tc>
          <w:tcPr>
            <w:tcW w:w="10080" w:type="dxa"/>
            <w:vAlign w:val="bottom"/>
          </w:tcPr>
          <w:p>
            <w:pPr>
              <w:ind w:left="500"/>
              <w:spacing w:after="0"/>
              <w:rPr>
                <w:sz w:val="20"/>
                <w:szCs w:val="20"/>
                <w:color w:val="auto"/>
              </w:rPr>
            </w:pPr>
            <w:r>
              <w:rPr>
                <w:rFonts w:ascii="Arial" w:cs="Arial" w:eastAsia="Arial" w:hAnsi="Arial"/>
                <w:sz w:val="18"/>
                <w:szCs w:val="18"/>
                <w:color w:val="auto"/>
              </w:rPr>
              <w:t>Amended and Restated 2004 Stock Incentive Plan of the Registrant.</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w w:val="90"/>
              </w:rPr>
              <w:t>10.3(5)*</w:t>
            </w:r>
          </w:p>
        </w:tc>
        <w:tc>
          <w:tcPr>
            <w:tcW w:w="10080" w:type="dxa"/>
            <w:vAlign w:val="bottom"/>
          </w:tcPr>
          <w:p>
            <w:pPr>
              <w:ind w:left="500"/>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w w:val="86"/>
              </w:rPr>
              <w:t>10.4(2)†</w:t>
            </w:r>
          </w:p>
        </w:tc>
        <w:tc>
          <w:tcPr>
            <w:tcW w:w="10080" w:type="dxa"/>
            <w:vAlign w:val="bottom"/>
          </w:tcPr>
          <w:p>
            <w:pPr>
              <w:ind w:left="500"/>
              <w:spacing w:after="0"/>
              <w:rPr>
                <w:sz w:val="20"/>
                <w:szCs w:val="20"/>
                <w:color w:val="auto"/>
              </w:rPr>
            </w:pPr>
            <w:r>
              <w:rPr>
                <w:rFonts w:ascii="Arial" w:cs="Arial" w:eastAsia="Arial" w:hAnsi="Arial"/>
                <w:sz w:val="18"/>
                <w:szCs w:val="18"/>
                <w:color w:val="auto"/>
              </w:rPr>
              <w:t>License Agreement between the Registrant and Kyorin Pharmaceutical Co., Ltd., dated March 14, 2002.</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w w:val="86"/>
              </w:rPr>
              <w:t>10.5(2)†</w:t>
            </w:r>
          </w:p>
        </w:tc>
        <w:tc>
          <w:tcPr>
            <w:tcW w:w="10080" w:type="dxa"/>
            <w:vAlign w:val="bottom"/>
          </w:tcPr>
          <w:p>
            <w:pPr>
              <w:ind w:left="500"/>
              <w:spacing w:after="0"/>
              <w:rPr>
                <w:sz w:val="20"/>
                <w:szCs w:val="20"/>
                <w:color w:val="auto"/>
              </w:rPr>
            </w:pPr>
            <w:r>
              <w:rPr>
                <w:rFonts w:ascii="Arial" w:cs="Arial" w:eastAsia="Arial" w:hAnsi="Arial"/>
                <w:sz w:val="18"/>
                <w:szCs w:val="18"/>
                <w:color w:val="auto"/>
              </w:rPr>
              <w:t>License Agreement between the Registrant and Angiogene Pharmaceuticals, Ltd., dated June 19, 2002.</w:t>
            </w:r>
          </w:p>
        </w:tc>
      </w:tr>
      <w:tr>
        <w:trPr>
          <w:trHeight w:val="324"/>
        </w:trPr>
        <w:tc>
          <w:tcPr>
            <w:tcW w:w="1120" w:type="dxa"/>
            <w:vAlign w:val="bottom"/>
          </w:tcPr>
          <w:p>
            <w:pPr>
              <w:jc w:val="right"/>
              <w:ind w:right="432"/>
              <w:spacing w:after="0"/>
              <w:rPr>
                <w:sz w:val="20"/>
                <w:szCs w:val="20"/>
                <w:color w:val="auto"/>
              </w:rPr>
            </w:pPr>
            <w:r>
              <w:rPr>
                <w:rFonts w:ascii="Arial" w:cs="Arial" w:eastAsia="Arial" w:hAnsi="Arial"/>
                <w:sz w:val="18"/>
                <w:szCs w:val="18"/>
                <w:color w:val="auto"/>
                <w:w w:val="86"/>
              </w:rPr>
              <w:t>10.6(2)†</w:t>
            </w:r>
          </w:p>
        </w:tc>
        <w:tc>
          <w:tcPr>
            <w:tcW w:w="10080" w:type="dxa"/>
            <w:vAlign w:val="bottom"/>
          </w:tcPr>
          <w:p>
            <w:pPr>
              <w:ind w:left="500"/>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r>
      <w:tr>
        <w:trPr>
          <w:trHeight w:val="365"/>
        </w:trPr>
        <w:tc>
          <w:tcPr>
            <w:tcW w:w="1120" w:type="dxa"/>
            <w:vAlign w:val="bottom"/>
          </w:tcPr>
          <w:p>
            <w:pPr>
              <w:spacing w:after="0"/>
              <w:rPr>
                <w:sz w:val="24"/>
                <w:szCs w:val="24"/>
                <w:color w:val="auto"/>
              </w:rPr>
            </w:pPr>
          </w:p>
        </w:tc>
        <w:tc>
          <w:tcPr>
            <w:tcW w:w="10080" w:type="dxa"/>
            <w:vAlign w:val="bottom"/>
          </w:tcPr>
          <w:p>
            <w:pPr>
              <w:ind w:left="4460"/>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360"/>
          </w:cols>
          <w:pgMar w:left="240" w:top="459" w:right="29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60" w:type="dxa"/>
            <w:vAlign w:val="bottom"/>
          </w:tcPr>
          <w:p>
            <w:pPr>
              <w:spacing w:after="0"/>
              <w:rPr>
                <w:sz w:val="20"/>
                <w:szCs w:val="20"/>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Arial" w:cs="Arial" w:eastAsia="Arial" w:hAnsi="Arial"/>
                <w:sz w:val="18"/>
                <w:szCs w:val="18"/>
                <w:color w:val="auto"/>
              </w:rPr>
              <w:t>10.7(2)†</w:t>
            </w:r>
          </w:p>
        </w:tc>
        <w:tc>
          <w:tcPr>
            <w:tcW w:w="10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License Agreement between the Registrant and Mitsubishi Tanabe Pharma Corporation, dated April 27, 2004.</w:t>
            </w:r>
          </w:p>
        </w:tc>
        <w:tc>
          <w:tcPr>
            <w:tcW w:w="0" w:type="dxa"/>
            <w:vAlign w:val="bottom"/>
          </w:tcPr>
          <w:p>
            <w:pPr>
              <w:spacing w:after="0"/>
              <w:rPr>
                <w:sz w:val="1"/>
                <w:szCs w:val="1"/>
                <w:color w:val="auto"/>
              </w:rPr>
            </w:pPr>
          </w:p>
        </w:tc>
      </w:tr>
      <w:tr>
        <w:trPr>
          <w:trHeight w:val="316"/>
        </w:trPr>
        <w:tc>
          <w:tcPr>
            <w:tcW w:w="1200" w:type="dxa"/>
            <w:vAlign w:val="bottom"/>
            <w:gridSpan w:val="2"/>
          </w:tcPr>
          <w:p>
            <w:pPr>
              <w:spacing w:after="0"/>
              <w:rPr>
                <w:sz w:val="20"/>
                <w:szCs w:val="20"/>
                <w:color w:val="auto"/>
              </w:rPr>
            </w:pPr>
            <w:r>
              <w:rPr>
                <w:rFonts w:ascii="Arial" w:cs="Arial" w:eastAsia="Arial" w:hAnsi="Arial"/>
                <w:sz w:val="18"/>
                <w:szCs w:val="18"/>
                <w:color w:val="auto"/>
              </w:rPr>
              <w:t>10.8(3)†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10.9(2)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Office Lease Agreement between the Registrant and CA-LA Jolla II Limited Partnership, dated January 28, 2004 and the First Amendment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thereto, dated August 10, 2004.</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10.11(4)</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1"/>
              </w:rPr>
              <w:t>Second Amendment to Office Lease Agreement between the Registrant and CA-La Jolla II Limited Partnership, dated March 21, 2005.</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10.13(11)*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10.14(7)†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10.15(7)†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10.16(8)*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10.17(13)*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2007 Employee Stock Purchase Plan of the Registrant.</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10.18(9)*</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4"/>
              </w:rPr>
              <w:t>Form of Severance Protection Agreement between the Registrant and certain of its executive officers, dated September 12, 2007.</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10.19(10)</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Third Amendment to Office Lease Agreement between the Registrant and 4350 La Jolla Village LLC, dated January 31, 2008.</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10.23(16)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Fourth Amendment to Lease Agreement between the Registrant and 4350 La Jolla Village LLC, dated October 3, 2008.</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10.24(17)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Credit Line Account Application and Agreement for Organizations and Businesses, executed by the Registrant on January 8, 2009, by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between the Registrant and UBS Bank USA.</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10.25(17)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Addendum to Credit Line Account Application and Agreement, executed by the Registrant on January 8, 2009, by and between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Registrant, UBS Bank USA and UBS Financial Services Inc.</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10.26(17)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Addendum to Credit Line Agreement, executed by the Registrant on January 8, 2009, by and between the Registrant and UBS Bank USA.</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10.27(17)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Important Notice on Interest Rates and Payments, executed by the Registrant on January 8, 2009, by and between the Registrant and UBS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Bank USA.</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10.28(18)†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Development and Supply Agreement between the Registrant and Hospira Worldwide, Inc., dated as of March 26, 2009.</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10.31(22)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Form of Contingent Payment Rights Agreement by and among Registrant, Avigen, Inc. and American Stock Transfer and Trust Company,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LLC (attached as Annex B to the joint proxy statement/prospectus).</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10.32(22)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Form of Trust Agreement by and between Registrant and American Stock Transfer and Trust Company, LLC (attached as Annex D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joint proxy statement/prospectus).</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20" w:type="dxa"/>
            <w:vAlign w:val="bottom"/>
            <w:gridSpan w:val="2"/>
          </w:tcPr>
          <w:p>
            <w:pPr>
              <w:jc w:val="right"/>
              <w:ind w:right="549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60" w:type="dxa"/>
            <w:vAlign w:val="bottom"/>
          </w:tcPr>
          <w:p>
            <w:pPr>
              <w:spacing w:after="0"/>
              <w:rPr>
                <w:sz w:val="20"/>
                <w:szCs w:val="20"/>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Arial" w:cs="Arial" w:eastAsia="Arial" w:hAnsi="Arial"/>
                <w:sz w:val="18"/>
                <w:szCs w:val="18"/>
                <w:color w:val="auto"/>
              </w:rPr>
              <w:t>10.33(22)</w:t>
            </w:r>
          </w:p>
        </w:tc>
        <w:tc>
          <w:tcPr>
            <w:tcW w:w="10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Form of Escrow Agreement by and between Registrant and American Stock Transfer and Trust Company, LLC (attached as Annex 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the joint proxy statement/prospectus).</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10.34(23)†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Assignment Agreement, dated December 19, 2005, by and between Genzyme Corporation and Avigen, Inc.</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10.35(25)†</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2"/>
              </w:rPr>
              <w:t>Asset Purchase Agreement, dated December 17, 2008, by and between Baxter Healthcare Corporation, Baxter International Inc.,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Baxter Healthcare S.A. and Avigen, Inc.</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10.36(28)*</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Registrant and Kirk Johnson, dated February 1, 2010.</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10.37(29)</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9"/>
              </w:rPr>
              <w:t>Loan and Security Agreement dated May 10, 2010 by and among Registrant, Avigen, Inc. and Oxford Finance Corporation.</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10.38(24)*</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10.39(26)*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Form of Amendment to Employment Agreement between Registrant and certain of its executive officers, dated December 31,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10.40(26)*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8"/>
              </w:rPr>
              <w:t>Form of Severance Protection Agreement between Registrant and certain of its executive officers, dated December 31,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10.41(30)*</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Separation Agreement and Release between Registrant and Shintaro Asako, dated February 1,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10.42(31)</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Pay-off Letter between Registrant and Oxford Finance Corporation, dated March 31, 2011.</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10.43(32)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0"/>
              </w:rPr>
              <w:t>Joint Venture Agreement among Registrant, Zhejiang Medicine Co., Ltd. and Beijing Make-Friend Medicine Technology Co., Ltd., dated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June 29,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10.44(33)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Fifth Amendment to Office Lease Agreement between Registrant and 4350 La Jolla Village LLC, dated July 6,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10.45(34)</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Stock Purchase Agreement between Registrant and Kissei Pharmaceutical Co. Ltd., dated September 26, 2011.</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10.46(35)</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Consulting Agreement for Chief Financial Officer between Registrant and FLG Partners, dated September 1, 2011</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14.1(11)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Code of Ethics of the Registrant.</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21.1(27)</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Executive Officer pursuant to Rules 13a-14 and 15d-14 promulgated under the Securities Act of 1933.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Financial Officer pursuant to Rules 13a-14 and 15d-14 promulgated under the Securities Act of 1933.</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20" w:type="dxa"/>
            <w:vAlign w:val="bottom"/>
            <w:gridSpan w:val="2"/>
          </w:tcPr>
          <w:p>
            <w:pPr>
              <w:jc w:val="right"/>
              <w:ind w:right="549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-807720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wp:posOffset>
            </wp:positionV>
            <wp:extent cx="63461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 Sarbanes-Oxley Act of 2002.</w:t>
      </w:r>
    </w:p>
    <w:p>
      <w:pPr>
        <w:spacing w:after="0" w:line="78" w:lineRule="exact"/>
        <w:rPr>
          <w:sz w:val="20"/>
          <w:szCs w:val="20"/>
          <w:color w:val="auto"/>
        </w:rPr>
      </w:pPr>
    </w:p>
    <w:p>
      <w:pPr>
        <w:sectPr>
          <w:pgSz w:w="11900" w:h="16838" w:orient="portrait"/>
          <w:cols w:equalWidth="0" w:num="2">
            <w:col w:w="1360" w:space="60"/>
            <w:col w:w="100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w:t>
            </w:r>
          </w:p>
        </w:tc>
      </w:tr>
      <w:tr>
        <w:trPr>
          <w:trHeight w:val="222"/>
        </w:trPr>
        <w:tc>
          <w:tcPr>
            <w:tcW w:w="94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Act of 2002.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The following financial statements from MediciNova, Inc. on Form 10-K for year ended December 31, 2011 formatted in Extensible Business</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Reporting Language (XBRL): (i) Consolidated Balance Sheets; (ii) Consolidated Statements of Operations; (iii) Consolidated Statements of</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Stockholders’ Equity and Comprehensive Loss; (iv) Consolidated Statements of Cash Flows; and (v) the notes to the consolidated financial</w:t>
            </w:r>
          </w:p>
        </w:tc>
      </w:tr>
      <w:tr>
        <w:trPr>
          <w:trHeight w:val="222"/>
        </w:trPr>
        <w:tc>
          <w:tcPr>
            <w:tcW w:w="94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statements (tagged as block 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Filed with the Registrant’s Definitive Proxy Statement on Schedule 14A filed March 13, 2007 and incorporated herein by reference.</w:t>
      </w:r>
    </w:p>
    <w:p>
      <w:pPr>
        <w:spacing w:after="0" w:line="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29, 2009 and incorporated herein by reference.</w:t>
      </w:r>
    </w:p>
    <w:p>
      <w:pPr>
        <w:spacing w:after="0" w:line="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March 16,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with the SEC on March 16,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24, 2010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3,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May 16,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August 15,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12,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8,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9" w:lineRule="exact"/>
        <w:rPr>
          <w:rFonts w:ascii="Arial" w:cs="Arial" w:eastAsia="Arial" w:hAnsi="Arial"/>
          <w:sz w:val="18"/>
          <w:szCs w:val="18"/>
          <w:color w:val="auto"/>
        </w:rPr>
      </w:pPr>
    </w:p>
    <w:p>
      <w:pPr>
        <w:ind w:left="460" w:hanging="446"/>
        <w:spacing w:after="0" w:line="255" w:lineRule="auto"/>
        <w:rPr>
          <w:rFonts w:ascii="Arial" w:cs="Arial" w:eastAsia="Arial" w:hAnsi="Arial"/>
          <w:sz w:val="18"/>
          <w:szCs w:val="18"/>
          <w:color w:val="auto"/>
        </w:rPr>
      </w:pPr>
      <w:r>
        <w:rPr>
          <w:rFonts w:ascii="Arial" w:cs="Arial" w:eastAsia="Arial" w:hAnsi="Arial"/>
          <w:sz w:val="18"/>
          <w:szCs w:val="18"/>
          <w:color w:val="auto"/>
        </w:rPr>
        <w:t>** Pursuant to Rule 406T of Regulation S-T, this interactive data file is deemed not filed or part of a registration statement or prospectus for purpose of Section 11 or 12 of the Securities Act of 1933, is deemed not filed for purpose of Section 18 of the Exchange Act of 1934, and otherwise is not subject to liability under these sections.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200" w:type="dxa"/>
            <w:vAlign w:val="bottom"/>
            <w:gridSpan w:val="2"/>
          </w:tcPr>
          <w:p>
            <w:pPr>
              <w:ind w:left="2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EDICINOVA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4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200" w:type="dxa"/>
            <w:vAlign w:val="bottom"/>
            <w:gridSpan w:val="2"/>
          </w:tcPr>
          <w:p>
            <w:pPr>
              <w:ind w:left="2360"/>
              <w:spacing w:after="0"/>
              <w:rPr>
                <w:sz w:val="20"/>
                <w:szCs w:val="20"/>
                <w:color w:val="auto"/>
              </w:rPr>
            </w:pPr>
            <w:r>
              <w:rPr>
                <w:rFonts w:ascii="Arial" w:cs="Arial" w:eastAsia="Arial" w:hAnsi="Arial"/>
                <w:sz w:val="18"/>
                <w:szCs w:val="18"/>
                <w:color w:val="auto"/>
                <w:w w:val="94"/>
              </w:rPr>
              <w:t>A Delaware Corporation</w:t>
            </w:r>
          </w:p>
        </w:tc>
        <w:tc>
          <w:tcPr>
            <w:tcW w:w="4080" w:type="dxa"/>
            <w:vAlign w:val="bottom"/>
          </w:tcPr>
          <w:p>
            <w:pPr>
              <w:spacing w:after="0"/>
              <w:rPr>
                <w:sz w:val="19"/>
                <w:szCs w:val="19"/>
                <w:color w:val="auto"/>
              </w:rPr>
            </w:pPr>
          </w:p>
        </w:tc>
      </w:tr>
      <w:tr>
        <w:trPr>
          <w:trHeight w:val="434"/>
        </w:trPr>
        <w:tc>
          <w:tcPr>
            <w:tcW w:w="3140" w:type="dxa"/>
            <w:vAlign w:val="bottom"/>
          </w:tcPr>
          <w:p>
            <w:pPr>
              <w:spacing w:after="0"/>
              <w:rPr>
                <w:sz w:val="20"/>
                <w:szCs w:val="20"/>
                <w:color w:val="auto"/>
              </w:rPr>
            </w:pPr>
            <w:r>
              <w:rPr>
                <w:rFonts w:ascii="Arial" w:cs="Arial" w:eastAsia="Arial" w:hAnsi="Arial"/>
                <w:sz w:val="18"/>
                <w:szCs w:val="18"/>
                <w:color w:val="auto"/>
              </w:rPr>
              <w:t>Date: March 28, 2012</w:t>
            </w:r>
          </w:p>
        </w:tc>
        <w:tc>
          <w:tcPr>
            <w:tcW w:w="4200" w:type="dxa"/>
            <w:vAlign w:val="bottom"/>
            <w:gridSpan w:val="2"/>
          </w:tcPr>
          <w:p>
            <w:pPr>
              <w:ind w:left="2520"/>
              <w:spacing w:after="0"/>
              <w:rPr>
                <w:sz w:val="20"/>
                <w:szCs w:val="20"/>
                <w:color w:val="auto"/>
              </w:rPr>
            </w:pPr>
            <w:r>
              <w:rPr>
                <w:rFonts w:ascii="Arial" w:cs="Arial" w:eastAsia="Arial" w:hAnsi="Arial"/>
                <w:sz w:val="18"/>
                <w:szCs w:val="18"/>
                <w:color w:val="auto"/>
              </w:rPr>
              <w:t>By:</w:t>
            </w:r>
          </w:p>
        </w:tc>
        <w:tc>
          <w:tcPr>
            <w:tcW w:w="4080" w:type="dxa"/>
            <w:vAlign w:val="bottom"/>
          </w:tcPr>
          <w:p>
            <w:pPr>
              <w:jc w:val="center"/>
              <w:ind w:right="1192"/>
              <w:spacing w:after="0"/>
              <w:rPr>
                <w:sz w:val="20"/>
                <w:szCs w:val="20"/>
                <w:color w:val="auto"/>
              </w:rPr>
            </w:pPr>
            <w:r>
              <w:rPr>
                <w:rFonts w:ascii="Arial" w:cs="Arial" w:eastAsia="Arial" w:hAnsi="Arial"/>
                <w:sz w:val="18"/>
                <w:szCs w:val="18"/>
                <w:color w:val="auto"/>
                <w:w w:val="94"/>
              </w:rPr>
              <w:t>/s/ Yuichi Iwaki</w:t>
            </w:r>
          </w:p>
        </w:tc>
      </w:tr>
      <w:tr>
        <w:trPr>
          <w:trHeight w:val="215"/>
        </w:trPr>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1192"/>
              <w:spacing w:after="0"/>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80" w:type="dxa"/>
            <w:vAlign w:val="bottom"/>
          </w:tcPr>
          <w:p>
            <w:pPr>
              <w:jc w:val="center"/>
              <w:ind w:right="1192"/>
              <w:spacing w:after="0"/>
              <w:rPr>
                <w:sz w:val="20"/>
                <w:szCs w:val="20"/>
                <w:color w:val="auto"/>
              </w:rPr>
            </w:pPr>
            <w:r>
              <w:rPr>
                <w:rFonts w:ascii="Arial" w:cs="Arial" w:eastAsia="Arial" w:hAnsi="Arial"/>
                <w:sz w:val="18"/>
                <w:szCs w:val="18"/>
                <w:color w:val="auto"/>
                <w:w w:val="91"/>
              </w:rPr>
              <w:t>President &amp; Chief Executive Officer</w:t>
            </w:r>
          </w:p>
        </w:tc>
      </w:tr>
      <w:tr>
        <w:trPr>
          <w:trHeight w:val="365"/>
        </w:trPr>
        <w:tc>
          <w:tcPr>
            <w:tcW w:w="3140" w:type="dxa"/>
            <w:vAlign w:val="bottom"/>
          </w:tcPr>
          <w:p>
            <w:pPr>
              <w:spacing w:after="0"/>
              <w:rPr>
                <w:sz w:val="24"/>
                <w:szCs w:val="24"/>
                <w:color w:val="auto"/>
              </w:rPr>
            </w:pPr>
          </w:p>
        </w:tc>
        <w:tc>
          <w:tcPr>
            <w:tcW w:w="42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080" w:type="dxa"/>
            <w:vAlign w:val="bottom"/>
          </w:tcPr>
          <w:p>
            <w:pPr>
              <w:spacing w:after="0"/>
              <w:rPr>
                <w:sz w:val="24"/>
                <w:szCs w:val="24"/>
                <w:color w:val="auto"/>
              </w:rPr>
            </w:pPr>
          </w:p>
        </w:tc>
      </w:tr>
    </w:tbl>
    <w:p>
      <w:pPr>
        <w:spacing w:after="0" w:line="14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Michael Gennaro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6"/>
              </w:rPr>
              <w:t>Signature</w:t>
            </w:r>
          </w:p>
        </w:tc>
        <w:tc>
          <w:tcPr>
            <w:tcW w:w="206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&amp; Chief Executive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Michael Gennaro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Michael Gennaro</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Accounting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Tatsuo Izumi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Tatsuo Izumi</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Kousuke Nakata</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7"/>
              </w:rPr>
              <w:t>Kousuke Nakata</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Hiroaki Shigeta</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2012</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Hiroaki Shigeta</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00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(Adopted by the Board on November 11, 2004 and by the Stockholders on December 21, 2004)</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by the Board on January 9, 2006)</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by the Board on February 20, 2007 and by the Stockholders on March 30, 2007)</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by the Board on March 18, 2008 and by the Stockholders on June 6, 2008)</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by the Board on November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980" w:type="dxa"/>
            <w:vAlign w:val="bottom"/>
            <w:gridSpan w:val="2"/>
          </w:tcPr>
          <w:p>
            <w:pPr>
              <w:jc w:val="right"/>
              <w:ind w:right="4872"/>
              <w:spacing w:after="0"/>
              <w:rPr>
                <w:sz w:val="20"/>
                <w:szCs w:val="20"/>
                <w:color w:val="auto"/>
              </w:rPr>
            </w:pPr>
            <w:r>
              <w:rPr>
                <w:rFonts w:ascii="Arial" w:cs="Arial" w:eastAsia="Arial" w:hAnsi="Arial"/>
                <w:sz w:val="18"/>
                <w:szCs w:val="18"/>
                <w:b w:val="1"/>
                <w:bCs w:val="1"/>
                <w:color w:val="auto"/>
              </w:rPr>
              <w:t>Table of Contents</w:t>
            </w:r>
          </w:p>
        </w:tc>
      </w:tr>
      <w:tr>
        <w:trPr>
          <w:trHeight w:val="353"/>
        </w:trPr>
        <w:tc>
          <w:tcPr>
            <w:tcW w:w="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4340" w:type="dxa"/>
            <w:vAlign w:val="bottom"/>
            <w:gridSpan w:val="2"/>
          </w:tcPr>
          <w:p>
            <w:pPr>
              <w:spacing w:after="0"/>
              <w:rPr>
                <w:sz w:val="20"/>
                <w:szCs w:val="20"/>
                <w:color w:val="auto"/>
              </w:rPr>
            </w:pPr>
            <w:r>
              <w:rPr>
                <w:rFonts w:ascii="Arial" w:cs="Arial" w:eastAsia="Arial" w:hAnsi="Arial"/>
                <w:sz w:val="18"/>
                <w:szCs w:val="18"/>
                <w:color w:val="auto"/>
              </w:rPr>
              <w:t>SECTION 1. ESTABLISHMENT AND PURPOSE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340" w:type="dxa"/>
            <w:vAlign w:val="bottom"/>
            <w:gridSpan w:val="2"/>
          </w:tcPr>
          <w:p>
            <w:pPr>
              <w:spacing w:after="0"/>
              <w:rPr>
                <w:sz w:val="20"/>
                <w:szCs w:val="20"/>
                <w:color w:val="auto"/>
              </w:rPr>
            </w:pPr>
            <w:r>
              <w:rPr>
                <w:rFonts w:ascii="Arial" w:cs="Arial" w:eastAsia="Arial" w:hAnsi="Arial"/>
                <w:sz w:val="18"/>
                <w:szCs w:val="18"/>
                <w:color w:val="auto"/>
              </w:rPr>
              <w:t>SECTION 2. DEFINITIONS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(a)</w:t>
            </w:r>
          </w:p>
        </w:tc>
        <w:tc>
          <w:tcPr>
            <w:tcW w:w="3380" w:type="dxa"/>
            <w:vAlign w:val="bottom"/>
          </w:tcPr>
          <w:p>
            <w:pPr>
              <w:ind w:left="120"/>
              <w:spacing w:after="0"/>
              <w:rPr>
                <w:sz w:val="20"/>
                <w:szCs w:val="20"/>
                <w:color w:val="auto"/>
              </w:rPr>
            </w:pPr>
            <w:r>
              <w:rPr>
                <w:rFonts w:ascii="Arial" w:cs="Arial" w:eastAsia="Arial" w:hAnsi="Arial"/>
                <w:sz w:val="18"/>
                <w:szCs w:val="18"/>
                <w:color w:val="auto"/>
              </w:rPr>
              <w:t>“Affiliate”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(b)</w:t>
            </w:r>
          </w:p>
        </w:tc>
        <w:tc>
          <w:tcPr>
            <w:tcW w:w="3380" w:type="dxa"/>
            <w:vAlign w:val="bottom"/>
          </w:tcPr>
          <w:p>
            <w:pPr>
              <w:ind w:left="120"/>
              <w:spacing w:after="0"/>
              <w:rPr>
                <w:sz w:val="20"/>
                <w:szCs w:val="20"/>
                <w:color w:val="auto"/>
              </w:rPr>
            </w:pPr>
            <w:r>
              <w:rPr>
                <w:rFonts w:ascii="Arial" w:cs="Arial" w:eastAsia="Arial" w:hAnsi="Arial"/>
                <w:sz w:val="18"/>
                <w:szCs w:val="18"/>
                <w:color w:val="auto"/>
              </w:rPr>
              <w:t>“Award”</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(c)</w:t>
            </w:r>
          </w:p>
        </w:tc>
        <w:tc>
          <w:tcPr>
            <w:tcW w:w="3380" w:type="dxa"/>
            <w:vAlign w:val="bottom"/>
          </w:tcPr>
          <w:p>
            <w:pPr>
              <w:ind w:left="120"/>
              <w:spacing w:after="0"/>
              <w:rPr>
                <w:sz w:val="20"/>
                <w:szCs w:val="20"/>
                <w:color w:val="auto"/>
              </w:rPr>
            </w:pPr>
            <w:r>
              <w:rPr>
                <w:rFonts w:ascii="Arial" w:cs="Arial" w:eastAsia="Arial" w:hAnsi="Arial"/>
                <w:sz w:val="18"/>
                <w:szCs w:val="18"/>
                <w:color w:val="auto"/>
              </w:rPr>
              <w:t>“Board of Directors”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(d)</w:t>
            </w:r>
          </w:p>
        </w:tc>
        <w:tc>
          <w:tcPr>
            <w:tcW w:w="3380" w:type="dxa"/>
            <w:vAlign w:val="bottom"/>
          </w:tcPr>
          <w:p>
            <w:pPr>
              <w:ind w:left="120"/>
              <w:spacing w:after="0"/>
              <w:rPr>
                <w:sz w:val="20"/>
                <w:szCs w:val="20"/>
                <w:color w:val="auto"/>
              </w:rPr>
            </w:pPr>
            <w:r>
              <w:rPr>
                <w:rFonts w:ascii="Arial" w:cs="Arial" w:eastAsia="Arial" w:hAnsi="Arial"/>
                <w:sz w:val="18"/>
                <w:szCs w:val="18"/>
                <w:color w:val="auto"/>
              </w:rPr>
              <w:t>“Change in Control”</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(e)</w:t>
            </w:r>
          </w:p>
        </w:tc>
        <w:tc>
          <w:tcPr>
            <w:tcW w:w="3380" w:type="dxa"/>
            <w:vAlign w:val="bottom"/>
          </w:tcPr>
          <w:p>
            <w:pPr>
              <w:ind w:left="120"/>
              <w:spacing w:after="0"/>
              <w:rPr>
                <w:sz w:val="20"/>
                <w:szCs w:val="20"/>
                <w:color w:val="auto"/>
              </w:rPr>
            </w:pPr>
            <w:r>
              <w:rPr>
                <w:rFonts w:ascii="Arial" w:cs="Arial" w:eastAsia="Arial" w:hAnsi="Arial"/>
                <w:sz w:val="18"/>
                <w:szCs w:val="18"/>
                <w:color w:val="auto"/>
              </w:rPr>
              <w:t>“Code”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(f)</w:t>
            </w:r>
          </w:p>
        </w:tc>
        <w:tc>
          <w:tcPr>
            <w:tcW w:w="338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(g)</w:t>
            </w:r>
          </w:p>
        </w:tc>
        <w:tc>
          <w:tcPr>
            <w:tcW w:w="3380" w:type="dxa"/>
            <w:vAlign w:val="bottom"/>
          </w:tcPr>
          <w:p>
            <w:pPr>
              <w:ind w:left="120"/>
              <w:spacing w:after="0"/>
              <w:rPr>
                <w:sz w:val="20"/>
                <w:szCs w:val="20"/>
                <w:color w:val="auto"/>
              </w:rPr>
            </w:pPr>
            <w:r>
              <w:rPr>
                <w:rFonts w:ascii="Arial" w:cs="Arial" w:eastAsia="Arial" w:hAnsi="Arial"/>
                <w:sz w:val="18"/>
                <w:szCs w:val="18"/>
                <w:color w:val="auto"/>
              </w:rPr>
              <w:t>“Company”</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(h)</w:t>
            </w:r>
          </w:p>
        </w:tc>
        <w:tc>
          <w:tcPr>
            <w:tcW w:w="3380" w:type="dxa"/>
            <w:vAlign w:val="bottom"/>
          </w:tcPr>
          <w:p>
            <w:pPr>
              <w:ind w:left="120"/>
              <w:spacing w:after="0"/>
              <w:rPr>
                <w:sz w:val="20"/>
                <w:szCs w:val="20"/>
                <w:color w:val="auto"/>
              </w:rPr>
            </w:pPr>
            <w:r>
              <w:rPr>
                <w:rFonts w:ascii="Arial" w:cs="Arial" w:eastAsia="Arial" w:hAnsi="Arial"/>
                <w:sz w:val="18"/>
                <w:szCs w:val="18"/>
                <w:color w:val="auto"/>
              </w:rPr>
              <w:t>“Consultant”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(i)</w:t>
            </w:r>
          </w:p>
        </w:tc>
        <w:tc>
          <w:tcPr>
            <w:tcW w:w="3380" w:type="dxa"/>
            <w:vAlign w:val="bottom"/>
          </w:tcPr>
          <w:p>
            <w:pPr>
              <w:ind w:left="120"/>
              <w:spacing w:after="0"/>
              <w:rPr>
                <w:sz w:val="20"/>
                <w:szCs w:val="20"/>
                <w:color w:val="auto"/>
              </w:rPr>
            </w:pPr>
            <w:r>
              <w:rPr>
                <w:rFonts w:ascii="Arial" w:cs="Arial" w:eastAsia="Arial" w:hAnsi="Arial"/>
                <w:sz w:val="18"/>
                <w:szCs w:val="18"/>
                <w:color w:val="auto"/>
              </w:rPr>
              <w:t>“Employee”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(j)</w:t>
            </w:r>
          </w:p>
        </w:tc>
        <w:tc>
          <w:tcPr>
            <w:tcW w:w="3380" w:type="dxa"/>
            <w:vAlign w:val="bottom"/>
          </w:tcPr>
          <w:p>
            <w:pPr>
              <w:ind w:left="120"/>
              <w:spacing w:after="0"/>
              <w:rPr>
                <w:sz w:val="20"/>
                <w:szCs w:val="20"/>
                <w:color w:val="auto"/>
              </w:rPr>
            </w:pPr>
            <w:r>
              <w:rPr>
                <w:rFonts w:ascii="Arial" w:cs="Arial" w:eastAsia="Arial" w:hAnsi="Arial"/>
                <w:sz w:val="18"/>
                <w:szCs w:val="18"/>
                <w:color w:val="auto"/>
              </w:rPr>
              <w:t>“Exchange Act”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(k)</w:t>
            </w:r>
          </w:p>
        </w:tc>
        <w:tc>
          <w:tcPr>
            <w:tcW w:w="338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(l)</w:t>
            </w:r>
          </w:p>
        </w:tc>
        <w:tc>
          <w:tcPr>
            <w:tcW w:w="3380" w:type="dxa"/>
            <w:vAlign w:val="bottom"/>
          </w:tcPr>
          <w:p>
            <w:pPr>
              <w:ind w:left="120"/>
              <w:spacing w:after="0"/>
              <w:rPr>
                <w:sz w:val="20"/>
                <w:szCs w:val="20"/>
                <w:color w:val="auto"/>
              </w:rPr>
            </w:pPr>
            <w:r>
              <w:rPr>
                <w:rFonts w:ascii="Arial" w:cs="Arial" w:eastAsia="Arial" w:hAnsi="Arial"/>
                <w:sz w:val="18"/>
                <w:szCs w:val="18"/>
                <w:color w:val="auto"/>
              </w:rPr>
              <w:t>“Fair Market Value”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(m)</w:t>
            </w:r>
          </w:p>
        </w:tc>
        <w:tc>
          <w:tcPr>
            <w:tcW w:w="3380" w:type="dxa"/>
            <w:vAlign w:val="bottom"/>
          </w:tcPr>
          <w:p>
            <w:pPr>
              <w:ind w:left="120"/>
              <w:spacing w:after="0"/>
              <w:rPr>
                <w:sz w:val="20"/>
                <w:szCs w:val="20"/>
                <w:color w:val="auto"/>
              </w:rPr>
            </w:pPr>
            <w:r>
              <w:rPr>
                <w:rFonts w:ascii="Arial" w:cs="Arial" w:eastAsia="Arial" w:hAnsi="Arial"/>
                <w:sz w:val="18"/>
                <w:szCs w:val="18"/>
                <w:color w:val="auto"/>
              </w:rPr>
              <w:t>“ISO”</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(n)</w:t>
            </w:r>
          </w:p>
        </w:tc>
        <w:tc>
          <w:tcPr>
            <w:tcW w:w="3380" w:type="dxa"/>
            <w:vAlign w:val="bottom"/>
          </w:tcPr>
          <w:p>
            <w:pPr>
              <w:ind w:left="120"/>
              <w:spacing w:after="0"/>
              <w:rPr>
                <w:sz w:val="20"/>
                <w:szCs w:val="20"/>
                <w:color w:val="auto"/>
              </w:rPr>
            </w:pPr>
            <w:r>
              <w:rPr>
                <w:rFonts w:ascii="Arial" w:cs="Arial" w:eastAsia="Arial" w:hAnsi="Arial"/>
                <w:sz w:val="18"/>
                <w:szCs w:val="18"/>
                <w:color w:val="auto"/>
              </w:rPr>
              <w:t>“Nonstatutory Option” or “NSO”</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(o)</w:t>
            </w:r>
          </w:p>
        </w:tc>
        <w:tc>
          <w:tcPr>
            <w:tcW w:w="3380" w:type="dxa"/>
            <w:vAlign w:val="bottom"/>
          </w:tcPr>
          <w:p>
            <w:pPr>
              <w:ind w:left="120"/>
              <w:spacing w:after="0"/>
              <w:rPr>
                <w:sz w:val="20"/>
                <w:szCs w:val="20"/>
                <w:color w:val="auto"/>
              </w:rPr>
            </w:pPr>
            <w:r>
              <w:rPr>
                <w:rFonts w:ascii="Arial" w:cs="Arial" w:eastAsia="Arial" w:hAnsi="Arial"/>
                <w:sz w:val="18"/>
                <w:szCs w:val="18"/>
                <w:color w:val="auto"/>
              </w:rPr>
              <w:t>“Offeree”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(p)</w:t>
            </w:r>
          </w:p>
        </w:tc>
        <w:tc>
          <w:tcPr>
            <w:tcW w:w="3380" w:type="dxa"/>
            <w:vAlign w:val="bottom"/>
          </w:tcPr>
          <w:p>
            <w:pPr>
              <w:ind w:left="120"/>
              <w:spacing w:after="0"/>
              <w:rPr>
                <w:sz w:val="20"/>
                <w:szCs w:val="20"/>
                <w:color w:val="auto"/>
              </w:rPr>
            </w:pPr>
            <w:r>
              <w:rPr>
                <w:rFonts w:ascii="Arial" w:cs="Arial" w:eastAsia="Arial" w:hAnsi="Arial"/>
                <w:sz w:val="18"/>
                <w:szCs w:val="18"/>
                <w:color w:val="auto"/>
              </w:rPr>
              <w:t>“Option”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(q)</w:t>
            </w:r>
          </w:p>
        </w:tc>
        <w:tc>
          <w:tcPr>
            <w:tcW w:w="3380" w:type="dxa"/>
            <w:vAlign w:val="bottom"/>
          </w:tcPr>
          <w:p>
            <w:pPr>
              <w:ind w:left="120"/>
              <w:spacing w:after="0"/>
              <w:rPr>
                <w:sz w:val="20"/>
                <w:szCs w:val="20"/>
                <w:color w:val="auto"/>
              </w:rPr>
            </w:pPr>
            <w:r>
              <w:rPr>
                <w:rFonts w:ascii="Arial" w:cs="Arial" w:eastAsia="Arial" w:hAnsi="Arial"/>
                <w:sz w:val="18"/>
                <w:szCs w:val="18"/>
                <w:color w:val="auto"/>
              </w:rPr>
              <w:t>“Optionee”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(r)</w:t>
            </w:r>
          </w:p>
        </w:tc>
        <w:tc>
          <w:tcPr>
            <w:tcW w:w="3380" w:type="dxa"/>
            <w:vAlign w:val="bottom"/>
          </w:tcPr>
          <w:p>
            <w:pPr>
              <w:ind w:left="120"/>
              <w:spacing w:after="0"/>
              <w:rPr>
                <w:sz w:val="20"/>
                <w:szCs w:val="20"/>
                <w:color w:val="auto"/>
              </w:rPr>
            </w:pPr>
            <w:r>
              <w:rPr>
                <w:rFonts w:ascii="Arial" w:cs="Arial" w:eastAsia="Arial" w:hAnsi="Arial"/>
                <w:sz w:val="18"/>
                <w:szCs w:val="18"/>
                <w:color w:val="auto"/>
              </w:rPr>
              <w:t>“Outside Director”</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(s)</w:t>
            </w:r>
          </w:p>
        </w:tc>
        <w:tc>
          <w:tcPr>
            <w:tcW w:w="3380" w:type="dxa"/>
            <w:vAlign w:val="bottom"/>
          </w:tcPr>
          <w:p>
            <w:pPr>
              <w:ind w:left="120"/>
              <w:spacing w:after="0"/>
              <w:rPr>
                <w:sz w:val="20"/>
                <w:szCs w:val="20"/>
                <w:color w:val="auto"/>
              </w:rPr>
            </w:pPr>
            <w:r>
              <w:rPr>
                <w:rFonts w:ascii="Arial" w:cs="Arial" w:eastAsia="Arial" w:hAnsi="Arial"/>
                <w:sz w:val="18"/>
                <w:szCs w:val="18"/>
                <w:color w:val="auto"/>
              </w:rPr>
              <w:t>“Parent”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(t)</w:t>
            </w:r>
          </w:p>
        </w:tc>
        <w:tc>
          <w:tcPr>
            <w:tcW w:w="3380" w:type="dxa"/>
            <w:vAlign w:val="bottom"/>
          </w:tcPr>
          <w:p>
            <w:pPr>
              <w:ind w:left="120"/>
              <w:spacing w:after="0"/>
              <w:rPr>
                <w:sz w:val="20"/>
                <w:szCs w:val="20"/>
                <w:color w:val="auto"/>
              </w:rPr>
            </w:pPr>
            <w:r>
              <w:rPr>
                <w:rFonts w:ascii="Arial" w:cs="Arial" w:eastAsia="Arial" w:hAnsi="Arial"/>
                <w:sz w:val="18"/>
                <w:szCs w:val="18"/>
                <w:color w:val="auto"/>
              </w:rPr>
              <w:t>“Participant”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(u)</w:t>
            </w:r>
          </w:p>
        </w:tc>
        <w:tc>
          <w:tcPr>
            <w:tcW w:w="3380" w:type="dxa"/>
            <w:vAlign w:val="bottom"/>
          </w:tcPr>
          <w:p>
            <w:pPr>
              <w:ind w:left="120"/>
              <w:spacing w:after="0"/>
              <w:rPr>
                <w:sz w:val="20"/>
                <w:szCs w:val="20"/>
                <w:color w:val="auto"/>
              </w:rPr>
            </w:pPr>
            <w:r>
              <w:rPr>
                <w:rFonts w:ascii="Arial" w:cs="Arial" w:eastAsia="Arial" w:hAnsi="Arial"/>
                <w:sz w:val="18"/>
                <w:szCs w:val="18"/>
                <w:color w:val="auto"/>
              </w:rPr>
              <w:t>“Plan”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(v)</w:t>
            </w:r>
          </w:p>
        </w:tc>
        <w:tc>
          <w:tcPr>
            <w:tcW w:w="3380" w:type="dxa"/>
            <w:vAlign w:val="bottom"/>
          </w:tcPr>
          <w:p>
            <w:pPr>
              <w:ind w:left="120"/>
              <w:spacing w:after="0"/>
              <w:rPr>
                <w:sz w:val="20"/>
                <w:szCs w:val="20"/>
                <w:color w:val="auto"/>
              </w:rPr>
            </w:pPr>
            <w:r>
              <w:rPr>
                <w:rFonts w:ascii="Arial" w:cs="Arial" w:eastAsia="Arial" w:hAnsi="Arial"/>
                <w:sz w:val="18"/>
                <w:szCs w:val="18"/>
                <w:color w:val="auto"/>
              </w:rPr>
              <w:t>“Person”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(w)</w:t>
            </w:r>
          </w:p>
        </w:tc>
        <w:tc>
          <w:tcPr>
            <w:tcW w:w="338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(x)</w:t>
            </w:r>
          </w:p>
        </w:tc>
        <w:tc>
          <w:tcPr>
            <w:tcW w:w="3380" w:type="dxa"/>
            <w:vAlign w:val="bottom"/>
          </w:tcPr>
          <w:p>
            <w:pPr>
              <w:ind w:left="120"/>
              <w:spacing w:after="0"/>
              <w:rPr>
                <w:sz w:val="20"/>
                <w:szCs w:val="20"/>
                <w:color w:val="auto"/>
              </w:rPr>
            </w:pPr>
            <w:r>
              <w:rPr>
                <w:rFonts w:ascii="Arial" w:cs="Arial" w:eastAsia="Arial" w:hAnsi="Arial"/>
                <w:sz w:val="18"/>
                <w:szCs w:val="18"/>
                <w:color w:val="auto"/>
              </w:rPr>
              <w:t>“Restricted Share”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(y)</w:t>
            </w:r>
          </w:p>
        </w:tc>
        <w:tc>
          <w:tcPr>
            <w:tcW w:w="3380" w:type="dxa"/>
            <w:vAlign w:val="bottom"/>
          </w:tcPr>
          <w:p>
            <w:pPr>
              <w:ind w:left="120"/>
              <w:spacing w:after="0"/>
              <w:rPr>
                <w:sz w:val="20"/>
                <w:szCs w:val="20"/>
                <w:color w:val="auto"/>
              </w:rPr>
            </w:pPr>
            <w:r>
              <w:rPr>
                <w:rFonts w:ascii="Arial" w:cs="Arial" w:eastAsia="Arial" w:hAnsi="Arial"/>
                <w:sz w:val="18"/>
                <w:szCs w:val="18"/>
                <w:color w:val="auto"/>
              </w:rPr>
              <w:t>“Restricted Share Agreement”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(z)</w:t>
            </w:r>
          </w:p>
        </w:tc>
        <w:tc>
          <w:tcPr>
            <w:tcW w:w="3380" w:type="dxa"/>
            <w:vAlign w:val="bottom"/>
          </w:tcPr>
          <w:p>
            <w:pPr>
              <w:ind w:left="120"/>
              <w:spacing w:after="0"/>
              <w:rPr>
                <w:sz w:val="20"/>
                <w:szCs w:val="20"/>
                <w:color w:val="auto"/>
              </w:rPr>
            </w:pPr>
            <w:r>
              <w:rPr>
                <w:rFonts w:ascii="Arial" w:cs="Arial" w:eastAsia="Arial" w:hAnsi="Arial"/>
                <w:sz w:val="18"/>
                <w:szCs w:val="18"/>
                <w:color w:val="auto"/>
              </w:rPr>
              <w:t>“SAR”</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(aa)</w:t>
            </w:r>
          </w:p>
        </w:tc>
        <w:tc>
          <w:tcPr>
            <w:tcW w:w="3380" w:type="dxa"/>
            <w:vAlign w:val="bottom"/>
          </w:tcPr>
          <w:p>
            <w:pPr>
              <w:ind w:left="120"/>
              <w:spacing w:after="0"/>
              <w:rPr>
                <w:sz w:val="20"/>
                <w:szCs w:val="20"/>
                <w:color w:val="auto"/>
              </w:rPr>
            </w:pPr>
            <w:r>
              <w:rPr>
                <w:rFonts w:ascii="Arial" w:cs="Arial" w:eastAsia="Arial" w:hAnsi="Arial"/>
                <w:sz w:val="18"/>
                <w:szCs w:val="18"/>
                <w:color w:val="auto"/>
              </w:rPr>
              <w:t>“SAR Agreement”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(bb)</w:t>
            </w:r>
          </w:p>
        </w:tc>
        <w:tc>
          <w:tcPr>
            <w:tcW w:w="3380" w:type="dxa"/>
            <w:vAlign w:val="bottom"/>
          </w:tcPr>
          <w:p>
            <w:pPr>
              <w:ind w:left="120"/>
              <w:spacing w:after="0"/>
              <w:rPr>
                <w:sz w:val="20"/>
                <w:szCs w:val="20"/>
                <w:color w:val="auto"/>
              </w:rPr>
            </w:pPr>
            <w:r>
              <w:rPr>
                <w:rFonts w:ascii="Arial" w:cs="Arial" w:eastAsia="Arial" w:hAnsi="Arial"/>
                <w:sz w:val="18"/>
                <w:szCs w:val="18"/>
                <w:color w:val="auto"/>
              </w:rPr>
              <w:t>“Service”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(cc)</w:t>
            </w:r>
          </w:p>
        </w:tc>
        <w:tc>
          <w:tcPr>
            <w:tcW w:w="3380" w:type="dxa"/>
            <w:vAlign w:val="bottom"/>
          </w:tcPr>
          <w:p>
            <w:pPr>
              <w:ind w:left="120"/>
              <w:spacing w:after="0"/>
              <w:rPr>
                <w:sz w:val="20"/>
                <w:szCs w:val="20"/>
                <w:color w:val="auto"/>
              </w:rPr>
            </w:pPr>
            <w:r>
              <w:rPr>
                <w:rFonts w:ascii="Arial" w:cs="Arial" w:eastAsia="Arial" w:hAnsi="Arial"/>
                <w:sz w:val="18"/>
                <w:szCs w:val="18"/>
                <w:color w:val="auto"/>
              </w:rPr>
              <w:t>“Share”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(dd)</w:t>
            </w:r>
          </w:p>
        </w:tc>
        <w:tc>
          <w:tcPr>
            <w:tcW w:w="3380" w:type="dxa"/>
            <w:vAlign w:val="bottom"/>
          </w:tcPr>
          <w:p>
            <w:pPr>
              <w:ind w:left="120"/>
              <w:spacing w:after="0"/>
              <w:rPr>
                <w:sz w:val="20"/>
                <w:szCs w:val="20"/>
                <w:color w:val="auto"/>
              </w:rPr>
            </w:pPr>
            <w:r>
              <w:rPr>
                <w:rFonts w:ascii="Arial" w:cs="Arial" w:eastAsia="Arial" w:hAnsi="Arial"/>
                <w:sz w:val="18"/>
                <w:szCs w:val="18"/>
                <w:color w:val="auto"/>
              </w:rPr>
              <w:t>“Stock”</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(ee)</w:t>
            </w:r>
          </w:p>
        </w:tc>
        <w:tc>
          <w:tcPr>
            <w:tcW w:w="3380" w:type="dxa"/>
            <w:vAlign w:val="bottom"/>
          </w:tcPr>
          <w:p>
            <w:pPr>
              <w:ind w:left="120"/>
              <w:spacing w:after="0"/>
              <w:rPr>
                <w:sz w:val="20"/>
                <w:szCs w:val="20"/>
                <w:color w:val="auto"/>
              </w:rPr>
            </w:pPr>
            <w:r>
              <w:rPr>
                <w:rFonts w:ascii="Arial" w:cs="Arial" w:eastAsia="Arial" w:hAnsi="Arial"/>
                <w:sz w:val="18"/>
                <w:szCs w:val="18"/>
                <w:color w:val="auto"/>
              </w:rPr>
              <w:t>“Stock Option Agreement”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(ff)</w:t>
            </w:r>
          </w:p>
        </w:tc>
        <w:tc>
          <w:tcPr>
            <w:tcW w:w="3380" w:type="dxa"/>
            <w:vAlign w:val="bottom"/>
          </w:tcPr>
          <w:p>
            <w:pPr>
              <w:ind w:left="120"/>
              <w:spacing w:after="0"/>
              <w:rPr>
                <w:sz w:val="20"/>
                <w:szCs w:val="20"/>
                <w:color w:val="auto"/>
              </w:rPr>
            </w:pPr>
            <w:r>
              <w:rPr>
                <w:rFonts w:ascii="Arial" w:cs="Arial" w:eastAsia="Arial" w:hAnsi="Arial"/>
                <w:sz w:val="18"/>
                <w:szCs w:val="18"/>
                <w:color w:val="auto"/>
              </w:rPr>
              <w:t>“Stock Unit”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(gg)</w:t>
            </w:r>
          </w:p>
        </w:tc>
        <w:tc>
          <w:tcPr>
            <w:tcW w:w="3380" w:type="dxa"/>
            <w:vAlign w:val="bottom"/>
          </w:tcPr>
          <w:p>
            <w:pPr>
              <w:ind w:left="120"/>
              <w:spacing w:after="0"/>
              <w:rPr>
                <w:sz w:val="20"/>
                <w:szCs w:val="20"/>
                <w:color w:val="auto"/>
              </w:rPr>
            </w:pPr>
            <w:r>
              <w:rPr>
                <w:rFonts w:ascii="Arial" w:cs="Arial" w:eastAsia="Arial" w:hAnsi="Arial"/>
                <w:sz w:val="18"/>
                <w:szCs w:val="18"/>
                <w:color w:val="auto"/>
              </w:rPr>
              <w:t>“Stock Unit Agreement”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(hh)</w:t>
            </w:r>
          </w:p>
        </w:tc>
        <w:tc>
          <w:tcPr>
            <w:tcW w:w="338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4340" w:type="dxa"/>
            <w:vAlign w:val="bottom"/>
            <w:gridSpan w:val="2"/>
          </w:tcPr>
          <w:p>
            <w:pPr>
              <w:spacing w:after="0"/>
              <w:rPr>
                <w:sz w:val="20"/>
                <w:szCs w:val="20"/>
                <w:color w:val="auto"/>
              </w:rPr>
            </w:pPr>
            <w:r>
              <w:rPr>
                <w:rFonts w:ascii="Arial" w:cs="Arial" w:eastAsia="Arial" w:hAnsi="Arial"/>
                <w:sz w:val="18"/>
                <w:szCs w:val="18"/>
                <w:color w:val="auto"/>
              </w:rPr>
              <w:t>SECTION 3. ADMINISTRATION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(a)</w:t>
            </w:r>
          </w:p>
        </w:tc>
        <w:tc>
          <w:tcPr>
            <w:tcW w:w="3380" w:type="dxa"/>
            <w:vAlign w:val="bottom"/>
          </w:tcPr>
          <w:p>
            <w:pPr>
              <w:ind w:left="120"/>
              <w:spacing w:after="0"/>
              <w:rPr>
                <w:sz w:val="20"/>
                <w:szCs w:val="20"/>
                <w:color w:val="auto"/>
              </w:rPr>
            </w:pPr>
            <w:r>
              <w:rPr>
                <w:rFonts w:ascii="Arial" w:cs="Arial" w:eastAsia="Arial" w:hAnsi="Arial"/>
                <w:sz w:val="18"/>
                <w:szCs w:val="18"/>
                <w:color w:val="auto"/>
              </w:rPr>
              <w:t>Committee Composition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(b)</w:t>
            </w:r>
          </w:p>
        </w:tc>
        <w:tc>
          <w:tcPr>
            <w:tcW w:w="3380" w:type="dxa"/>
            <w:vAlign w:val="bottom"/>
          </w:tcPr>
          <w:p>
            <w:pPr>
              <w:ind w:left="120"/>
              <w:spacing w:after="0"/>
              <w:rPr>
                <w:sz w:val="20"/>
                <w:szCs w:val="20"/>
                <w:color w:val="auto"/>
              </w:rPr>
            </w:pPr>
            <w:r>
              <w:rPr>
                <w:rFonts w:ascii="Arial" w:cs="Arial" w:eastAsia="Arial" w:hAnsi="Arial"/>
                <w:sz w:val="18"/>
                <w:szCs w:val="18"/>
                <w:color w:val="auto"/>
              </w:rPr>
              <w:t>Committee for Non-Officer Grants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Committee Procedures</w:t>
            </w:r>
          </w:p>
        </w:tc>
        <w:tc>
          <w:tcPr>
            <w:tcW w:w="3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6900" w:type="dxa"/>
            <w:vAlign w:val="bottom"/>
          </w:tcPr>
          <w:p>
            <w:pPr>
              <w:ind w:left="240"/>
              <w:spacing w:after="0"/>
              <w:rPr>
                <w:sz w:val="20"/>
                <w:szCs w:val="20"/>
                <w:color w:val="auto"/>
              </w:rPr>
            </w:pPr>
            <w:r>
              <w:rPr>
                <w:rFonts w:ascii="Arial" w:cs="Arial" w:eastAsia="Arial" w:hAnsi="Arial"/>
                <w:sz w:val="18"/>
                <w:szCs w:val="18"/>
                <w:color w:val="auto"/>
              </w:rPr>
              <w:t>Committee Responsibilities</w:t>
            </w:r>
          </w:p>
        </w:tc>
        <w:tc>
          <w:tcPr>
            <w:tcW w:w="3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7980" w:type="dxa"/>
            <w:vAlign w:val="bottom"/>
            <w:gridSpan w:val="2"/>
          </w:tcPr>
          <w:p>
            <w:pPr>
              <w:spacing w:after="0"/>
              <w:rPr>
                <w:sz w:val="20"/>
                <w:szCs w:val="20"/>
                <w:color w:val="auto"/>
              </w:rPr>
            </w:pPr>
            <w:r>
              <w:rPr>
                <w:rFonts w:ascii="Arial" w:cs="Arial" w:eastAsia="Arial" w:hAnsi="Arial"/>
                <w:sz w:val="18"/>
                <w:szCs w:val="18"/>
                <w:color w:val="auto"/>
              </w:rPr>
              <w:t>SECTION 4. ELIGIBILITY</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6900" w:type="dxa"/>
            <w:vAlign w:val="bottom"/>
          </w:tcPr>
          <w:p>
            <w:pPr>
              <w:ind w:left="240"/>
              <w:spacing w:after="0"/>
              <w:rPr>
                <w:sz w:val="20"/>
                <w:szCs w:val="20"/>
                <w:color w:val="auto"/>
              </w:rPr>
            </w:pPr>
            <w:r>
              <w:rPr>
                <w:rFonts w:ascii="Arial" w:cs="Arial" w:eastAsia="Arial" w:hAnsi="Arial"/>
                <w:sz w:val="18"/>
                <w:szCs w:val="18"/>
                <w:color w:val="auto"/>
              </w:rPr>
              <w:t>General Rule</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6900" w:type="dxa"/>
            <w:vAlign w:val="bottom"/>
          </w:tcPr>
          <w:p>
            <w:pPr>
              <w:ind w:left="240"/>
              <w:spacing w:after="0"/>
              <w:rPr>
                <w:sz w:val="20"/>
                <w:szCs w:val="20"/>
                <w:color w:val="auto"/>
              </w:rPr>
            </w:pPr>
            <w:r>
              <w:rPr>
                <w:rFonts w:ascii="Arial" w:cs="Arial" w:eastAsia="Arial" w:hAnsi="Arial"/>
                <w:sz w:val="18"/>
                <w:szCs w:val="18"/>
                <w:color w:val="auto"/>
              </w:rPr>
              <w:t>Ten-Percent Stockholders</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Attribution Rules</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6900" w:type="dxa"/>
            <w:vAlign w:val="bottom"/>
          </w:tcPr>
          <w:p>
            <w:pPr>
              <w:ind w:left="240"/>
              <w:spacing w:after="0"/>
              <w:rPr>
                <w:sz w:val="20"/>
                <w:szCs w:val="20"/>
                <w:color w:val="auto"/>
              </w:rPr>
            </w:pPr>
            <w:r>
              <w:rPr>
                <w:rFonts w:ascii="Arial" w:cs="Arial" w:eastAsia="Arial" w:hAnsi="Arial"/>
                <w:sz w:val="18"/>
                <w:szCs w:val="18"/>
                <w:color w:val="auto"/>
              </w:rPr>
              <w:t>Outstanding Stock</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980" w:type="dxa"/>
            <w:vAlign w:val="bottom"/>
            <w:gridSpan w:val="2"/>
          </w:tcPr>
          <w:p>
            <w:pPr>
              <w:spacing w:after="0"/>
              <w:rPr>
                <w:sz w:val="20"/>
                <w:szCs w:val="20"/>
                <w:color w:val="auto"/>
              </w:rPr>
            </w:pPr>
            <w:r>
              <w:rPr>
                <w:rFonts w:ascii="Arial" w:cs="Arial" w:eastAsia="Arial" w:hAnsi="Arial"/>
                <w:sz w:val="18"/>
                <w:szCs w:val="18"/>
                <w:color w:val="auto"/>
              </w:rPr>
              <w:t>SECTION 5. STOCK SUBJECT TO PLAN</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6900" w:type="dxa"/>
            <w:vAlign w:val="bottom"/>
          </w:tcPr>
          <w:p>
            <w:pPr>
              <w:ind w:left="240"/>
              <w:spacing w:after="0"/>
              <w:rPr>
                <w:sz w:val="20"/>
                <w:szCs w:val="20"/>
                <w:color w:val="auto"/>
              </w:rPr>
            </w:pPr>
            <w:r>
              <w:rPr>
                <w:rFonts w:ascii="Arial" w:cs="Arial" w:eastAsia="Arial" w:hAnsi="Arial"/>
                <w:sz w:val="18"/>
                <w:szCs w:val="18"/>
                <w:color w:val="auto"/>
              </w:rPr>
              <w:t>Basic Limitation</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6900" w:type="dxa"/>
            <w:vAlign w:val="bottom"/>
          </w:tcPr>
          <w:p>
            <w:pPr>
              <w:ind w:left="240"/>
              <w:spacing w:after="0"/>
              <w:rPr>
                <w:sz w:val="20"/>
                <w:szCs w:val="20"/>
                <w:color w:val="auto"/>
              </w:rPr>
            </w:pPr>
            <w:r>
              <w:rPr>
                <w:rFonts w:ascii="Arial" w:cs="Arial" w:eastAsia="Arial" w:hAnsi="Arial"/>
                <w:sz w:val="18"/>
                <w:szCs w:val="18"/>
                <w:color w:val="auto"/>
              </w:rPr>
              <w:t>Option/SAR Limitation</w:t>
            </w:r>
          </w:p>
        </w:tc>
        <w:tc>
          <w:tcPr>
            <w:tcW w:w="3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7980" w:type="dxa"/>
            <w:vAlign w:val="bottom"/>
            <w:gridSpan w:val="2"/>
          </w:tcPr>
          <w:p>
            <w:pPr>
              <w:spacing w:after="0"/>
              <w:rPr>
                <w:sz w:val="20"/>
                <w:szCs w:val="20"/>
                <w:color w:val="auto"/>
              </w:rPr>
            </w:pPr>
            <w:r>
              <w:rPr>
                <w:rFonts w:ascii="Arial" w:cs="Arial" w:eastAsia="Arial" w:hAnsi="Arial"/>
                <w:sz w:val="18"/>
                <w:szCs w:val="18"/>
                <w:color w:val="auto"/>
              </w:rPr>
              <w:t>SECTION 6. RESTRICTED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6900" w:type="dxa"/>
            <w:vAlign w:val="bottom"/>
          </w:tcPr>
          <w:p>
            <w:pPr>
              <w:ind w:left="240"/>
              <w:spacing w:after="0"/>
              <w:rPr>
                <w:sz w:val="20"/>
                <w:szCs w:val="20"/>
                <w:color w:val="auto"/>
              </w:rPr>
            </w:pPr>
            <w:r>
              <w:rPr>
                <w:rFonts w:ascii="Arial" w:cs="Arial" w:eastAsia="Arial" w:hAnsi="Arial"/>
                <w:sz w:val="18"/>
                <w:szCs w:val="18"/>
                <w:color w:val="auto"/>
              </w:rPr>
              <w:t>Restricted Stock Agreement</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6900" w:type="dxa"/>
            <w:vAlign w:val="bottom"/>
          </w:tcPr>
          <w:p>
            <w:pPr>
              <w:ind w:left="240"/>
              <w:spacing w:after="0"/>
              <w:rPr>
                <w:sz w:val="20"/>
                <w:szCs w:val="20"/>
                <w:color w:val="auto"/>
              </w:rPr>
            </w:pPr>
            <w:r>
              <w:rPr>
                <w:rFonts w:ascii="Arial" w:cs="Arial" w:eastAsia="Arial" w:hAnsi="Arial"/>
                <w:sz w:val="18"/>
                <w:szCs w:val="18"/>
                <w:color w:val="auto"/>
              </w:rPr>
              <w:t>Payment for Awards</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Vesting</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6900" w:type="dxa"/>
            <w:vAlign w:val="bottom"/>
          </w:tcPr>
          <w:p>
            <w:pPr>
              <w:ind w:left="240"/>
              <w:spacing w:after="0"/>
              <w:rPr>
                <w:sz w:val="20"/>
                <w:szCs w:val="20"/>
                <w:color w:val="auto"/>
              </w:rPr>
            </w:pPr>
            <w:r>
              <w:rPr>
                <w:rFonts w:ascii="Arial" w:cs="Arial" w:eastAsia="Arial" w:hAnsi="Arial"/>
                <w:sz w:val="18"/>
                <w:szCs w:val="18"/>
                <w:color w:val="auto"/>
              </w:rPr>
              <w:t>Voting and Dividend Rights</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(e)</w:t>
            </w:r>
          </w:p>
        </w:tc>
        <w:tc>
          <w:tcPr>
            <w:tcW w:w="6900" w:type="dxa"/>
            <w:vAlign w:val="bottom"/>
          </w:tcPr>
          <w:p>
            <w:pPr>
              <w:ind w:left="240"/>
              <w:spacing w:after="0"/>
              <w:rPr>
                <w:sz w:val="20"/>
                <w:szCs w:val="20"/>
                <w:color w:val="auto"/>
              </w:rPr>
            </w:pPr>
            <w:r>
              <w:rPr>
                <w:rFonts w:ascii="Arial" w:cs="Arial" w:eastAsia="Arial" w:hAnsi="Arial"/>
                <w:sz w:val="18"/>
                <w:szCs w:val="18"/>
                <w:color w:val="auto"/>
              </w:rPr>
              <w:t>Restrictions on Transfer of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7980" w:type="dxa"/>
            <w:vAlign w:val="bottom"/>
            <w:gridSpan w:val="2"/>
          </w:tcPr>
          <w:p>
            <w:pPr>
              <w:spacing w:after="0"/>
              <w:rPr>
                <w:sz w:val="20"/>
                <w:szCs w:val="20"/>
                <w:color w:val="auto"/>
              </w:rPr>
            </w:pPr>
            <w:r>
              <w:rPr>
                <w:rFonts w:ascii="Arial" w:cs="Arial" w:eastAsia="Arial" w:hAnsi="Arial"/>
                <w:sz w:val="18"/>
                <w:szCs w:val="18"/>
                <w:color w:val="auto"/>
              </w:rPr>
              <w:t>SECTION 7. TERMS AND CONDITIONS OF OPTIONS</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6900" w:type="dxa"/>
            <w:vAlign w:val="bottom"/>
          </w:tcPr>
          <w:p>
            <w:pPr>
              <w:ind w:left="240"/>
              <w:spacing w:after="0"/>
              <w:rPr>
                <w:sz w:val="20"/>
                <w:szCs w:val="20"/>
                <w:color w:val="auto"/>
              </w:rPr>
            </w:pPr>
            <w:r>
              <w:rPr>
                <w:rFonts w:ascii="Arial" w:cs="Arial" w:eastAsia="Arial" w:hAnsi="Arial"/>
                <w:sz w:val="18"/>
                <w:szCs w:val="18"/>
                <w:color w:val="auto"/>
              </w:rPr>
              <w:t>Stock Option Agreement</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6900" w:type="dxa"/>
            <w:vAlign w:val="bottom"/>
          </w:tcPr>
          <w:p>
            <w:pPr>
              <w:ind w:left="240"/>
              <w:spacing w:after="0"/>
              <w:rPr>
                <w:sz w:val="20"/>
                <w:szCs w:val="20"/>
                <w:color w:val="auto"/>
              </w:rPr>
            </w:pPr>
            <w:r>
              <w:rPr>
                <w:rFonts w:ascii="Arial" w:cs="Arial" w:eastAsia="Arial" w:hAnsi="Arial"/>
                <w:sz w:val="18"/>
                <w:szCs w:val="18"/>
                <w:color w:val="auto"/>
              </w:rPr>
              <w:t>Number of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Exercise Price</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6900" w:type="dxa"/>
            <w:vAlign w:val="bottom"/>
          </w:tcPr>
          <w:p>
            <w:pPr>
              <w:ind w:left="240"/>
              <w:spacing w:after="0"/>
              <w:rPr>
                <w:sz w:val="20"/>
                <w:szCs w:val="20"/>
                <w:color w:val="auto"/>
              </w:rPr>
            </w:pPr>
            <w:r>
              <w:rPr>
                <w:rFonts w:ascii="Arial" w:cs="Arial" w:eastAsia="Arial" w:hAnsi="Arial"/>
                <w:sz w:val="18"/>
                <w:szCs w:val="18"/>
                <w:color w:val="auto"/>
              </w:rPr>
              <w:t>Withholding Taxes</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(e)</w:t>
            </w:r>
          </w:p>
        </w:tc>
        <w:tc>
          <w:tcPr>
            <w:tcW w:w="6900" w:type="dxa"/>
            <w:vAlign w:val="bottom"/>
          </w:tcPr>
          <w:p>
            <w:pPr>
              <w:ind w:left="240"/>
              <w:spacing w:after="0"/>
              <w:rPr>
                <w:sz w:val="20"/>
                <w:szCs w:val="20"/>
                <w:color w:val="auto"/>
              </w:rPr>
            </w:pPr>
            <w:r>
              <w:rPr>
                <w:rFonts w:ascii="Arial" w:cs="Arial" w:eastAsia="Arial" w:hAnsi="Arial"/>
                <w:sz w:val="18"/>
                <w:szCs w:val="18"/>
                <w:color w:val="auto"/>
              </w:rPr>
              <w:t>Exercisability and Term</w:t>
            </w:r>
          </w:p>
        </w:tc>
        <w:tc>
          <w:tcPr>
            <w:tcW w:w="3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(f)</w:t>
            </w:r>
          </w:p>
        </w:tc>
        <w:tc>
          <w:tcPr>
            <w:tcW w:w="6900" w:type="dxa"/>
            <w:vAlign w:val="bottom"/>
          </w:tcPr>
          <w:p>
            <w:pPr>
              <w:ind w:left="240"/>
              <w:spacing w:after="0"/>
              <w:rPr>
                <w:sz w:val="20"/>
                <w:szCs w:val="20"/>
                <w:color w:val="auto"/>
              </w:rPr>
            </w:pPr>
            <w:r>
              <w:rPr>
                <w:rFonts w:ascii="Arial" w:cs="Arial" w:eastAsia="Arial" w:hAnsi="Arial"/>
                <w:sz w:val="18"/>
                <w:szCs w:val="18"/>
                <w:color w:val="auto"/>
              </w:rPr>
              <w:t>Exercise of Options Upon Termination of Service</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(g)</w:t>
            </w:r>
          </w:p>
        </w:tc>
        <w:tc>
          <w:tcPr>
            <w:tcW w:w="6900" w:type="dxa"/>
            <w:vAlign w:val="bottom"/>
          </w:tcPr>
          <w:p>
            <w:pPr>
              <w:ind w:left="240"/>
              <w:spacing w:after="0"/>
              <w:rPr>
                <w:sz w:val="20"/>
                <w:szCs w:val="20"/>
                <w:color w:val="auto"/>
              </w:rPr>
            </w:pPr>
            <w:r>
              <w:rPr>
                <w:rFonts w:ascii="Arial" w:cs="Arial" w:eastAsia="Arial" w:hAnsi="Arial"/>
                <w:sz w:val="18"/>
                <w:szCs w:val="18"/>
                <w:color w:val="auto"/>
              </w:rPr>
              <w:t>Effect of Change in Control</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(h)</w:t>
            </w:r>
          </w:p>
        </w:tc>
        <w:tc>
          <w:tcPr>
            <w:tcW w:w="6900" w:type="dxa"/>
            <w:vAlign w:val="bottom"/>
          </w:tcPr>
          <w:p>
            <w:pPr>
              <w:ind w:left="240"/>
              <w:spacing w:after="0"/>
              <w:rPr>
                <w:sz w:val="20"/>
                <w:szCs w:val="20"/>
                <w:color w:val="auto"/>
              </w:rPr>
            </w:pPr>
            <w:r>
              <w:rPr>
                <w:rFonts w:ascii="Arial" w:cs="Arial" w:eastAsia="Arial" w:hAnsi="Arial"/>
                <w:sz w:val="18"/>
                <w:szCs w:val="18"/>
                <w:color w:val="auto"/>
              </w:rPr>
              <w:t>Leaves of Absence</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(i)</w:t>
            </w:r>
          </w:p>
        </w:tc>
        <w:tc>
          <w:tcPr>
            <w:tcW w:w="6900" w:type="dxa"/>
            <w:vAlign w:val="bottom"/>
          </w:tcPr>
          <w:p>
            <w:pPr>
              <w:ind w:left="240"/>
              <w:spacing w:after="0"/>
              <w:rPr>
                <w:sz w:val="20"/>
                <w:szCs w:val="20"/>
                <w:color w:val="auto"/>
              </w:rPr>
            </w:pPr>
            <w:r>
              <w:rPr>
                <w:rFonts w:ascii="Arial" w:cs="Arial" w:eastAsia="Arial" w:hAnsi="Arial"/>
                <w:sz w:val="18"/>
                <w:szCs w:val="18"/>
                <w:color w:val="auto"/>
              </w:rPr>
              <w:t>No Rights as a Stockholder</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(j)</w:t>
            </w:r>
          </w:p>
        </w:tc>
        <w:tc>
          <w:tcPr>
            <w:tcW w:w="6900" w:type="dxa"/>
            <w:vAlign w:val="bottom"/>
          </w:tcPr>
          <w:p>
            <w:pPr>
              <w:ind w:left="240"/>
              <w:spacing w:after="0"/>
              <w:rPr>
                <w:sz w:val="20"/>
                <w:szCs w:val="20"/>
                <w:color w:val="auto"/>
              </w:rPr>
            </w:pPr>
            <w:r>
              <w:rPr>
                <w:rFonts w:ascii="Arial" w:cs="Arial" w:eastAsia="Arial" w:hAnsi="Arial"/>
                <w:sz w:val="18"/>
                <w:szCs w:val="18"/>
                <w:color w:val="auto"/>
              </w:rPr>
              <w:t>Modification, Extension and Renewal of Options</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(k)</w:t>
            </w:r>
          </w:p>
        </w:tc>
        <w:tc>
          <w:tcPr>
            <w:tcW w:w="6900" w:type="dxa"/>
            <w:vAlign w:val="bottom"/>
          </w:tcPr>
          <w:p>
            <w:pPr>
              <w:ind w:left="240"/>
              <w:spacing w:after="0"/>
              <w:rPr>
                <w:sz w:val="20"/>
                <w:szCs w:val="20"/>
                <w:color w:val="auto"/>
              </w:rPr>
            </w:pPr>
            <w:r>
              <w:rPr>
                <w:rFonts w:ascii="Arial" w:cs="Arial" w:eastAsia="Arial" w:hAnsi="Arial"/>
                <w:sz w:val="18"/>
                <w:szCs w:val="18"/>
                <w:color w:val="auto"/>
              </w:rPr>
              <w:t>Restrictions on Transfer of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(l)</w:t>
            </w:r>
          </w:p>
        </w:tc>
        <w:tc>
          <w:tcPr>
            <w:tcW w:w="6900" w:type="dxa"/>
            <w:vAlign w:val="bottom"/>
          </w:tcPr>
          <w:p>
            <w:pPr>
              <w:ind w:left="240"/>
              <w:spacing w:after="0"/>
              <w:rPr>
                <w:sz w:val="20"/>
                <w:szCs w:val="20"/>
                <w:color w:val="auto"/>
              </w:rPr>
            </w:pPr>
            <w:r>
              <w:rPr>
                <w:rFonts w:ascii="Arial" w:cs="Arial" w:eastAsia="Arial" w:hAnsi="Arial"/>
                <w:sz w:val="18"/>
                <w:szCs w:val="18"/>
                <w:color w:val="auto"/>
              </w:rPr>
              <w:t>Buyout Provisions</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7980" w:type="dxa"/>
            <w:vAlign w:val="bottom"/>
            <w:gridSpan w:val="2"/>
          </w:tcPr>
          <w:p>
            <w:pPr>
              <w:spacing w:after="0"/>
              <w:rPr>
                <w:sz w:val="20"/>
                <w:szCs w:val="20"/>
                <w:color w:val="auto"/>
              </w:rPr>
            </w:pPr>
            <w:r>
              <w:rPr>
                <w:rFonts w:ascii="Arial" w:cs="Arial" w:eastAsia="Arial" w:hAnsi="Arial"/>
                <w:sz w:val="18"/>
                <w:szCs w:val="18"/>
                <w:color w:val="auto"/>
              </w:rPr>
              <w:t>SECTION 8. PAYMENT FOR OPTION SHARES</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6900" w:type="dxa"/>
            <w:vAlign w:val="bottom"/>
          </w:tcPr>
          <w:p>
            <w:pPr>
              <w:ind w:left="240"/>
              <w:spacing w:after="0"/>
              <w:rPr>
                <w:sz w:val="20"/>
                <w:szCs w:val="20"/>
                <w:color w:val="auto"/>
              </w:rPr>
            </w:pPr>
            <w:r>
              <w:rPr>
                <w:rFonts w:ascii="Arial" w:cs="Arial" w:eastAsia="Arial" w:hAnsi="Arial"/>
                <w:sz w:val="18"/>
                <w:szCs w:val="18"/>
                <w:color w:val="auto"/>
              </w:rPr>
              <w:t>General Rule</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6900" w:type="dxa"/>
            <w:vAlign w:val="bottom"/>
          </w:tcPr>
          <w:p>
            <w:pPr>
              <w:ind w:left="240"/>
              <w:spacing w:after="0"/>
              <w:rPr>
                <w:sz w:val="20"/>
                <w:szCs w:val="20"/>
                <w:color w:val="auto"/>
              </w:rPr>
            </w:pPr>
            <w:r>
              <w:rPr>
                <w:rFonts w:ascii="Arial" w:cs="Arial" w:eastAsia="Arial" w:hAnsi="Arial"/>
                <w:sz w:val="18"/>
                <w:szCs w:val="18"/>
                <w:color w:val="auto"/>
              </w:rPr>
              <w:t>Surrender of Stock</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6900" w:type="dxa"/>
            <w:vAlign w:val="bottom"/>
          </w:tcPr>
          <w:p>
            <w:pPr>
              <w:ind w:left="240"/>
              <w:spacing w:after="0"/>
              <w:rPr>
                <w:sz w:val="20"/>
                <w:szCs w:val="20"/>
                <w:color w:val="auto"/>
              </w:rPr>
            </w:pPr>
            <w:r>
              <w:rPr>
                <w:rFonts w:ascii="Arial" w:cs="Arial" w:eastAsia="Arial" w:hAnsi="Arial"/>
                <w:sz w:val="18"/>
                <w:szCs w:val="18"/>
                <w:color w:val="auto"/>
              </w:rPr>
              <w:t>Exercise/Sale</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6900" w:type="dxa"/>
            <w:vAlign w:val="bottom"/>
          </w:tcPr>
          <w:p>
            <w:pPr>
              <w:ind w:left="240"/>
              <w:spacing w:after="0"/>
              <w:rPr>
                <w:sz w:val="20"/>
                <w:szCs w:val="20"/>
                <w:color w:val="auto"/>
              </w:rPr>
            </w:pPr>
            <w:r>
              <w:rPr>
                <w:rFonts w:ascii="Arial" w:cs="Arial" w:eastAsia="Arial" w:hAnsi="Arial"/>
                <w:sz w:val="18"/>
                <w:szCs w:val="18"/>
                <w:color w:val="auto"/>
              </w:rPr>
              <w:t>Exercise/Pledge</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(e)</w:t>
            </w:r>
          </w:p>
        </w:tc>
        <w:tc>
          <w:tcPr>
            <w:tcW w:w="6900" w:type="dxa"/>
            <w:vAlign w:val="bottom"/>
          </w:tcPr>
          <w:p>
            <w:pPr>
              <w:ind w:left="240"/>
              <w:spacing w:after="0"/>
              <w:rPr>
                <w:sz w:val="20"/>
                <w:szCs w:val="20"/>
                <w:color w:val="auto"/>
              </w:rPr>
            </w:pPr>
            <w:r>
              <w:rPr>
                <w:rFonts w:ascii="Arial" w:cs="Arial" w:eastAsia="Arial" w:hAnsi="Arial"/>
                <w:sz w:val="18"/>
                <w:szCs w:val="18"/>
                <w:color w:val="auto"/>
              </w:rPr>
              <w:t>Promissory Note</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(f)</w:t>
            </w:r>
          </w:p>
        </w:tc>
        <w:tc>
          <w:tcPr>
            <w:tcW w:w="6900" w:type="dxa"/>
            <w:vAlign w:val="bottom"/>
          </w:tcPr>
          <w:p>
            <w:pPr>
              <w:ind w:left="240"/>
              <w:spacing w:after="0"/>
              <w:rPr>
                <w:sz w:val="20"/>
                <w:szCs w:val="20"/>
                <w:color w:val="auto"/>
              </w:rPr>
            </w:pPr>
            <w:r>
              <w:rPr>
                <w:rFonts w:ascii="Arial" w:cs="Arial" w:eastAsia="Arial" w:hAnsi="Arial"/>
                <w:sz w:val="18"/>
                <w:szCs w:val="18"/>
                <w:color w:val="auto"/>
              </w:rPr>
              <w:t>Other Forms of Payment</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080" w:type="dxa"/>
            <w:vAlign w:val="bottom"/>
          </w:tcPr>
          <w:p>
            <w:pPr>
              <w:ind w:left="660"/>
              <w:spacing w:after="0"/>
              <w:rPr>
                <w:sz w:val="20"/>
                <w:szCs w:val="20"/>
                <w:color w:val="auto"/>
              </w:rPr>
            </w:pPr>
            <w:r>
              <w:rPr>
                <w:rFonts w:ascii="Arial" w:cs="Arial" w:eastAsia="Arial" w:hAnsi="Arial"/>
                <w:sz w:val="18"/>
                <w:szCs w:val="18"/>
                <w:color w:val="auto"/>
              </w:rPr>
              <w:t>(g)</w:t>
            </w:r>
          </w:p>
        </w:tc>
        <w:tc>
          <w:tcPr>
            <w:tcW w:w="6900" w:type="dxa"/>
            <w:vAlign w:val="bottom"/>
          </w:tcPr>
          <w:p>
            <w:pPr>
              <w:ind w:left="240"/>
              <w:spacing w:after="0"/>
              <w:rPr>
                <w:sz w:val="20"/>
                <w:szCs w:val="20"/>
                <w:color w:val="auto"/>
              </w:rPr>
            </w:pPr>
            <w:r>
              <w:rPr>
                <w:rFonts w:ascii="Arial" w:cs="Arial" w:eastAsia="Arial" w:hAnsi="Arial"/>
                <w:sz w:val="18"/>
                <w:szCs w:val="18"/>
                <w:color w:val="auto"/>
              </w:rPr>
              <w:t>Limitations under Applicable Law</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9. STOCK APPRECIATION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SAR Agreement</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Number of Shares</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7580" w:type="dxa"/>
            <w:vAlign w:val="bottom"/>
          </w:tcPr>
          <w:p>
            <w:pPr>
              <w:ind w:left="440"/>
              <w:spacing w:after="0"/>
              <w:rPr>
                <w:sz w:val="20"/>
                <w:szCs w:val="20"/>
                <w:color w:val="auto"/>
              </w:rPr>
            </w:pPr>
            <w:r>
              <w:rPr>
                <w:rFonts w:ascii="Arial" w:cs="Arial" w:eastAsia="Arial" w:hAnsi="Arial"/>
                <w:sz w:val="18"/>
                <w:szCs w:val="18"/>
                <w:color w:val="auto"/>
              </w:rPr>
              <w:t>Exercise Price</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(d)</w:t>
            </w:r>
          </w:p>
        </w:tc>
        <w:tc>
          <w:tcPr>
            <w:tcW w:w="7580" w:type="dxa"/>
            <w:vAlign w:val="bottom"/>
          </w:tcPr>
          <w:p>
            <w:pPr>
              <w:ind w:left="440"/>
              <w:spacing w:after="0"/>
              <w:rPr>
                <w:sz w:val="20"/>
                <w:szCs w:val="20"/>
                <w:color w:val="auto"/>
              </w:rPr>
            </w:pPr>
            <w:r>
              <w:rPr>
                <w:rFonts w:ascii="Arial" w:cs="Arial" w:eastAsia="Arial" w:hAnsi="Arial"/>
                <w:sz w:val="18"/>
                <w:szCs w:val="18"/>
                <w:color w:val="auto"/>
              </w:rPr>
              <w:t>Exercisability and Term</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(e)</w:t>
            </w:r>
          </w:p>
        </w:tc>
        <w:tc>
          <w:tcPr>
            <w:tcW w:w="7580" w:type="dxa"/>
            <w:vAlign w:val="bottom"/>
          </w:tcPr>
          <w:p>
            <w:pPr>
              <w:ind w:left="440"/>
              <w:spacing w:after="0"/>
              <w:rPr>
                <w:sz w:val="20"/>
                <w:szCs w:val="20"/>
                <w:color w:val="auto"/>
              </w:rPr>
            </w:pPr>
            <w:r>
              <w:rPr>
                <w:rFonts w:ascii="Arial" w:cs="Arial" w:eastAsia="Arial" w:hAnsi="Arial"/>
                <w:sz w:val="18"/>
                <w:szCs w:val="18"/>
                <w:color w:val="auto"/>
              </w:rPr>
              <w:t>Effect of Change in Control</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(f)</w:t>
            </w:r>
          </w:p>
        </w:tc>
        <w:tc>
          <w:tcPr>
            <w:tcW w:w="7580" w:type="dxa"/>
            <w:vAlign w:val="bottom"/>
          </w:tcPr>
          <w:p>
            <w:pPr>
              <w:ind w:left="440"/>
              <w:spacing w:after="0"/>
              <w:rPr>
                <w:sz w:val="20"/>
                <w:szCs w:val="20"/>
                <w:color w:val="auto"/>
              </w:rPr>
            </w:pPr>
            <w:r>
              <w:rPr>
                <w:rFonts w:ascii="Arial" w:cs="Arial" w:eastAsia="Arial" w:hAnsi="Arial"/>
                <w:sz w:val="18"/>
                <w:szCs w:val="18"/>
                <w:color w:val="auto"/>
              </w:rPr>
              <w:t>Exercise of SARs</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(g)</w:t>
            </w:r>
          </w:p>
        </w:tc>
        <w:tc>
          <w:tcPr>
            <w:tcW w:w="7580" w:type="dxa"/>
            <w:vAlign w:val="bottom"/>
          </w:tcPr>
          <w:p>
            <w:pPr>
              <w:ind w:left="440"/>
              <w:spacing w:after="0"/>
              <w:rPr>
                <w:sz w:val="20"/>
                <w:szCs w:val="20"/>
                <w:color w:val="auto"/>
              </w:rPr>
            </w:pPr>
            <w:r>
              <w:rPr>
                <w:rFonts w:ascii="Arial" w:cs="Arial" w:eastAsia="Arial" w:hAnsi="Arial"/>
                <w:sz w:val="18"/>
                <w:szCs w:val="18"/>
                <w:color w:val="auto"/>
              </w:rPr>
              <w:t>Modification or Assumption of SARs</w:t>
            </w:r>
          </w:p>
        </w:tc>
        <w:tc>
          <w:tcPr>
            <w:tcW w:w="2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10. STOCK UNITS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Stock Unit Agreement</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Payment for Awards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7580" w:type="dxa"/>
            <w:vAlign w:val="bottom"/>
          </w:tcPr>
          <w:p>
            <w:pPr>
              <w:ind w:left="440"/>
              <w:spacing w:after="0"/>
              <w:rPr>
                <w:sz w:val="20"/>
                <w:szCs w:val="20"/>
                <w:color w:val="auto"/>
              </w:rPr>
            </w:pPr>
            <w:r>
              <w:rPr>
                <w:rFonts w:ascii="Arial" w:cs="Arial" w:eastAsia="Arial" w:hAnsi="Arial"/>
                <w:sz w:val="18"/>
                <w:szCs w:val="18"/>
                <w:color w:val="auto"/>
              </w:rPr>
              <w:t>Vesting Conditions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(d)</w:t>
            </w:r>
          </w:p>
        </w:tc>
        <w:tc>
          <w:tcPr>
            <w:tcW w:w="7580" w:type="dxa"/>
            <w:vAlign w:val="bottom"/>
          </w:tcPr>
          <w:p>
            <w:pPr>
              <w:ind w:left="440"/>
              <w:spacing w:after="0"/>
              <w:rPr>
                <w:sz w:val="20"/>
                <w:szCs w:val="20"/>
                <w:color w:val="auto"/>
              </w:rPr>
            </w:pPr>
            <w:r>
              <w:rPr>
                <w:rFonts w:ascii="Arial" w:cs="Arial" w:eastAsia="Arial" w:hAnsi="Arial"/>
                <w:sz w:val="18"/>
                <w:szCs w:val="18"/>
                <w:color w:val="auto"/>
              </w:rPr>
              <w:t>Voting and Dividend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(e)</w:t>
            </w:r>
          </w:p>
        </w:tc>
        <w:tc>
          <w:tcPr>
            <w:tcW w:w="7580" w:type="dxa"/>
            <w:vAlign w:val="bottom"/>
          </w:tcPr>
          <w:p>
            <w:pPr>
              <w:ind w:left="440"/>
              <w:spacing w:after="0"/>
              <w:rPr>
                <w:sz w:val="20"/>
                <w:szCs w:val="20"/>
                <w:color w:val="auto"/>
              </w:rPr>
            </w:pPr>
            <w:r>
              <w:rPr>
                <w:rFonts w:ascii="Arial" w:cs="Arial" w:eastAsia="Arial" w:hAnsi="Arial"/>
                <w:sz w:val="18"/>
                <w:szCs w:val="18"/>
                <w:color w:val="auto"/>
              </w:rPr>
              <w:t>Form and Time of Settlement of Stock Units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(f)</w:t>
            </w:r>
          </w:p>
        </w:tc>
        <w:tc>
          <w:tcPr>
            <w:tcW w:w="7580" w:type="dxa"/>
            <w:vAlign w:val="bottom"/>
          </w:tcPr>
          <w:p>
            <w:pPr>
              <w:ind w:left="440"/>
              <w:spacing w:after="0"/>
              <w:rPr>
                <w:sz w:val="20"/>
                <w:szCs w:val="20"/>
                <w:color w:val="auto"/>
              </w:rPr>
            </w:pPr>
            <w:r>
              <w:rPr>
                <w:rFonts w:ascii="Arial" w:cs="Arial" w:eastAsia="Arial" w:hAnsi="Arial"/>
                <w:sz w:val="18"/>
                <w:szCs w:val="18"/>
                <w:color w:val="auto"/>
              </w:rPr>
              <w:t>Death of Recipient</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(g)</w:t>
            </w:r>
          </w:p>
        </w:tc>
        <w:tc>
          <w:tcPr>
            <w:tcW w:w="7580" w:type="dxa"/>
            <w:vAlign w:val="bottom"/>
          </w:tcPr>
          <w:p>
            <w:pPr>
              <w:ind w:left="440"/>
              <w:spacing w:after="0"/>
              <w:rPr>
                <w:sz w:val="20"/>
                <w:szCs w:val="20"/>
                <w:color w:val="auto"/>
              </w:rPr>
            </w:pPr>
            <w:r>
              <w:rPr>
                <w:rFonts w:ascii="Arial" w:cs="Arial" w:eastAsia="Arial" w:hAnsi="Arial"/>
                <w:sz w:val="18"/>
                <w:szCs w:val="18"/>
                <w:color w:val="auto"/>
              </w:rPr>
              <w:t>Creditors’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11. ADJUSTMENT OF SHARES</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Adjustments</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Dissolution or Liquidation</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7580" w:type="dxa"/>
            <w:vAlign w:val="bottom"/>
          </w:tcPr>
          <w:p>
            <w:pPr>
              <w:ind w:left="440"/>
              <w:spacing w:after="0"/>
              <w:rPr>
                <w:sz w:val="20"/>
                <w:szCs w:val="20"/>
                <w:color w:val="auto"/>
              </w:rPr>
            </w:pPr>
            <w:r>
              <w:rPr>
                <w:rFonts w:ascii="Arial" w:cs="Arial" w:eastAsia="Arial" w:hAnsi="Arial"/>
                <w:sz w:val="18"/>
                <w:szCs w:val="18"/>
                <w:color w:val="auto"/>
              </w:rPr>
              <w:t>Reorganizations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(d)</w:t>
            </w:r>
          </w:p>
        </w:tc>
        <w:tc>
          <w:tcPr>
            <w:tcW w:w="7580" w:type="dxa"/>
            <w:vAlign w:val="bottom"/>
          </w:tcPr>
          <w:p>
            <w:pPr>
              <w:ind w:left="440"/>
              <w:spacing w:after="0"/>
              <w:rPr>
                <w:sz w:val="20"/>
                <w:szCs w:val="20"/>
                <w:color w:val="auto"/>
              </w:rPr>
            </w:pPr>
            <w:r>
              <w:rPr>
                <w:rFonts w:ascii="Arial" w:cs="Arial" w:eastAsia="Arial" w:hAnsi="Arial"/>
                <w:sz w:val="18"/>
                <w:szCs w:val="18"/>
                <w:color w:val="auto"/>
              </w:rPr>
              <w:t>Reservation of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12. DEFERRAL OF AWARDS</w:t>
            </w:r>
          </w:p>
        </w:tc>
        <w:tc>
          <w:tcPr>
            <w:tcW w:w="2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13. AWARDS UNDER OTHER PLANS</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14. PAYMENT OF DIRECTOR’S FEES IN SECURITIES</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Effective Date</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Elections to Receive NSOs, Restricted Shares or Stock Units</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7580" w:type="dxa"/>
            <w:vAlign w:val="bottom"/>
          </w:tcPr>
          <w:p>
            <w:pPr>
              <w:ind w:left="440"/>
              <w:spacing w:after="0"/>
              <w:rPr>
                <w:sz w:val="20"/>
                <w:szCs w:val="20"/>
                <w:color w:val="auto"/>
              </w:rPr>
            </w:pPr>
            <w:r>
              <w:rPr>
                <w:rFonts w:ascii="Arial" w:cs="Arial" w:eastAsia="Arial" w:hAnsi="Arial"/>
                <w:sz w:val="18"/>
                <w:szCs w:val="18"/>
                <w:color w:val="auto"/>
              </w:rPr>
              <w:t>Number and Terms of NSOs, Restricted Shares or Stock Units</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15. LEGAL AND REGULATORY REQUIREMENTS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16. WITHHOLDING TAXES</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General</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Share Withholding</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17. TRANSFERABILITY</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18. NO EMPLOYMENT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780" w:type="dxa"/>
            <w:vAlign w:val="bottom"/>
          </w:tcPr>
          <w:p>
            <w:pPr>
              <w:jc w:val="right"/>
              <w:spacing w:after="0"/>
              <w:rPr>
                <w:sz w:val="20"/>
                <w:szCs w:val="20"/>
                <w:color w:val="auto"/>
              </w:rPr>
            </w:pPr>
            <w:r>
              <w:rPr>
                <w:rFonts w:ascii="Arial" w:cs="Arial" w:eastAsia="Arial" w:hAnsi="Arial"/>
                <w:sz w:val="18"/>
                <w:szCs w:val="18"/>
                <w:color w:val="auto"/>
                <w:w w:val="89"/>
              </w:rPr>
              <w:t>SECTION</w:t>
            </w:r>
          </w:p>
        </w:tc>
        <w:tc>
          <w:tcPr>
            <w:tcW w:w="7580" w:type="dxa"/>
            <w:vAlign w:val="bottom"/>
          </w:tcPr>
          <w:p>
            <w:pPr>
              <w:ind w:left="20"/>
              <w:spacing w:after="0"/>
              <w:rPr>
                <w:sz w:val="20"/>
                <w:szCs w:val="20"/>
                <w:color w:val="auto"/>
              </w:rPr>
            </w:pPr>
            <w:r>
              <w:rPr>
                <w:rFonts w:ascii="Arial" w:cs="Arial" w:eastAsia="Arial" w:hAnsi="Arial"/>
                <w:sz w:val="18"/>
                <w:szCs w:val="18"/>
                <w:color w:val="auto"/>
              </w:rPr>
              <w:t>19. DURATION AND AMENDMENTS</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(a)</w:t>
            </w:r>
          </w:p>
        </w:tc>
        <w:tc>
          <w:tcPr>
            <w:tcW w:w="7580" w:type="dxa"/>
            <w:vAlign w:val="bottom"/>
          </w:tcPr>
          <w:p>
            <w:pPr>
              <w:ind w:left="440"/>
              <w:spacing w:after="0"/>
              <w:rPr>
                <w:sz w:val="20"/>
                <w:szCs w:val="20"/>
                <w:color w:val="auto"/>
              </w:rPr>
            </w:pPr>
            <w:r>
              <w:rPr>
                <w:rFonts w:ascii="Arial" w:cs="Arial" w:eastAsia="Arial" w:hAnsi="Arial"/>
                <w:sz w:val="18"/>
                <w:szCs w:val="18"/>
                <w:color w:val="auto"/>
              </w:rPr>
              <w:t>Term of the Plan</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780" w:type="dxa"/>
            <w:vAlign w:val="bottom"/>
          </w:tcPr>
          <w:p>
            <w:pPr>
              <w:jc w:val="right"/>
              <w:spacing w:after="0"/>
              <w:rPr>
                <w:sz w:val="20"/>
                <w:szCs w:val="20"/>
                <w:color w:val="auto"/>
              </w:rPr>
            </w:pPr>
            <w:r>
              <w:rPr>
                <w:rFonts w:ascii="Arial" w:cs="Arial" w:eastAsia="Arial" w:hAnsi="Arial"/>
                <w:sz w:val="18"/>
                <w:szCs w:val="18"/>
                <w:color w:val="auto"/>
              </w:rPr>
              <w:t>(b)</w:t>
            </w:r>
          </w:p>
        </w:tc>
        <w:tc>
          <w:tcPr>
            <w:tcW w:w="7580" w:type="dxa"/>
            <w:vAlign w:val="bottom"/>
          </w:tcPr>
          <w:p>
            <w:pPr>
              <w:ind w:left="440"/>
              <w:spacing w:after="0"/>
              <w:rPr>
                <w:sz w:val="20"/>
                <w:szCs w:val="20"/>
                <w:color w:val="auto"/>
              </w:rPr>
            </w:pPr>
            <w:r>
              <w:rPr>
                <w:rFonts w:ascii="Arial" w:cs="Arial" w:eastAsia="Arial" w:hAnsi="Arial"/>
                <w:sz w:val="18"/>
                <w:szCs w:val="18"/>
                <w:color w:val="auto"/>
              </w:rPr>
              <w:t>Right to Amend or Terminate the Plan</w:t>
            </w:r>
          </w:p>
        </w:tc>
        <w:tc>
          <w:tcPr>
            <w:tcW w:w="29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(c)</w:t>
            </w:r>
          </w:p>
        </w:tc>
        <w:tc>
          <w:tcPr>
            <w:tcW w:w="60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4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SECTION 20. EXECUTION</w:t>
            </w:r>
          </w:p>
        </w:tc>
        <w:tc>
          <w:tcPr>
            <w:tcW w:w="45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Plan was adopted by the Board of Directors on November 11, 2004, effective as of the date of the initial public offering of Stock to the public pursuant to a registration statement filed by the Company with the Securities and Exchange Commission and an application for listing filed with the Hercules market of the Osaka Securities Exchange (the “Effective Date”). The Plan was most recently Amended and Restated on November 29, 2011.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or stock appreciation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6" w:lineRule="exact"/>
        <w:rPr>
          <w:sz w:val="20"/>
          <w:szCs w:val="20"/>
          <w:color w:val="auto"/>
        </w:rPr>
      </w:pPr>
    </w:p>
    <w:p>
      <w:pPr>
        <w:ind w:left="1160" w:hanging="239"/>
        <w:spacing w:after="0"/>
        <w:tabs>
          <w:tab w:leader="none" w:pos="11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shall mean any entity other than a Subsidiary, if the Company and/or one of more Subsidiaries own not less than 50% of such entity.</w:t>
      </w:r>
    </w:p>
    <w:p>
      <w:pPr>
        <w:spacing w:after="0" w:line="194" w:lineRule="exact"/>
        <w:rPr>
          <w:rFonts w:ascii="Arial" w:cs="Arial" w:eastAsia="Arial" w:hAnsi="Arial"/>
          <w:sz w:val="16"/>
          <w:szCs w:val="16"/>
          <w:i w:val="1"/>
          <w:iCs w:val="1"/>
          <w:color w:val="auto"/>
        </w:rPr>
      </w:pPr>
    </w:p>
    <w:p>
      <w:pPr>
        <w:ind w:left="1160" w:hanging="239"/>
        <w:spacing w:after="0"/>
        <w:tabs>
          <w:tab w:leader="none" w:pos="11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any award of an Option, a SAR, a Restricted Share or a Stock Unit under the Plan.</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shall mean the Board of Directors of the Company, as constituted from time to time.</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 the occurrence of any of the following events:</w:t>
      </w:r>
    </w:p>
    <w:p>
      <w:pPr>
        <w:spacing w:after="0" w:line="171" w:lineRule="exact"/>
        <w:rPr>
          <w:rFonts w:ascii="Arial" w:cs="Arial" w:eastAsia="Arial" w:hAnsi="Arial"/>
          <w:sz w:val="18"/>
          <w:szCs w:val="18"/>
          <w:i w:val="1"/>
          <w:iCs w:val="1"/>
          <w:color w:val="auto"/>
        </w:rPr>
      </w:pPr>
    </w:p>
    <w:p>
      <w:pPr>
        <w:ind w:left="1700" w:hanging="208"/>
        <w:spacing w:after="0"/>
        <w:tabs>
          <w:tab w:leader="none" w:pos="1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occurs, as a result of which fewer than one-half of the incumbent directors are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 who either:</w:t>
      </w:r>
    </w:p>
    <w:p>
      <w:pPr>
        <w:spacing w:after="0" w:line="164" w:lineRule="exact"/>
        <w:rPr>
          <w:rFonts w:ascii="Arial" w:cs="Arial" w:eastAsia="Arial" w:hAnsi="Arial"/>
          <w:sz w:val="16"/>
          <w:szCs w:val="16"/>
          <w:color w:val="auto"/>
        </w:rPr>
      </w:pPr>
    </w:p>
    <w:p>
      <w:pPr>
        <w:ind w:left="2240" w:hanging="292"/>
        <w:spacing w:after="0"/>
        <w:tabs>
          <w:tab w:leader="none" w:pos="22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Had been directors of the Company on the “look-back date” (as defined below) (the “original directors”); or</w:t>
      </w:r>
    </w:p>
    <w:p>
      <w:pPr>
        <w:spacing w:after="0" w:line="171" w:lineRule="exact"/>
        <w:rPr>
          <w:rFonts w:ascii="Arial" w:cs="Arial" w:eastAsia="Arial" w:hAnsi="Arial"/>
          <w:sz w:val="18"/>
          <w:szCs w:val="18"/>
          <w:color w:val="auto"/>
        </w:rPr>
      </w:pPr>
    </w:p>
    <w:p>
      <w:pPr>
        <w:ind w:right="40" w:firstLine="1948"/>
        <w:spacing w:after="0" w:line="259" w:lineRule="auto"/>
        <w:tabs>
          <w:tab w:leader="none" w:pos="2218" w:val="left"/>
        </w:tabs>
        <w:numPr>
          <w:ilvl w:val="2"/>
          <w:numId w:val="57"/>
        </w:numPr>
        <w:rPr>
          <w:rFonts w:ascii="Arial" w:cs="Arial" w:eastAsia="Arial" w:hAnsi="Arial"/>
          <w:sz w:val="18"/>
          <w:szCs w:val="18"/>
          <w:color w:val="auto"/>
        </w:rPr>
      </w:pPr>
      <w:r>
        <w:rPr>
          <w:rFonts w:ascii="Arial" w:cs="Arial" w:eastAsia="Arial" w:hAnsi="Arial"/>
          <w:sz w:val="18"/>
          <w:szCs w:val="18"/>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w:t>
      </w:r>
    </w:p>
    <w:p>
      <w:pPr>
        <w:spacing w:after="0" w:line="1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27" w:name="page128"/>
    <w:bookmarkEnd w:id="127"/>
    <w:p>
      <w:pPr>
        <w:ind w:right="20" w:firstLine="1492"/>
        <w:spacing w:after="0" w:line="291" w:lineRule="auto"/>
        <w:tabs>
          <w:tab w:leader="none" w:pos="174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120" w:lineRule="exact"/>
        <w:rPr>
          <w:rFonts w:ascii="Arial" w:cs="Arial" w:eastAsia="Arial" w:hAnsi="Arial"/>
          <w:sz w:val="16"/>
          <w:szCs w:val="16"/>
          <w:color w:val="auto"/>
        </w:rPr>
      </w:pPr>
    </w:p>
    <w:p>
      <w:pPr>
        <w:ind w:right="80" w:firstLine="1492"/>
        <w:spacing w:after="0" w:line="256" w:lineRule="auto"/>
        <w:tabs>
          <w:tab w:leader="none" w:pos="17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143" w:lineRule="exact"/>
        <w:rPr>
          <w:rFonts w:ascii="Arial" w:cs="Arial" w:eastAsia="Arial" w:hAnsi="Arial"/>
          <w:sz w:val="18"/>
          <w:szCs w:val="18"/>
          <w:color w:val="auto"/>
        </w:rPr>
      </w:pPr>
    </w:p>
    <w:p>
      <w:pPr>
        <w:ind w:left="1780" w:hanging="288"/>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subsection (d)(i) above, the term “look-back” date shall mean the later of (1) the Effective Date, or (2) the date 24 months prior to the date of the event that may constitute a Change in Control.</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purposes of subsection (d)(ii)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Any other provision of this Section 2(d)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Securities and Exchange Commission for the initial offering of Stock to the public.</w:t>
      </w:r>
    </w:p>
    <w:p>
      <w:pPr>
        <w:spacing w:after="0" w:line="143" w:lineRule="exact"/>
        <w:rPr>
          <w:sz w:val="20"/>
          <w:szCs w:val="20"/>
          <w:color w:val="auto"/>
        </w:rPr>
      </w:pPr>
    </w:p>
    <w:p>
      <w:pPr>
        <w:ind w:left="1160" w:hanging="239"/>
        <w:spacing w:after="0"/>
        <w:tabs>
          <w:tab w:leader="none" w:pos="11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171" w:lineRule="exact"/>
        <w:rPr>
          <w:rFonts w:ascii="Arial" w:cs="Arial" w:eastAsia="Arial" w:hAnsi="Arial"/>
          <w:sz w:val="18"/>
          <w:szCs w:val="18"/>
          <w:i w:val="1"/>
          <w:iCs w:val="1"/>
          <w:color w:val="auto"/>
        </w:rPr>
      </w:pPr>
    </w:p>
    <w:p>
      <w:pPr>
        <w:ind w:right="260" w:firstLine="921"/>
        <w:spacing w:after="0" w:line="268" w:lineRule="auto"/>
        <w:tabs>
          <w:tab w:leader="none" w:pos="1122"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as designated by the Board of Directors, which is authorized to administer the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3 hereof.</w:t>
      </w:r>
    </w:p>
    <w:p>
      <w:pPr>
        <w:spacing w:after="0" w:line="13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MediciNova, Inc., a Delaware corporation.</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28" w:name="page129"/>
    <w:bookmarkEnd w:id="128"/>
    <w:p>
      <w:pPr>
        <w:ind w:right="340" w:firstLine="921"/>
        <w:spacing w:after="0" w:line="268" w:lineRule="auto"/>
        <w:tabs>
          <w:tab w:leader="none" w:pos="1161"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“Consultant” </w:t>
      </w:r>
      <w:r>
        <w:rPr>
          <w:rFonts w:ascii="Arial" w:cs="Arial" w:eastAsia="Arial" w:hAnsi="Arial"/>
          <w:sz w:val="18"/>
          <w:szCs w:val="18"/>
          <w:color w:val="auto"/>
        </w:rPr>
        <w:t>shall mean a consultant or advisor who provides bona fide services to the Company, a Parent, a Subsidiary or an Affiliate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 or a member of the board of directors of a Parent or a Subsidiary who is not an Employee.</w:t>
      </w:r>
    </w:p>
    <w:p>
      <w:pPr>
        <w:spacing w:after="0" w:line="131" w:lineRule="exact"/>
        <w:rPr>
          <w:rFonts w:ascii="Arial" w:cs="Arial" w:eastAsia="Arial" w:hAnsi="Arial"/>
          <w:sz w:val="18"/>
          <w:szCs w:val="18"/>
          <w:i w:val="1"/>
          <w:iCs w:val="1"/>
          <w:color w:val="auto"/>
        </w:rPr>
      </w:pPr>
    </w:p>
    <w:p>
      <w:pPr>
        <w:ind w:left="1140" w:hanging="219"/>
        <w:spacing w:after="0"/>
        <w:tabs>
          <w:tab w:leader="none" w:pos="114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71" w:lineRule="exact"/>
        <w:rPr>
          <w:rFonts w:ascii="Arial" w:cs="Arial" w:eastAsia="Arial" w:hAnsi="Arial"/>
          <w:sz w:val="18"/>
          <w:szCs w:val="18"/>
          <w:i w:val="1"/>
          <w:iCs w:val="1"/>
          <w:color w:val="auto"/>
        </w:rPr>
      </w:pPr>
    </w:p>
    <w:p>
      <w:pPr>
        <w:ind w:left="1140" w:hanging="219"/>
        <w:spacing w:after="0"/>
        <w:tabs>
          <w:tab w:leader="none" w:pos="114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shall mean the Securities Exchange Act of 1934, as amended.</w:t>
      </w:r>
    </w:p>
    <w:p>
      <w:pPr>
        <w:spacing w:after="0" w:line="171" w:lineRule="exact"/>
        <w:rPr>
          <w:rFonts w:ascii="Arial" w:cs="Arial" w:eastAsia="Arial" w:hAnsi="Arial"/>
          <w:sz w:val="18"/>
          <w:szCs w:val="18"/>
          <w:i w:val="1"/>
          <w:iCs w:val="1"/>
          <w:color w:val="auto"/>
        </w:rPr>
      </w:pPr>
    </w:p>
    <w:p>
      <w:pPr>
        <w:ind w:firstLine="921"/>
        <w:spacing w:after="0" w:line="306" w:lineRule="auto"/>
        <w:tabs>
          <w:tab w:leader="none" w:pos="1152"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shall mean, in the case of an Option, the amount for which one Share may be purchased upon exercise of such Option,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106" w:lineRule="exact"/>
        <w:rPr>
          <w:rFonts w:ascii="Arial" w:cs="Arial" w:eastAsia="Arial" w:hAnsi="Arial"/>
          <w:sz w:val="16"/>
          <w:szCs w:val="16"/>
          <w:i w:val="1"/>
          <w:iCs w:val="1"/>
          <w:color w:val="auto"/>
        </w:rPr>
      </w:pPr>
    </w:p>
    <w:p>
      <w:pPr>
        <w:ind w:left="1140" w:hanging="219"/>
        <w:spacing w:after="0"/>
        <w:tabs>
          <w:tab w:leader="none" w:pos="114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with respect to a Share, shall mean the market price of one Share, determined by the Committee as follows:</w:t>
      </w:r>
    </w:p>
    <w:p>
      <w:pPr>
        <w:spacing w:after="0" w:line="171" w:lineRule="exact"/>
        <w:rPr>
          <w:rFonts w:ascii="Arial" w:cs="Arial" w:eastAsia="Arial" w:hAnsi="Arial"/>
          <w:sz w:val="18"/>
          <w:szCs w:val="18"/>
          <w:i w:val="1"/>
          <w:iCs w:val="1"/>
          <w:color w:val="auto"/>
        </w:rPr>
      </w:pPr>
    </w:p>
    <w:p>
      <w:pPr>
        <w:ind w:right="140" w:firstLine="1492"/>
        <w:spacing w:after="0" w:line="256" w:lineRule="auto"/>
        <w:tabs>
          <w:tab w:leader="none" w:pos="16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Stock was traded over-the-counter on the date in question but was not traded on The Nasdaq Stock Market,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w:t>
      </w:r>
    </w:p>
    <w:p>
      <w:pPr>
        <w:spacing w:after="0" w:line="143" w:lineRule="exact"/>
        <w:rPr>
          <w:rFonts w:ascii="Arial" w:cs="Arial" w:eastAsia="Arial" w:hAnsi="Arial"/>
          <w:sz w:val="18"/>
          <w:szCs w:val="18"/>
          <w:color w:val="auto"/>
        </w:rPr>
      </w:pPr>
    </w:p>
    <w:p>
      <w:pPr>
        <w:ind w:right="140" w:firstLine="1492"/>
        <w:spacing w:after="0" w:line="268" w:lineRule="auto"/>
        <w:tabs>
          <w:tab w:leader="none" w:pos="174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Stock was traded on The Nasdaq Stock Market, then the Fair Market Value shall be equal to the last reported sale price quoted for such date by The Nasdaq Stock Market;</w:t>
      </w:r>
    </w:p>
    <w:p>
      <w:pPr>
        <w:spacing w:after="0" w:line="131" w:lineRule="exact"/>
        <w:rPr>
          <w:rFonts w:ascii="Arial" w:cs="Arial" w:eastAsia="Arial" w:hAnsi="Arial"/>
          <w:sz w:val="18"/>
          <w:szCs w:val="18"/>
          <w:color w:val="auto"/>
        </w:rPr>
      </w:pPr>
    </w:p>
    <w:p>
      <w:pPr>
        <w:ind w:right="500" w:firstLine="1492"/>
        <w:spacing w:after="0" w:line="268" w:lineRule="auto"/>
        <w:tabs>
          <w:tab w:leader="none" w:pos="179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Stock was traded on a United States stock exchange on the date in question, then the Fair Market Value shall be equal to the closing price reported for such date by the applicable composite-transactions report; and</w:t>
      </w:r>
    </w:p>
    <w:p>
      <w:pPr>
        <w:spacing w:after="0" w:line="131" w:lineRule="exact"/>
        <w:rPr>
          <w:rFonts w:ascii="Arial" w:cs="Arial" w:eastAsia="Arial" w:hAnsi="Arial"/>
          <w:sz w:val="18"/>
          <w:szCs w:val="18"/>
          <w:color w:val="auto"/>
        </w:rPr>
      </w:pPr>
    </w:p>
    <w:p>
      <w:pPr>
        <w:ind w:right="40" w:firstLine="1492"/>
        <w:spacing w:after="0" w:line="268" w:lineRule="auto"/>
        <w:tabs>
          <w:tab w:leader="none" w:pos="178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none of the foregoing provisions is applicable, then the Fair Market Value shall be determined by the Committee in good faith on such basis as it deems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all cases, the determination of Fair Market Value by the Committee shall be conclusive and binding on all persons.</w:t>
      </w:r>
    </w:p>
    <w:p>
      <w:pPr>
        <w:spacing w:after="0" w:line="171" w:lineRule="exact"/>
        <w:rPr>
          <w:sz w:val="20"/>
          <w:szCs w:val="20"/>
          <w:color w:val="auto"/>
        </w:rPr>
      </w:pPr>
    </w:p>
    <w:p>
      <w:pPr>
        <w:ind w:left="1200" w:hanging="279"/>
        <w:spacing w:after="0"/>
        <w:tabs>
          <w:tab w:leader="none" w:pos="12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 </w:t>
      </w:r>
      <w:r>
        <w:rPr>
          <w:rFonts w:ascii="Arial" w:cs="Arial" w:eastAsia="Arial" w:hAnsi="Arial"/>
          <w:sz w:val="18"/>
          <w:szCs w:val="18"/>
          <w:color w:val="auto"/>
        </w:rPr>
        <w:t>shall mean an employee incentive stock option described in Section 422 of the Code.</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“Nonstatutory Option” or “NSO” </w:t>
      </w:r>
      <w:r>
        <w:rPr>
          <w:rFonts w:ascii="Arial" w:cs="Arial" w:eastAsia="Arial" w:hAnsi="Arial"/>
          <w:sz w:val="18"/>
          <w:szCs w:val="18"/>
          <w:color w:val="auto"/>
        </w:rPr>
        <w:t>shall mean an employee stock option that is not an ISO.</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9" w:name="page130"/>
    <w:bookmarkEnd w:id="129"/>
    <w:p>
      <w:pPr>
        <w:ind w:left="1160" w:hanging="239"/>
        <w:spacing w:after="0"/>
        <w:tabs>
          <w:tab w:leader="none" w:pos="116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“Offeree” </w:t>
      </w:r>
      <w:r>
        <w:rPr>
          <w:rFonts w:ascii="Arial" w:cs="Arial" w:eastAsia="Arial" w:hAnsi="Arial"/>
          <w:sz w:val="16"/>
          <w:szCs w:val="16"/>
          <w:color w:val="auto"/>
        </w:rPr>
        <w:t>shall mean an individual to whom the Committee has offered the right to acquire Shares under the Plan (other than upon exercise of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165" w:lineRule="exact"/>
        <w:rPr>
          <w:sz w:val="20"/>
          <w:szCs w:val="20"/>
          <w:color w:val="auto"/>
        </w:rPr>
      </w:pPr>
    </w:p>
    <w:p>
      <w:pPr>
        <w:ind w:left="1160" w:hanging="239"/>
        <w:spacing w:after="0"/>
        <w:tabs>
          <w:tab w:leader="none" w:pos="11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shall mean an ISO or Nonstatutory Option granted under the Plan and entitling the holder to purchase Shares.</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“Optionee” </w:t>
      </w:r>
      <w:r>
        <w:rPr>
          <w:rFonts w:ascii="Arial" w:cs="Arial" w:eastAsia="Arial" w:hAnsi="Arial"/>
          <w:sz w:val="18"/>
          <w:szCs w:val="18"/>
          <w:color w:val="auto"/>
        </w:rPr>
        <w:t>shall mean an individual or estate who holds an Option or SAR.</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“Outside Director” </w:t>
      </w:r>
      <w:r>
        <w:rPr>
          <w:rFonts w:ascii="Arial" w:cs="Arial" w:eastAsia="Arial" w:hAnsi="Arial"/>
          <w:sz w:val="16"/>
          <w:szCs w:val="16"/>
          <w:color w:val="auto"/>
        </w:rPr>
        <w:t>shall mean a member of the Board of Directors who is not a common-law employee of, or paid consultant to, the Company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Subsidiary.</w:t>
      </w:r>
    </w:p>
    <w:p>
      <w:pPr>
        <w:spacing w:after="0" w:line="165" w:lineRule="exact"/>
        <w:rPr>
          <w:sz w:val="20"/>
          <w:szCs w:val="20"/>
          <w:color w:val="auto"/>
        </w:rPr>
      </w:pPr>
    </w:p>
    <w:p>
      <w:pPr>
        <w:ind w:right="140" w:firstLine="921"/>
        <w:spacing w:after="0" w:line="335" w:lineRule="auto"/>
        <w:tabs>
          <w:tab w:leader="none" w:pos="1142" w:val="left"/>
        </w:tabs>
        <w:numPr>
          <w:ilvl w:val="0"/>
          <w:numId w:val="64"/>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“Parent” </w:t>
      </w:r>
      <w:r>
        <w:rPr>
          <w:rFonts w:ascii="Arial" w:cs="Arial" w:eastAsia="Arial" w:hAnsi="Arial"/>
          <w:sz w:val="15"/>
          <w:szCs w:val="15"/>
          <w:color w:val="auto"/>
        </w:rPr>
        <w:t>shall mean any corporation (other than the Company) in an unbroken chain of corporations ending with the Company, if each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88" w:lineRule="exact"/>
        <w:rPr>
          <w:rFonts w:ascii="Arial" w:cs="Arial" w:eastAsia="Arial" w:hAnsi="Arial"/>
          <w:sz w:val="15"/>
          <w:szCs w:val="15"/>
          <w:i w:val="1"/>
          <w:iCs w:val="1"/>
          <w:color w:val="auto"/>
        </w:rPr>
      </w:pPr>
    </w:p>
    <w:p>
      <w:pPr>
        <w:ind w:left="1140" w:hanging="219"/>
        <w:spacing w:after="0"/>
        <w:tabs>
          <w:tab w:leader="none" w:pos="114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a person who holds an Award.</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this 2004 Stock Incentive Plan of MediciNova, Inc., as amended from time to time.</w:t>
      </w:r>
    </w:p>
    <w:p>
      <w:pPr>
        <w:spacing w:after="0" w:line="17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have the same meaning ascribed to such term in the Exchange Act.</w:t>
      </w:r>
    </w:p>
    <w:p>
      <w:pPr>
        <w:spacing w:after="0" w:line="171" w:lineRule="exact"/>
        <w:rPr>
          <w:rFonts w:ascii="Arial" w:cs="Arial" w:eastAsia="Arial" w:hAnsi="Arial"/>
          <w:sz w:val="18"/>
          <w:szCs w:val="18"/>
          <w:i w:val="1"/>
          <w:iCs w:val="1"/>
          <w:color w:val="auto"/>
        </w:rPr>
      </w:pPr>
    </w:p>
    <w:p>
      <w:pPr>
        <w:ind w:right="120" w:firstLine="921"/>
        <w:spacing w:after="0" w:line="268" w:lineRule="auto"/>
        <w:tabs>
          <w:tab w:leader="none" w:pos="1191"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shall mean the consideration for which one Share may be acquired under the Plan (other than upon exercise of an Option), as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by the Committee.</w:t>
      </w:r>
    </w:p>
    <w:p>
      <w:pPr>
        <w:spacing w:after="0" w:line="13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w:t>
      </w:r>
      <w:r>
        <w:rPr>
          <w:rFonts w:ascii="Arial" w:cs="Arial" w:eastAsia="Arial" w:hAnsi="Arial"/>
          <w:sz w:val="18"/>
          <w:szCs w:val="18"/>
          <w:color w:val="auto"/>
        </w:rPr>
        <w:t>shall mean a Share awarded under the Plan.</w:t>
      </w:r>
    </w:p>
    <w:p>
      <w:pPr>
        <w:spacing w:after="0" w:line="171" w:lineRule="exact"/>
        <w:rPr>
          <w:rFonts w:ascii="Arial" w:cs="Arial" w:eastAsia="Arial" w:hAnsi="Arial"/>
          <w:sz w:val="18"/>
          <w:szCs w:val="18"/>
          <w:i w:val="1"/>
          <w:iCs w:val="1"/>
          <w:color w:val="auto"/>
        </w:rPr>
      </w:pPr>
    </w:p>
    <w:p>
      <w:pPr>
        <w:ind w:right="100" w:firstLine="921"/>
        <w:spacing w:after="0" w:line="268" w:lineRule="auto"/>
        <w:tabs>
          <w:tab w:leader="none" w:pos="1152"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Agreement” </w:t>
      </w:r>
      <w:r>
        <w:rPr>
          <w:rFonts w:ascii="Arial" w:cs="Arial" w:eastAsia="Arial" w:hAnsi="Arial"/>
          <w:sz w:val="18"/>
          <w:szCs w:val="18"/>
          <w:color w:val="auto"/>
        </w:rPr>
        <w:t>shall mean the agreement between the Company and the recipient of a Restricted Share which contains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pertaining to such Restricted Shares.</w:t>
      </w:r>
    </w:p>
    <w:p>
      <w:pPr>
        <w:spacing w:after="0" w:line="131" w:lineRule="exact"/>
        <w:rPr>
          <w:rFonts w:ascii="Arial" w:cs="Arial" w:eastAsia="Arial" w:hAnsi="Arial"/>
          <w:sz w:val="18"/>
          <w:szCs w:val="18"/>
          <w:i w:val="1"/>
          <w:iCs w:val="1"/>
          <w:color w:val="auto"/>
        </w:rPr>
      </w:pPr>
    </w:p>
    <w:p>
      <w:pPr>
        <w:ind w:left="1160" w:hanging="239"/>
        <w:spacing w:after="0"/>
        <w:tabs>
          <w:tab w:leader="none" w:pos="11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w:t>
      </w:r>
      <w:r>
        <w:rPr>
          <w:rFonts w:ascii="Arial" w:cs="Arial" w:eastAsia="Arial" w:hAnsi="Arial"/>
          <w:sz w:val="18"/>
          <w:szCs w:val="18"/>
          <w:color w:val="auto"/>
        </w:rPr>
        <w:t>shall mean a stock appreciation right granted under the Plan.</w:t>
      </w:r>
    </w:p>
    <w:p>
      <w:pPr>
        <w:spacing w:after="0" w:line="171" w:lineRule="exact"/>
        <w:rPr>
          <w:sz w:val="20"/>
          <w:szCs w:val="20"/>
          <w:color w:val="auto"/>
        </w:rPr>
      </w:pPr>
    </w:p>
    <w:p>
      <w:pPr>
        <w:ind w:right="500" w:firstLine="921"/>
        <w:spacing w:after="0" w:line="268" w:lineRule="auto"/>
        <w:tabs>
          <w:tab w:leader="none" w:pos="1249"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Agreement” </w:t>
      </w:r>
      <w:r>
        <w:rPr>
          <w:rFonts w:ascii="Arial" w:cs="Arial" w:eastAsia="Arial" w:hAnsi="Arial"/>
          <w:sz w:val="18"/>
          <w:szCs w:val="18"/>
          <w:color w:val="auto"/>
        </w:rPr>
        <w:t>shall mean the agreement between the Company and an Optionee which contains the terms, conditions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his or her SAR.</w:t>
      </w:r>
    </w:p>
    <w:p>
      <w:pPr>
        <w:spacing w:after="0" w:line="131" w:lineRule="exact"/>
        <w:rPr>
          <w:rFonts w:ascii="Arial" w:cs="Arial" w:eastAsia="Arial" w:hAnsi="Arial"/>
          <w:sz w:val="18"/>
          <w:szCs w:val="18"/>
          <w:i w:val="1"/>
          <w:iCs w:val="1"/>
          <w:color w:val="auto"/>
        </w:rPr>
      </w:pPr>
    </w:p>
    <w:p>
      <w:pPr>
        <w:ind w:left="1260" w:hanging="339"/>
        <w:spacing w:after="0"/>
        <w:tabs>
          <w:tab w:leader="none" w:pos="12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shall mean service as an Employee, Consultant or Outside Director.</w:t>
      </w:r>
    </w:p>
    <w:p>
      <w:pPr>
        <w:spacing w:after="0" w:line="171" w:lineRule="exact"/>
        <w:rPr>
          <w:rFonts w:ascii="Arial" w:cs="Arial" w:eastAsia="Arial" w:hAnsi="Arial"/>
          <w:sz w:val="18"/>
          <w:szCs w:val="18"/>
          <w:i w:val="1"/>
          <w:iCs w:val="1"/>
          <w:color w:val="auto"/>
        </w:rPr>
      </w:pPr>
    </w:p>
    <w:p>
      <w:pPr>
        <w:ind w:left="1240" w:hanging="319"/>
        <w:spacing w:after="0"/>
        <w:tabs>
          <w:tab w:leader="none" w:pos="124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shall mean one share of Stock, as adjusted in accordance with Section 8 (if applicable).</w:t>
      </w:r>
    </w:p>
    <w:p>
      <w:pPr>
        <w:spacing w:after="0" w:line="171" w:lineRule="exact"/>
        <w:rPr>
          <w:rFonts w:ascii="Arial" w:cs="Arial" w:eastAsia="Arial" w:hAnsi="Arial"/>
          <w:sz w:val="18"/>
          <w:szCs w:val="18"/>
          <w:i w:val="1"/>
          <w:iCs w:val="1"/>
          <w:color w:val="auto"/>
        </w:rPr>
      </w:pPr>
    </w:p>
    <w:p>
      <w:pPr>
        <w:ind w:left="1260" w:hanging="339"/>
        <w:spacing w:after="0"/>
        <w:tabs>
          <w:tab w:leader="none" w:pos="12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shall mean the Common Stock of the Company.</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0" w:name="page131"/>
    <w:bookmarkEnd w:id="130"/>
    <w:p>
      <w:pPr>
        <w:ind w:right="20" w:firstLine="921"/>
        <w:spacing w:after="0" w:line="332" w:lineRule="auto"/>
        <w:tabs>
          <w:tab w:leader="none" w:pos="123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Option Agreement” </w:t>
      </w:r>
      <w:r>
        <w:rPr>
          <w:rFonts w:ascii="Arial" w:cs="Arial" w:eastAsia="Arial" w:hAnsi="Arial"/>
          <w:sz w:val="16"/>
          <w:szCs w:val="16"/>
          <w:color w:val="auto"/>
        </w:rPr>
        <w:t>shall mean the agreement between the Company and an Optionee that contains the terms, conditions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pertaining to his Option.</w:t>
      </w:r>
    </w:p>
    <w:p>
      <w:pPr>
        <w:spacing w:after="0" w:line="85" w:lineRule="exact"/>
        <w:rPr>
          <w:rFonts w:ascii="Arial" w:cs="Arial" w:eastAsia="Arial" w:hAnsi="Arial"/>
          <w:sz w:val="16"/>
          <w:szCs w:val="16"/>
          <w:i w:val="1"/>
          <w:iCs w:val="1"/>
          <w:color w:val="auto"/>
        </w:rPr>
      </w:pPr>
    </w:p>
    <w:p>
      <w:pPr>
        <w:ind w:left="1180" w:hanging="259"/>
        <w:spacing w:after="0"/>
        <w:tabs>
          <w:tab w:leader="none" w:pos="118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shall mean a bookkeeping entry representing the equivalent of one Share, as awarded under the Plan.</w:t>
      </w:r>
    </w:p>
    <w:p>
      <w:pPr>
        <w:spacing w:after="0" w:line="171" w:lineRule="exact"/>
        <w:rPr>
          <w:rFonts w:ascii="Arial" w:cs="Arial" w:eastAsia="Arial" w:hAnsi="Arial"/>
          <w:sz w:val="18"/>
          <w:szCs w:val="18"/>
          <w:i w:val="1"/>
          <w:iCs w:val="1"/>
          <w:color w:val="auto"/>
        </w:rPr>
      </w:pPr>
    </w:p>
    <w:p>
      <w:pPr>
        <w:ind w:firstLine="921"/>
        <w:spacing w:after="0" w:line="268" w:lineRule="auto"/>
        <w:tabs>
          <w:tab w:leader="none" w:pos="1249"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Agreement” </w:t>
      </w:r>
      <w:r>
        <w:rPr>
          <w:rFonts w:ascii="Arial" w:cs="Arial" w:eastAsia="Arial" w:hAnsi="Arial"/>
          <w:sz w:val="18"/>
          <w:szCs w:val="18"/>
          <w:color w:val="auto"/>
        </w:rPr>
        <w:t>shall mean the agreement between the Company and the recipient of a Stock Unit which contains the terms,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restrictions pertaining to such Stock Unit.</w:t>
      </w:r>
    </w:p>
    <w:p>
      <w:pPr>
        <w:spacing w:after="0" w:line="131" w:lineRule="exact"/>
        <w:rPr>
          <w:rFonts w:ascii="Arial" w:cs="Arial" w:eastAsia="Arial" w:hAnsi="Arial"/>
          <w:sz w:val="18"/>
          <w:szCs w:val="18"/>
          <w:i w:val="1"/>
          <w:iCs w:val="1"/>
          <w:color w:val="auto"/>
        </w:rPr>
      </w:pPr>
    </w:p>
    <w:p>
      <w:pPr>
        <w:jc w:val="both"/>
        <w:ind w:right="180" w:firstLine="921"/>
        <w:spacing w:after="0" w:line="259" w:lineRule="auto"/>
        <w:tabs>
          <w:tab w:leader="none" w:pos="1249"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shall mean any corporation, if the Company and/or one or more other Subsidiaries own not less than 50% of the total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all classes of outstanding stock of such corporation. A corporation that attains the status of a Subsidiary on a date after the adoption of the Plan shall be considered a Subsidiary commencing as of such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96" w:lineRule="exact"/>
        <w:rPr>
          <w:sz w:val="20"/>
          <w:szCs w:val="20"/>
          <w:color w:val="auto"/>
        </w:rPr>
      </w:pPr>
    </w:p>
    <w:p>
      <w:pPr>
        <w:ind w:right="60" w:firstLine="921"/>
        <w:spacing w:after="0" w:line="255" w:lineRule="auto"/>
        <w:tabs>
          <w:tab w:leader="none" w:pos="1162"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Committee Composition. </w:t>
      </w:r>
      <w:r>
        <w:rPr>
          <w:rFonts w:ascii="Arial" w:cs="Arial" w:eastAsia="Arial" w:hAnsi="Arial"/>
          <w:sz w:val="18"/>
          <w:szCs w:val="18"/>
          <w:color w:val="auto"/>
        </w:rPr>
        <w:t>The Plan shall be administered by the Committee. The Committee shall consist of two or more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who shall be appointed by the Board. In addition,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pacing w:after="0" w:line="142" w:lineRule="exact"/>
        <w:rPr>
          <w:rFonts w:ascii="Arial" w:cs="Arial" w:eastAsia="Arial" w:hAnsi="Arial"/>
          <w:sz w:val="18"/>
          <w:szCs w:val="18"/>
          <w:i w:val="1"/>
          <w:iCs w:val="1"/>
          <w:color w:val="auto"/>
        </w:rPr>
      </w:pPr>
    </w:p>
    <w:p>
      <w:pPr>
        <w:ind w:right="20" w:firstLine="921"/>
        <w:spacing w:after="0" w:line="290" w:lineRule="auto"/>
        <w:tabs>
          <w:tab w:leader="none" w:pos="1162"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Committee for Non-Officer Grants. </w:t>
      </w:r>
      <w:r>
        <w:rPr>
          <w:rFonts w:ascii="Arial" w:cs="Arial" w:eastAsia="Arial" w:hAnsi="Arial"/>
          <w:sz w:val="16"/>
          <w:szCs w:val="16"/>
          <w:color w:val="auto"/>
        </w:rPr>
        <w:t>The Board may also appoint one or more separate committees of the Board, each composed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w:t>
      </w:r>
    </w:p>
    <w:p>
      <w:pPr>
        <w:spacing w:after="0" w:line="118" w:lineRule="exact"/>
        <w:rPr>
          <w:rFonts w:ascii="Arial" w:cs="Arial" w:eastAsia="Arial" w:hAnsi="Arial"/>
          <w:sz w:val="16"/>
          <w:szCs w:val="16"/>
          <w:i w:val="1"/>
          <w:iCs w:val="1"/>
          <w:color w:val="auto"/>
        </w:rPr>
      </w:pPr>
    </w:p>
    <w:p>
      <w:pPr>
        <w:ind w:right="200" w:firstLine="921"/>
        <w:spacing w:after="0" w:line="306" w:lineRule="auto"/>
        <w:tabs>
          <w:tab w:leader="none" w:pos="1152"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Committee Procedures. </w:t>
      </w:r>
      <w:r>
        <w:rPr>
          <w:rFonts w:ascii="Arial" w:cs="Arial" w:eastAsia="Arial" w:hAnsi="Arial"/>
          <w:sz w:val="16"/>
          <w:szCs w:val="16"/>
          <w:color w:val="auto"/>
        </w:rPr>
        <w:t>The Board of Directors shall designate one of the members of the Committee as chairman. The Committee may hold</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at such times and places as it shall determine. The acts of a majority of the Committee members present at meetings at which a quorum exists, or acts reduced to or approved in writing by all Committee members, shall be valid acts of the Committee.</w:t>
      </w:r>
    </w:p>
    <w:p>
      <w:pPr>
        <w:spacing w:after="0" w:line="106" w:lineRule="exact"/>
        <w:rPr>
          <w:rFonts w:ascii="Arial" w:cs="Arial" w:eastAsia="Arial" w:hAnsi="Arial"/>
          <w:sz w:val="16"/>
          <w:szCs w:val="16"/>
          <w:i w:val="1"/>
          <w:iCs w:val="1"/>
          <w:color w:val="auto"/>
        </w:rPr>
      </w:pPr>
    </w:p>
    <w:p>
      <w:pPr>
        <w:ind w:left="1160" w:hanging="239"/>
        <w:spacing w:after="0"/>
        <w:tabs>
          <w:tab w:leader="none" w:pos="116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Committee Responsibilities. </w:t>
      </w:r>
      <w:r>
        <w:rPr>
          <w:rFonts w:ascii="Arial" w:cs="Arial" w:eastAsia="Arial" w:hAnsi="Arial"/>
          <w:sz w:val="16"/>
          <w:szCs w:val="16"/>
          <w:color w:val="auto"/>
        </w:rPr>
        <w:t>Subject to the provisions of the Plan, the Committee shall have full authority and discretion to take the following</w:t>
      </w:r>
    </w:p>
    <w:p>
      <w:pPr>
        <w:spacing w:after="0" w:line="38"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actions: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To interpret the Plan and to apply its provisions;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31" w:name="page132"/>
    <w:bookmarkEnd w:id="131"/>
    <w:p>
      <w:pPr>
        <w:ind w:left="1760" w:hanging="268"/>
        <w:spacing w:after="0"/>
        <w:tabs>
          <w:tab w:leader="none" w:pos="1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adopt, amend or rescind rules, procedures and forms relating to the Plan;</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carry out the purposes of the Plan;</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select the Offerees and Optionees;</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determine the number of Shares to be made subject to each Award;</w:t>
      </w:r>
    </w:p>
    <w:p>
      <w:pPr>
        <w:spacing w:after="0" w:line="171" w:lineRule="exact"/>
        <w:rPr>
          <w:rFonts w:ascii="Arial" w:cs="Arial" w:eastAsia="Arial" w:hAnsi="Arial"/>
          <w:sz w:val="18"/>
          <w:szCs w:val="18"/>
          <w:color w:val="auto"/>
        </w:rPr>
      </w:pPr>
    </w:p>
    <w:p>
      <w:pPr>
        <w:ind w:right="180" w:firstLine="1492"/>
        <w:spacing w:after="0" w:line="256" w:lineRule="auto"/>
        <w:tabs>
          <w:tab w:leader="none" w:pos="18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143" w:lineRule="exact"/>
        <w:rPr>
          <w:rFonts w:ascii="Arial" w:cs="Arial" w:eastAsia="Arial" w:hAnsi="Arial"/>
          <w:sz w:val="18"/>
          <w:szCs w:val="18"/>
          <w:color w:val="auto"/>
        </w:rPr>
      </w:pPr>
    </w:p>
    <w:p>
      <w:pPr>
        <w:ind w:right="660" w:firstLine="1492"/>
        <w:spacing w:after="0" w:line="268" w:lineRule="auto"/>
        <w:tabs>
          <w:tab w:leader="none" w:pos="18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amend any outstanding Award agreement, subject to applicable legal restrictions and to the consent of the Participant if the Participant’s rights or obligations would be materially impaired;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prescribe the consideration for the grant of each Award or other right under the Plan and to determine the sufficiency of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determine the disposition of each Award or other right under the Plan in the event of a Participant’s divorce or dissolution of marriage;</w:t>
      </w:r>
    </w:p>
    <w:p>
      <w:pPr>
        <w:spacing w:after="0" w:line="194" w:lineRule="exact"/>
        <w:rPr>
          <w:rFonts w:ascii="Arial" w:cs="Arial" w:eastAsia="Arial" w:hAnsi="Arial"/>
          <w:sz w:val="16"/>
          <w:szCs w:val="16"/>
          <w:color w:val="auto"/>
        </w:rPr>
      </w:pPr>
    </w:p>
    <w:p>
      <w:pPr>
        <w:ind w:right="240" w:firstLine="1492"/>
        <w:spacing w:after="0" w:line="268" w:lineRule="auto"/>
        <w:tabs>
          <w:tab w:leader="none" w:pos="178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determine whether Awards under the Plan will be granted in replacement of other grants under an incentive or other compensation plan of an acquired business;</w:t>
      </w:r>
    </w:p>
    <w:p>
      <w:pPr>
        <w:spacing w:after="0" w:line="131" w:lineRule="exact"/>
        <w:rPr>
          <w:rFonts w:ascii="Arial" w:cs="Arial" w:eastAsia="Arial" w:hAnsi="Arial"/>
          <w:sz w:val="18"/>
          <w:szCs w:val="18"/>
          <w:color w:val="auto"/>
        </w:rPr>
      </w:pPr>
    </w:p>
    <w:p>
      <w:pPr>
        <w:ind w:left="1840" w:hanging="348"/>
        <w:spacing w:after="0"/>
        <w:tabs>
          <w:tab w:leader="none" w:pos="1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w:t>
      </w:r>
    </w:p>
    <w:p>
      <w:pPr>
        <w:spacing w:after="0" w:line="171" w:lineRule="exact"/>
        <w:rPr>
          <w:rFonts w:ascii="Arial" w:cs="Arial" w:eastAsia="Arial" w:hAnsi="Arial"/>
          <w:sz w:val="18"/>
          <w:szCs w:val="18"/>
          <w:color w:val="auto"/>
        </w:rPr>
      </w:pPr>
    </w:p>
    <w:p>
      <w:pPr>
        <w:ind w:left="1880" w:hanging="388"/>
        <w:spacing w:after="0"/>
        <w:tabs>
          <w:tab w:leader="none" w:pos="1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take any other actions deemed necessary or advisable for the administration of the Plan.</w:t>
      </w:r>
    </w:p>
    <w:p>
      <w:pPr>
        <w:spacing w:after="0" w:line="17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Options or other rights under the Plan to persons subject to Section 16 of the Exchange Act. All decisions,</w:t>
      </w:r>
    </w:p>
    <w:p>
      <w:pPr>
        <w:spacing w:after="0" w:line="9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2" w:name="page133"/>
    <w:bookmarkEnd w:id="1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interpretations and other actions of the Committee shall be final and binding on all Offerees, all Optionees, and all persons deriving their rights from an Offeree or Optionee. No member of the Committee shall be liable for any action that he has taken or has failed to take in good faith with respect to the Plan, any Option, or any right to acquire Shares under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96" w:lineRule="exact"/>
        <w:rPr>
          <w:sz w:val="20"/>
          <w:szCs w:val="20"/>
          <w:color w:val="auto"/>
        </w:rPr>
      </w:pPr>
    </w:p>
    <w:p>
      <w:pPr>
        <w:ind w:right="220" w:firstLine="921"/>
        <w:spacing w:after="0" w:line="268" w:lineRule="auto"/>
        <w:tabs>
          <w:tab w:leader="none" w:pos="1162"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Rule. </w:t>
      </w:r>
      <w:r>
        <w:rPr>
          <w:rFonts w:ascii="Arial" w:cs="Arial" w:eastAsia="Arial" w:hAnsi="Arial"/>
          <w:sz w:val="18"/>
          <w:szCs w:val="18"/>
          <w:color w:val="auto"/>
        </w:rPr>
        <w:t>Only Employees shall be eligible for the grant of ISOs. Only Employees, Consultants and Outside Directors shall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Restricted Shares, Stock Units, Nonstatutory Options or SARs.</w:t>
      </w:r>
    </w:p>
    <w:p>
      <w:pPr>
        <w:spacing w:after="0" w:line="131" w:lineRule="exact"/>
        <w:rPr>
          <w:rFonts w:ascii="Arial" w:cs="Arial" w:eastAsia="Arial" w:hAnsi="Arial"/>
          <w:sz w:val="18"/>
          <w:szCs w:val="18"/>
          <w:i w:val="1"/>
          <w:iCs w:val="1"/>
          <w:color w:val="auto"/>
        </w:rPr>
      </w:pPr>
    </w:p>
    <w:p>
      <w:pPr>
        <w:ind w:right="140" w:firstLine="921"/>
        <w:spacing w:after="0" w:line="332" w:lineRule="auto"/>
        <w:tabs>
          <w:tab w:leader="none" w:pos="1162"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Ten-Percent Stockholders. </w:t>
      </w:r>
      <w:r>
        <w:rPr>
          <w:rFonts w:ascii="Arial" w:cs="Arial" w:eastAsia="Arial" w:hAnsi="Arial"/>
          <w:sz w:val="16"/>
          <w:szCs w:val="16"/>
          <w:color w:val="auto"/>
        </w:rPr>
        <w:t>An Employee who owns more than 10% of the total combined voting power of all classes of outstanding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 Parent or Subsidiary shall not be eligible for the grant of an ISO unless such grant satisfies the requirements of Section 422(c)(5) of the Code.</w:t>
      </w:r>
    </w:p>
    <w:p>
      <w:pPr>
        <w:spacing w:after="0" w:line="85" w:lineRule="exact"/>
        <w:rPr>
          <w:rFonts w:ascii="Arial" w:cs="Arial" w:eastAsia="Arial" w:hAnsi="Arial"/>
          <w:sz w:val="16"/>
          <w:szCs w:val="16"/>
          <w:i w:val="1"/>
          <w:iCs w:val="1"/>
          <w:color w:val="auto"/>
        </w:rPr>
      </w:pPr>
    </w:p>
    <w:p>
      <w:pPr>
        <w:ind w:right="240" w:firstLine="921"/>
        <w:spacing w:after="0" w:line="306" w:lineRule="auto"/>
        <w:tabs>
          <w:tab w:leader="none" w:pos="1152"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Attribution Rules. </w:t>
      </w:r>
      <w:r>
        <w:rPr>
          <w:rFonts w:ascii="Arial" w:cs="Arial" w:eastAsia="Arial" w:hAnsi="Arial"/>
          <w:sz w:val="16"/>
          <w:szCs w:val="16"/>
          <w:color w:val="auto"/>
        </w:rPr>
        <w:t>For purposes of Section 4(b) above, in determining stock ownership, an Employee shall be deemed to own the stock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06" w:lineRule="exact"/>
        <w:rPr>
          <w:rFonts w:ascii="Arial" w:cs="Arial" w:eastAsia="Arial" w:hAnsi="Arial"/>
          <w:sz w:val="16"/>
          <w:szCs w:val="16"/>
          <w:i w:val="1"/>
          <w:iCs w:val="1"/>
          <w:color w:val="auto"/>
        </w:rPr>
      </w:pPr>
    </w:p>
    <w:p>
      <w:pPr>
        <w:ind w:right="180" w:firstLine="921"/>
        <w:spacing w:after="0" w:line="332" w:lineRule="auto"/>
        <w:tabs>
          <w:tab w:leader="none" w:pos="1162"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Outstanding Stock. </w:t>
      </w:r>
      <w:r>
        <w:rPr>
          <w:rFonts w:ascii="Arial" w:cs="Arial" w:eastAsia="Arial" w:hAnsi="Arial"/>
          <w:sz w:val="16"/>
          <w:szCs w:val="16"/>
          <w:color w:val="auto"/>
        </w:rPr>
        <w:t>For purposes of Section 4(b) above, “outstanding stock” shall include all stock actually issued and outstanding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grant. “Outstanding stock” shall not include shares authorized for issuance under outstanding options held by the Employee or by any other person.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STOCK SUBJECT TO PLAN.</w:t>
      </w:r>
    </w:p>
    <w:p>
      <w:pPr>
        <w:spacing w:after="0" w:line="96" w:lineRule="exact"/>
        <w:rPr>
          <w:sz w:val="20"/>
          <w:szCs w:val="20"/>
          <w:color w:val="auto"/>
        </w:rPr>
      </w:pPr>
    </w:p>
    <w:p>
      <w:pPr>
        <w:ind w:right="100" w:firstLine="921"/>
        <w:spacing w:after="0" w:line="290" w:lineRule="auto"/>
        <w:tabs>
          <w:tab w:leader="none" w:pos="1162"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Basic Limitation. </w:t>
      </w:r>
      <w:r>
        <w:rPr>
          <w:rFonts w:ascii="Arial" w:cs="Arial" w:eastAsia="Arial" w:hAnsi="Arial"/>
          <w:sz w:val="16"/>
          <w:szCs w:val="16"/>
          <w:color w:val="auto"/>
        </w:rPr>
        <w:t>Shares offered under the Plan shall be authorized but unissued Shares or treasury shares. The maximum aggregate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authorized for issuance as Awards under the Plan shall not exceed 3,930,000 Shares, plus an annual increase on the first day of each fiscal year during the term of the Plan, with the first such increase occurring on January 1, 2012, in each case in an amount equal to the lesser of (i) 100,000 Shares, (ii) 3% of the outstanding Shares on the last day of the immediately preceding year, or (iii) an amount determined by the Board. The limitations of this Section 5(a) shall be subject to adjustment pursuant to Section 11. The number of Shares that are subject to Options or other Awards outstanding at any time under the Plan shall not exceed the number of Shares which then remain available for issuance under the Plan. The Company, during the term of the Plan, shall at all times reserve and keep available sufficient Shares to satisfy the requirements of the Plan.</w:t>
      </w:r>
    </w:p>
    <w:p>
      <w:pPr>
        <w:spacing w:after="0" w:line="118" w:lineRule="exact"/>
        <w:rPr>
          <w:rFonts w:ascii="Arial" w:cs="Arial" w:eastAsia="Arial" w:hAnsi="Arial"/>
          <w:sz w:val="16"/>
          <w:szCs w:val="16"/>
          <w:i w:val="1"/>
          <w:iCs w:val="1"/>
          <w:color w:val="auto"/>
        </w:rPr>
      </w:pPr>
    </w:p>
    <w:p>
      <w:pPr>
        <w:ind w:right="100" w:firstLine="921"/>
        <w:spacing w:after="0" w:line="268" w:lineRule="auto"/>
        <w:tabs>
          <w:tab w:leader="none" w:pos="1162"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Option/SAR Limitation. </w:t>
      </w:r>
      <w:r>
        <w:rPr>
          <w:rFonts w:ascii="Arial" w:cs="Arial" w:eastAsia="Arial" w:hAnsi="Arial"/>
          <w:sz w:val="18"/>
          <w:szCs w:val="18"/>
          <w:color w:val="auto"/>
        </w:rPr>
        <w:t>Subject to the provisions of Section 11, no Participant may receive Options or SARs under the Plan in any calendar year</w:t>
      </w:r>
      <w:r>
        <w:rPr>
          <w:rFonts w:ascii="Arial" w:cs="Arial" w:eastAsia="Arial" w:hAnsi="Arial"/>
          <w:sz w:val="18"/>
          <w:szCs w:val="18"/>
          <w:i w:val="1"/>
          <w:iCs w:val="1"/>
          <w:color w:val="auto"/>
        </w:rPr>
        <w:t xml:space="preserve"> </w:t>
      </w:r>
      <w:r>
        <w:rPr>
          <w:rFonts w:ascii="Arial" w:cs="Arial" w:eastAsia="Arial" w:hAnsi="Arial"/>
          <w:sz w:val="18"/>
          <w:szCs w:val="18"/>
          <w:color w:val="auto"/>
        </w:rPr>
        <w:t>that relate to more than 203,000 Shares.</w:t>
      </w:r>
    </w:p>
    <w:p>
      <w:pPr>
        <w:spacing w:after="0" w:line="1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3" w:name="page134"/>
    <w:bookmarkEnd w:id="133"/>
    <w:p>
      <w:pPr>
        <w:ind w:firstLine="921"/>
        <w:spacing w:after="0" w:line="291" w:lineRule="auto"/>
        <w:tabs>
          <w:tab w:leader="none" w:pos="1152"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w:t>
      </w:r>
      <w:r>
        <w:rPr>
          <w:rFonts w:ascii="Arial" w:cs="Arial" w:eastAsia="Arial" w:hAnsi="Arial"/>
          <w:sz w:val="16"/>
          <w:szCs w:val="16"/>
          <w:color w:val="auto"/>
        </w:rPr>
        <w:t>. If Restricted Shares or Shares issued upon the exercise of Options are forfeited, then such Shares shall again become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Awards under the Plan. If Stock Units, Options or SARs are forfeited or terminate for any other reason before being exercised, then the corresponding Shares shall again become available for Awards under the Plan. If Stock Units are settled, then only the number of Shares (if any) actually issued in settlement of such Stock Units shall reduce the number available under Section 5(a) and the balance shall again become available for Awards under the Plan. If SARs are exercised, then only the number of Shares (if any) actually issued in settlement of such SARs shall reduce the number available in Section 5(a) and the balance shall again become available for Awards under the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RESTRICTED SHARES.</w:t>
      </w:r>
    </w:p>
    <w:p>
      <w:pPr>
        <w:spacing w:after="0" w:line="96" w:lineRule="exact"/>
        <w:rPr>
          <w:sz w:val="20"/>
          <w:szCs w:val="20"/>
          <w:color w:val="auto"/>
        </w:rPr>
      </w:pPr>
    </w:p>
    <w:p>
      <w:pPr>
        <w:ind w:right="320" w:firstLine="921"/>
        <w:spacing w:after="0" w:line="306" w:lineRule="auto"/>
        <w:tabs>
          <w:tab w:leader="none" w:pos="1162"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Stock Agreement</w:t>
      </w:r>
      <w:r>
        <w:rPr>
          <w:rFonts w:ascii="Arial" w:cs="Arial" w:eastAsia="Arial" w:hAnsi="Arial"/>
          <w:sz w:val="16"/>
          <w:szCs w:val="16"/>
          <w:color w:val="auto"/>
        </w:rPr>
        <w:t>. Each grant of Restricted Shares under the Plan shall be evidenced by a Restricted Stock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06" w:lineRule="exact"/>
        <w:rPr>
          <w:rFonts w:ascii="Arial" w:cs="Arial" w:eastAsia="Arial" w:hAnsi="Arial"/>
          <w:sz w:val="16"/>
          <w:szCs w:val="16"/>
          <w:i w:val="1"/>
          <w:iCs w:val="1"/>
          <w:color w:val="auto"/>
        </w:rPr>
      </w:pPr>
    </w:p>
    <w:p>
      <w:pPr>
        <w:ind w:right="140" w:firstLine="921"/>
        <w:spacing w:after="0" w:line="323" w:lineRule="auto"/>
        <w:tabs>
          <w:tab w:leader="none" w:pos="1162" w:val="left"/>
        </w:tabs>
        <w:numPr>
          <w:ilvl w:val="0"/>
          <w:numId w:val="72"/>
        </w:numPr>
        <w:rPr>
          <w:rFonts w:ascii="Arial" w:cs="Arial" w:eastAsia="Arial" w:hAnsi="Arial"/>
          <w:sz w:val="15"/>
          <w:szCs w:val="15"/>
          <w:i w:val="1"/>
          <w:iCs w:val="1"/>
          <w:color w:val="auto"/>
        </w:rPr>
      </w:pPr>
      <w:r>
        <w:rPr>
          <w:rFonts w:ascii="Arial" w:cs="Arial" w:eastAsia="Arial" w:hAnsi="Arial"/>
          <w:sz w:val="15"/>
          <w:szCs w:val="15"/>
          <w:i w:val="1"/>
          <w:iCs w:val="1"/>
          <w:color w:val="auto"/>
        </w:rPr>
        <w:t>Payment for Awards</w:t>
      </w:r>
      <w:r>
        <w:rPr>
          <w:rFonts w:ascii="Arial" w:cs="Arial" w:eastAsia="Arial" w:hAnsi="Arial"/>
          <w:sz w:val="15"/>
          <w:szCs w:val="15"/>
          <w:color w:val="auto"/>
        </w:rPr>
        <w:t>. Subject to the following sentence, Restricted Shares may be sold or awarded under the Plan for such consideration as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may determine, including (without limitation) cash, cash equivalents, full-recourse promissory notes, past services and future services. To the extent that an Award consists of newly issued Restricted Shares, the Award recipient shall furnish consideration with a value not less than the par value of such Restricted Shares in the form of cash, cash equivalents, or past services rendered to the Company (or a Parent or Subsidiary), as the Committee may determine.</w:t>
      </w:r>
    </w:p>
    <w:p>
      <w:pPr>
        <w:spacing w:after="0" w:line="97" w:lineRule="exact"/>
        <w:rPr>
          <w:rFonts w:ascii="Arial" w:cs="Arial" w:eastAsia="Arial" w:hAnsi="Arial"/>
          <w:sz w:val="15"/>
          <w:szCs w:val="15"/>
          <w:i w:val="1"/>
          <w:iCs w:val="1"/>
          <w:color w:val="auto"/>
        </w:rPr>
      </w:pPr>
    </w:p>
    <w:p>
      <w:pPr>
        <w:ind w:right="20" w:firstLine="921"/>
        <w:spacing w:after="0" w:line="298" w:lineRule="auto"/>
        <w:tabs>
          <w:tab w:leader="none" w:pos="1152"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 upon satisfaction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conditions specified in the Restricted Stock Agreement. A Restricted Stock Agreement may provide for accelerated vesting in the event of the Participant’s death, disability or retirement or other events. The Committee may determine, at the time of granting Restricted Shares of thereafter, that all or part of such Restricted Shares shall become vested in the event that a Change in Control occurs with respect to the Company.</w:t>
      </w:r>
    </w:p>
    <w:p>
      <w:pPr>
        <w:spacing w:after="0" w:line="112" w:lineRule="exact"/>
        <w:rPr>
          <w:rFonts w:ascii="Arial" w:cs="Arial" w:eastAsia="Arial" w:hAnsi="Arial"/>
          <w:sz w:val="16"/>
          <w:szCs w:val="16"/>
          <w:i w:val="1"/>
          <w:iCs w:val="1"/>
          <w:color w:val="auto"/>
        </w:rPr>
      </w:pPr>
    </w:p>
    <w:p>
      <w:pPr>
        <w:ind w:firstLine="921"/>
        <w:spacing w:after="0" w:line="256" w:lineRule="auto"/>
        <w:tabs>
          <w:tab w:leader="none" w:pos="116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Restricted Shares awarded under the Plan shall have the same voting, dividend and other rights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stockholders. A Restricted Stock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43" w:lineRule="exact"/>
        <w:rPr>
          <w:rFonts w:ascii="Arial" w:cs="Arial" w:eastAsia="Arial" w:hAnsi="Arial"/>
          <w:sz w:val="18"/>
          <w:szCs w:val="18"/>
          <w:i w:val="1"/>
          <w:iCs w:val="1"/>
          <w:color w:val="auto"/>
        </w:rPr>
      </w:pPr>
    </w:p>
    <w:p>
      <w:pPr>
        <w:jc w:val="both"/>
        <w:ind w:right="20" w:firstLine="921"/>
        <w:spacing w:after="0" w:line="259" w:lineRule="auto"/>
        <w:tabs>
          <w:tab w:leader="none" w:pos="115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Restricted Shares shall be subject to such rights of repurchase, rights of first refusal or other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determine. Such restrictions shall be set forth in the applicable Restricted Stock Agreement and shall apply in addition to any general restrictions that may apply to all holders of Shares.</w:t>
      </w:r>
    </w:p>
    <w:p>
      <w:pPr>
        <w:spacing w:after="0" w:line="1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 TERMS AND CONDITIONS OF OPTIONS.</w:t>
      </w:r>
    </w:p>
    <w:p>
      <w:pPr>
        <w:spacing w:after="0" w:line="96" w:lineRule="exact"/>
        <w:rPr>
          <w:sz w:val="20"/>
          <w:szCs w:val="20"/>
          <w:color w:val="auto"/>
        </w:rPr>
      </w:pPr>
    </w:p>
    <w:p>
      <w:pPr>
        <w:ind w:right="100" w:firstLine="921"/>
        <w:spacing w:after="0" w:line="294" w:lineRule="auto"/>
        <w:tabs>
          <w:tab w:leader="none" w:pos="1162"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Stock Option Agreement</w:t>
      </w:r>
      <w:r>
        <w:rPr>
          <w:rFonts w:ascii="Arial" w:cs="Arial" w:eastAsia="Arial" w:hAnsi="Arial"/>
          <w:sz w:val="16"/>
          <w:szCs w:val="16"/>
          <w:color w:val="auto"/>
        </w:rPr>
        <w:t>. Each grant of an Option under the Plan shall be evidenced by a Stock Option Agreement between the Optionee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Optionee’s other compensation.</w:t>
      </w:r>
    </w:p>
    <w:p>
      <w:pPr>
        <w:spacing w:after="0" w:line="115" w:lineRule="exact"/>
        <w:rPr>
          <w:rFonts w:ascii="Arial" w:cs="Arial" w:eastAsia="Arial" w:hAnsi="Arial"/>
          <w:sz w:val="16"/>
          <w:szCs w:val="16"/>
          <w:i w:val="1"/>
          <w:iCs w:val="1"/>
          <w:color w:val="auto"/>
        </w:rPr>
      </w:pPr>
    </w:p>
    <w:p>
      <w:pPr>
        <w:ind w:right="460" w:firstLine="921"/>
        <w:spacing w:after="0" w:line="268" w:lineRule="auto"/>
        <w:tabs>
          <w:tab w:leader="none" w:pos="1162"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Stock Option Agreement shall specify the number of Shares that are subject to the Option and shall provide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such number in accordance with Section 11.</w:t>
      </w:r>
    </w:p>
    <w:p>
      <w:pPr>
        <w:spacing w:after="0" w:line="131" w:lineRule="exact"/>
        <w:rPr>
          <w:rFonts w:ascii="Arial" w:cs="Arial" w:eastAsia="Arial" w:hAnsi="Arial"/>
          <w:sz w:val="18"/>
          <w:szCs w:val="18"/>
          <w:i w:val="1"/>
          <w:iCs w:val="1"/>
          <w:color w:val="auto"/>
        </w:rPr>
      </w:pPr>
    </w:p>
    <w:p>
      <w:pPr>
        <w:ind w:firstLine="921"/>
        <w:spacing w:after="0" w:line="294" w:lineRule="auto"/>
        <w:tabs>
          <w:tab w:leader="none" w:pos="1152"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Stock Option Agreement shall specify the Exercise Price. The Exercise Price of an ISO shall not be less than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a Share on the date of grant, except as otherwise provided in Section 4(b), and the Exercise Price of an NSO shall not be less 85% of the Fair Market Value of a Share on the date of grant. Notwithstanding the foregoing, a Stock Option Agreement may specify that the exercise price of an NSO may vary in accordance with a predetermined formula. Subject to the foregoing in this Section 7(c), the Exercise Price under any Option shall be determined by the Committee at its sole discretion. The Exercise Price shall be payable in one of the forms described in Section 8.</w:t>
      </w:r>
    </w:p>
    <w:p>
      <w:pPr>
        <w:spacing w:after="0" w:line="115" w:lineRule="exact"/>
        <w:rPr>
          <w:rFonts w:ascii="Arial" w:cs="Arial" w:eastAsia="Arial" w:hAnsi="Arial"/>
          <w:sz w:val="16"/>
          <w:szCs w:val="16"/>
          <w:i w:val="1"/>
          <w:iCs w:val="1"/>
          <w:color w:val="auto"/>
        </w:rPr>
      </w:pPr>
    </w:p>
    <w:p>
      <w:pPr>
        <w:ind w:firstLine="921"/>
        <w:spacing w:after="0" w:line="256" w:lineRule="auto"/>
        <w:tabs>
          <w:tab w:leader="none" w:pos="1162"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As a condition to the exercise of an Option, the Optionee shall make such arrangements as the Committee may require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43" w:lineRule="exact"/>
        <w:rPr>
          <w:rFonts w:ascii="Arial" w:cs="Arial" w:eastAsia="Arial" w:hAnsi="Arial"/>
          <w:sz w:val="18"/>
          <w:szCs w:val="18"/>
          <w:i w:val="1"/>
          <w:iCs w:val="1"/>
          <w:color w:val="auto"/>
        </w:rPr>
      </w:pPr>
    </w:p>
    <w:p>
      <w:pPr>
        <w:ind w:right="80" w:firstLine="921"/>
        <w:spacing w:after="0" w:line="283" w:lineRule="auto"/>
        <w:tabs>
          <w:tab w:leader="none" w:pos="1152"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Stock Option Agreement shall specify the date when all or any installment of the Option is to become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Option Agreement shall also specify the term of the Option; provided that the term of an ISO shall in no event exceed 10 years from the date of grant (five years for Employees described in Section 4(b)). A Stock Option Agreement may provide for accelerated exercisability in the event of the Optionee’s death, disability, or retirement or other events and may provide for expiration prior to the end of its term in the event of the termination of the Optionee’s Service.</w:t>
      </w:r>
    </w:p>
    <w:p>
      <w:pPr>
        <w:spacing w:after="0" w:line="2" w:lineRule="exact"/>
        <w:rPr>
          <w:rFonts w:ascii="Arial" w:cs="Arial" w:eastAsia="Arial" w:hAnsi="Arial"/>
          <w:sz w:val="16"/>
          <w:szCs w:val="16"/>
          <w:i w:val="1"/>
          <w:iCs w:val="1"/>
          <w:color w:val="auto"/>
        </w:rPr>
      </w:pPr>
    </w:p>
    <w:p>
      <w:pPr>
        <w:ind w:right="14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13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5" w:name="page136"/>
    <w:bookmarkEnd w:id="135"/>
    <w:p>
      <w:pPr>
        <w:ind w:right="260" w:firstLine="921"/>
        <w:spacing w:after="0" w:line="294" w:lineRule="auto"/>
        <w:tabs>
          <w:tab w:leader="none" w:pos="1123"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Options Upon Termination of Service</w:t>
      </w:r>
      <w:r>
        <w:rPr>
          <w:rFonts w:ascii="Arial" w:cs="Arial" w:eastAsia="Arial" w:hAnsi="Arial"/>
          <w:sz w:val="16"/>
          <w:szCs w:val="16"/>
          <w:color w:val="auto"/>
        </w:rPr>
        <w:t>. Each Stock Option Agreement shall set forth the extent to which the Optionee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exercise the Option 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15" w:lineRule="exact"/>
        <w:rPr>
          <w:rFonts w:ascii="Arial" w:cs="Arial" w:eastAsia="Arial" w:hAnsi="Arial"/>
          <w:sz w:val="16"/>
          <w:szCs w:val="16"/>
          <w:i w:val="1"/>
          <w:iCs w:val="1"/>
          <w:color w:val="auto"/>
        </w:rPr>
      </w:pPr>
    </w:p>
    <w:p>
      <w:pPr>
        <w:ind w:right="520" w:firstLine="921"/>
        <w:spacing w:after="0" w:line="332" w:lineRule="auto"/>
        <w:tabs>
          <w:tab w:leader="none" w:pos="1162"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The Committee may determine, at the time of granting an Option or thereafter, that such Option shall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to all or part of the Shares subject to such Option in the event that a Change in Control occurs with respect to the Company.</w:t>
      </w:r>
    </w:p>
    <w:p>
      <w:pPr>
        <w:spacing w:after="0" w:line="85" w:lineRule="exact"/>
        <w:rPr>
          <w:rFonts w:ascii="Arial" w:cs="Arial" w:eastAsia="Arial" w:hAnsi="Arial"/>
          <w:sz w:val="16"/>
          <w:szCs w:val="16"/>
          <w:i w:val="1"/>
          <w:iCs w:val="1"/>
          <w:color w:val="auto"/>
        </w:rPr>
      </w:pPr>
    </w:p>
    <w:p>
      <w:pPr>
        <w:ind w:right="40" w:firstLine="921"/>
        <w:spacing w:after="0" w:line="290" w:lineRule="auto"/>
        <w:tabs>
          <w:tab w:leader="none" w:pos="1162"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Leaves of Absence</w:t>
      </w:r>
      <w:r>
        <w:rPr>
          <w:rFonts w:ascii="Arial" w:cs="Arial" w:eastAsia="Arial" w:hAnsi="Arial"/>
          <w:sz w:val="16"/>
          <w:szCs w:val="16"/>
          <w:color w:val="auto"/>
        </w:rPr>
        <w:t>. An Employee’s Service shall cease when such Employee ceases to be actively employed by, or a Consultant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(or any subsidiary) as determined in the sole discretion of the Board of Directors. For purposes of Options,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90 days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w:t>
      </w:r>
    </w:p>
    <w:p>
      <w:pPr>
        <w:spacing w:after="0" w:line="118" w:lineRule="exact"/>
        <w:rPr>
          <w:rFonts w:ascii="Arial" w:cs="Arial" w:eastAsia="Arial" w:hAnsi="Arial"/>
          <w:sz w:val="16"/>
          <w:szCs w:val="16"/>
          <w:i w:val="1"/>
          <w:iCs w:val="1"/>
          <w:color w:val="auto"/>
        </w:rPr>
      </w:pPr>
    </w:p>
    <w:p>
      <w:pPr>
        <w:ind w:right="80" w:firstLine="921"/>
        <w:spacing w:after="0" w:line="332" w:lineRule="auto"/>
        <w:tabs>
          <w:tab w:leader="none" w:pos="1123"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No Rights as a Stockholder</w:t>
      </w:r>
      <w:r>
        <w:rPr>
          <w:rFonts w:ascii="Arial" w:cs="Arial" w:eastAsia="Arial" w:hAnsi="Arial"/>
          <w:sz w:val="16"/>
          <w:szCs w:val="16"/>
          <w:color w:val="auto"/>
        </w:rPr>
        <w:t>. An Optionee, or a transferee of an Optionee, shall have no rights as a stockholder with respect to any Shares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by his Option until the date of the issuance of a stock certificate for such Shares. No adjustments shall be made, except as provided in Section 11.</w:t>
      </w:r>
    </w:p>
    <w:p>
      <w:pPr>
        <w:spacing w:after="0" w:line="85" w:lineRule="exact"/>
        <w:rPr>
          <w:rFonts w:ascii="Arial" w:cs="Arial" w:eastAsia="Arial" w:hAnsi="Arial"/>
          <w:sz w:val="16"/>
          <w:szCs w:val="16"/>
          <w:i w:val="1"/>
          <w:iCs w:val="1"/>
          <w:color w:val="auto"/>
        </w:rPr>
      </w:pPr>
    </w:p>
    <w:p>
      <w:pPr>
        <w:ind w:right="80" w:firstLine="921"/>
        <w:spacing w:after="0" w:line="255" w:lineRule="auto"/>
        <w:tabs>
          <w:tab w:leader="none" w:pos="1123"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 Extension and Renewal of Options</w:t>
      </w:r>
      <w:r>
        <w:rPr>
          <w:rFonts w:ascii="Arial" w:cs="Arial" w:eastAsia="Arial" w:hAnsi="Arial"/>
          <w:sz w:val="18"/>
          <w:szCs w:val="18"/>
          <w:color w:val="auto"/>
        </w:rPr>
        <w:t>. Within the limitations of the Plan, the Committee may modify, extend or renew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the same or a different number of Shares. The foregoing notwithstanding, no modification of an Option shall, without the consent of the Optionee, materially impair his or her rights or obligations under such Option.</w:t>
      </w:r>
    </w:p>
    <w:p>
      <w:pPr>
        <w:spacing w:after="0" w:line="142" w:lineRule="exact"/>
        <w:rPr>
          <w:rFonts w:ascii="Arial" w:cs="Arial" w:eastAsia="Arial" w:hAnsi="Arial"/>
          <w:sz w:val="18"/>
          <w:szCs w:val="18"/>
          <w:i w:val="1"/>
          <w:iCs w:val="1"/>
          <w:color w:val="auto"/>
        </w:rPr>
      </w:pPr>
    </w:p>
    <w:p>
      <w:pPr>
        <w:ind w:firstLine="921"/>
        <w:spacing w:after="0" w:line="259" w:lineRule="auto"/>
        <w:tabs>
          <w:tab w:leader="none" w:pos="1152"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Any Shares issued upon exercise of an Option shall be subject to such special forfeiture conditions,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rights of first refusal and other transfer restrictions as the Committee may determine. Such restrictions shall be set forth in the applicable Stock Option Agreement and shall apply in addition to any general restrictions that may apply to all holders of Shares.</w:t>
      </w:r>
    </w:p>
    <w:p>
      <w:pPr>
        <w:spacing w:after="0" w:line="1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6" w:name="page137"/>
    <w:bookmarkEnd w:id="136"/>
    <w:p>
      <w:pPr>
        <w:ind w:left="1140" w:hanging="219"/>
        <w:spacing w:after="0"/>
        <w:tabs>
          <w:tab w:leader="none" w:pos="1140" w:val="left"/>
        </w:tabs>
        <w:numPr>
          <w:ilvl w:val="1"/>
          <w:numId w:val="75"/>
        </w:numPr>
        <w:rPr>
          <w:rFonts w:ascii="Arial" w:cs="Arial" w:eastAsia="Arial" w:hAnsi="Arial"/>
          <w:sz w:val="15"/>
          <w:szCs w:val="15"/>
          <w:i w:val="1"/>
          <w:iCs w:val="1"/>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Buyout Provisions</w:t>
      </w:r>
      <w:r>
        <w:rPr>
          <w:rFonts w:ascii="Arial" w:cs="Arial" w:eastAsia="Arial" w:hAnsi="Arial"/>
          <w:sz w:val="15"/>
          <w:szCs w:val="15"/>
          <w:color w:val="auto"/>
        </w:rPr>
        <w:t>. The Committee may at any time (a) offer to buy out for a payment in cash or cash equivalents an Option previously granted or</w:t>
      </w:r>
    </w:p>
    <w:p>
      <w:pPr>
        <w:spacing w:after="0" w:line="49" w:lineRule="exact"/>
        <w:rPr>
          <w:rFonts w:ascii="Arial" w:cs="Arial" w:eastAsia="Arial" w:hAnsi="Arial"/>
          <w:sz w:val="15"/>
          <w:szCs w:val="15"/>
          <w:i w:val="1"/>
          <w:iCs w:val="1"/>
          <w:color w:val="auto"/>
        </w:rPr>
      </w:pPr>
    </w:p>
    <w:p>
      <w:pPr>
        <w:ind w:right="780" w:firstLine="8"/>
        <w:spacing w:after="0" w:line="261"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authorize an Optionee to elect to cash out an Option previously granted, in either case at such time and based upon such terms and conditions as the Committee shall establish.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PAYMENT FOR OPTION SHARES.</w:t>
      </w:r>
    </w:p>
    <w:p>
      <w:pPr>
        <w:spacing w:after="0" w:line="96" w:lineRule="exact"/>
        <w:rPr>
          <w:sz w:val="20"/>
          <w:szCs w:val="20"/>
          <w:color w:val="auto"/>
        </w:rPr>
      </w:pPr>
    </w:p>
    <w:p>
      <w:pPr>
        <w:ind w:right="200" w:firstLine="921"/>
        <w:spacing w:after="0" w:line="268" w:lineRule="auto"/>
        <w:tabs>
          <w:tab w:leader="none" w:pos="116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General Rule</w:t>
      </w:r>
      <w:r>
        <w:rPr>
          <w:rFonts w:ascii="Arial" w:cs="Arial" w:eastAsia="Arial" w:hAnsi="Arial"/>
          <w:sz w:val="18"/>
          <w:szCs w:val="18"/>
          <w:color w:val="auto"/>
        </w:rPr>
        <w:t>. The entire Exercise Price of Shares issued upon the exercise of Options shall be payable in lawful money of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at the time when such Shares are purchased, except as provided in Section 8(b) through Section 8(f) below.</w:t>
      </w:r>
    </w:p>
    <w:p>
      <w:pPr>
        <w:spacing w:after="0" w:line="131" w:lineRule="exact"/>
        <w:rPr>
          <w:rFonts w:ascii="Arial" w:cs="Arial" w:eastAsia="Arial" w:hAnsi="Arial"/>
          <w:sz w:val="18"/>
          <w:szCs w:val="18"/>
          <w:i w:val="1"/>
          <w:iCs w:val="1"/>
          <w:color w:val="auto"/>
        </w:rPr>
      </w:pPr>
    </w:p>
    <w:p>
      <w:pPr>
        <w:ind w:firstLine="921"/>
        <w:spacing w:after="0" w:line="255" w:lineRule="auto"/>
        <w:tabs>
          <w:tab w:leader="none" w:pos="116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permitted by the Committee in its sole discretion, payment may be made all or in part by surrendering,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attesting 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42" w:lineRule="exact"/>
        <w:rPr>
          <w:rFonts w:ascii="Arial" w:cs="Arial" w:eastAsia="Arial" w:hAnsi="Arial"/>
          <w:sz w:val="18"/>
          <w:szCs w:val="18"/>
          <w:i w:val="1"/>
          <w:iCs w:val="1"/>
          <w:color w:val="auto"/>
        </w:rPr>
      </w:pPr>
    </w:p>
    <w:p>
      <w:pPr>
        <w:ind w:right="400" w:firstLine="921"/>
        <w:spacing w:after="0" w:line="259" w:lineRule="auto"/>
        <w:tabs>
          <w:tab w:leader="none" w:pos="115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Exercise/Sale</w:t>
      </w:r>
      <w:r>
        <w:rPr>
          <w:rFonts w:ascii="Arial" w:cs="Arial" w:eastAsia="Arial" w:hAnsi="Arial"/>
          <w:sz w:val="18"/>
          <w:szCs w:val="18"/>
          <w:color w:val="auto"/>
        </w:rPr>
        <w:t>. To the extent permitted by the Committee in its sole discretion,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140" w:lineRule="exact"/>
        <w:rPr>
          <w:rFonts w:ascii="Arial" w:cs="Arial" w:eastAsia="Arial" w:hAnsi="Arial"/>
          <w:sz w:val="18"/>
          <w:szCs w:val="18"/>
          <w:i w:val="1"/>
          <w:iCs w:val="1"/>
          <w:color w:val="auto"/>
        </w:rPr>
      </w:pPr>
    </w:p>
    <w:p>
      <w:pPr>
        <w:ind w:right="240" w:firstLine="921"/>
        <w:spacing w:after="0" w:line="259" w:lineRule="auto"/>
        <w:tabs>
          <w:tab w:leader="none" w:pos="116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Exercise/Pledge</w:t>
      </w:r>
      <w:r>
        <w:rPr>
          <w:rFonts w:ascii="Arial" w:cs="Arial" w:eastAsia="Arial" w:hAnsi="Arial"/>
          <w:sz w:val="18"/>
          <w:szCs w:val="18"/>
          <w:color w:val="auto"/>
        </w:rPr>
        <w:t>. To the extent permitted by the Committee in its sole discretion,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140" w:lineRule="exact"/>
        <w:rPr>
          <w:rFonts w:ascii="Arial" w:cs="Arial" w:eastAsia="Arial" w:hAnsi="Arial"/>
          <w:sz w:val="18"/>
          <w:szCs w:val="18"/>
          <w:i w:val="1"/>
          <w:iCs w:val="1"/>
          <w:color w:val="auto"/>
        </w:rPr>
      </w:pPr>
    </w:p>
    <w:p>
      <w:pPr>
        <w:ind w:right="240" w:firstLine="921"/>
        <w:spacing w:after="0" w:line="259" w:lineRule="auto"/>
        <w:tabs>
          <w:tab w:leader="none" w:pos="115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To the extent permitted by the Committee in its sole discretion, payment may be made all or in part by delivering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Company) a full-recourse promissory note. However, the par value of the Common Shares being purchased under the Plan, if newly issued, shall be paid in cash or cash equivalents.</w:t>
      </w:r>
    </w:p>
    <w:p>
      <w:pPr>
        <w:spacing w:after="0" w:line="140" w:lineRule="exact"/>
        <w:rPr>
          <w:rFonts w:ascii="Arial" w:cs="Arial" w:eastAsia="Arial" w:hAnsi="Arial"/>
          <w:sz w:val="18"/>
          <w:szCs w:val="18"/>
          <w:i w:val="1"/>
          <w:iCs w:val="1"/>
          <w:color w:val="auto"/>
        </w:rPr>
      </w:pPr>
    </w:p>
    <w:p>
      <w:pPr>
        <w:ind w:right="640" w:firstLine="921"/>
        <w:spacing w:after="0" w:line="268" w:lineRule="auto"/>
        <w:tabs>
          <w:tab w:leader="none" w:pos="1123"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permitted by the Committee in its sole discretion, payment may be made in any other form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applicable laws, regulations and rules.</w:t>
      </w:r>
    </w:p>
    <w:p>
      <w:pPr>
        <w:spacing w:after="0" w:line="131" w:lineRule="exact"/>
        <w:rPr>
          <w:rFonts w:ascii="Arial" w:cs="Arial" w:eastAsia="Arial" w:hAnsi="Arial"/>
          <w:sz w:val="18"/>
          <w:szCs w:val="18"/>
          <w:i w:val="1"/>
          <w:iCs w:val="1"/>
          <w:color w:val="auto"/>
        </w:rPr>
      </w:pPr>
    </w:p>
    <w:p>
      <w:pPr>
        <w:ind w:right="140" w:firstLine="921"/>
        <w:spacing w:after="0" w:line="268" w:lineRule="auto"/>
        <w:tabs>
          <w:tab w:leader="none" w:pos="116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Limitations under Applicable Law</w:t>
      </w:r>
      <w:r>
        <w:rPr>
          <w:rFonts w:ascii="Arial" w:cs="Arial" w:eastAsia="Arial" w:hAnsi="Arial"/>
          <w:sz w:val="18"/>
          <w:szCs w:val="18"/>
          <w:color w:val="auto"/>
        </w:rPr>
        <w:t>. Notwithstanding anything herein or in a Stock Option Agreement to the contrary, payment may not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in any form that is unlawful, as determined by the Committee in its sole discretion.</w:t>
      </w:r>
    </w:p>
    <w:p>
      <w:pPr>
        <w:spacing w:after="0" w:line="1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 STOCK APPRECIATION RIGHTS.</w:t>
      </w:r>
    </w:p>
    <w:p>
      <w:pPr>
        <w:spacing w:after="0" w:line="96" w:lineRule="exact"/>
        <w:rPr>
          <w:sz w:val="20"/>
          <w:szCs w:val="20"/>
          <w:color w:val="auto"/>
        </w:rPr>
      </w:pPr>
    </w:p>
    <w:p>
      <w:pPr>
        <w:ind w:right="380" w:firstLine="921"/>
        <w:spacing w:after="0" w:line="256" w:lineRule="auto"/>
        <w:tabs>
          <w:tab w:leader="none" w:pos="1162"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SAR Agreement</w:t>
      </w:r>
      <w:r>
        <w:rPr>
          <w:rFonts w:ascii="Arial" w:cs="Arial" w:eastAsia="Arial" w:hAnsi="Arial"/>
          <w:sz w:val="18"/>
          <w:szCs w:val="18"/>
          <w:color w:val="auto"/>
        </w:rPr>
        <w:t>. Each grant of a SAR under the Plan shall be evidenced by a SAR Agreement between the Optionee and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Optionee’s other compensation.</w:t>
      </w:r>
    </w:p>
    <w:p>
      <w:pPr>
        <w:spacing w:after="0" w:line="143" w:lineRule="exact"/>
        <w:rPr>
          <w:rFonts w:ascii="Arial" w:cs="Arial" w:eastAsia="Arial" w:hAnsi="Arial"/>
          <w:sz w:val="18"/>
          <w:szCs w:val="18"/>
          <w:i w:val="1"/>
          <w:iCs w:val="1"/>
          <w:color w:val="auto"/>
        </w:rPr>
      </w:pPr>
    </w:p>
    <w:p>
      <w:pPr>
        <w:ind w:right="220" w:firstLine="921"/>
        <w:spacing w:after="0" w:line="268" w:lineRule="auto"/>
        <w:tabs>
          <w:tab w:leader="none" w:pos="1162"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SAR Agreement shall specify the number of Shares to which the SAR pertains and shall provide for the adjustment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in accordance with Section 11.</w:t>
      </w:r>
    </w:p>
    <w:p>
      <w:pPr>
        <w:spacing w:after="0" w:line="131" w:lineRule="exact"/>
        <w:rPr>
          <w:rFonts w:ascii="Arial" w:cs="Arial" w:eastAsia="Arial" w:hAnsi="Arial"/>
          <w:sz w:val="18"/>
          <w:szCs w:val="18"/>
          <w:i w:val="1"/>
          <w:iCs w:val="1"/>
          <w:color w:val="auto"/>
        </w:rPr>
      </w:pPr>
    </w:p>
    <w:p>
      <w:pPr>
        <w:ind w:right="820" w:firstLine="921"/>
        <w:spacing w:after="0" w:line="268" w:lineRule="auto"/>
        <w:tabs>
          <w:tab w:leader="none" w:pos="1152"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Each SAR Agreement shall specify the Exercise Price. A SAR Agreement may specify an Exercise Price that varies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predetermined formula while the SAR is outstanding.</w:t>
      </w:r>
    </w:p>
    <w:p>
      <w:pPr>
        <w:spacing w:after="0" w:line="131" w:lineRule="exact"/>
        <w:rPr>
          <w:rFonts w:ascii="Arial" w:cs="Arial" w:eastAsia="Arial" w:hAnsi="Arial"/>
          <w:sz w:val="18"/>
          <w:szCs w:val="18"/>
          <w:i w:val="1"/>
          <w:iCs w:val="1"/>
          <w:color w:val="auto"/>
        </w:rPr>
      </w:pPr>
    </w:p>
    <w:p>
      <w:pPr>
        <w:ind w:firstLine="921"/>
        <w:spacing w:after="0" w:line="291" w:lineRule="auto"/>
        <w:tabs>
          <w:tab w:leader="none" w:pos="1162"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Agreement shall specify the date when all or any installment of the SAR is to become exercisable. The SAR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shall also specify the term of the SAR. A SAR Agreement may provide for accelerated exercisability in the event of the Optionee’s death, disability or retirement or other events and may provide for expiration prior to the end of its term in the event of the termination of the Optionee’s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20" w:lineRule="exact"/>
        <w:rPr>
          <w:rFonts w:ascii="Arial" w:cs="Arial" w:eastAsia="Arial" w:hAnsi="Arial"/>
          <w:sz w:val="16"/>
          <w:szCs w:val="16"/>
          <w:i w:val="1"/>
          <w:iCs w:val="1"/>
          <w:color w:val="auto"/>
        </w:rPr>
      </w:pPr>
    </w:p>
    <w:p>
      <w:pPr>
        <w:ind w:right="540" w:firstLine="921"/>
        <w:spacing w:after="0" w:line="332" w:lineRule="auto"/>
        <w:tabs>
          <w:tab w:leader="none" w:pos="1152"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The Committee may determine, at the time of granting a SAR or thereafter, that such SAR shall become fully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to all Common Shares subject to such SAR in the event that a Change in Control occurs with respect to the Company.</w:t>
      </w:r>
    </w:p>
    <w:p>
      <w:pPr>
        <w:spacing w:after="0" w:line="85" w:lineRule="exact"/>
        <w:rPr>
          <w:rFonts w:ascii="Arial" w:cs="Arial" w:eastAsia="Arial" w:hAnsi="Arial"/>
          <w:sz w:val="16"/>
          <w:szCs w:val="16"/>
          <w:i w:val="1"/>
          <w:iCs w:val="1"/>
          <w:color w:val="auto"/>
        </w:rPr>
      </w:pPr>
    </w:p>
    <w:p>
      <w:pPr>
        <w:ind w:right="180" w:firstLine="921"/>
        <w:spacing w:after="0" w:line="256" w:lineRule="auto"/>
        <w:tabs>
          <w:tab w:leader="none" w:pos="1123"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Exercise of SARs</w:t>
      </w:r>
      <w:r>
        <w:rPr>
          <w:rFonts w:ascii="Arial" w:cs="Arial" w:eastAsia="Arial" w:hAnsi="Arial"/>
          <w:sz w:val="18"/>
          <w:szCs w:val="18"/>
          <w:color w:val="auto"/>
        </w:rPr>
        <w:t>. Upon exercise of a SAR, the Optionee (or any person having the right to exercise the SAR after his or her death) shall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43" w:lineRule="exact"/>
        <w:rPr>
          <w:rFonts w:ascii="Arial" w:cs="Arial" w:eastAsia="Arial" w:hAnsi="Arial"/>
          <w:sz w:val="18"/>
          <w:szCs w:val="18"/>
          <w:i w:val="1"/>
          <w:iCs w:val="1"/>
          <w:color w:val="auto"/>
        </w:rPr>
      </w:pPr>
    </w:p>
    <w:p>
      <w:pPr>
        <w:ind w:firstLine="921"/>
        <w:spacing w:after="0" w:line="256" w:lineRule="auto"/>
        <w:tabs>
          <w:tab w:leader="none" w:pos="1162"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 or Assumption of SARs</w:t>
      </w:r>
      <w:r>
        <w:rPr>
          <w:rFonts w:ascii="Arial" w:cs="Arial" w:eastAsia="Arial" w:hAnsi="Arial"/>
          <w:sz w:val="18"/>
          <w:szCs w:val="18"/>
          <w:color w:val="auto"/>
        </w:rPr>
        <w:t>. Within the limitations of the Plan, the Committee may modify, extend or assume outstanding SARs or may</w:t>
      </w:r>
      <w:r>
        <w:rPr>
          <w:rFonts w:ascii="Arial" w:cs="Arial" w:eastAsia="Arial" w:hAnsi="Arial"/>
          <w:sz w:val="18"/>
          <w:szCs w:val="18"/>
          <w:i w:val="1"/>
          <w:iCs w:val="1"/>
          <w:color w:val="auto"/>
        </w:rPr>
        <w:t xml:space="preserve"> </w:t>
      </w:r>
      <w:r>
        <w:rPr>
          <w:rFonts w:ascii="Arial" w:cs="Arial" w:eastAsia="Arial" w:hAnsi="Arial"/>
          <w:sz w:val="18"/>
          <w:szCs w:val="18"/>
          <w:color w:val="auto"/>
        </w:rPr>
        <w:t>accept the cancellation of outstanding SARs (whether granted by the Company or by another issuer) in return for the grant of new SARs for the same or a different number of shares and at the same or a different exercise price. The foregoing notwithstanding, no modification of a SAR shall, without the consent of the holder, materially impair his or her rights or obligations under such SAR.</w:t>
      </w:r>
    </w:p>
    <w:p>
      <w:pPr>
        <w:spacing w:after="0" w:line="13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STOCK UNITS.</w:t>
      </w:r>
    </w:p>
    <w:p>
      <w:pPr>
        <w:spacing w:after="0" w:line="96" w:lineRule="exact"/>
        <w:rPr>
          <w:sz w:val="20"/>
          <w:szCs w:val="20"/>
          <w:color w:val="auto"/>
        </w:rPr>
      </w:pPr>
    </w:p>
    <w:p>
      <w:pPr>
        <w:ind w:right="120" w:firstLine="921"/>
        <w:spacing w:after="0" w:line="256" w:lineRule="auto"/>
        <w:tabs>
          <w:tab w:leader="none" w:pos="1162"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Stock Unit Agreement</w:t>
      </w:r>
      <w:r>
        <w:rPr>
          <w:rFonts w:ascii="Arial" w:cs="Arial" w:eastAsia="Arial" w:hAnsi="Arial"/>
          <w:sz w:val="18"/>
          <w:szCs w:val="18"/>
          <w:color w:val="auto"/>
        </w:rPr>
        <w:t>. Each grant of Stock Units under the Plan shall be evidenced by a Stock Unit Agreement between the recipient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Such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recipient’s other compensation.</w:t>
      </w:r>
    </w:p>
    <w:p>
      <w:pPr>
        <w:spacing w:after="0" w:line="143" w:lineRule="exact"/>
        <w:rPr>
          <w:rFonts w:ascii="Arial" w:cs="Arial" w:eastAsia="Arial" w:hAnsi="Arial"/>
          <w:sz w:val="18"/>
          <w:szCs w:val="18"/>
          <w:i w:val="1"/>
          <w:iCs w:val="1"/>
          <w:color w:val="auto"/>
        </w:rPr>
      </w:pPr>
    </w:p>
    <w:p>
      <w:pPr>
        <w:ind w:left="1160" w:hanging="239"/>
        <w:spacing w:after="0"/>
        <w:tabs>
          <w:tab w:leader="none" w:pos="11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To the extent that an Award is granted in the form of Stock Units, no cash consideration shall be required of the Award</w:t>
      </w:r>
    </w:p>
    <w:p>
      <w:pPr>
        <w:spacing w:after="0" w:line="38"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recipients.</w:t>
      </w:r>
    </w:p>
    <w:p>
      <w:pPr>
        <w:spacing w:after="0" w:line="164" w:lineRule="exact"/>
        <w:rPr>
          <w:rFonts w:ascii="Arial" w:cs="Arial" w:eastAsia="Arial" w:hAnsi="Arial"/>
          <w:sz w:val="16"/>
          <w:szCs w:val="16"/>
          <w:i w:val="1"/>
          <w:iCs w:val="1"/>
          <w:color w:val="auto"/>
        </w:rPr>
      </w:pPr>
    </w:p>
    <w:p>
      <w:pPr>
        <w:ind w:firstLine="921"/>
        <w:spacing w:after="0" w:line="298" w:lineRule="auto"/>
        <w:tabs>
          <w:tab w:leader="none" w:pos="1152"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Vesting Conditions</w:t>
      </w:r>
      <w:r>
        <w:rPr>
          <w:rFonts w:ascii="Arial" w:cs="Arial" w:eastAsia="Arial" w:hAnsi="Arial"/>
          <w:sz w:val="16"/>
          <w:szCs w:val="16"/>
          <w:color w:val="auto"/>
        </w:rPr>
        <w:t>. Each Award of Stock Units may or may not be subject to vesting. Vesting shall occur, in full or in installments, upon</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of the conditions specified in the Stock Unit Agreement. A Stock Unit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12" w:lineRule="exact"/>
        <w:rPr>
          <w:rFonts w:ascii="Arial" w:cs="Arial" w:eastAsia="Arial" w:hAnsi="Arial"/>
          <w:sz w:val="16"/>
          <w:szCs w:val="16"/>
          <w:i w:val="1"/>
          <w:iCs w:val="1"/>
          <w:color w:val="auto"/>
        </w:rPr>
      </w:pPr>
    </w:p>
    <w:p>
      <w:pPr>
        <w:ind w:right="100" w:firstLine="921"/>
        <w:spacing w:after="0" w:line="254" w:lineRule="auto"/>
        <w:tabs>
          <w:tab w:leader="none" w:pos="1162"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Stock Units shall have no voting rights. Prior to settlement or forfeiture, any Stock Unit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44" w:lineRule="exact"/>
        <w:rPr>
          <w:rFonts w:ascii="Arial" w:cs="Arial" w:eastAsia="Arial" w:hAnsi="Arial"/>
          <w:sz w:val="18"/>
          <w:szCs w:val="18"/>
          <w:i w:val="1"/>
          <w:iCs w:val="1"/>
          <w:color w:val="auto"/>
        </w:rPr>
      </w:pPr>
    </w:p>
    <w:p>
      <w:pPr>
        <w:ind w:right="160" w:firstLine="921"/>
        <w:spacing w:after="0" w:line="290" w:lineRule="auto"/>
        <w:tabs>
          <w:tab w:leader="none" w:pos="1152"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Form and Time of Settlement of Stock Units</w:t>
      </w:r>
      <w:r>
        <w:rPr>
          <w:rFonts w:ascii="Arial" w:cs="Arial" w:eastAsia="Arial" w:hAnsi="Arial"/>
          <w:sz w:val="16"/>
          <w:szCs w:val="16"/>
          <w:color w:val="auto"/>
        </w:rPr>
        <w:t>. Settlement of vested Stock Units may be made in the form of (a) cash, (b) Shares or (c) any</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The amount of a deferred distribution may be increased by an interest factor or by dividend equivalents. Until an Award of Stock Units is settled, the number of such Stock Units shall be subject to adjustment pursuant to Section 11.</w:t>
      </w:r>
    </w:p>
    <w:p>
      <w:pPr>
        <w:spacing w:after="0" w:line="118" w:lineRule="exact"/>
        <w:rPr>
          <w:rFonts w:ascii="Arial" w:cs="Arial" w:eastAsia="Arial" w:hAnsi="Arial"/>
          <w:sz w:val="16"/>
          <w:szCs w:val="16"/>
          <w:i w:val="1"/>
          <w:iCs w:val="1"/>
          <w:color w:val="auto"/>
        </w:rPr>
      </w:pPr>
    </w:p>
    <w:p>
      <w:pPr>
        <w:ind w:right="200" w:firstLine="921"/>
        <w:spacing w:after="0" w:line="332" w:lineRule="auto"/>
        <w:tabs>
          <w:tab w:leader="none" w:pos="1123"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Death of Recipient</w:t>
      </w:r>
      <w:r>
        <w:rPr>
          <w:rFonts w:ascii="Arial" w:cs="Arial" w:eastAsia="Arial" w:hAnsi="Arial"/>
          <w:sz w:val="16"/>
          <w:szCs w:val="16"/>
          <w:color w:val="auto"/>
        </w:rPr>
        <w:t>. Any Stock Units Award that becomes payable after the recipient’s death shall be distributed to the recipient’s beneficiary or</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beneficiaries. Each recipient of a Stock Units Award under the Plan shall designate one or more beneficiaries for this</w:t>
      </w:r>
    </w:p>
    <w:p>
      <w:pPr>
        <w:spacing w:after="0" w:line="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9" w:name="page140"/>
    <w:bookmarkEnd w:id="1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140" w:lineRule="exact"/>
        <w:rPr>
          <w:sz w:val="20"/>
          <w:szCs w:val="20"/>
          <w:color w:val="auto"/>
        </w:rPr>
      </w:pPr>
    </w:p>
    <w:p>
      <w:pPr>
        <w:ind w:right="240" w:firstLine="921"/>
        <w:spacing w:after="0" w:line="332" w:lineRule="auto"/>
        <w:tabs>
          <w:tab w:leader="none" w:pos="1162"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Creditors’ Rights</w:t>
      </w:r>
      <w:r>
        <w:rPr>
          <w:rFonts w:ascii="Arial" w:cs="Arial" w:eastAsia="Arial" w:hAnsi="Arial"/>
          <w:sz w:val="16"/>
          <w:szCs w:val="16"/>
          <w:color w:val="auto"/>
        </w:rPr>
        <w:t>. A holder of Stock Units shall have no rights other than those of a general creditor of the Company. Stock Units represent an</w:t>
      </w:r>
      <w:r>
        <w:rPr>
          <w:rFonts w:ascii="Arial" w:cs="Arial" w:eastAsia="Arial" w:hAnsi="Arial"/>
          <w:sz w:val="16"/>
          <w:szCs w:val="16"/>
          <w:i w:val="1"/>
          <w:iCs w:val="1"/>
          <w:color w:val="auto"/>
        </w:rPr>
        <w:t xml:space="preserve"> </w:t>
      </w:r>
      <w:r>
        <w:rPr>
          <w:rFonts w:ascii="Arial" w:cs="Arial" w:eastAsia="Arial" w:hAnsi="Arial"/>
          <w:sz w:val="16"/>
          <w:szCs w:val="16"/>
          <w:color w:val="auto"/>
        </w:rPr>
        <w:t>unfunded and unsecured obligation of the Company, subject to the terms and conditions of the applicable Stock Unit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ADJUSTMENT OF SHARES.</w:t>
      </w:r>
    </w:p>
    <w:p>
      <w:pPr>
        <w:spacing w:after="0" w:line="96" w:lineRule="exact"/>
        <w:rPr>
          <w:sz w:val="20"/>
          <w:szCs w:val="20"/>
          <w:color w:val="auto"/>
        </w:rPr>
      </w:pPr>
    </w:p>
    <w:p>
      <w:pPr>
        <w:jc w:val="both"/>
        <w:ind w:right="120" w:firstLine="921"/>
        <w:spacing w:after="0" w:line="256" w:lineRule="auto"/>
        <w:tabs>
          <w:tab w:leader="none" w:pos="1162"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subdivision of the outstanding Stock, a declaration of a dividend payable in Shares, a declaration of a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such adjustments as it, in its sole discretion, deems appropriate in one or more of:</w:t>
      </w:r>
    </w:p>
    <w:p>
      <w:pPr>
        <w:spacing w:after="0" w:line="143" w:lineRule="exact"/>
        <w:rPr>
          <w:rFonts w:ascii="Arial" w:cs="Arial" w:eastAsia="Arial" w:hAnsi="Arial"/>
          <w:sz w:val="18"/>
          <w:szCs w:val="18"/>
          <w:i w:val="1"/>
          <w:iCs w:val="1"/>
          <w:color w:val="auto"/>
        </w:rPr>
      </w:pPr>
    </w:p>
    <w:p>
      <w:pPr>
        <w:ind w:left="1700" w:hanging="208"/>
        <w:spacing w:after="0"/>
        <w:tabs>
          <w:tab w:leader="none" w:pos="1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number of Options, SARs, Restricted Shares and Stock Units available for future Awards under Section 5;</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limitations set forth in Section 5(a) and (b);</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number of Shares covered by each outstanding Option and SAR;</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Exercise Price under each outstanding Option and SAR;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number of Stock Units included in any prior Award which has not yet been settled.</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40" w:lineRule="exact"/>
        <w:rPr>
          <w:sz w:val="20"/>
          <w:szCs w:val="20"/>
          <w:color w:val="auto"/>
        </w:rPr>
      </w:pPr>
    </w:p>
    <w:p>
      <w:pPr>
        <w:ind w:right="20" w:firstLine="921"/>
        <w:spacing w:after="0" w:line="268" w:lineRule="auto"/>
        <w:tabs>
          <w:tab w:leader="none" w:pos="1162"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SARs and Stock Units shall terminate immediately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dissolution or liquidation of the Company.</w:t>
      </w:r>
    </w:p>
    <w:p>
      <w:pPr>
        <w:spacing w:after="0" w:line="131" w:lineRule="exact"/>
        <w:rPr>
          <w:rFonts w:ascii="Arial" w:cs="Arial" w:eastAsia="Arial" w:hAnsi="Arial"/>
          <w:sz w:val="18"/>
          <w:szCs w:val="18"/>
          <w:i w:val="1"/>
          <w:iCs w:val="1"/>
          <w:color w:val="auto"/>
        </w:rPr>
      </w:pPr>
    </w:p>
    <w:p>
      <w:pPr>
        <w:ind w:right="660" w:firstLine="921"/>
        <w:spacing w:after="0" w:line="268" w:lineRule="auto"/>
        <w:tabs>
          <w:tab w:leader="none" w:pos="1152"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Reorganizations</w:t>
      </w:r>
      <w:r>
        <w:rPr>
          <w:rFonts w:ascii="Arial" w:cs="Arial" w:eastAsia="Arial" w:hAnsi="Arial"/>
          <w:sz w:val="18"/>
          <w:szCs w:val="18"/>
          <w:color w:val="auto"/>
        </w:rPr>
        <w:t>. In the event that the Company is a party to a merger or other reorganization, outstanding Awards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merger or reorganization. Such agreement shall provide for:</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The continuation of the outstanding Awards by the Company, if the Company is a surviving corporation;</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0" w:name="page141"/>
    <w:bookmarkEnd w:id="140"/>
    <w:p>
      <w:pPr>
        <w:ind w:left="1760" w:hanging="268"/>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assumption of the outstanding Awards by the surviving corporation or its parent or subsidiary;</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or subsidiary of its own awards for the outstanding Awards;</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Full exercisability or vesting and accelerated expiration of the outstanding Awards;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Settlement of the full value of the outstanding Awards in cash or cash equivalents followed by cancellation of such Awards.</w:t>
      </w:r>
    </w:p>
    <w:p>
      <w:pPr>
        <w:spacing w:after="0" w:line="194" w:lineRule="exact"/>
        <w:rPr>
          <w:rFonts w:ascii="Arial" w:cs="Arial" w:eastAsia="Arial" w:hAnsi="Arial"/>
          <w:sz w:val="16"/>
          <w:szCs w:val="16"/>
          <w:color w:val="auto"/>
        </w:rPr>
      </w:pPr>
    </w:p>
    <w:p>
      <w:pPr>
        <w:ind w:right="100" w:firstLine="921"/>
        <w:spacing w:after="0" w:line="291" w:lineRule="auto"/>
        <w:tabs>
          <w:tab w:leader="none" w:pos="1162"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11, an Optionee or Offeree shall have no rights by reason of any subdivision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DEFERRAL OF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(in its sole discretion) may permit or require a Participant to:</w:t>
      </w:r>
    </w:p>
    <w:p>
      <w:pPr>
        <w:spacing w:after="0" w:line="171" w:lineRule="exact"/>
        <w:rPr>
          <w:sz w:val="20"/>
          <w:szCs w:val="20"/>
          <w:color w:val="auto"/>
        </w:rPr>
      </w:pPr>
    </w:p>
    <w:p>
      <w:pPr>
        <w:ind w:right="200" w:firstLine="464"/>
        <w:spacing w:after="0" w:line="268"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converted into an equal number of Stock Units; or</w:t>
      </w:r>
    </w:p>
    <w:p>
      <w:pPr>
        <w:spacing w:after="0" w:line="131" w:lineRule="exact"/>
        <w:rPr>
          <w:rFonts w:ascii="Arial" w:cs="Arial" w:eastAsia="Arial" w:hAnsi="Arial"/>
          <w:sz w:val="18"/>
          <w:szCs w:val="18"/>
          <w:color w:val="auto"/>
        </w:rPr>
      </w:pPr>
    </w:p>
    <w:p>
      <w:pPr>
        <w:ind w:firstLine="464"/>
        <w:spacing w:after="0" w:line="256"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deferred compensation account established under this Section 12 may be credited with interest or other forms of investment return, as determined by the Committee. A Participant for</w:t>
      </w:r>
    </w:p>
    <w:p>
      <w:pPr>
        <w:spacing w:after="0" w:line="1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41" w:name="page142"/>
    <w:bookmarkEnd w:id="141"/>
    <w:p>
      <w:pPr>
        <w:jc w:val="both"/>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AWARDS UNDER OTHER PLANS.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PAYMENT OF DIRECTOR’S FEES IN SECURITIES.</w:t>
      </w:r>
    </w:p>
    <w:p>
      <w:pPr>
        <w:spacing w:after="0" w:line="96" w:lineRule="exact"/>
        <w:rPr>
          <w:sz w:val="20"/>
          <w:szCs w:val="20"/>
          <w:color w:val="auto"/>
        </w:rPr>
      </w:pPr>
    </w:p>
    <w:p>
      <w:pPr>
        <w:ind w:left="1160" w:hanging="239"/>
        <w:spacing w:after="0"/>
        <w:tabs>
          <w:tab w:leader="none" w:pos="116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No provision of this Section 14 shall be effective unless and until the Board has determined to implement such provision.</w:t>
      </w:r>
    </w:p>
    <w:p>
      <w:pPr>
        <w:spacing w:after="0" w:line="194" w:lineRule="exact"/>
        <w:rPr>
          <w:rFonts w:ascii="Arial" w:cs="Arial" w:eastAsia="Arial" w:hAnsi="Arial"/>
          <w:sz w:val="16"/>
          <w:szCs w:val="16"/>
          <w:i w:val="1"/>
          <w:iCs w:val="1"/>
          <w:color w:val="auto"/>
        </w:rPr>
      </w:pPr>
    </w:p>
    <w:p>
      <w:pPr>
        <w:ind w:firstLine="921"/>
        <w:spacing w:after="0" w:line="335" w:lineRule="auto"/>
        <w:tabs>
          <w:tab w:leader="none" w:pos="1162" w:val="left"/>
        </w:tabs>
        <w:numPr>
          <w:ilvl w:val="0"/>
          <w:numId w:val="86"/>
        </w:numPr>
        <w:rPr>
          <w:rFonts w:ascii="Arial" w:cs="Arial" w:eastAsia="Arial" w:hAnsi="Arial"/>
          <w:sz w:val="15"/>
          <w:szCs w:val="15"/>
          <w:i w:val="1"/>
          <w:iCs w:val="1"/>
          <w:color w:val="auto"/>
        </w:rPr>
      </w:pPr>
      <w:r>
        <w:rPr>
          <w:rFonts w:ascii="Arial" w:cs="Arial" w:eastAsia="Arial" w:hAnsi="Arial"/>
          <w:sz w:val="15"/>
          <w:szCs w:val="15"/>
          <w:i w:val="1"/>
          <w:iCs w:val="1"/>
          <w:color w:val="auto"/>
        </w:rPr>
        <w:t>Elections to Receive NSOs, Restricted Shares or Stock Units</w:t>
      </w:r>
      <w:r>
        <w:rPr>
          <w:rFonts w:ascii="Arial" w:cs="Arial" w:eastAsia="Arial" w:hAnsi="Arial"/>
          <w:sz w:val="15"/>
          <w:szCs w:val="15"/>
          <w:color w:val="auto"/>
        </w:rPr>
        <w:t>. An Outside Director may elect to receive his or her annual retainer payments and/or</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fees from the Company in the form of cash, NSOs, Restricted Shares or Stock Units, or a combination thereof, as determined by the Board. Such NSOs, Restricted Shares and Stock Units shall be issued under the Plan. An election under this Section 14 shall be filed with the Company on the prescribed form.</w:t>
      </w:r>
    </w:p>
    <w:p>
      <w:pPr>
        <w:spacing w:after="0" w:line="88" w:lineRule="exact"/>
        <w:rPr>
          <w:rFonts w:ascii="Arial" w:cs="Arial" w:eastAsia="Arial" w:hAnsi="Arial"/>
          <w:sz w:val="15"/>
          <w:szCs w:val="15"/>
          <w:i w:val="1"/>
          <w:iCs w:val="1"/>
          <w:color w:val="auto"/>
        </w:rPr>
      </w:pPr>
    </w:p>
    <w:p>
      <w:pPr>
        <w:ind w:right="60" w:firstLine="921"/>
        <w:spacing w:after="0" w:line="259" w:lineRule="auto"/>
        <w:tabs>
          <w:tab w:leader="none" w:pos="1152"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Number and Terms of NSOs, Restricted Shares or Stock Units</w:t>
      </w:r>
      <w:r>
        <w:rPr>
          <w:rFonts w:ascii="Arial" w:cs="Arial" w:eastAsia="Arial" w:hAnsi="Arial"/>
          <w:sz w:val="18"/>
          <w:szCs w:val="18"/>
          <w:color w:val="auto"/>
        </w:rPr>
        <w:t>. The number of NSOs, Restricted Shares or Stock Units to be granted to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lieu of annual retainers and meeting fees that would otherwise be paid in cash shall be calculated in a manner determined by the Board. The terms of such NSOs, Restricted Shares or Stock Units shall also be determined by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LEGAL AND REGULATORY REQUIREMENTS.</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w:t>
      </w:r>
    </w:p>
    <w:p>
      <w:pPr>
        <w:spacing w:after="0" w:line="9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 WITHHOLDING TAXES.</w:t>
      </w:r>
    </w:p>
    <w:p>
      <w:pPr>
        <w:spacing w:after="0" w:line="96" w:lineRule="exact"/>
        <w:rPr>
          <w:sz w:val="20"/>
          <w:szCs w:val="20"/>
          <w:color w:val="auto"/>
        </w:rPr>
      </w:pPr>
    </w:p>
    <w:p>
      <w:pPr>
        <w:ind w:right="180" w:firstLine="921"/>
        <w:spacing w:after="0" w:line="259" w:lineRule="auto"/>
        <w:tabs>
          <w:tab w:leader="none" w:pos="1162"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the extent required by applicable federal, state, local or foreign law, a Participant or his or her successor shall make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40" w:lineRule="exact"/>
        <w:rPr>
          <w:rFonts w:ascii="Arial" w:cs="Arial" w:eastAsia="Arial" w:hAnsi="Arial"/>
          <w:sz w:val="18"/>
          <w:szCs w:val="18"/>
          <w:i w:val="1"/>
          <w:iCs w:val="1"/>
          <w:color w:val="auto"/>
        </w:rPr>
      </w:pPr>
    </w:p>
    <w:p>
      <w:pPr>
        <w:ind w:right="100" w:firstLine="921"/>
        <w:spacing w:after="0" w:line="255" w:lineRule="auto"/>
        <w:tabs>
          <w:tab w:leader="none" w:pos="1162"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Share Withholding</w:t>
      </w:r>
      <w:r>
        <w:rPr>
          <w:rFonts w:ascii="Arial" w:cs="Arial" w:eastAsia="Arial" w:hAnsi="Arial"/>
          <w:sz w:val="18"/>
          <w:szCs w:val="18"/>
          <w:color w:val="auto"/>
        </w:rPr>
        <w:t>. The Committee may permit a Participant to satisfy all or part of his or her withholding or income tax obligations by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legally required minimum tax withholding.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TRANSFERABILITY.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17 shall be void and unenforceable against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NO EMPLOYMENT RIGHTS.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No provision of the Plan, nor any right or Option granted under the Plan, shall be construed to give any person any right to become, to be treated as, or to remain an Employee. The Company and its Subsidiaries reserve the right to terminate any person’s Service at any time and for any reason, with or without notice.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DURATION AND AMENDMENTS.</w:t>
      </w:r>
    </w:p>
    <w:p>
      <w:pPr>
        <w:spacing w:after="0" w:line="96" w:lineRule="exact"/>
        <w:rPr>
          <w:sz w:val="20"/>
          <w:szCs w:val="20"/>
          <w:color w:val="auto"/>
        </w:rPr>
      </w:pPr>
    </w:p>
    <w:p>
      <w:pPr>
        <w:ind w:right="400" w:firstLine="921"/>
        <w:spacing w:after="0" w:line="268" w:lineRule="auto"/>
        <w:tabs>
          <w:tab w:leader="none" w:pos="1162"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terminate automatically ten (10) years after its adoption by the Board. The Plan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on any earlier date pursuant to Subsection (b) below.</w:t>
      </w:r>
    </w:p>
    <w:p>
      <w:pPr>
        <w:spacing w:after="0" w:line="131" w:lineRule="exact"/>
        <w:rPr>
          <w:rFonts w:ascii="Arial" w:cs="Arial" w:eastAsia="Arial" w:hAnsi="Arial"/>
          <w:sz w:val="18"/>
          <w:szCs w:val="18"/>
          <w:i w:val="1"/>
          <w:iCs w:val="1"/>
          <w:color w:val="auto"/>
        </w:rPr>
      </w:pPr>
    </w:p>
    <w:p>
      <w:pPr>
        <w:ind w:right="280" w:firstLine="921"/>
        <w:spacing w:after="0" w:line="306" w:lineRule="auto"/>
        <w:tabs>
          <w:tab w:leader="none" w:pos="1162"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Right to Amend or Terminate the Plan</w:t>
      </w:r>
      <w:r>
        <w:rPr>
          <w:rFonts w:ascii="Arial" w:cs="Arial" w:eastAsia="Arial" w:hAnsi="Arial"/>
          <w:sz w:val="16"/>
          <w:szCs w:val="16"/>
          <w:color w:val="auto"/>
        </w:rPr>
        <w:t>. The Board of Directors may amend the Plan at any time and from time to time. Rights and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9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43" w:name="page144"/>
    <w:bookmarkEnd w:id="143"/>
    <w:p>
      <w:pPr>
        <w:ind w:left="-280" w:firstLine="921"/>
        <w:spacing w:after="0" w:line="268" w:lineRule="auto"/>
        <w:tabs>
          <w:tab w:leader="none" w:pos="872"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Termination</w:t>
      </w:r>
      <w:r>
        <w:rPr>
          <w:rFonts w:ascii="Arial" w:cs="Arial" w:eastAsia="Arial" w:hAnsi="Arial"/>
          <w:sz w:val="18"/>
          <w:szCs w:val="18"/>
          <w:color w:val="auto"/>
        </w:rPr>
        <w:t>. No Awards shall be granted under the Plan after the termination thereof. The termination of the Plan shall not affect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previously granted under the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520" w:top="280" w:right="4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 EXECUTION.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record the adoption of the Amended and Restated 2004 Stock Incentive Plan by the Board of Directors on November 29, 2011, the Company has caused its authorized officer to execute the same.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2004 S</w:t>
      </w:r>
      <w:r>
        <w:rPr>
          <w:rFonts w:ascii="Arial" w:cs="Arial" w:eastAsia="Arial" w:hAnsi="Arial"/>
          <w:sz w:val="14"/>
          <w:szCs w:val="14"/>
          <w:color w:val="auto"/>
        </w:rPr>
        <w:t>TOCK</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on Form S-8 (Nos. 333-151808, 333-141694 and 333-122665) and Form S-3 (No. 333-163116) of MediciNova, Inc. and in the related Prospectus of our reports dated March 28, 2012, with respect to the consolidated financial statements of MediciNova, Inc., and the effectiveness of internal control over financial reporting of MediciNova, Inc., included in this Annual Report (Form 10-K) for the year ended December 31, 2011.</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2012</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(No. 333-163116) on Form S-3 and (Nos. 333-151808, 333-141694, and 333-122665) on Form S-8 of MediciNova, Inc. and subsidiaries (a development stage company) of our report dated March 31, 2011, with respect to the consolidated balance sheets of MediciNova, Inc. as of December 31, 2010, and the related consolidated statements of operations, stockholders’ equity, cash flows, and comprehensive loss for each of the years in the two-year period ended December 31, 2010, and all related financial statement schedules, which report appears in the December 31, 2011 annual report on Form 10-K of MediciNova, Inc.</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2012</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58"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2011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28, 2012</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158"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2011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Gennaro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Gennaro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28, 2012</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2011,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28, 2012</w:t>
      </w:r>
      <w:r>
        <w:rPr>
          <w:sz w:val="20"/>
          <w:szCs w:val="20"/>
          <w:color w:val="auto"/>
        </w:rPr>
        <w:tab/>
      </w:r>
      <w:r>
        <w:rPr>
          <w:rFonts w:ascii="Arial" w:cs="Arial" w:eastAsia="Arial" w:hAnsi="Arial"/>
          <w:sz w:val="16"/>
          <w:szCs w:val="16"/>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2011, as filed with the Securities and Exchange Commission on the date hereof (the “Report”), I, Michael Gennaro, as Chief Financial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28, 2012</w:t>
      </w:r>
      <w:r>
        <w:rPr>
          <w:sz w:val="20"/>
          <w:szCs w:val="20"/>
          <w:color w:val="auto"/>
        </w:rPr>
        <w:tab/>
      </w:r>
      <w:r>
        <w:rPr>
          <w:rFonts w:ascii="Arial" w:cs="Arial" w:eastAsia="Arial" w:hAnsi="Arial"/>
          <w:sz w:val="16"/>
          <w:szCs w:val="16"/>
          <w:color w:val="auto"/>
        </w:rPr>
        <w:t>/s/ Michael Gennaro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Gennaro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2"/>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2"/>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3"/>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7"/>
    </w:lvl>
  </w:abstractNum>
  <w:abstractNum w:abstractNumId="52">
    <w:nsid w:val="1EBA5D23"/>
    <w:multiLevelType w:val="hybridMultilevel"/>
    <w:lvl w:ilvl="0">
      <w:lvlJc w:val="left"/>
      <w:lvlText w:val="(%1)"/>
      <w:numFmt w:val="decimal"/>
      <w:start w:val="16"/>
    </w:lvl>
  </w:abstractNum>
  <w:abstractNum w:abstractNumId="53">
    <w:nsid w:val="661E3F1E"/>
    <w:multiLevelType w:val="hybridMultilevel"/>
    <w:lvl w:ilvl="0">
      <w:lvlJc w:val="left"/>
      <w:lvlText w:val="(%1)"/>
      <w:numFmt w:val="decimal"/>
      <w:start w:val="22"/>
    </w:lvl>
  </w:abstractNum>
  <w:abstractNum w:abstractNumId="54">
    <w:nsid w:val="5DC79EA8"/>
    <w:multiLevelType w:val="hybridMultilevel"/>
    <w:lvl w:ilvl="0">
      <w:lvlJc w:val="left"/>
      <w:lvlText w:val="(%1)"/>
      <w:numFmt w:val="decimal"/>
      <w:start w:val="27"/>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
    <w:nsid w:val="51D9C564"/>
    <w:multiLevelType w:val="hybridMultilevel"/>
    <w:lvl w:ilvl="0">
      <w:lvlJc w:val="left"/>
      <w:lvlText w:val="(%1)"/>
      <w:numFmt w:val="lowerRoman"/>
      <w:start w:val="2"/>
    </w:lvl>
  </w:abstractNum>
  <w:abstractNum w:abstractNumId="58">
    <w:nsid w:val="613EFDC5"/>
    <w:multiLevelType w:val="hybridMultilevel"/>
    <w:lvl w:ilvl="0">
      <w:lvlJc w:val="left"/>
      <w:lvlText w:val="(%1)"/>
      <w:numFmt w:val="lowerLetter"/>
      <w:start w:val="5"/>
    </w:lvl>
  </w:abstractNum>
  <w:abstractNum w:abstractNumId="59">
    <w:nsid w:val="BF72B14"/>
    <w:multiLevelType w:val="hybridMultilevel"/>
    <w:lvl w:ilvl="0">
      <w:lvlJc w:val="left"/>
      <w:lvlText w:val="(%1)"/>
      <w:numFmt w:val="lowerLetter"/>
      <w:start w:val="8"/>
    </w:lvl>
    <w:lvl w:ilvl="1">
      <w:lvlJc w:val="left"/>
      <w:lvlText w:val="(%2)"/>
      <w:numFmt w:val="lowerRoman"/>
      <w:start w:val="1"/>
    </w:lvl>
  </w:abstractNum>
  <w:abstractNum w:abstractNumId="60">
    <w:nsid w:val="11447B73"/>
    <w:multiLevelType w:val="hybridMultilevel"/>
    <w:lvl w:ilvl="0">
      <w:lvlJc w:val="left"/>
      <w:lvlText w:val="(%1)"/>
      <w:numFmt w:val="lowerLetter"/>
      <w:start w:val="13"/>
    </w:lvl>
  </w:abstractNum>
  <w:abstractNum w:abstractNumId="61">
    <w:nsid w:val="42963E5A"/>
    <w:multiLevelType w:val="hybridMultilevel"/>
    <w:lvl w:ilvl="0">
      <w:lvlJc w:val="left"/>
      <w:lvlText w:val="(%1)"/>
      <w:numFmt w:val="lowerLetter"/>
      <w:start w:val="15"/>
    </w:lvl>
  </w:abstractNum>
  <w:abstractNum w:abstractNumId="62">
    <w:nsid w:val="A0382C5"/>
    <w:multiLevelType w:val="hybridMultilevel"/>
    <w:lvl w:ilvl="0">
      <w:lvlJc w:val="left"/>
      <w:lvlText w:val="(%1)"/>
      <w:numFmt w:val="lowerLetter"/>
      <w:start w:val="16"/>
    </w:lvl>
  </w:abstractNum>
  <w:abstractNum w:abstractNumId="63">
    <w:nsid w:val="8F2B15E"/>
    <w:multiLevelType w:val="hybridMultilevel"/>
    <w:lvl w:ilvl="0">
      <w:lvlJc w:val="left"/>
      <w:lvlText w:val="(%1)"/>
      <w:numFmt w:val="lowerLetter"/>
      <w:start w:val="19"/>
    </w:lvl>
  </w:abstractNum>
  <w:abstractNum w:abstractNumId="64">
    <w:nsid w:val="1A32234B"/>
    <w:multiLevelType w:val="hybridMultilevel"/>
    <w:lvl w:ilvl="0">
      <w:lvlJc w:val="left"/>
      <w:lvlText w:val="(%1)"/>
      <w:numFmt w:val="lowerLetter"/>
      <w:start w:val="27"/>
    </w:lvl>
  </w:abstractNum>
  <w:abstractNum w:abstractNumId="65">
    <w:nsid w:val="3B0FD379"/>
    <w:multiLevelType w:val="hybridMultilevel"/>
    <w:lvl w:ilvl="0">
      <w:lvlJc w:val="left"/>
      <w:lvlText w:val="(%1)"/>
      <w:numFmt w:val="lowerLetter"/>
      <w:start w:val="3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Roman"/>
      <w:start w:val="2"/>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3"/>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6"/>
    </w:lvl>
  </w:abstractNum>
  <w:abstractNum w:abstractNumId="74">
    <w:nsid w:val="100F59DC"/>
    <w:multiLevelType w:val="hybridMultilevel"/>
    <w:lvl w:ilvl="0">
      <w:lvlJc w:val="left"/>
      <w:lvlText w:val="%1"/>
      <w:numFmt w:val="lowerLetter"/>
      <w:start w:val="1"/>
    </w:lvl>
    <w:lvl w:ilvl="1">
      <w:lvlJc w:val="left"/>
      <w:lvlText w:val="(%2)"/>
      <w:numFmt w:val="lowerLetter"/>
      <w:start w:val="12"/>
    </w:lvl>
  </w:abstractNum>
  <w:abstractNum w:abstractNumId="75">
    <w:nsid w:val="7FB7E0AA"/>
    <w:multiLevelType w:val="hybridMultilevel"/>
    <w:lvl w:ilvl="0">
      <w:lvlJc w:val="left"/>
      <w:lvlText w:val="(%1)"/>
      <w:numFmt w:val="lowerLetter"/>
      <w:start w:val="2"/>
    </w:lvl>
    <w:lvl w:ilvl="1">
      <w:lvlJc w:val="left"/>
      <w:lvlText w:val="%2"/>
      <w:numFmt w:val="lowerLetter"/>
      <w:start w:val="1"/>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7"/>
    </w:lvl>
  </w:abstractNum>
  <w:abstractNum w:abstractNumId="80">
    <w:nsid w:val="76272110"/>
    <w:multiLevelType w:val="hybridMultilevel"/>
    <w:lvl w:ilvl="0">
      <w:lvlJc w:val="left"/>
      <w:lvlText w:val="(%1)"/>
      <w:numFmt w:val="lowerLetter"/>
      <w:start w:val="1"/>
    </w:lvl>
    <w:lvl w:ilvl="1">
      <w:lvlJc w:val="left"/>
      <w:lvlText w:val="(%2)"/>
      <w:numFmt w:val="lowerRoman"/>
      <w:start w:val="1"/>
    </w:lvl>
  </w:abstractNum>
  <w:abstractNum w:abstractNumId="81">
    <w:nsid w:val="4C04A8AF"/>
    <w:multiLevelType w:val="hybridMultilevel"/>
    <w:lvl w:ilvl="0">
      <w:lvlJc w:val="left"/>
      <w:lvlText w:val="(%1)"/>
      <w:numFmt w:val="lowerLetter"/>
      <w:start w:val="2"/>
    </w:lvl>
  </w:abstractNum>
  <w:abstractNum w:abstractNumId="82">
    <w:nsid w:val="1716703B"/>
    <w:multiLevelType w:val="hybridMultilevel"/>
    <w:lvl w:ilvl="0">
      <w:lvlJc w:val="left"/>
      <w:lvlText w:val="%1"/>
      <w:numFmt w:val="lowerLetter"/>
      <w:start w:val="1"/>
    </w:lvl>
    <w:lvl w:ilvl="1">
      <w:lvlJc w:val="left"/>
      <w:lvlText w:val="(%2)"/>
      <w:numFmt w:val="lowerRoman"/>
      <w:start w:val="2"/>
    </w:lvl>
  </w:abstractNum>
  <w:abstractNum w:abstractNumId="83">
    <w:nsid w:val="14E17E33"/>
    <w:multiLevelType w:val="hybridMultilevel"/>
    <w:lvl w:ilvl="0">
      <w:lvlJc w:val="left"/>
      <w:lvlText w:val="(%1)"/>
      <w:numFmt w:val="lowerLetter"/>
      <w:start w:val="4"/>
    </w:lvl>
    <w:lvl w:ilvl="1">
      <w:lvlJc w:val="left"/>
      <w:lvlText w:val="%2"/>
      <w:numFmt w:val="lowerRoman"/>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3"/>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2019-12-09T15:47:42Z</dcterms:created>
  <dcterms:modified xsi:type="dcterms:W3CDTF">2019-12-09T15:47:42Z</dcterms:modified>
</cp:coreProperties>
</file>