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0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77" w:lineRule="exact"/>
        <w:rPr>
          <w:sz w:val="24"/>
          <w:szCs w:val="24"/>
          <w:color w:val="auto"/>
        </w:rPr>
      </w:pPr>
    </w:p>
    <w:p>
      <w:pPr>
        <w:ind w:left="460" w:right="40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30" w:right="299" w:bottom="1440" w:gutter="0" w:footer="0" w:header="0"/>
        </w:sectPr>
      </w:pPr>
    </w:p>
    <w:p>
      <w:pPr>
        <w:spacing w:after="0" w:line="41"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17" w:lineRule="exact"/>
        <w:rPr>
          <w:sz w:val="24"/>
          <w:szCs w:val="24"/>
          <w:color w:val="auto"/>
        </w:rPr>
      </w:pPr>
    </w:p>
    <w:p>
      <w:pPr>
        <w:sectPr>
          <w:pgSz w:w="11900" w:h="16838" w:orient="portrait"/>
          <w:cols w:equalWidth="0" w:num="2">
            <w:col w:w="3720" w:space="600"/>
            <w:col w:w="7040"/>
          </w:cols>
          <w:pgMar w:left="240" w:top="230"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271" w:lineRule="exact"/>
        <w:rPr>
          <w:sz w:val="24"/>
          <w:szCs w:val="24"/>
          <w:color w:val="auto"/>
        </w:rPr>
      </w:pPr>
    </w:p>
    <w:tbl>
      <w:tblPr>
        <w:tblLayout w:type="fixed"/>
        <w:tblInd w:w="1400" w:type="dxa"/>
        <w:tblCellMar>
          <w:top w:w="0" w:type="dxa"/>
          <w:left w:w="0" w:type="dxa"/>
          <w:bottom w:w="0" w:type="dxa"/>
          <w:right w:w="0" w:type="dxa"/>
        </w:tblCellMar>
      </w:tblPr>
      <w:tr>
        <w:trPr>
          <w:trHeight w:val="530"/>
        </w:trPr>
        <w:tc>
          <w:tcPr>
            <w:tcW w:w="6560" w:type="dxa"/>
            <w:vAlign w:val="bottom"/>
            <w:gridSpan w:val="3"/>
          </w:tcPr>
          <w:p>
            <w:pPr>
              <w:jc w:val="center"/>
              <w:ind w:left="1970"/>
              <w:spacing w:after="0"/>
              <w:rPr>
                <w:sz w:val="20"/>
                <w:szCs w:val="20"/>
                <w:color w:val="auto"/>
              </w:rPr>
            </w:pPr>
            <w:r>
              <w:rPr>
                <w:rFonts w:ascii="Arial" w:cs="Arial" w:eastAsia="Arial" w:hAnsi="Arial"/>
                <w:sz w:val="43"/>
                <w:szCs w:val="43"/>
                <w:b w:val="1"/>
                <w:bCs w:val="1"/>
                <w:color w:val="auto"/>
              </w:rPr>
              <w:t>MEDICINOVA, INC.</w:t>
            </w:r>
          </w:p>
        </w:tc>
        <w:tc>
          <w:tcPr>
            <w:tcW w:w="1300" w:type="dxa"/>
            <w:vAlign w:val="bottom"/>
          </w:tcPr>
          <w:p>
            <w:pPr>
              <w:spacing w:after="0"/>
              <w:rPr>
                <w:sz w:val="24"/>
                <w:szCs w:val="24"/>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300" w:type="dxa"/>
            <w:vAlign w:val="bottom"/>
          </w:tcPr>
          <w:p>
            <w:pPr>
              <w:spacing w:after="0"/>
              <w:rPr>
                <w:sz w:val="15"/>
                <w:szCs w:val="15"/>
                <w:color w:val="auto"/>
              </w:rPr>
            </w:pPr>
          </w:p>
        </w:tc>
      </w:tr>
      <w:tr>
        <w:trPr>
          <w:trHeight w:val="163"/>
        </w:trPr>
        <w:tc>
          <w:tcPr>
            <w:tcW w:w="31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05"/>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Delaware</w:t>
            </w:r>
          </w:p>
        </w:tc>
        <w:tc>
          <w:tcPr>
            <w:tcW w:w="130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560" w:type="dxa"/>
            <w:vAlign w:val="bottom"/>
            <w:gridSpan w:val="3"/>
          </w:tcPr>
          <w:p>
            <w:pPr>
              <w:jc w:val="center"/>
              <w:ind w:right="37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0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9"/>
              </w:rPr>
              <w:t>Incorporation or Organization)</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9"/>
              </w:rPr>
              <w:t>4350 La Jolla Village Drive, Suite 950</w:t>
            </w:r>
          </w:p>
        </w:tc>
        <w:tc>
          <w:tcPr>
            <w:tcW w:w="1300" w:type="dxa"/>
            <w:vAlign w:val="bottom"/>
          </w:tcPr>
          <w:p>
            <w:pPr>
              <w:spacing w:after="0"/>
              <w:rPr>
                <w:sz w:val="24"/>
                <w:szCs w:val="24"/>
                <w:color w:val="auto"/>
              </w:rPr>
            </w:pPr>
          </w:p>
        </w:tc>
      </w:tr>
      <w:tr>
        <w:trPr>
          <w:trHeight w:val="231"/>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San Diego, CA</w:t>
            </w:r>
          </w:p>
        </w:tc>
        <w:tc>
          <w:tcPr>
            <w:tcW w:w="130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92122</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92"/>
              </w:rPr>
              <w:t>(Zip Code)</w:t>
            </w:r>
          </w:p>
        </w:tc>
      </w:tr>
      <w:tr>
        <w:trPr>
          <w:trHeight w:val="298"/>
        </w:trPr>
        <w:tc>
          <w:tcPr>
            <w:tcW w:w="5500" w:type="dxa"/>
            <w:vAlign w:val="bottom"/>
            <w:gridSpan w:val="2"/>
          </w:tcPr>
          <w:p>
            <w:pPr>
              <w:jc w:val="center"/>
              <w:ind w:left="3030"/>
              <w:spacing w:after="0"/>
              <w:rPr>
                <w:sz w:val="20"/>
                <w:szCs w:val="20"/>
                <w:color w:val="auto"/>
              </w:rPr>
            </w:pPr>
            <w:r>
              <w:rPr>
                <w:rFonts w:ascii="Arial" w:cs="Arial" w:eastAsia="Arial" w:hAnsi="Arial"/>
                <w:sz w:val="18"/>
                <w:szCs w:val="18"/>
                <w:b w:val="1"/>
                <w:bCs w:val="1"/>
                <w:color w:val="auto"/>
                <w:w w:val="89"/>
              </w:rPr>
              <w:t>(858) 373-1500</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0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definition of “accelerated filer”, “large accelerated filer” and “smaller reporting company” in Rule 12b-2 of the Exchange Act. (Check one):</w:t>
      </w:r>
    </w:p>
    <w:p>
      <w:pPr>
        <w:sectPr>
          <w:pgSz w:w="11900" w:h="16838" w:orient="portrait"/>
          <w:cols w:equalWidth="0" w:num="1">
            <w:col w:w="11360"/>
          </w:cols>
          <w:pgMar w:left="240" w:top="230" w:right="29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720"/>
            <w:col w:w="5340" w:space="720"/>
            <w:col w:w="2120" w:space="720"/>
            <w:col w:w="160"/>
          </w:cols>
          <w:pgMar w:left="240" w:top="230" w:right="29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1580" w:space="720"/>
            <w:col w:w="160" w:space="100"/>
            <w:col w:w="5080" w:space="720"/>
            <w:col w:w="2120" w:space="720"/>
            <w:col w:w="160"/>
          </w:cols>
          <w:pgMar w:left="240" w:top="230" w:right="299" w:bottom="1440" w:gutter="0" w:footer="0" w:header="0"/>
          <w:type w:val="continuous"/>
        </w:sectPr>
      </w:pPr>
    </w:p>
    <w:p>
      <w:pPr>
        <w:ind w:left="460"/>
        <w:spacing w:after="0" w:line="184" w:lineRule="exact"/>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46" w:lineRule="exact"/>
        <w:rPr>
          <w:sz w:val="24"/>
          <w:szCs w:val="24"/>
          <w:color w:val="auto"/>
        </w:rPr>
      </w:pPr>
    </w:p>
    <w:p>
      <w:pPr>
        <w:sectPr>
          <w:pgSz w:w="11900" w:h="16838" w:orient="portrait"/>
          <w:cols w:equalWidth="0" w:num="2">
            <w:col w:w="9100" w:space="180"/>
            <w:col w:w="2080"/>
          </w:cols>
          <w:pgMar w:left="240" w:top="230" w:right="29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As of August 10, 2011, the registrant had 15,285,706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780" w:type="dxa"/>
            <w:vAlign w:val="bottom"/>
            <w:gridSpan w:val="9"/>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92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9260" w:type="dxa"/>
            <w:vAlign w:val="bottom"/>
            <w:gridSpan w:val="1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60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QUANTITATIVE AND QUALITATIVE DISCLOSURES ABOUT MARKET RISK</w:t>
              </w:r>
            </w:hyperlink>
          </w:p>
        </w:tc>
        <w:tc>
          <w:tcPr>
            <w:tcW w:w="270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9260" w:type="dxa"/>
            <w:vAlign w:val="bottom"/>
            <w:gridSpan w:val="1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04"/>
        </w:trPr>
        <w:tc>
          <w:tcPr>
            <w:tcW w:w="25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PART II. OTHER INFORMATION</w:t>
              </w:r>
            </w:hyperlink>
          </w:p>
        </w:tc>
        <w:tc>
          <w:tcPr>
            <w:tcW w:w="8080" w:type="dxa"/>
            <w:vAlign w:val="bottom"/>
            <w:gridSpan w:val="11"/>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18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LEGAL PROCEEDINGS</w:t>
              </w:r>
            </w:hyperlink>
          </w:p>
        </w:tc>
        <w:tc>
          <w:tcPr>
            <w:tcW w:w="742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1A.</w:t>
            </w:r>
          </w:p>
        </w:tc>
        <w:tc>
          <w:tcPr>
            <w:tcW w:w="9260" w:type="dxa"/>
            <w:vAlign w:val="bottom"/>
            <w:gridSpan w:val="1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9260" w:type="dxa"/>
            <w:vAlign w:val="bottom"/>
            <w:gridSpan w:val="1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31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DEFAULTS UPON SENIOR SECURITIES</w:t>
              </w:r>
            </w:hyperlink>
          </w:p>
        </w:tc>
        <w:tc>
          <w:tcPr>
            <w:tcW w:w="2800" w:type="dxa"/>
            <w:vAlign w:val="bottom"/>
            <w:tcBorders>
              <w:top w:val="single" w:sz="8" w:color="0000EE"/>
            </w:tcBorders>
            <w:gridSpan w:val="2"/>
          </w:tcPr>
          <w:p>
            <w:pPr>
              <w:spacing w:after="0"/>
              <w:rPr>
                <w:sz w:val="17"/>
                <w:szCs w:val="17"/>
                <w:color w:val="auto"/>
              </w:rPr>
            </w:pPr>
          </w:p>
        </w:tc>
        <w:tc>
          <w:tcPr>
            <w:tcW w:w="334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22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REMOVED AND RESERVED</w:t>
              </w:r>
            </w:hyperlink>
          </w:p>
        </w:tc>
        <w:tc>
          <w:tcPr>
            <w:tcW w:w="7020" w:type="dxa"/>
            <w:vAlign w:val="bottom"/>
            <w:gridSpan w:val="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5.</w:t>
            </w:r>
          </w:p>
        </w:tc>
        <w:tc>
          <w:tcPr>
            <w:tcW w:w="9260" w:type="dxa"/>
            <w:vAlign w:val="bottom"/>
            <w:gridSpan w:val="1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6.</w:t>
            </w:r>
          </w:p>
        </w:tc>
        <w:tc>
          <w:tcPr>
            <w:tcW w:w="18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742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304"/>
        </w:trPr>
        <w:tc>
          <w:tcPr>
            <w:tcW w:w="1340" w:type="dxa"/>
            <w:vAlign w:val="bottom"/>
            <w:gridSpan w:val="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8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83"/>
        </w:trPr>
        <w:tc>
          <w:tcPr>
            <w:tcW w:w="10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920" w:type="dxa"/>
            <w:vAlign w:val="bottom"/>
            <w:gridSpan w:val="10"/>
          </w:tcPr>
          <w:p>
            <w:pPr>
              <w:ind w:left="43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40" w:type="dxa"/>
            <w:vAlign w:val="bottom"/>
          </w:tcPr>
          <w:p>
            <w:pPr>
              <w:jc w:val="center"/>
              <w:ind w:left="1972"/>
              <w:spacing w:after="0"/>
              <w:rPr>
                <w:sz w:val="20"/>
                <w:szCs w:val="20"/>
                <w:color w:val="auto"/>
              </w:rPr>
            </w:pPr>
            <w:r>
              <w:rPr>
                <w:rFonts w:ascii="Arial" w:cs="Arial" w:eastAsia="Arial" w:hAnsi="Arial"/>
                <w:sz w:val="18"/>
                <w:szCs w:val="18"/>
                <w:b w:val="1"/>
                <w:bCs w:val="1"/>
                <w:color w:val="auto"/>
                <w:w w:val="99"/>
              </w:rPr>
              <w:t>PART I. FINANCIAL INFORMATION</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040" w:type="dxa"/>
            <w:vAlign w:val="bottom"/>
          </w:tcPr>
          <w:p>
            <w:pPr>
              <w:ind w:left="380"/>
              <w:spacing w:after="0"/>
              <w:rPr>
                <w:sz w:val="20"/>
                <w:szCs w:val="20"/>
                <w:color w:val="auto"/>
              </w:rPr>
            </w:pPr>
            <w:r>
              <w:rPr>
                <w:rFonts w:ascii="Arial" w:cs="Arial" w:eastAsia="Arial" w:hAnsi="Arial"/>
                <w:sz w:val="18"/>
                <w:szCs w:val="18"/>
                <w:b w:val="1"/>
                <w:bCs w:val="1"/>
                <w:color w:val="auto"/>
              </w:rPr>
              <w:t>CONSOLIDATED FINANCIAL STATEMENTS.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40" w:type="dxa"/>
            <w:vAlign w:val="bottom"/>
          </w:tcPr>
          <w:p>
            <w:pPr>
              <w:jc w:val="center"/>
              <w:ind w:left="1972"/>
              <w:spacing w:after="0"/>
              <w:rPr>
                <w:sz w:val="20"/>
                <w:szCs w:val="20"/>
                <w:color w:val="auto"/>
              </w:rPr>
            </w:pPr>
            <w:r>
              <w:rPr>
                <w:rFonts w:ascii="Arial" w:cs="Arial" w:eastAsia="Arial" w:hAnsi="Arial"/>
                <w:sz w:val="18"/>
                <w:szCs w:val="18"/>
                <w:b w:val="1"/>
                <w:bCs w:val="1"/>
                <w:color w:val="auto"/>
              </w:rPr>
              <w:t>MEDICINOVA, INC.</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40" w:type="dxa"/>
            <w:vAlign w:val="bottom"/>
          </w:tcPr>
          <w:p>
            <w:pPr>
              <w:jc w:val="center"/>
              <w:ind w:left="1992"/>
              <w:spacing w:after="0"/>
              <w:rPr>
                <w:sz w:val="20"/>
                <w:szCs w:val="20"/>
                <w:color w:val="auto"/>
              </w:rPr>
            </w:pPr>
            <w:r>
              <w:rPr>
                <w:rFonts w:ascii="Arial" w:cs="Arial" w:eastAsia="Arial" w:hAnsi="Arial"/>
                <w:sz w:val="18"/>
                <w:szCs w:val="18"/>
                <w:b w:val="1"/>
                <w:bCs w:val="1"/>
                <w:color w:val="auto"/>
                <w:w w:val="86"/>
              </w:rPr>
              <w:t>(a development stage company)</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40" w:type="dxa"/>
            <w:vAlign w:val="bottom"/>
          </w:tcPr>
          <w:p>
            <w:pPr>
              <w:jc w:val="center"/>
              <w:ind w:left="1992"/>
              <w:spacing w:after="0"/>
              <w:rPr>
                <w:sz w:val="20"/>
                <w:szCs w:val="20"/>
                <w:color w:val="auto"/>
              </w:rPr>
            </w:pPr>
            <w:r>
              <w:rPr>
                <w:rFonts w:ascii="Arial" w:cs="Arial" w:eastAsia="Arial" w:hAnsi="Arial"/>
                <w:sz w:val="18"/>
                <w:szCs w:val="18"/>
                <w:b w:val="1"/>
                <w:bCs w:val="1"/>
                <w:color w:val="auto"/>
                <w:w w:val="96"/>
              </w:rPr>
              <w:t>CONSOLIDATED BALANCE SHEETS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June 30,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(Unaudited)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11,921,990</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28,252,204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Restricted cash (Note 2)</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28,688,892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investment (Note 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Restricted letter of credit (Note 2)</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0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12,714,210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58,343,997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(Note 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9,600,241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9,600,241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In-process research and development (Note 2)</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4,800,000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Other assets (Note 4)</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27,155,754</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72,934,169</w:t>
            </w:r>
          </w:p>
        </w:tc>
        <w:tc>
          <w:tcPr>
            <w:tcW w:w="0" w:type="dxa"/>
            <w:vAlign w:val="bottom"/>
          </w:tcPr>
          <w:p>
            <w:pPr>
              <w:spacing w:after="0"/>
              <w:rPr>
                <w:sz w:val="1"/>
                <w:szCs w:val="1"/>
                <w:color w:val="auto"/>
              </w:rPr>
            </w:pPr>
          </w:p>
        </w:tc>
      </w:tr>
      <w:tr>
        <w:trPr>
          <w:trHeight w:val="20"/>
        </w:trPr>
        <w:tc>
          <w:tcPr>
            <w:tcW w:w="8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7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329,339</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1,099,625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Management transition plan liability (Note 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Debt (Note 4)</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4,951,610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Convertible notes (Notes 2 and 11)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28,626,296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Escrow holdback (Note 2)</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 (Note 7)</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1,685,845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434,029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0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2,450,592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36,790,204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liability (Note 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Long-term debt, less current portion (Note 4)</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9,483,605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4,406,592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48,229,809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w w:val="97"/>
              </w:rPr>
              <w:t>Preferred stock, $0.01 par value; 500,000 shares authorized at June 30, 2011 and December 31, 2010; no</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shares outstanding at June 30, 2011 and December 31, 2010</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6"/>
              </w:rPr>
              <w:t>Common stock, $0.001 par value; 30,000,000 shares authorized at June 30, 2011 and December 31, 2010;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w w:val="97"/>
              </w:rPr>
              <w:t>15,326,694 and 12,482,867 shares issued at June 30, 2011 and December 31, 2010, respectively, and</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w w:val="97"/>
              </w:rPr>
              <w:t>15,284,785 and 12,439,132 shares outstanding at June 30, 2011 and December 31, 2010, respectively</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15,327</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301,864,294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293,483,920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(61,045)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Treasury stock, at cost; 41,909 shares at June 30, 2011 and 43,735 shares at December 31, 2010</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(1,193,930)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(1,197,935)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(277,875,484)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(267,538,407)</w:t>
            </w:r>
          </w:p>
        </w:tc>
        <w:tc>
          <w:tcPr>
            <w:tcW w:w="0" w:type="dxa"/>
            <w:vAlign w:val="bottom"/>
          </w:tcPr>
          <w:p>
            <w:pPr>
              <w:spacing w:after="0"/>
              <w:rPr>
                <w:sz w:val="1"/>
                <w:szCs w:val="1"/>
                <w:color w:val="auto"/>
              </w:rPr>
            </w:pPr>
          </w:p>
        </w:tc>
      </w:tr>
      <w:tr>
        <w:trPr>
          <w:trHeight w:val="230"/>
        </w:trPr>
        <w:tc>
          <w:tcPr>
            <w:tcW w:w="870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22,749,162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24,704,360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27,155,754</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72,934,169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72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right"/>
              <w:ind w:right="23"/>
              <w:spacing w:after="0" w:line="149" w:lineRule="exact"/>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restart"/>
          </w:tcPr>
          <w:p>
            <w:pPr>
              <w:jc w:val="center"/>
              <w:ind w:right="220"/>
              <w:spacing w:after="0" w:line="136" w:lineRule="exact"/>
              <w:rPr>
                <w:sz w:val="20"/>
                <w:szCs w:val="20"/>
                <w:color w:val="auto"/>
              </w:rPr>
            </w:pPr>
            <w:r>
              <w:rPr>
                <w:rFonts w:ascii="Arial" w:cs="Arial" w:eastAsia="Arial" w:hAnsi="Arial"/>
                <w:sz w:val="14"/>
                <w:szCs w:val="14"/>
                <w:b w:val="1"/>
                <w:bCs w:val="1"/>
                <w:color w:val="auto"/>
                <w:w w:val="84"/>
              </w:rPr>
              <w:t>to June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1,558,227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2,040,060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2,304,518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4,663,958</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5,253,974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158,920,802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1,682,246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1,847,284</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4,034,722</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4,134,236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101,233,531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3,722,306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4,151,802</w:t>
            </w: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8,698,680</w:t>
            </w: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9,388,210</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261,412,754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(3,722,306)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(4,151,802)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(8,698,680)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(9,388,210)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(259,854,527)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Write-off of debt related costs</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(493,745)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(493,745)</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(493,745)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Gain/(impairment charge) on investment securities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(97,654)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(43,324)</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(84,041)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(74,631)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(450,000)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(406,269)</w:t>
            </w:r>
          </w:p>
        </w:tc>
        <w:tc>
          <w:tcPr>
            <w:tcW w:w="1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(1,102,387)</w:t>
            </w: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(450,443)</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(3,113,112)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16,197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201,297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41,603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19,099,679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(53,244)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(4,681,348)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(4,334,060)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(10,337,078)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(9,495,310)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(246,512,363)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Accretion to redemption value of redeemable convertible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resulting from beneficial conversion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feature on Series C redeemable convertible preferred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(4,681,348)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(4,334,060)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(10,337,078)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(9,495,310)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(277,875,484)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common share</w:t>
            </w:r>
          </w:p>
        </w:tc>
        <w:tc>
          <w:tcPr>
            <w:tcW w:w="1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15,319,273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12,431,395</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13,941,172</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12,350,697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3"/>
          </w:tcPr>
          <w:p>
            <w:pPr>
              <w:jc w:val="right"/>
              <w:ind w:right="9"/>
              <w:spacing w:after="0" w:line="149" w:lineRule="exact"/>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restart"/>
          </w:tcPr>
          <w:p>
            <w:pPr>
              <w:jc w:val="center"/>
              <w:ind w:right="180"/>
              <w:spacing w:after="0" w:line="136" w:lineRule="exact"/>
              <w:rPr>
                <w:sz w:val="20"/>
                <w:szCs w:val="20"/>
                <w:color w:val="auto"/>
              </w:rPr>
            </w:pPr>
            <w:r>
              <w:rPr>
                <w:rFonts w:ascii="Arial" w:cs="Arial" w:eastAsia="Arial" w:hAnsi="Arial"/>
                <w:sz w:val="14"/>
                <w:szCs w:val="14"/>
                <w:b w:val="1"/>
                <w:bCs w:val="1"/>
                <w:color w:val="auto"/>
                <w:w w:val="84"/>
              </w:rPr>
              <w:t>to June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3"/>
              </w:rPr>
              <w:t>2011</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Operating activities:</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5"/>
              </w:rPr>
              <w:t>(10,337,078)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(9,495,310)</w:t>
            </w:r>
          </w:p>
        </w:tc>
        <w:tc>
          <w:tcPr>
            <w:tcW w:w="2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8"/>
              </w:rPr>
              <w:t>(246,512,363)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860"/>
              <w:spacing w:after="0" w:line="149" w:lineRule="exact"/>
              <w:rPr>
                <w:sz w:val="20"/>
                <w:szCs w:val="20"/>
                <w:color w:val="auto"/>
              </w:rPr>
            </w:pPr>
            <w:r>
              <w:rPr>
                <w:rFonts w:ascii="Arial" w:cs="Arial" w:eastAsia="Arial" w:hAnsi="Arial"/>
                <w:sz w:val="14"/>
                <w:szCs w:val="14"/>
                <w:color w:val="auto"/>
              </w:rPr>
              <w:t>Non-cash stock-based compensation</w:t>
            </w:r>
          </w:p>
        </w:tc>
        <w:tc>
          <w:tcPr>
            <w:tcW w:w="6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333,110</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1,065,387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48,641,643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23,906</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68,239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1,927,461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premium/discount on investment securities, convertible notes and debt discount and issuance costs</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258,380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167,045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(1,593,109)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Write-off of debt related costs</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493,745</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493,745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860"/>
              <w:spacing w:after="0" w:line="149" w:lineRule="exact"/>
              <w:rPr>
                <w:sz w:val="20"/>
                <w:szCs w:val="20"/>
                <w:color w:val="auto"/>
              </w:rPr>
            </w:pPr>
            <w:r>
              <w:rPr>
                <w:rFonts w:ascii="Arial" w:cs="Arial" w:eastAsia="Arial" w:hAnsi="Arial"/>
                <w:sz w:val="14"/>
                <w:szCs w:val="14"/>
                <w:color w:val="auto"/>
              </w:rPr>
              <w:t>Impairment charge/(gain), net on investment securities and ARS put</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(56,537)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1,735,212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(Gain)/loss on disposal of assets</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2,026</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10,637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860"/>
              <w:spacing w:after="0" w:line="149" w:lineRule="exact"/>
              <w:rPr>
                <w:sz w:val="20"/>
                <w:szCs w:val="20"/>
                <w:color w:val="auto"/>
              </w:rPr>
            </w:pPr>
            <w:r>
              <w:rPr>
                <w:rFonts w:ascii="Arial" w:cs="Arial" w:eastAsia="Arial" w:hAnsi="Arial"/>
                <w:sz w:val="14"/>
                <w:szCs w:val="14"/>
                <w:color w:val="auto"/>
              </w:rPr>
              <w:t>Impairment of sublease</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1280"/>
              <w:spacing w:after="0" w:line="149" w:lineRule="exact"/>
              <w:rPr>
                <w:sz w:val="20"/>
                <w:szCs w:val="20"/>
                <w:color w:val="auto"/>
              </w:rPr>
            </w:pPr>
            <w:r>
              <w:rPr>
                <w:rFonts w:ascii="Arial" w:cs="Arial" w:eastAsia="Arial" w:hAnsi="Arial"/>
                <w:sz w:val="14"/>
                <w:szCs w:val="14"/>
                <w:color w:val="auto"/>
              </w:rPr>
              <w:t>Prepaid expenses and other assets</w:t>
            </w:r>
          </w:p>
        </w:tc>
        <w:tc>
          <w:tcPr>
            <w:tcW w:w="6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(13,117)</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(277,550)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(755,271)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Accounts payable, accrued expenses, income taxes payable and deferred rent</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(228,529)</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(875,528)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1,749,209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1280"/>
              <w:spacing w:after="0" w:line="149" w:lineRule="exact"/>
              <w:rPr>
                <w:sz w:val="20"/>
                <w:szCs w:val="20"/>
                <w:color w:val="auto"/>
              </w:rPr>
            </w:pPr>
            <w:r>
              <w:rPr>
                <w:rFonts w:ascii="Arial" w:cs="Arial" w:eastAsia="Arial" w:hAnsi="Arial"/>
                <w:sz w:val="14"/>
                <w:szCs w:val="14"/>
                <w:color w:val="auto"/>
              </w:rPr>
              <w:t>Accrued compensation and related expenses</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85,274</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(857,633)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337,888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Restricted assets</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(1,555)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5,982</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operating activities</w:t>
            </w: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w w:val="94"/>
              </w:rPr>
              <w:t>(9,384,326)</w:t>
            </w:r>
          </w:p>
        </w:tc>
        <w:tc>
          <w:tcPr>
            <w:tcW w:w="80" w:type="dxa"/>
            <w:vAlign w:val="bottom"/>
          </w:tcPr>
          <w:p>
            <w:pPr>
              <w:spacing w:after="0"/>
              <w:rPr>
                <w:sz w:val="14"/>
                <w:szCs w:val="14"/>
                <w:color w:val="auto"/>
              </w:rPr>
            </w:pPr>
          </w:p>
        </w:tc>
        <w:tc>
          <w:tcPr>
            <w:tcW w:w="8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5"/>
              </w:rPr>
              <w:t>(10,261,416)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8"/>
              </w:rPr>
              <w:t>(193,293,707)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Investing activities:</w:t>
            </w:r>
          </w:p>
        </w:tc>
        <w:tc>
          <w:tcPr>
            <w:tcW w:w="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420"/>
              <w:spacing w:after="0" w:line="149" w:lineRule="exact"/>
              <w:rPr>
                <w:sz w:val="20"/>
                <w:szCs w:val="20"/>
                <w:color w:val="auto"/>
              </w:rPr>
            </w:pPr>
            <w:r>
              <w:rPr>
                <w:rFonts w:ascii="Arial" w:cs="Arial" w:eastAsia="Arial" w:hAnsi="Arial"/>
                <w:sz w:val="14"/>
                <w:szCs w:val="14"/>
                <w:color w:val="auto"/>
              </w:rPr>
              <w:t>Cash paid for acquired business, net of acquired cash</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(226,000)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(2,829,785)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Purchases of investment securities</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(377,205,766)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420"/>
              <w:spacing w:after="0" w:line="149" w:lineRule="exact"/>
              <w:rPr>
                <w:sz w:val="20"/>
                <w:szCs w:val="20"/>
                <w:color w:val="auto"/>
              </w:rPr>
            </w:pPr>
            <w:r>
              <w:rPr>
                <w:rFonts w:ascii="Arial" w:cs="Arial" w:eastAsia="Arial" w:hAnsi="Arial"/>
                <w:sz w:val="14"/>
                <w:szCs w:val="14"/>
                <w:color w:val="auto"/>
              </w:rPr>
              <w:t>Maturities or sales of investment securities</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8"/>
              </w:rPr>
              <w:t>15,694,194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377,918,240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property and equipment</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(7,099)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(2,271,505)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0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sales of property and equipment</w:t>
            </w: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256,845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15,461,095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(4,131,971)</w:t>
            </w:r>
          </w:p>
        </w:tc>
        <w:tc>
          <w:tcPr>
            <w:tcW w:w="0" w:type="dxa"/>
            <w:vAlign w:val="bottom"/>
          </w:tcPr>
          <w:p>
            <w:pPr>
              <w:spacing w:after="0"/>
              <w:rPr>
                <w:sz w:val="1"/>
                <w:szCs w:val="1"/>
                <w:color w:val="auto"/>
              </w:rPr>
            </w:pPr>
          </w:p>
        </w:tc>
      </w:tr>
      <w:tr>
        <w:trPr>
          <w:trHeight w:val="156"/>
        </w:trPr>
        <w:tc>
          <w:tcPr>
            <w:tcW w:w="8120" w:type="dxa"/>
            <w:vAlign w:val="bottom"/>
            <w:gridSpan w:val="2"/>
          </w:tcPr>
          <w:p>
            <w:pPr>
              <w:spacing w:after="0" w:line="155" w:lineRule="exact"/>
              <w:rPr>
                <w:sz w:val="20"/>
                <w:szCs w:val="20"/>
                <w:color w:val="auto"/>
              </w:rPr>
            </w:pPr>
            <w:r>
              <w:rPr>
                <w:rFonts w:ascii="Arial" w:cs="Arial" w:eastAsia="Arial" w:hAnsi="Arial"/>
                <w:sz w:val="14"/>
                <w:szCs w:val="14"/>
                <w:color w:val="auto"/>
              </w:rPr>
              <w:t>Financing activities:</w:t>
            </w: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proceeds from the sale of common stock</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5,091,376</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74,045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126,554,898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420"/>
              <w:spacing w:after="0" w:line="149" w:lineRule="exact"/>
              <w:rPr>
                <w:sz w:val="20"/>
                <w:szCs w:val="20"/>
                <w:color w:val="auto"/>
              </w:rPr>
            </w:pPr>
            <w:r>
              <w:rPr>
                <w:rFonts w:ascii="Arial" w:cs="Arial" w:eastAsia="Arial" w:hAnsi="Arial"/>
                <w:sz w:val="14"/>
                <w:szCs w:val="14"/>
                <w:color w:val="auto"/>
              </w:rPr>
              <w:t>Net proceeds from the sale of warrants</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2,882,258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2,882,258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Sale of preferred stock, net of issuance costs</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80,216,971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420"/>
              <w:spacing w:after="0" w:line="149" w:lineRule="exact"/>
              <w:rPr>
                <w:sz w:val="20"/>
                <w:szCs w:val="20"/>
                <w:color w:val="auto"/>
              </w:rPr>
            </w:pPr>
            <w:r>
              <w:rPr>
                <w:rFonts w:ascii="Arial" w:cs="Arial" w:eastAsia="Arial" w:hAnsi="Arial"/>
                <w:sz w:val="14"/>
                <w:szCs w:val="14"/>
                <w:color w:val="auto"/>
              </w:rPr>
              <w:t>Proceeds from ARS loan</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17,605,485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Repayments of ARS loan</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5"/>
              </w:rPr>
              <w:t>(15,602,861)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(17,605,485)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420"/>
              <w:spacing w:after="0" w:line="149" w:lineRule="exact"/>
              <w:rPr>
                <w:sz w:val="20"/>
                <w:szCs w:val="20"/>
                <w:color w:val="auto"/>
              </w:rPr>
            </w:pPr>
            <w:r>
              <w:rPr>
                <w:rFonts w:ascii="Arial" w:cs="Arial" w:eastAsia="Arial" w:hAnsi="Arial"/>
                <w:sz w:val="14"/>
                <w:szCs w:val="14"/>
                <w:color w:val="auto"/>
              </w:rPr>
              <w:t>Proceeds from debt issuance, net</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8"/>
              </w:rPr>
              <w:t>14,670,000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14,670,000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Repayments of debt</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5"/>
              </w:rPr>
              <w:t>(15,000,000)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420"/>
              <w:spacing w:after="0" w:line="149" w:lineRule="exact"/>
              <w:rPr>
                <w:sz w:val="20"/>
                <w:szCs w:val="20"/>
                <w:color w:val="auto"/>
              </w:rPr>
            </w:pPr>
            <w:r>
              <w:rPr>
                <w:rFonts w:ascii="Arial" w:cs="Arial" w:eastAsia="Arial" w:hAnsi="Arial"/>
                <w:sz w:val="14"/>
                <w:szCs w:val="14"/>
                <w:color w:val="auto"/>
              </w:rPr>
              <w:t>Proceeds from conversion of convertible notes</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76,473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1,751,499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1,881,253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treasury stock, net of employee stock purchases</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4,005</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23,107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(1,227,712)</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provided by financing activities</w:t>
            </w: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w w:val="94"/>
              </w:rPr>
              <w:t>(6,945,888)</w:t>
            </w:r>
          </w:p>
        </w:tc>
        <w:tc>
          <w:tcPr>
            <w:tcW w:w="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915,790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209,977,668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(decrease) increase in cash and cash equivalents</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5"/>
              </w:rPr>
              <w:t>(16,330,214)</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6,115,469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11,921,990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1"/>
              </w:rPr>
              <w:t>28,252,204</w:t>
            </w:r>
          </w:p>
        </w:tc>
        <w:tc>
          <w:tcPr>
            <w:tcW w:w="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8"/>
              </w:rPr>
              <w:t>19,241,581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11,921,990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25,357,050</w:t>
            </w:r>
          </w:p>
        </w:tc>
        <w:tc>
          <w:tcPr>
            <w:tcW w:w="2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11,921,990</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 of non-cash financing and operating activities: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convertible preferred stock into common stock upon IPO</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43,515,677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4"/>
                <w:szCs w:val="14"/>
                <w:color w:val="auto"/>
              </w:rPr>
              <w:t>Restricted assets, cash unrestricted upon conversion of convertible notes</w:t>
            </w: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20" w:type="dxa"/>
            <w:vAlign w:val="bottom"/>
            <w:gridSpan w:val="2"/>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76,473</w:t>
            </w:r>
          </w:p>
        </w:tc>
        <w:tc>
          <w:tcPr>
            <w:tcW w:w="4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3" w:lineRule="exact"/>
              <w:rPr>
                <w:sz w:val="20"/>
                <w:szCs w:val="20"/>
                <w:color w:val="auto"/>
              </w:rPr>
            </w:pPr>
            <w:r>
              <w:rPr>
                <w:rFonts w:ascii="Arial" w:cs="Arial" w:eastAsia="Arial" w:hAnsi="Arial"/>
                <w:sz w:val="14"/>
                <w:szCs w:val="14"/>
                <w:color w:val="auto"/>
                <w:w w:val="99"/>
              </w:rPr>
              <w:t>1,750,783</w:t>
            </w:r>
          </w:p>
        </w:tc>
        <w:tc>
          <w:tcPr>
            <w:tcW w:w="240" w:type="dxa"/>
            <w:vAlign w:val="bottom"/>
          </w:tcPr>
          <w:p>
            <w:pPr>
              <w:spacing w:after="0"/>
              <w:rPr>
                <w:sz w:val="12"/>
                <w:szCs w:val="12"/>
                <w:color w:val="auto"/>
              </w:rPr>
            </w:pPr>
          </w:p>
        </w:tc>
        <w:tc>
          <w:tcPr>
            <w:tcW w:w="280" w:type="dxa"/>
            <w:vAlign w:val="bottom"/>
            <w:gridSpan w:val="2"/>
          </w:tcPr>
          <w:p>
            <w:pPr>
              <w:ind w:left="180"/>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1,881,815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Supplemental disclosures of cash flow information:</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Income taxes paid</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5,468</w:t>
            </w:r>
          </w:p>
        </w:tc>
        <w:tc>
          <w:tcPr>
            <w:tcW w:w="4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8,795</w:t>
            </w:r>
          </w:p>
        </w:tc>
        <w:tc>
          <w:tcPr>
            <w:tcW w:w="240" w:type="dxa"/>
            <w:vAlign w:val="bottom"/>
          </w:tcPr>
          <w:p>
            <w:pPr>
              <w:spacing w:after="0"/>
              <w:rPr>
                <w:sz w:val="12"/>
                <w:szCs w:val="12"/>
                <w:color w:val="auto"/>
              </w:rPr>
            </w:pPr>
          </w:p>
        </w:tc>
        <w:tc>
          <w:tcPr>
            <w:tcW w:w="2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Interest paid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1,088,926</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358,025</w:t>
            </w:r>
          </w:p>
        </w:tc>
        <w:tc>
          <w:tcPr>
            <w:tcW w:w="2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2,487,343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894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were incorporated in the state of Delaware in September 2000. We are a development stage biopharmaceutical company focused on acquiring and developing novel, small molecule therapeutics for the treatment of diseases with unmet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On June 29, 2011, we executed a joint venture agreement with Zhejiang Medicine Co., Ltd. and Beijing Make-Friend Medicine Technology Co., Ltd., which provides for the formation of a joint venture company to develop and commercialize MN-221 in China (China JV). Final approval from the Ministry of Commerce of the People’s Republic of China with respect to the joint venture has not yet been obtained.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prepared the accompanying unaudited consolidated financial statements in accordance with accounting principles generally accepted in the United States of America for interim financial information. Accordingly, they do not include all of the information and disclosures required by generally accepted accounting principles for complete financial statements. In the opinion of management, all adjustments (consisting of normal recurring adjustments) considered necessary for a fair presentation of the financial position, results of operations and cash flow for the interim period presented have been included. Operating results for the three and six months ended June 30, 2011 are not necessarily indicative of the results that may be expected for the year ending December 31, 2011 or for any other period. For further information, see the financial statements and disclosures thereto for the year ended December 31, 2010 in our Annual Report on Form 10-K as filed with the Securities and Exchange Commission on March 31, 2011.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December 13, 2006, MediciNova (Europe) Limited, a wholly-owned subsidiary of MediciNova, Inc., was incorporated under the laws of England and Wales and established for the purpose of facilitating the clinical development of the Company’s compounds for the European marketplace. MediciNova (Europe) Limited’s functional currency is the U.S. dollar, the reporting currency of its parent.</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Japanese Yen.</w:t>
      </w:r>
    </w:p>
    <w:p>
      <w:pPr>
        <w:spacing w:after="0" w:line="14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On August 17, 2009, Absolute Merger, Inc., a wholly-owned subsidiary of MediciNova, Inc. was incorporated under the General Corporation Law of the State of Delaware for the purpose of facilitating the Merger (the “Merger”) with Avigen, Inc. (“Avigen”). On December 18, 2009, Absolute Merger, Inc. merged with and into Avigen, with Avigen continuing as the surviving entity and wholly-owned subsidiary of ours.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prepared the accompanying unaudited consolidated financial statements in conformity with accounting principles generally accepted in the United States of America, which requires management to make 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and Uncertainties</w:t>
      </w:r>
    </w:p>
    <w:p>
      <w:pPr>
        <w:spacing w:after="0" w:line="90" w:lineRule="exact"/>
        <w:rPr>
          <w:sz w:val="20"/>
          <w:szCs w:val="20"/>
          <w:color w:val="auto"/>
        </w:rPr>
      </w:pPr>
    </w:p>
    <w:p>
      <w:pPr>
        <w:jc w:val="both"/>
        <w:ind w:right="420" w:firstLine="456"/>
        <w:spacing w:after="0" w:line="335" w:lineRule="auto"/>
        <w:rPr>
          <w:sz w:val="20"/>
          <w:szCs w:val="20"/>
          <w:color w:val="auto"/>
        </w:rPr>
      </w:pPr>
      <w:r>
        <w:rPr>
          <w:rFonts w:ascii="Arial" w:cs="Arial" w:eastAsia="Arial" w:hAnsi="Arial"/>
          <w:sz w:val="15"/>
          <w:szCs w:val="15"/>
          <w:color w:val="auto"/>
        </w:rPr>
        <w:t>We maintain cash balances at various financial institutions and such balances commonly exceed the $250,000 insured amount by the Federal Deposit Insurance Corporation. We also maintain money market funds at various financial institutions which are not federally insured. We have not experienced any losses in such accounts and management believes that we are not exposed to any significant credit risk with respect to such cash and cash equivalents.</w:t>
      </w:r>
    </w:p>
    <w:p>
      <w:pPr>
        <w:spacing w:after="0" w:line="8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have sustained operating losses since inception and expect such losses to continue over the next several years. We believe our existing cash and cash equivalents at June 30, 2011, will be sufficient through June 30, 2012, to fund our forecasted research and development expenses and our fixed contractual obligations; however, we will be required to implement another reduction-in-force unless we complete one or more additional financing transactions and/or corporate partnerships by the first quarter of 2012. Although there can be no assurances given, should we successfully raise cash, we would then re-assess the necessity to further down-size the company. On the other hand, if adequate funds are not available, we will be required to delay, reduce the scope of or terminate one or more of our product development programs and relinquish some or all rights to product candidates, all of which would raise substantial doubt as to our ability to continue as a going concern. As of June 30, 2011, the accompanying consolidated financial statements have been prepared assuming that we will continue as a going concern.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Avigen Transaction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December 18, 2009, Absolute Merger, Inc., a wholly-owned subsidiary of ours, merged with and into Avigen, with Avigen continuing as the surviving entity and wholly-owned subsidiary of ours. Under the terms of the merger, we issued $29.4 million in secured convertible notes that matured on June 18, 2011, the 18-month anniversary of the closing of the merger. Holders of these convertible notes could convert their notes into our common stock at an initial conversion price of $6.80 per share through May 31, 2011. At the maturity of the convertible notes, the remaining holders were paid out the same per share amount as the Avigen shareholders that elected to receive cash at the merger closing, plus accrued interest, approximately $1.19 per share. As part of the merger consideration, the former Avigen shareholders were also entitled to receive approximately $0.04 per share, which was paid in two increments in 2010, and rights under contingent payment rights issued as part of the merger consideration. The amount paid in the two installments was net of a reconciliation of Avigen expenses and a letter of credit after expiry. In fiscal year 2010, under the first and second installments, we paid $140,119 and $73,449, respectively, to Avigen shareholders who elected payment in cash and we issued an additional principal amount of $685,917 and $359,551, respectively, in convertible notes to Avigen shareholders who elected payment in convertible notes in lieu of a cash payment. The primary reasons for the Avigen acquisition were to combine the ibudilast development programs each company was respectively pursuing, to utilize the preclinical and clinical data for AV411 as support for the development pathway of MN-166, resulting in cost savings for us, and to capture a potential financing opportunity given Avigen’s cash balance prior to the Merger.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the December 31, 2010 carrying value of the acquisition related assets and liabilities with their respective balances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3"/>
              </w:rPr>
              <w:t>Carrying</w:t>
            </w:r>
          </w:p>
        </w:tc>
        <w:tc>
          <w:tcPr>
            <w:tcW w:w="12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8"/>
              </w:rPr>
              <w:t>Value of Notes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5"/>
              </w:rPr>
              <w:t>Interest Expense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1052"/>
              <w:spacing w:after="0"/>
              <w:rPr>
                <w:sz w:val="20"/>
                <w:szCs w:val="20"/>
                <w:color w:val="auto"/>
              </w:rPr>
            </w:pPr>
            <w:r>
              <w:rPr>
                <w:rFonts w:ascii="Arial" w:cs="Arial" w:eastAsia="Arial" w:hAnsi="Arial"/>
                <w:sz w:val="14"/>
                <w:szCs w:val="14"/>
                <w:b w:val="1"/>
                <w:bCs w:val="1"/>
                <w:color w:val="auto"/>
              </w:rPr>
              <w:t>Other</w:t>
            </w: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6"/>
              </w:rPr>
              <w:t>Value at</w:t>
            </w:r>
          </w:p>
        </w:tc>
        <w:tc>
          <w:tcPr>
            <w:tcW w:w="12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2"/>
              </w:rPr>
              <w:t>Converted</w:t>
            </w:r>
          </w:p>
        </w:tc>
        <w:tc>
          <w:tcPr>
            <w:tcW w:w="220" w:type="dxa"/>
            <w:vAlign w:val="bottom"/>
          </w:tcPr>
          <w:p>
            <w:pPr>
              <w:spacing w:after="0"/>
              <w:rPr>
                <w:sz w:val="12"/>
                <w:szCs w:val="12"/>
                <w:color w:val="auto"/>
              </w:rPr>
            </w:pPr>
          </w:p>
        </w:tc>
        <w:tc>
          <w:tcPr>
            <w:tcW w:w="12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2"/>
              </w:rPr>
              <w:t>Interest Earned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1"/>
              </w:rPr>
              <w:t>(Accretion)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right"/>
              <w:ind w:right="992"/>
              <w:spacing w:after="0" w:line="149" w:lineRule="exact"/>
              <w:rPr>
                <w:sz w:val="20"/>
                <w:szCs w:val="20"/>
                <w:color w:val="auto"/>
              </w:rPr>
            </w:pPr>
            <w:r>
              <w:rPr>
                <w:rFonts w:ascii="Arial" w:cs="Arial" w:eastAsia="Arial" w:hAnsi="Arial"/>
                <w:sz w:val="14"/>
                <w:szCs w:val="14"/>
                <w:b w:val="1"/>
                <w:bCs w:val="1"/>
                <w:color w:val="auto"/>
                <w:w w:val="98"/>
              </w:rPr>
              <w:t>Activity</w:t>
            </w:r>
          </w:p>
        </w:tc>
        <w:tc>
          <w:tcPr>
            <w:tcW w:w="6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Value at</w:t>
            </w:r>
          </w:p>
        </w:tc>
        <w:tc>
          <w:tcPr>
            <w:tcW w:w="0" w:type="dxa"/>
            <w:vAlign w:val="bottom"/>
          </w:tcPr>
          <w:p>
            <w:pPr>
              <w:spacing w:after="0"/>
              <w:rPr>
                <w:sz w:val="1"/>
                <w:szCs w:val="1"/>
                <w:color w:val="auto"/>
              </w:rPr>
            </w:pPr>
          </w:p>
        </w:tc>
      </w:tr>
      <w:tr>
        <w:trPr>
          <w:trHeight w:val="161"/>
        </w:trPr>
        <w:tc>
          <w:tcPr>
            <w:tcW w:w="2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b w:val="1"/>
                <w:bCs w:val="1"/>
                <w:color w:val="auto"/>
                <w:w w:val="95"/>
              </w:rPr>
              <w:t>12/31/10</w:t>
            </w:r>
          </w:p>
        </w:tc>
        <w:tc>
          <w:tcPr>
            <w:tcW w:w="500" w:type="dxa"/>
            <w:vAlign w:val="bottom"/>
          </w:tcPr>
          <w:p>
            <w:pPr>
              <w:spacing w:after="0"/>
              <w:rPr>
                <w:sz w:val="14"/>
                <w:szCs w:val="14"/>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5"/>
              </w:rPr>
              <w:t>1/1/11-6/30/11(9)</w:t>
            </w:r>
          </w:p>
        </w:tc>
        <w:tc>
          <w:tcPr>
            <w:tcW w:w="1500" w:type="dxa"/>
            <w:vAlign w:val="bottom"/>
            <w:gridSpan w:val="4"/>
          </w:tcPr>
          <w:p>
            <w:pPr>
              <w:ind w:left="220"/>
              <w:spacing w:after="0"/>
              <w:rPr>
                <w:sz w:val="20"/>
                <w:szCs w:val="20"/>
                <w:color w:val="auto"/>
              </w:rPr>
            </w:pPr>
            <w:r>
              <w:rPr>
                <w:rFonts w:ascii="Arial" w:cs="Arial" w:eastAsia="Arial" w:hAnsi="Arial"/>
                <w:sz w:val="14"/>
                <w:szCs w:val="14"/>
                <w:b w:val="1"/>
                <w:bCs w:val="1"/>
                <w:color w:val="auto"/>
              </w:rPr>
              <w:t>1/1/11-6/30/11(10)</w:t>
            </w:r>
          </w:p>
        </w:tc>
        <w:tc>
          <w:tcPr>
            <w:tcW w:w="1240" w:type="dxa"/>
            <w:vAlign w:val="bottom"/>
            <w:gridSpan w:val="3"/>
          </w:tcPr>
          <w:p>
            <w:pPr>
              <w:ind w:left="240"/>
              <w:spacing w:after="0"/>
              <w:rPr>
                <w:sz w:val="20"/>
                <w:szCs w:val="20"/>
                <w:color w:val="auto"/>
              </w:rPr>
            </w:pPr>
            <w:r>
              <w:rPr>
                <w:rFonts w:ascii="Arial" w:cs="Arial" w:eastAsia="Arial" w:hAnsi="Arial"/>
                <w:sz w:val="14"/>
                <w:szCs w:val="14"/>
                <w:b w:val="1"/>
                <w:bCs w:val="1"/>
                <w:color w:val="auto"/>
                <w:w w:val="85"/>
              </w:rPr>
              <w:t>1/1/11-6/30/11(11)</w:t>
            </w:r>
          </w:p>
        </w:tc>
        <w:tc>
          <w:tcPr>
            <w:tcW w:w="28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1/1/11-6/30/11</w:t>
            </w:r>
          </w:p>
        </w:tc>
        <w:tc>
          <w:tcPr>
            <w:tcW w:w="9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6/30/2011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Restricted cash(1)</w:t>
            </w:r>
          </w:p>
        </w:tc>
        <w:tc>
          <w:tcPr>
            <w:tcW w:w="8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28,688,892</w:t>
            </w:r>
          </w:p>
        </w:tc>
        <w:tc>
          <w:tcPr>
            <w:tcW w:w="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(76,625)</w:t>
            </w:r>
          </w:p>
        </w:tc>
        <w:tc>
          <w:tcPr>
            <w:tcW w:w="2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1,238</w:t>
            </w: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2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(28,613,505</w:t>
            </w:r>
          </w:p>
        </w:tc>
        <w:tc>
          <w:tcPr>
            <w:tcW w:w="900" w:type="dxa"/>
            <w:vAlign w:val="bottom"/>
            <w:tcBorders>
              <w:top w:val="single" w:sz="8" w:color="CCEEFF"/>
            </w:tcBorders>
            <w:shd w:val="clear" w:color="auto" w:fill="CCEEFF"/>
          </w:tcPr>
          <w:p>
            <w:pPr>
              <w:jc w:val="right"/>
              <w:ind w:right="392"/>
              <w:spacing w:after="0" w:line="142" w:lineRule="exact"/>
              <w:rPr>
                <w:sz w:val="20"/>
                <w:szCs w:val="20"/>
                <w:color w:val="auto"/>
              </w:rPr>
            </w:pPr>
            <w:r>
              <w:rPr>
                <w:rFonts w:ascii="Arial" w:cs="Arial" w:eastAsia="Arial" w:hAnsi="Arial"/>
                <w:sz w:val="14"/>
                <w:szCs w:val="14"/>
                <w:color w:val="auto"/>
                <w:w w:val="89"/>
              </w:rPr>
              <w:t>)(3)(12)</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Arial" w:cs="Arial" w:eastAsia="Arial" w:hAnsi="Arial"/>
                <w:sz w:val="14"/>
                <w:szCs w:val="14"/>
                <w:color w:val="auto"/>
              </w:rPr>
              <w:t>Restricted investment-MTP(2)</w:t>
            </w: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80" w:type="dxa"/>
            <w:vAlign w:val="bottom"/>
            <w:vMerge w:val="continue"/>
          </w:tcPr>
          <w:p>
            <w:pPr>
              <w:spacing w:after="0"/>
              <w:rPr>
                <w:sz w:val="12"/>
                <w:szCs w:val="12"/>
                <w:color w:val="auto"/>
              </w:rPr>
            </w:pPr>
          </w:p>
        </w:tc>
        <w:tc>
          <w:tcPr>
            <w:tcW w:w="8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623,751</w:t>
            </w:r>
          </w:p>
        </w:tc>
        <w:tc>
          <w:tcPr>
            <w:tcW w:w="50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0</w:t>
            </w:r>
          </w:p>
        </w:tc>
        <w:tc>
          <w:tcPr>
            <w:tcW w:w="580" w:type="dxa"/>
            <w:vAlign w:val="bottom"/>
            <w:gridSpan w:val="2"/>
          </w:tcPr>
          <w:p>
            <w:pPr>
              <w:ind w:left="220"/>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10</w:t>
            </w:r>
          </w:p>
        </w:tc>
        <w:tc>
          <w:tcPr>
            <w:tcW w:w="36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0</w:t>
            </w:r>
          </w:p>
        </w:tc>
        <w:tc>
          <w:tcPr>
            <w:tcW w:w="3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32"/>
              <w:spacing w:after="0" w:line="143" w:lineRule="exact"/>
              <w:rPr>
                <w:sz w:val="20"/>
                <w:szCs w:val="20"/>
                <w:color w:val="auto"/>
              </w:rPr>
            </w:pPr>
            <w:r>
              <w:rPr>
                <w:rFonts w:ascii="Arial" w:cs="Arial" w:eastAsia="Arial" w:hAnsi="Arial"/>
                <w:sz w:val="14"/>
                <w:szCs w:val="14"/>
                <w:color w:val="auto"/>
              </w:rPr>
              <w:t>(623,761)(2)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Restricted letter of credit(3)</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47</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0</w:t>
            </w:r>
          </w:p>
        </w:tc>
        <w:tc>
          <w:tcPr>
            <w:tcW w:w="58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0</w:t>
            </w:r>
          </w:p>
        </w:tc>
        <w:tc>
          <w:tcPr>
            <w:tcW w:w="3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0</w:t>
            </w:r>
          </w:p>
        </w:tc>
        <w:tc>
          <w:tcPr>
            <w:tcW w:w="3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32"/>
              <w:spacing w:after="0" w:line="143" w:lineRule="exact"/>
              <w:rPr>
                <w:sz w:val="20"/>
                <w:szCs w:val="20"/>
                <w:color w:val="auto"/>
              </w:rPr>
            </w:pPr>
            <w:r>
              <w:rPr>
                <w:rFonts w:ascii="Arial" w:cs="Arial" w:eastAsia="Arial" w:hAnsi="Arial"/>
                <w:sz w:val="14"/>
                <w:szCs w:val="14"/>
                <w:color w:val="auto"/>
              </w:rPr>
              <w:t>(47)(3)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Arial" w:cs="Arial" w:eastAsia="Arial" w:hAnsi="Arial"/>
                <w:sz w:val="14"/>
                <w:szCs w:val="14"/>
                <w:color w:val="auto"/>
              </w:rPr>
              <w:t>IPR&amp;D(4)</w:t>
            </w: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80" w:type="dxa"/>
            <w:vAlign w:val="bottom"/>
            <w:vMerge w:val="continue"/>
          </w:tcPr>
          <w:p>
            <w:pPr>
              <w:spacing w:after="0"/>
              <w:rPr>
                <w:sz w:val="12"/>
                <w:szCs w:val="12"/>
                <w:color w:val="auto"/>
              </w:rPr>
            </w:pPr>
          </w:p>
        </w:tc>
        <w:tc>
          <w:tcPr>
            <w:tcW w:w="8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4,800,000</w:t>
            </w:r>
          </w:p>
        </w:tc>
        <w:tc>
          <w:tcPr>
            <w:tcW w:w="50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0</w:t>
            </w:r>
          </w:p>
        </w:tc>
        <w:tc>
          <w:tcPr>
            <w:tcW w:w="580" w:type="dxa"/>
            <w:vAlign w:val="bottom"/>
            <w:gridSpan w:val="2"/>
          </w:tcPr>
          <w:p>
            <w:pPr>
              <w:ind w:left="220"/>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0</w:t>
            </w:r>
          </w:p>
        </w:tc>
        <w:tc>
          <w:tcPr>
            <w:tcW w:w="36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0</w:t>
            </w:r>
          </w:p>
        </w:tc>
        <w:tc>
          <w:tcPr>
            <w:tcW w:w="3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0</w:t>
            </w:r>
          </w:p>
        </w:tc>
        <w:tc>
          <w:tcPr>
            <w:tcW w:w="9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w w:val="93"/>
              </w:rPr>
              <w:t>4,800,000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Goodwill(5)</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9,600,241</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0</w:t>
            </w:r>
          </w:p>
        </w:tc>
        <w:tc>
          <w:tcPr>
            <w:tcW w:w="58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0</w:t>
            </w:r>
          </w:p>
        </w:tc>
        <w:tc>
          <w:tcPr>
            <w:tcW w:w="3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0</w:t>
            </w:r>
          </w:p>
        </w:tc>
        <w:tc>
          <w:tcPr>
            <w:tcW w:w="3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w:t>
            </w: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w w:val="93"/>
              </w:rPr>
              <w:t>9,600,241</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Arial" w:cs="Arial" w:eastAsia="Arial" w:hAnsi="Arial"/>
                <w:sz w:val="14"/>
                <w:szCs w:val="14"/>
                <w:color w:val="auto"/>
              </w:rPr>
              <w:t>Escrow holdback(6)</w:t>
            </w: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80" w:type="dxa"/>
            <w:vAlign w:val="bottom"/>
            <w:vMerge w:val="continue"/>
          </w:tcPr>
          <w:p>
            <w:pPr>
              <w:spacing w:after="0"/>
              <w:rPr>
                <w:sz w:val="12"/>
                <w:szCs w:val="12"/>
                <w:color w:val="auto"/>
              </w:rPr>
            </w:pPr>
          </w:p>
        </w:tc>
        <w:tc>
          <w:tcPr>
            <w:tcW w:w="8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60"/>
              <w:spacing w:after="0" w:line="143" w:lineRule="exact"/>
              <w:rPr>
                <w:sz w:val="20"/>
                <w:szCs w:val="20"/>
                <w:color w:val="auto"/>
              </w:rPr>
            </w:pPr>
            <w:r>
              <w:rPr>
                <w:rFonts w:ascii="Arial" w:cs="Arial" w:eastAsia="Arial" w:hAnsi="Arial"/>
                <w:sz w:val="14"/>
                <w:szCs w:val="14"/>
                <w:color w:val="auto"/>
              </w:rPr>
              <w:t>(47)</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0</w:t>
            </w:r>
          </w:p>
        </w:tc>
        <w:tc>
          <w:tcPr>
            <w:tcW w:w="580" w:type="dxa"/>
            <w:vAlign w:val="bottom"/>
            <w:gridSpan w:val="2"/>
          </w:tcPr>
          <w:p>
            <w:pPr>
              <w:ind w:left="220"/>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0</w:t>
            </w:r>
          </w:p>
        </w:tc>
        <w:tc>
          <w:tcPr>
            <w:tcW w:w="36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0</w:t>
            </w:r>
          </w:p>
        </w:tc>
        <w:tc>
          <w:tcPr>
            <w:tcW w:w="3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592"/>
              <w:spacing w:after="0" w:line="143" w:lineRule="exact"/>
              <w:rPr>
                <w:sz w:val="20"/>
                <w:szCs w:val="20"/>
                <w:color w:val="auto"/>
              </w:rPr>
            </w:pPr>
            <w:r>
              <w:rPr>
                <w:rFonts w:ascii="Arial" w:cs="Arial" w:eastAsia="Arial" w:hAnsi="Arial"/>
                <w:sz w:val="14"/>
                <w:szCs w:val="14"/>
                <w:color w:val="auto"/>
              </w:rPr>
              <w:t>47(12)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MTP liability(2)</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460"/>
              <w:spacing w:after="0" w:line="143" w:lineRule="exact"/>
              <w:rPr>
                <w:sz w:val="20"/>
                <w:szCs w:val="20"/>
                <w:color w:val="auto"/>
              </w:rPr>
            </w:pPr>
            <w:r>
              <w:rPr>
                <w:rFonts w:ascii="Arial" w:cs="Arial" w:eastAsia="Arial" w:hAnsi="Arial"/>
                <w:sz w:val="14"/>
                <w:szCs w:val="14"/>
                <w:color w:val="auto"/>
              </w:rPr>
              <w:t>(623,751)</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0</w:t>
            </w:r>
          </w:p>
        </w:tc>
        <w:tc>
          <w:tcPr>
            <w:tcW w:w="58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(10)</w:t>
            </w:r>
          </w:p>
        </w:tc>
        <w:tc>
          <w:tcPr>
            <w:tcW w:w="3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0</w:t>
            </w:r>
          </w:p>
        </w:tc>
        <w:tc>
          <w:tcPr>
            <w:tcW w:w="3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72"/>
              <w:spacing w:after="0" w:line="143" w:lineRule="exact"/>
              <w:rPr>
                <w:sz w:val="20"/>
                <w:szCs w:val="20"/>
                <w:color w:val="auto"/>
              </w:rPr>
            </w:pPr>
            <w:r>
              <w:rPr>
                <w:rFonts w:ascii="Arial" w:cs="Arial" w:eastAsia="Arial" w:hAnsi="Arial"/>
                <w:sz w:val="14"/>
                <w:szCs w:val="14"/>
                <w:color w:val="auto"/>
              </w:rPr>
              <w:t>623,761(2)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Arial" w:cs="Arial" w:eastAsia="Arial" w:hAnsi="Arial"/>
                <w:sz w:val="14"/>
                <w:szCs w:val="14"/>
                <w:color w:val="auto"/>
              </w:rPr>
              <w:t>Deferred tax liability(7)</w:t>
            </w: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80" w:type="dxa"/>
            <w:vAlign w:val="bottom"/>
            <w:vMerge w:val="continue"/>
          </w:tcPr>
          <w:p>
            <w:pPr>
              <w:spacing w:after="0"/>
              <w:rPr>
                <w:sz w:val="12"/>
                <w:szCs w:val="12"/>
                <w:color w:val="auto"/>
              </w:rPr>
            </w:pPr>
          </w:p>
        </w:tc>
        <w:tc>
          <w:tcPr>
            <w:tcW w:w="8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60"/>
              <w:spacing w:after="0" w:line="143" w:lineRule="exact"/>
              <w:rPr>
                <w:sz w:val="20"/>
                <w:szCs w:val="20"/>
                <w:color w:val="auto"/>
              </w:rPr>
            </w:pPr>
            <w:r>
              <w:rPr>
                <w:rFonts w:ascii="Arial" w:cs="Arial" w:eastAsia="Arial" w:hAnsi="Arial"/>
                <w:sz w:val="14"/>
                <w:szCs w:val="14"/>
                <w:color w:val="auto"/>
                <w:w w:val="94"/>
              </w:rPr>
              <w:t>(1,956,000)</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0</w:t>
            </w:r>
          </w:p>
        </w:tc>
        <w:tc>
          <w:tcPr>
            <w:tcW w:w="580" w:type="dxa"/>
            <w:vAlign w:val="bottom"/>
            <w:gridSpan w:val="2"/>
          </w:tcPr>
          <w:p>
            <w:pPr>
              <w:ind w:left="220"/>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0</w:t>
            </w:r>
          </w:p>
        </w:tc>
        <w:tc>
          <w:tcPr>
            <w:tcW w:w="36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0</w:t>
            </w:r>
          </w:p>
        </w:tc>
        <w:tc>
          <w:tcPr>
            <w:tcW w:w="3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0</w:t>
            </w:r>
          </w:p>
        </w:tc>
        <w:tc>
          <w:tcPr>
            <w:tcW w:w="9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w w:val="86"/>
              </w:rPr>
              <w:t>(1,956,000)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Convertible notes(8)</w:t>
            </w:r>
          </w:p>
        </w:tc>
        <w:tc>
          <w:tcPr>
            <w:tcW w:w="8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u w:val="single" w:color="auto"/>
                <w:color w:val="auto"/>
              </w:rPr>
              <w:t>$</w:t>
            </w:r>
          </w:p>
        </w:tc>
        <w:tc>
          <w:tcPr>
            <w:tcW w:w="1160" w:type="dxa"/>
            <w:vAlign w:val="bottom"/>
            <w:gridSpan w:val="2"/>
            <w:shd w:val="clear" w:color="auto" w:fill="CCEEFF"/>
          </w:tcPr>
          <w:p>
            <w:pPr>
              <w:jc w:val="right"/>
              <w:ind w:right="460"/>
              <w:spacing w:after="0" w:line="143" w:lineRule="exact"/>
              <w:rPr>
                <w:sz w:val="20"/>
                <w:szCs w:val="20"/>
                <w:color w:val="auto"/>
              </w:rPr>
            </w:pPr>
            <w:r>
              <w:rPr>
                <w:rFonts w:ascii="Arial" w:cs="Arial" w:eastAsia="Arial" w:hAnsi="Arial"/>
                <w:sz w:val="14"/>
                <w:szCs w:val="14"/>
                <w:color w:val="auto"/>
                <w:w w:val="85"/>
              </w:rPr>
              <w:t>(28,626,296)</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76,625</w:t>
            </w:r>
          </w:p>
        </w:tc>
        <w:tc>
          <w:tcPr>
            <w:tcW w:w="58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(1,238)</w:t>
            </w:r>
          </w:p>
        </w:tc>
        <w:tc>
          <w:tcPr>
            <w:tcW w:w="3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(62,614)</w:t>
            </w:r>
          </w:p>
        </w:tc>
        <w:tc>
          <w:tcPr>
            <w:tcW w:w="3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592"/>
              <w:spacing w:after="0" w:line="143" w:lineRule="exact"/>
              <w:rPr>
                <w:sz w:val="20"/>
                <w:szCs w:val="20"/>
                <w:color w:val="auto"/>
              </w:rPr>
            </w:pPr>
            <w:r>
              <w:rPr>
                <w:rFonts w:ascii="Arial" w:cs="Arial" w:eastAsia="Arial" w:hAnsi="Arial"/>
                <w:sz w:val="14"/>
                <w:szCs w:val="14"/>
                <w:color w:val="auto"/>
                <w:w w:val="94"/>
              </w:rPr>
              <w:t>28,613,523(12)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240" w:hanging="332"/>
        <w:spacing w:after="0" w:line="230"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Restricted cash consisted of cash held in a separate trust account, managed by a third-party, in connection with the Avigen merger consideration. All remaining restricted cash was paid to the remaining noteholders upon expiry of the convertible notes on June 18, 2011.</w:t>
      </w:r>
    </w:p>
    <w:p>
      <w:pPr>
        <w:ind w:left="340" w:right="2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Restricted investment consisted of cash held in an irrevocable grantor trust, or rabbi trust, which was intended to fund benefit obligations under the Avigen, Inc. Management Transition Plan, or MTP. These funds represented reserves for benefits eligible to terminated employees as defined by the MTP. Accordingly, we booked the associated MTP liability. During the first quarter of 2011, the Avigen Representative notified us of his termination of the MTP due to the fulfillment of its obligations. Upon termination of the trust, the remaining funds in the account were paid to the former Avigen stockholders on a pro rata basis, which relieved us of the MTP liability.</w:t>
      </w:r>
    </w:p>
    <w:p>
      <w:pPr>
        <w:spacing w:after="0" w:line="1" w:lineRule="exact"/>
        <w:rPr>
          <w:rFonts w:ascii="Arial" w:cs="Arial" w:eastAsia="Arial" w:hAnsi="Arial"/>
          <w:sz w:val="14"/>
          <w:szCs w:val="14"/>
          <w:color w:val="auto"/>
        </w:rPr>
      </w:pPr>
    </w:p>
    <w:p>
      <w:pPr>
        <w:ind w:left="340" w:right="6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Restricted letter of credit consisted of cash provided as a credit guarantee and security for an irrevocable letter of credit related to Avigen’s original lease of office space which expired November 30, 2010. The $47 remaining in the account related to December 2010 interest which posted after the funds were transferred to the escrow holdback account for distribution. These funds were transferred to the restricted cash account in January 2011.</w:t>
      </w:r>
    </w:p>
    <w:p>
      <w:pPr>
        <w:ind w:left="340" w:right="12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In-process research and development (“IPR&amp;D”) represents an estimate of fair value of in-process technology related to Avigen’s AV411 program, which at the merger closing date, had not received U.S. Food and Drug Administration (“FDA”) approval for any indication. As such, pursuant to ASC 805, amortization of the IPR&amp;D will not occur until it reaches market feasibility. The annual test date for IPR&amp;D impairment is December 31.</w:t>
      </w:r>
    </w:p>
    <w:p>
      <w:pPr>
        <w:ind w:left="340" w:right="100" w:hanging="332"/>
        <w:spacing w:after="0" w:line="258"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included in the purchase price of Avigen the fair value of the aggregate merger consideration. We recorded $9.6 million of goodwill related to the excess purchase price over the assigned values of the net assets acquired. The goodwill was primarily a direct result of the fair value of the conversion feature of the convertible notes. The annual test date for goodwill impairment is December 31.</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At the closing of the merger, we and Avigen funded $1,500,000 in a combination of cash and a letter of credit in a separate escrow account, pursuant to an escrow agreement, to cover the “escrow holdback” liability. During fiscal year 2010, pursuant to the terms of the escrow agreement, the escrow holdback liability was released upon distribution of the escrow funds to the Avigen shareholders on a pro rate basis, in either cash or convertible notes, depending on the election made at the acquisition date. The remaining liability was relieved upon distribution of the restricted cash in June 2011, following the expiry of the convertible notes.</w:t>
      </w:r>
    </w:p>
    <w:p>
      <w:pPr>
        <w:spacing w:after="0" w:line="1"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deferred tax liability represents the book to tax basis difference related to IPR&amp;D acquired through the acquisition of Avigen.</w:t>
      </w:r>
    </w:p>
    <w:p>
      <w:pPr>
        <w:ind w:left="340" w:right="6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At the closing of the merger, we and American Stock Transfer &amp; Trust Company, LLC, as trustee, entered into an indenture governing the terms of the convertible notes. Under the terms of a separate trust agreement, $29.4 million was deposited with a trust agent for the benefit of the holders and us. At the election of the respective convertible note holders, the convertible notes could be converted into our common stock at the conversion price of $6.80 per share. Upon maturity of the convertible notes on June 18, 2011, the 18-month anniversary of the closing of the merger, we used the funds remaining in the separate trust to pay the principal amount of, and accrued interest on, the remaining convertible notes. For the three and six months ended June 30, 2011, $530 and $1,238, respectively, was the amount of interest capitalized on the convertible notes.</w:t>
      </w:r>
    </w:p>
    <w:p>
      <w:pPr>
        <w:spacing w:after="0" w:line="1" w:lineRule="exact"/>
        <w:rPr>
          <w:rFonts w:ascii="Arial" w:cs="Arial" w:eastAsia="Arial" w:hAnsi="Arial"/>
          <w:sz w:val="14"/>
          <w:szCs w:val="14"/>
          <w:color w:val="auto"/>
        </w:rPr>
      </w:pPr>
    </w:p>
    <w:p>
      <w:pPr>
        <w:ind w:left="340" w:right="500" w:hanging="332"/>
        <w:spacing w:after="0" w:line="258"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During the three and six months ended June 30, 2011, 5,857 shares of our common stock and 11,246 shares of our commons stock, respectively, were issued in connection with the conversion of convertible notes to our common stock at a conversion price of $6.80. $76,625 includes fractional shares being paid out of restricted cash. The proceeds received as a result of the convertible notes conversions into our common stock were deposited into a money market account and recorded as cash and cash equivalents in our consolidated balance sheet at June 30, 2011.</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Interest earned on the restricted cash, investment and letter of credit balances is added to the principal of the respective liability accounts.</w:t>
      </w:r>
    </w:p>
    <w:p>
      <w:pPr>
        <w:ind w:left="340" w:right="2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At December 31, 2009, the fair value of the convertible notes was less than their face value. As a result, over the term of the convertible notes (18 months) we accreted the discount on the convertible notes with the offset being charged to interest expense.</w:t>
      </w: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Upon expiry of the convertible notes on June 18, 2011, the funds held in restricted cash were paid to the remaining noteholders which relieved us of our convertible notes liability.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Statements—Note 2, Avigen Transaction, in our Annual Report on Form 10-K for further information on the Avigen merger.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Measurements—Other Than Intangibles and Goodwill</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defined in the authoritative guidance for fair value measurements and disclosures, fair value is based on the price that would be received to sell an asset or would be paid to transfer a liability in an orderly transaction between market participants at the measurement date. To increase the comparability and consistency of fair value measurements, ASC 820 prescribes a fair value hierarchy that prioritizes observable and unobservable inputs used to measure fair value into three broad levels which are described below:</w:t>
      </w:r>
    </w:p>
    <w:p>
      <w:pPr>
        <w:spacing w:after="0" w:line="184"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quoted prices (unadjusted) in active markets for identical assets or liabilities at the measurement date.</w:t>
      </w:r>
    </w:p>
    <w:p>
      <w:pPr>
        <w:spacing w:after="0" w:line="117" w:lineRule="exact"/>
        <w:rPr>
          <w:sz w:val="20"/>
          <w:szCs w:val="20"/>
          <w:color w:val="auto"/>
        </w:rPr>
      </w:pPr>
    </w:p>
    <w:p>
      <w:pPr>
        <w:ind w:left="1620" w:right="620" w:hanging="1160"/>
        <w:spacing w:after="0" w:line="268"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w:t>
      </w:r>
    </w:p>
    <w:p>
      <w:pPr>
        <w:spacing w:after="0" w:line="78" w:lineRule="exact"/>
        <w:rPr>
          <w:sz w:val="20"/>
          <w:szCs w:val="20"/>
          <w:color w:val="auto"/>
        </w:rPr>
      </w:pPr>
    </w:p>
    <w:p>
      <w:pPr>
        <w:ind w:left="1620" w:right="540" w:hanging="1160"/>
        <w:spacing w:after="0" w:line="370"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are unobservable due to little or no market data availability and inputs are usually developed by management or a third-party which reflect those inputs that a market participant would use. The fair value hierarchy gives the lowest priority to Level 3 inputs.</w:t>
      </w:r>
    </w:p>
    <w:p>
      <w:pPr>
        <w:spacing w:after="0" w:line="6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At June 30, 2011, cash and cash equivalents (instruments with maturities of three months or less at the date of purchase) were $11.9 million, which were invested in money market accounts and money market funds. At June 30, 2011, we no longer held any restricted cash. We measure our cash equivalents on a recurring basis and the fair value of these current assets is based on Level 1 criteria in which their carrying amount is a reasonable estimate of their fair value based on daily quoted market prices.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2011, we no longer held any financial instruments measured at fair value on a non-recurring basis.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On May 10, 2010, we entered into a loan and security agreement, or the Loan Agreement, with Oxford Finance Corporation, or Oxford, under which we borrowed $15.0 million. The stated interest rate on the loan was 12.87 percent. The effective interest rate on the debt financing was calculated to be 18.14 percent.</w:t>
      </w:r>
    </w:p>
    <w:p>
      <w:pPr>
        <w:spacing w:after="0" w:line="6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obligations under the Loan Agreement were secured by a first priority security interest in substantially all of our assets, other than our intellectual property. We also had agreed not to pledge or otherwise encumber our intellectual property assets. Our obligations under the Loan Agreement are guaranteed on a senior secured basis by Avigen.</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the Loan Agreement, we issued to Oxford a warrant to purchase up to 198,020 shares of our common stock. This warrant is exercisable, immediately, in whole or in part, has a per share exercise price of $6.06 and may be exercised on a cashless basis. The warrant will terminate on the earlier of May 10, 2017 or the closing date of a merger or consolidation transaction in which we are not the surviving entity. In addition, the warrant and debt instrument are immediately separable and were issued separately; thus, we accounted for the warrant as a component of stockholders’ equity as the agreement requires settlement in shares and under no provision of the agreement are we required to settle the warrant in cash.</w:t>
      </w:r>
    </w:p>
    <w:p>
      <w:pPr>
        <w:spacing w:after="0" w:line="1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On March 31, 2011, we executed a pay-off letter between us and Oxford, in which we negotiated the repayment of the loan in-full on April 1, 2011 and Oxford agreed to waive the early payment penalty of approximately $437,000.</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had accounted for the interest on the debt using the effective interest method wherein we treated the debt issuance costs paid directly to the lender (financing fees) and the relative fair value of the warrants issued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lender as a discount on the debt (or a contra liability) and we treated the debt issuance costs paid to third parties (primarily legal fees) as an other asset in our consolidated balance sheet. The amortization of the debt discount was recorded as interest expense and the amortization of the debt issuance costs paid to third parties was recorded as other expense in our consolidated statement of operations. On April 1, 2011, pursuant to a payoff agreement between us and Oxford, we paid Oxford approximately $15.2 million and paid the loan in-full, which resulted in the write-off of approximately $0.5 million, which was recorded in our consolidated statement of operations. The table below summarizes the early repayment of the debt: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Write-off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Carrying</w:t>
            </w:r>
          </w:p>
        </w:tc>
        <w:tc>
          <w:tcPr>
            <w:tcW w:w="120" w:type="dxa"/>
            <w:vAlign w:val="bottom"/>
          </w:tcPr>
          <w:p>
            <w:pPr>
              <w:spacing w:after="0"/>
              <w:rPr>
                <w:sz w:val="12"/>
                <w:szCs w:val="12"/>
                <w:color w:val="auto"/>
              </w:rPr>
            </w:pPr>
          </w:p>
        </w:tc>
        <w:tc>
          <w:tcPr>
            <w:tcW w:w="14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100" w:type="dxa"/>
            <w:vAlign w:val="bottom"/>
          </w:tcPr>
          <w:p>
            <w:pPr>
              <w:spacing w:after="0"/>
              <w:rPr>
                <w:sz w:val="12"/>
                <w:szCs w:val="12"/>
                <w:color w:val="auto"/>
              </w:rPr>
            </w:pPr>
          </w:p>
        </w:tc>
        <w:tc>
          <w:tcPr>
            <w:tcW w:w="1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Debt Related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Value</w:t>
            </w: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(Other Expense)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Payments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77"/>
              </w:rPr>
              <w:t>Costs</w:t>
            </w:r>
          </w:p>
        </w:tc>
        <w:tc>
          <w:tcPr>
            <w:tcW w:w="2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Carrying Value</w:t>
            </w:r>
          </w:p>
        </w:tc>
      </w:tr>
      <w:tr>
        <w:trPr>
          <w:trHeight w:val="161"/>
        </w:trPr>
        <w:tc>
          <w:tcPr>
            <w:tcW w:w="1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12/31/2010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4"/>
                <w:szCs w:val="14"/>
                <w:b w:val="1"/>
                <w:bCs w:val="1"/>
                <w:color w:val="auto"/>
                <w:w w:val="86"/>
              </w:rPr>
              <w:t>1/1/11-6/30/11</w:t>
            </w:r>
          </w:p>
        </w:tc>
        <w:tc>
          <w:tcPr>
            <w:tcW w:w="48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1/1/11-6/30/11</w:t>
            </w:r>
          </w:p>
        </w:tc>
        <w:tc>
          <w:tcPr>
            <w:tcW w:w="28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1/1/11-6/30/11</w:t>
            </w:r>
          </w:p>
        </w:tc>
        <w:tc>
          <w:tcPr>
            <w:tcW w:w="240" w:type="dxa"/>
            <w:vAlign w:val="bottom"/>
          </w:tcPr>
          <w:p>
            <w:pPr>
              <w:spacing w:after="0"/>
              <w:rPr>
                <w:sz w:val="14"/>
                <w:szCs w:val="14"/>
                <w:color w:val="auto"/>
              </w:rPr>
            </w:pPr>
          </w:p>
        </w:tc>
        <w:tc>
          <w:tcPr>
            <w:tcW w:w="1020" w:type="dxa"/>
            <w:vAlign w:val="bottom"/>
            <w:gridSpan w:val="3"/>
          </w:tcPr>
          <w:p>
            <w:pPr>
              <w:ind w:left="240"/>
              <w:spacing w:after="0"/>
              <w:rPr>
                <w:sz w:val="20"/>
                <w:szCs w:val="20"/>
                <w:color w:val="auto"/>
              </w:rPr>
            </w:pPr>
            <w:r>
              <w:rPr>
                <w:rFonts w:ascii="Arial" w:cs="Arial" w:eastAsia="Arial" w:hAnsi="Arial"/>
                <w:sz w:val="14"/>
                <w:szCs w:val="14"/>
                <w:b w:val="1"/>
                <w:bCs w:val="1"/>
                <w:color w:val="auto"/>
                <w:w w:val="84"/>
              </w:rPr>
              <w:t>1/1/11-6/30/11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75"/>
              <w:spacing w:after="0"/>
              <w:rPr>
                <w:sz w:val="20"/>
                <w:szCs w:val="20"/>
                <w:color w:val="auto"/>
              </w:rPr>
            </w:pPr>
            <w:r>
              <w:rPr>
                <w:rFonts w:ascii="Arial" w:cs="Arial" w:eastAsia="Arial" w:hAnsi="Arial"/>
                <w:sz w:val="14"/>
                <w:szCs w:val="14"/>
                <w:b w:val="1"/>
                <w:bCs w:val="1"/>
                <w:color w:val="auto"/>
                <w:w w:val="93"/>
              </w:rPr>
              <w:t>6/30/2011</w:t>
            </w:r>
          </w:p>
        </w:tc>
        <w:tc>
          <w:tcPr>
            <w:tcW w:w="100" w:type="dxa"/>
            <w:vAlign w:val="bottom"/>
          </w:tcPr>
          <w:p>
            <w:pPr>
              <w:spacing w:after="0"/>
              <w:rPr>
                <w:sz w:val="14"/>
                <w:szCs w:val="14"/>
                <w:color w:val="auto"/>
              </w:rPr>
            </w:pPr>
          </w:p>
        </w:tc>
      </w:tr>
      <w:tr>
        <w:trPr>
          <w:trHeight w:val="196"/>
        </w:trPr>
        <w:tc>
          <w:tcPr>
            <w:tcW w:w="33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Other Assets:</w:t>
            </w: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3380" w:type="dxa"/>
            <w:vAlign w:val="bottom"/>
            <w:gridSpan w:val="2"/>
          </w:tcPr>
          <w:p>
            <w:pPr>
              <w:ind w:left="440"/>
              <w:spacing w:after="0"/>
              <w:rPr>
                <w:sz w:val="20"/>
                <w:szCs w:val="20"/>
                <w:color w:val="auto"/>
              </w:rPr>
            </w:pPr>
            <w:r>
              <w:rPr>
                <w:rFonts w:ascii="Arial" w:cs="Arial" w:eastAsia="Arial" w:hAnsi="Arial"/>
                <w:sz w:val="18"/>
                <w:szCs w:val="18"/>
                <w:color w:val="auto"/>
              </w:rPr>
              <w:t>Debt issuance costs paid to third</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380" w:type="dxa"/>
            <w:vAlign w:val="bottom"/>
            <w:gridSpan w:val="2"/>
          </w:tcPr>
          <w:p>
            <w:pPr>
              <w:ind w:left="660"/>
              <w:spacing w:after="0"/>
              <w:rPr>
                <w:sz w:val="20"/>
                <w:szCs w:val="20"/>
                <w:color w:val="auto"/>
              </w:rPr>
            </w:pPr>
            <w:r>
              <w:rPr>
                <w:rFonts w:ascii="Arial" w:cs="Arial" w:eastAsia="Arial" w:hAnsi="Arial"/>
                <w:sz w:val="18"/>
                <w:szCs w:val="18"/>
                <w:color w:val="auto"/>
              </w:rPr>
              <w:t>parties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124,722</w:t>
            </w:r>
          </w:p>
        </w:tc>
        <w:tc>
          <w:tcPr>
            <w:tcW w:w="4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(21,426)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(103,296)</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Liability:</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gridSpan w:val="2"/>
          </w:tcPr>
          <w:p>
            <w:pPr>
              <w:ind w:left="440"/>
              <w:spacing w:after="0"/>
              <w:rPr>
                <w:sz w:val="20"/>
                <w:szCs w:val="20"/>
                <w:color w:val="auto"/>
              </w:rPr>
            </w:pPr>
            <w:r>
              <w:rPr>
                <w:rFonts w:ascii="Arial" w:cs="Arial" w:eastAsia="Arial" w:hAnsi="Arial"/>
                <w:sz w:val="18"/>
                <w:szCs w:val="18"/>
                <w:color w:val="auto"/>
              </w:rPr>
              <w:t>Loan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(15,000,000)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15,000,000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interest charge</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(134,491)</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(54,207)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188,698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(15,134,491)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(54,207)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15,000,000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188,698</w:t>
            </w:r>
          </w:p>
        </w:tc>
        <w:tc>
          <w:tcPr>
            <w:tcW w:w="28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 Liability:</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3380" w:type="dxa"/>
            <w:vAlign w:val="bottom"/>
            <w:gridSpan w:val="2"/>
          </w:tcPr>
          <w:p>
            <w:pPr>
              <w:ind w:left="440"/>
              <w:spacing w:after="0"/>
              <w:rPr>
                <w:sz w:val="20"/>
                <w:szCs w:val="20"/>
                <w:color w:val="auto"/>
              </w:rPr>
            </w:pPr>
            <w:r>
              <w:rPr>
                <w:rFonts w:ascii="Arial" w:cs="Arial" w:eastAsia="Arial" w:hAnsi="Arial"/>
                <w:sz w:val="18"/>
                <w:szCs w:val="18"/>
                <w:color w:val="auto"/>
              </w:rPr>
              <w:t>Relative fair value of warrants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380" w:type="dxa"/>
            <w:vAlign w:val="bottom"/>
            <w:gridSpan w:val="2"/>
          </w:tcPr>
          <w:p>
            <w:pPr>
              <w:ind w:left="660"/>
              <w:spacing w:after="0"/>
              <w:rPr>
                <w:sz w:val="20"/>
                <w:szCs w:val="20"/>
                <w:color w:val="auto"/>
              </w:rPr>
            </w:pPr>
            <w:r>
              <w:rPr>
                <w:rFonts w:ascii="Arial" w:cs="Arial" w:eastAsia="Arial" w:hAnsi="Arial"/>
                <w:sz w:val="18"/>
                <w:szCs w:val="18"/>
                <w:color w:val="auto"/>
              </w:rPr>
              <w:t>issued to lender(1)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595,342</w:t>
            </w:r>
          </w:p>
        </w:tc>
        <w:tc>
          <w:tcPr>
            <w:tcW w:w="4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(102,274)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(493,068)</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17"/>
        </w:trPr>
        <w:tc>
          <w:tcPr>
            <w:tcW w:w="3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 issuance costs paid to lender</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103,934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(17,855)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699,276</w:t>
            </w:r>
          </w:p>
        </w:tc>
        <w:tc>
          <w:tcPr>
            <w:tcW w:w="4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(120,129)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(579,147)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20" w:hanging="452"/>
        <w:spacing w:after="0" w:line="29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relative fair value of the warrants issued to the lender was calculated using a Black-Scholes valuation model. The risk-free interest rate assumption used is 2.86 percent and is based upon observed risk-free interest rates appropriate for the expected term of the warrants. The expected volatility assumption used is 76 percent and is consistent with the volatility of our common stock based on the historical volatility of our stock since listing on the Nasdaq Global Market in December 2006. We have not paid any dividends on our common stock since our inception, and we do not anticipate paying any dividends on our common stock in the foreseeable future. Therefore, the dividend yield assumption used is zero. The expected term assumption used is seven years, which is the contractual life of the warrants. The fair value of the warrants using Black-Scholes is calculated to be $4.34 per share.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Share</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Net loss per share is presented as basic and diluted net loss per share. Basic net loss per share is calculated by dividing the net loss by the weighted average number of common shares outstanding for the period, without consideration for common stock equivalents. Diluted net loss per share is computed by dividing the net loss attributable to common stockholders by the weighted average number of common stock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share when their effect is dilutive. For the three and six months ended June 30, 2011, 29,401 and 73,989, respectively, and for the three and six months ended June 30, 2010, 313,181 and 292,085, respectively, of potentially dilutive securities were excluded from determining diluted earnings per share because of their anti-dilutive effect.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Comprehensive Income (Loss)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authoritative guidance for comprehensive income requires that all components of comprehensive income (loss), including net income (loss), be reported in the financial statements in the period in which they are recognized. Comprehensive income (loss) is defined as the change in equity (net assets) during a period from transactions and other events and circumstances from non-owner sources. Net income (loss) and other comprehensive income (loss), including foreign currency translation adjustments and unrealized gains and losses on investments, are reported, net of their related tax effect, to arrive at comprehensive income (loss). Our comprehensive loss includes unrealized losses on marketable securities and currency translation. The table below sets forth the components of our accumulated other comprehensive loss at:</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June 30,</w:t>
            </w:r>
          </w:p>
        </w:tc>
        <w:tc>
          <w:tcPr>
            <w:tcW w:w="2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640" w:type="dxa"/>
            <w:vAlign w:val="bottom"/>
          </w:tcPr>
          <w:p>
            <w:pPr>
              <w:jc w:val="right"/>
              <w:ind w:right="100"/>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94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(55,702)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(64,914)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Currency translation</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(5,343)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(61,045)</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(63,375)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2011 and 2010, our comprehensive loss was $10,342,421 and $9,493,771, respectively.</w:t>
      </w:r>
    </w:p>
    <w:p>
      <w:pPr>
        <w:spacing w:after="0" w:line="246" w:lineRule="exact"/>
        <w:rPr>
          <w:sz w:val="20"/>
          <w:szCs w:val="20"/>
          <w:color w:val="auto"/>
        </w:rPr>
      </w:pPr>
    </w:p>
    <w:p>
      <w:pPr>
        <w:ind w:right="9700" w:firstLine="8"/>
        <w:spacing w:after="0" w:line="417" w:lineRule="auto"/>
        <w:tabs>
          <w:tab w:leader="none" w:pos="176"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Balance Sheet Detail </w:t>
      </w:r>
      <w:r>
        <w:rPr>
          <w:rFonts w:ascii="Arial" w:cs="Arial" w:eastAsia="Arial" w:hAnsi="Arial"/>
          <w:sz w:val="15"/>
          <w:szCs w:val="15"/>
          <w:b w:val="1"/>
          <w:bCs w:val="1"/>
          <w:i w:val="1"/>
          <w:iCs w:val="1"/>
          <w:color w:val="auto"/>
        </w:rPr>
        <w:t>Accrued Expenses</w:t>
      </w:r>
    </w:p>
    <w:p>
      <w:pPr>
        <w:spacing w:after="0" w:line="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substantial portion of our ongoing research and development activities are performed under agreements we enter into with external service providers, including clinical research organizations, which conduct many of our research and development activities. A portion of our ongoing general and administrative activities relate to legal, accounting and consulting services. We accrue for costs incurred as the services are being provided by monitoring the status of clinical trials or specific projects or services rendered, contractual factors such as milestones or retainer fees and the invoices received from our external service providers. Accrued expenses consist of the following:</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99"/>
              <w:spacing w:after="0"/>
              <w:rPr>
                <w:sz w:val="20"/>
                <w:szCs w:val="20"/>
                <w:color w:val="auto"/>
              </w:rPr>
            </w:pPr>
            <w:r>
              <w:rPr>
                <w:rFonts w:ascii="Arial" w:cs="Arial" w:eastAsia="Arial" w:hAnsi="Arial"/>
                <w:sz w:val="14"/>
                <w:szCs w:val="14"/>
                <w:b w:val="1"/>
                <w:bCs w:val="1"/>
                <w:color w:val="auto"/>
                <w:w w:val="96"/>
              </w:rPr>
              <w:t>June 30,</w:t>
            </w:r>
          </w:p>
        </w:tc>
        <w:tc>
          <w:tcPr>
            <w:tcW w:w="60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80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1,376,936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766,886</w:t>
            </w: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Professional services fees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162,472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226,362</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146,437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140,025</w:t>
            </w:r>
          </w:p>
        </w:tc>
      </w:tr>
      <w:tr>
        <w:trPr>
          <w:trHeight w:val="20"/>
        </w:trPr>
        <w:tc>
          <w:tcPr>
            <w:tcW w:w="8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80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1,685,845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1,133,273</w:t>
            </w:r>
          </w:p>
        </w:tc>
      </w:tr>
      <w:tr>
        <w:trPr>
          <w:trHeight w:val="20"/>
        </w:trPr>
        <w:tc>
          <w:tcPr>
            <w:tcW w:w="8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Payments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For the three months ended June 30, 2011 and 2010, share-based compensation expense related to stock options of approximately $115,000 and $400,000, respectively, was recorded as a component of general and administrative expense, and approximately $43,000 and $100,000, respectively, was recorded as research and development expense. For the six months ended June 30, 2011 and 2010, share-based compensation expense related to stock options of approximately $ 245,000 and $900,000, respectively, was recorded as a component of general and administrative expense, and approximately $88,000 and $200,000, respectively, was recorded as research and development expense.</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During the three and six months ended June 30, 2011, stock options to purchase 29,998 shares of common stock and 31,915 shares of common stock, respectively, were exercised for approximately $66,000 and $74,200, respectively. As of June 30, 2011, there was $1.5 million of unamortized compensation cost related to unvested stock option awards, which is expected to be recognized over a remaining weighted-average vesting period of 2.3 years.</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During the three and six months ended June 30, 2011, options to purchase 4,000 shares of common stock were granted. During the three and six months ended June 30, 2010, respectively, options to purchase 125,000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shares and 525,000 shares of common stock were granted. The exercise price of the options granted was equal to market value on the date of grant and the share-based compensation expense for such stock options is reflected in operating results for the three and six months ended June 30, 2011. The estimated fair value of each stock option award was determined on the date of grant using the Black-Scholes option valuation model with the following weighted-average assumptions for stock option grants: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28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88"/>
              </w:rPr>
              <w:t>Three Months Ended</w:t>
            </w:r>
          </w:p>
        </w:tc>
        <w:tc>
          <w:tcPr>
            <w:tcW w:w="22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8"/>
              </w:rPr>
              <w:t>Three Months Ended</w:t>
            </w:r>
          </w:p>
        </w:tc>
        <w:tc>
          <w:tcPr>
            <w:tcW w:w="21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87"/>
              </w:rPr>
              <w:t>Six Months Ended</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Six Months Ended</w:t>
            </w:r>
          </w:p>
        </w:tc>
      </w:tr>
      <w:tr>
        <w:trPr>
          <w:trHeight w:val="161"/>
        </w:trPr>
        <w:tc>
          <w:tcPr>
            <w:tcW w:w="35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June 30, 2011</w:t>
            </w:r>
          </w:p>
        </w:tc>
        <w:tc>
          <w:tcPr>
            <w:tcW w:w="104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 2010</w:t>
            </w:r>
          </w:p>
        </w:tc>
        <w:tc>
          <w:tcPr>
            <w:tcW w:w="10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8"/>
              </w:rPr>
              <w:t>June 30, 2011</w:t>
            </w:r>
          </w:p>
        </w:tc>
        <w:tc>
          <w:tcPr>
            <w:tcW w:w="10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8"/>
              </w:rPr>
              <w:t>June 30, 2010</w:t>
            </w:r>
          </w:p>
        </w:tc>
        <w:tc>
          <w:tcPr>
            <w:tcW w:w="200" w:type="dxa"/>
            <w:vAlign w:val="bottom"/>
            <w:tcBorders>
              <w:bottom w:val="single" w:sz="8" w:color="CCEEFF"/>
            </w:tcBorders>
          </w:tcPr>
          <w:p>
            <w:pPr>
              <w:spacing w:after="0"/>
              <w:rPr>
                <w:sz w:val="14"/>
                <w:szCs w:val="14"/>
                <w:color w:val="auto"/>
              </w:rPr>
            </w:pPr>
          </w:p>
        </w:tc>
      </w:tr>
      <w:tr>
        <w:trPr>
          <w:trHeight w:val="210"/>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22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1.84%</w:t>
            </w:r>
          </w:p>
        </w:tc>
        <w:tc>
          <w:tcPr>
            <w:tcW w:w="22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1.32%</w:t>
            </w:r>
          </w:p>
        </w:tc>
        <w:tc>
          <w:tcPr>
            <w:tcW w:w="21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1.84%</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2280" w:type="dxa"/>
            <w:vAlign w:val="bottom"/>
            <w:gridSpan w:val="2"/>
          </w:tcPr>
          <w:p>
            <w:pPr>
              <w:jc w:val="right"/>
              <w:ind w:right="900"/>
              <w:spacing w:after="0"/>
              <w:rPr>
                <w:sz w:val="20"/>
                <w:szCs w:val="20"/>
                <w:color w:val="auto"/>
              </w:rPr>
            </w:pPr>
            <w:r>
              <w:rPr>
                <w:rFonts w:ascii="Arial" w:cs="Arial" w:eastAsia="Arial" w:hAnsi="Arial"/>
                <w:sz w:val="18"/>
                <w:szCs w:val="18"/>
                <w:color w:val="auto"/>
              </w:rPr>
              <w:t>76.84%</w:t>
            </w:r>
          </w:p>
        </w:tc>
        <w:tc>
          <w:tcPr>
            <w:tcW w:w="2260" w:type="dxa"/>
            <w:vAlign w:val="bottom"/>
            <w:gridSpan w:val="2"/>
          </w:tcPr>
          <w:p>
            <w:pPr>
              <w:jc w:val="right"/>
              <w:ind w:right="880"/>
              <w:spacing w:after="0"/>
              <w:rPr>
                <w:sz w:val="20"/>
                <w:szCs w:val="20"/>
                <w:color w:val="auto"/>
              </w:rPr>
            </w:pPr>
            <w:r>
              <w:rPr>
                <w:rFonts w:ascii="Arial" w:cs="Arial" w:eastAsia="Arial" w:hAnsi="Arial"/>
                <w:sz w:val="18"/>
                <w:szCs w:val="18"/>
                <w:color w:val="auto"/>
              </w:rPr>
              <w:t>76.07%</w:t>
            </w:r>
          </w:p>
        </w:tc>
        <w:tc>
          <w:tcPr>
            <w:tcW w:w="2120" w:type="dxa"/>
            <w:vAlign w:val="bottom"/>
            <w:gridSpan w:val="2"/>
          </w:tcPr>
          <w:p>
            <w:pPr>
              <w:jc w:val="right"/>
              <w:ind w:right="900"/>
              <w:spacing w:after="0"/>
              <w:rPr>
                <w:sz w:val="20"/>
                <w:szCs w:val="20"/>
                <w:color w:val="auto"/>
              </w:rPr>
            </w:pPr>
            <w:r>
              <w:rPr>
                <w:rFonts w:ascii="Arial" w:cs="Arial" w:eastAsia="Arial" w:hAnsi="Arial"/>
                <w:sz w:val="18"/>
                <w:szCs w:val="18"/>
                <w:color w:val="auto"/>
              </w:rPr>
              <w:t>76.84%</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76.50%</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2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0.00%</w:t>
            </w:r>
          </w:p>
        </w:tc>
        <w:tc>
          <w:tcPr>
            <w:tcW w:w="22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0.00%</w:t>
            </w:r>
          </w:p>
        </w:tc>
        <w:tc>
          <w:tcPr>
            <w:tcW w:w="21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0.00%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Expected option term (in years)</w:t>
            </w:r>
          </w:p>
        </w:tc>
        <w:tc>
          <w:tcPr>
            <w:tcW w:w="1240" w:type="dxa"/>
            <w:vAlign w:val="bottom"/>
          </w:tcPr>
          <w:p>
            <w:pPr>
              <w:jc w:val="right"/>
              <w:spacing w:after="0"/>
              <w:rPr>
                <w:sz w:val="20"/>
                <w:szCs w:val="20"/>
                <w:color w:val="auto"/>
              </w:rPr>
            </w:pPr>
            <w:r>
              <w:rPr>
                <w:rFonts w:ascii="Arial" w:cs="Arial" w:eastAsia="Arial" w:hAnsi="Arial"/>
                <w:sz w:val="18"/>
                <w:szCs w:val="18"/>
                <w:color w:val="auto"/>
              </w:rPr>
              <w:t>4.40</w:t>
            </w:r>
          </w:p>
        </w:tc>
        <w:tc>
          <w:tcPr>
            <w:tcW w:w="1040" w:type="dxa"/>
            <w:vAlign w:val="bottom"/>
          </w:tcPr>
          <w:p>
            <w:pPr>
              <w:spacing w:after="0"/>
              <w:rPr>
                <w:sz w:val="19"/>
                <w:szCs w:val="19"/>
                <w:color w:val="auto"/>
              </w:rPr>
            </w:pPr>
          </w:p>
        </w:tc>
        <w:tc>
          <w:tcPr>
            <w:tcW w:w="2260" w:type="dxa"/>
            <w:vAlign w:val="bottom"/>
            <w:gridSpan w:val="2"/>
          </w:tcPr>
          <w:p>
            <w:pPr>
              <w:jc w:val="right"/>
              <w:ind w:right="1040"/>
              <w:spacing w:after="0"/>
              <w:rPr>
                <w:sz w:val="20"/>
                <w:szCs w:val="20"/>
                <w:color w:val="auto"/>
              </w:rPr>
            </w:pPr>
            <w:r>
              <w:rPr>
                <w:rFonts w:ascii="Arial" w:cs="Arial" w:eastAsia="Arial" w:hAnsi="Arial"/>
                <w:sz w:val="18"/>
                <w:szCs w:val="18"/>
                <w:color w:val="auto"/>
              </w:rPr>
              <w:t>4.42</w:t>
            </w:r>
          </w:p>
        </w:tc>
        <w:tc>
          <w:tcPr>
            <w:tcW w:w="2120" w:type="dxa"/>
            <w:vAlign w:val="bottom"/>
            <w:gridSpan w:val="2"/>
          </w:tcPr>
          <w:p>
            <w:pPr>
              <w:jc w:val="right"/>
              <w:ind w:right="1040"/>
              <w:spacing w:after="0"/>
              <w:rPr>
                <w:sz w:val="20"/>
                <w:szCs w:val="20"/>
                <w:color w:val="auto"/>
              </w:rPr>
            </w:pPr>
            <w:r>
              <w:rPr>
                <w:rFonts w:ascii="Arial" w:cs="Arial" w:eastAsia="Arial" w:hAnsi="Arial"/>
                <w:sz w:val="18"/>
                <w:szCs w:val="18"/>
                <w:color w:val="auto"/>
              </w:rPr>
              <w:t>4.40</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4.40</w:t>
            </w:r>
          </w:p>
        </w:tc>
      </w:tr>
    </w:tbl>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risk-free interest rate assumption is based upon observed interest rates appropriate for the expected term of our outstanding stock options. The expected volatility of our common stock is based on the historical volatility of our stock since listing on the Nasdaq Global Market in December 2006. We have not paid any dividends on our common stock since our inception, and we do not anticipate paying any dividends on our common stock in the foreseeable future. The expected term of employee stock options is based on the simplified method for “plain vanilla options” as provided by the authoritative guidance on stock compensation, as we concluded that our historical stock option exercise experience does not provide a reasonable basis for us to estimate the expected term.</w:t>
      </w:r>
    </w:p>
    <w:p>
      <w:pPr>
        <w:spacing w:after="0" w:line="1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As share-based compensation expense recognized in the accompanying consolidated statement of operations for the three and six months ended June 30, 2011 was based on stock option awards ultimately expected to vest, such expense should be reduced for estimated forfeitures. The authoritative guidance for compensation expense requires forfeitures to be estimated at the time of grant and revised, if necessary, in subsequent periods if actual forfeitures differ from those estimates. We have very few employees and our stock options vest monthly; therefore, we did not estimate any forfeitures during the first half of 2011, and we will adjust our stock-based compensation expense should any forfeitures occur. The weighted-average fair value of each stock option granted during the three and six months ended June 30, 2011, estimated as of the grant date using the Black-Scholes option valuation model, was $1.34 per stock option, whereas the weighted-average fair value of each stock option granted during the three and six month periods ended June 30, 2010, estimated as of the grant date using the Black-Scholes option valuation model, was $3.01 and $4.02, respectively, per stock option.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6"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In accordance with the authoritative guidance for income taxes, a deferred liability is determined based on the difference between the financial statement and the tax basis of assets and liabilities as measured by the enacted tax rates, which will be in effect when these differences reverse. We provide a valuation allowance against net deferred assets unless, based upon the available evidence, it is more likely than not that the deferred tax assets will be realized.</w:t>
      </w:r>
    </w:p>
    <w:p>
      <w:pPr>
        <w:spacing w:after="0" w:line="8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We had no accrued interest or penalties at June 30, 2011 and we have not recorded any uncertain income tax benefits at June 30, 2011.</w:t>
      </w:r>
    </w:p>
    <w:p>
      <w:pPr>
        <w:spacing w:after="0" w:line="207" w:lineRule="exact"/>
        <w:rPr>
          <w:sz w:val="20"/>
          <w:szCs w:val="20"/>
          <w:color w:val="auto"/>
        </w:rPr>
      </w:pPr>
    </w:p>
    <w:p>
      <w:pPr>
        <w:ind w:right="8660" w:firstLine="8"/>
        <w:spacing w:after="0" w:line="391" w:lineRule="auto"/>
        <w:tabs>
          <w:tab w:leader="none" w:pos="263"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March 3, 2011, we received a legal letter from a former employee who had been terminated in January 2011 pursuant to our planned reduction-in-force to save costs. The legal letter did not assert a claim outright;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however, there were allegations made in the legal letter that could threaten litigation against us. We have engaged legal counsel in connection with the possibility of a lawsuit given this legal letter and the fact that this former employee’s separation agreement has expired. Given the inherent uncertainty and unpredictability of litigation and due to the status of this legal action, no range of loss or possible loss can be reasonably estimated. However, we do not expect the outcome of this matter to have a material adverse effect on our consolidated financial statements.</w:t>
      </w:r>
    </w:p>
    <w:p>
      <w:pPr>
        <w:spacing w:after="0" w:line="11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w:t>
      </w:r>
    </w:p>
    <w:p>
      <w:pPr>
        <w:spacing w:after="0" w:line="160" w:lineRule="exact"/>
        <w:rPr>
          <w:sz w:val="20"/>
          <w:szCs w:val="20"/>
          <w:color w:val="auto"/>
        </w:rPr>
      </w:pPr>
    </w:p>
    <w:p>
      <w:pPr>
        <w:ind w:right="9560" w:firstLine="8"/>
        <w:spacing w:after="0" w:line="391" w:lineRule="auto"/>
        <w:tabs>
          <w:tab w:leader="none" w:pos="254"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Stock Options</w:t>
      </w:r>
    </w:p>
    <w:p>
      <w:pPr>
        <w:spacing w:after="0" w:line="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currently grant stock options to our employees, officers, directors and consultants under the 2004 Plan, the successor to the 2000 Plan. No additional stock options have been or will be issued under the 2000 Plan subsequent to our initial public offering. However, the stock options previously granted under the 2000 Plan will remain outstanding until the earlier of expiration or exercise.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changes in stock options outstanding under the 2000 Plan and 2004 Plan during the six months ended June 30, 2011 is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Stock</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Options</w:t>
            </w:r>
          </w:p>
        </w:tc>
        <w:tc>
          <w:tcPr>
            <w:tcW w:w="3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2,280,931</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4,000</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(31,915)</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Cancelled</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(561,523)</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2011</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1,691,493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aggregate intrinsic value of stock options exercised during the six months ended June 30, 2011 was approximately $5,000. The aggregate intrinsic value of stock options outstanding at June 30, 2011 and exercisable at June 30, 2011 was approximately $87,000 and approximately $51,000, respectively. Of the total stock options outstanding as of June 30, 2011, options to purchase 1,282,984 shares of common stock are exercisable, with a weighted average exercise price of $ 8.94 per share and a weighted average contractual life of 6.0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following assumptions were used to value the March 31, 2011 employee stock purchases: a risk-free interest rate of 0.16 percent, expected volatility of 78 percent, expected term of six months and a dividend rate of 0 percent. There were no ESPP stock purchases for the three months ended June 30, 2011. For the six months ended June 30, 2011, 1,826 shares of common stock were issued under the ESPP and 272,301 shares of common stock were available for future issuance.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Prior to the maturity of the convertible notes on June 18, 2011, holders of the convertible notes could submit conversion notices, which were irrevocable, instructing the trustee to convert such convertible notes into shares of our common stock at an initial conversion price of $6.80 per share. Following each conversion date, which date generally was the final business day of each calendar month, we would issue the number of whole shares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common stock issuable upon conversion as promptly as practicable (and in any event within 10 business days). The trustee would in turn release to us the respective amount of restricted cash to cover the stock issuance. We would then invest the unrestricted cash into either a money market fund or a money market account. Any fractional shares (after aggregating all convertible notes being converted by a holder on such date) would be rounded down and we would deliver cash for the current market value of the fractional share. For the three and six months ended June 30, 2011, approximately $40,000 and $76,000, respectively, of convertible notes was converted into 5,857 shares of our commons stock and 11,246 shares of our common stock, respectively. All remaining convertible notes expired on June 18,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Firm Commitment Underwritten Public Offering</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On March 23, 2011, we announced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The warrants are exercisable immediately upon issuance, have a five-year term and an exercise price of $3.56 per share. On March 24, 2011, the underwriter exercised 50,666 units of its 412,500 unit overallotment. On March 29, 2011, we received net proceeds of approximately $7.9 million, after underwriter discount and underwriter expenses and no warrants exercised. In accordance with the authoritative guidance, we concluded that the warrants were indexed to our stock and do not permit net-cash settlement. Therefore, the warrants were classified as equity instruments and are not being marked to market prospectively as long as they continue to meet the conditions for equity classification.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May 5, 2011, we entered into an at-the-market issuance sales agreement, or sales agreement, with McNicoll, Lewis &amp; Vlak LLC, or MLV, pursuant to which we may issue and sell shares of our common stock having an aggregate offering price of up to $15.0 million from time to time through MLV as our sales agent. The issuance and sale of these shares by us under the sales agreement, if any, is subject to the effectiveness of our shelf registration statement on Form S-3 (File No. 333-163116), initially filed with the Securities and Exchange Commission on November 13, 2009.</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Sales of our common stock through MLV, if any, will be made on The NASDAQ Global Market by means of ordinary brokers’ transactions at market prices, in block transactions or as otherwise agreed by us and MLV. Subject to the terms and conditions of the sales agreement, MLV will use commercially reasonable efforts to sell our common stock from time to time, based upon our instructions (including any price, time or size limits or other customary parameters or conditions we may impose). We are not obligated to make any sales of common stock under the sales agreement and may terminate the sales agreement at any time on 10 days notice. We will pay MLV an aggregate commission rate of 3.0% of the gross proceeds of the sales price per share of any common stock sold through MLV under the sales agreement. We have also provided MLV with customary indemnification rights. We have also engaged Ladenburg, Thalmann &amp; Co., or Ladenburg, to act as a financial advisor in connection with the offering contemplated by the sales agreement and agreed to pay Ladenburg a fee of 0.5% of the gross proceeds of any “at-the-market” equity offering consummated in connection therewith payable upon the closing of each such “at-the-market” equity offering. For the three and six months ended June 30, 2011 we have not issued any shares of common stock under the sales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July 6, 2011, we entered into a fifth amendment, the Lease Amendment, of our lease agreement, the Lease, with 4350 La Jolla Village LLC, the Landlord. The Lease Amendment amends the Lease of our headquarters located at 4350 La Jolla Village Drive, Suite 950, San Diego, California, 92122, and extends the Lease term for nine additional months with respect to 5,089 square feet, from August 31, 2011 to May 31, 2012. The Lease Amendment provides that we will pay the Landlord a monthly base rent of $12,468.00 for the premises during the nine-month extension period.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August 10, 2011, we announced a clinical trial collaboration with a headache and pain specialist in the Clinical Pharmacology department at the University of Adelaide, Australia who is initiating a Phase 2 trial of ibudilast (MN-166/AV411) as a potential new pharmacotherapy for medication overuse headache (MOH). This investigator-initiated and investigator-funded MOH trial has cleared necessary reviews and we will provide active drug and placebo product, as well as regulatory support for the trial. We do not expect that collaboration in the MOH trial will have a material effect on our financial condition.</w:t>
      </w:r>
    </w:p>
    <w:p>
      <w:pPr>
        <w:spacing w:after="0" w:line="9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240" w:top="459" w:right="5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2010 included in our Annual Report on Form 10-K filed with the Securities and Exchange Commission, or SEC, on March 31, 2011. Past operating results are not necessarily indicative of results that may occur in future periods.</w:t>
      </w:r>
    </w:p>
    <w:p>
      <w:pPr>
        <w:spacing w:after="0" w:line="11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and the differences may be material. Forward-looking statements discuss matters that are not historical facts. Forward-looking statements include, but are not limited to, statements regarding our plans, strategies, objectives,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96" w:lineRule="exact"/>
        <w:rPr>
          <w:sz w:val="20"/>
          <w:szCs w:val="20"/>
          <w:color w:val="auto"/>
        </w:rPr>
      </w:pPr>
    </w:p>
    <w:p>
      <w:pPr>
        <w:ind w:right="320" w:firstLine="456"/>
        <w:spacing w:after="0" w:line="323" w:lineRule="auto"/>
        <w:rPr>
          <w:sz w:val="20"/>
          <w:szCs w:val="20"/>
          <w:color w:val="auto"/>
        </w:rPr>
      </w:pPr>
      <w:r>
        <w:rPr>
          <w:rFonts w:ascii="Arial" w:cs="Arial" w:eastAsia="Arial" w:hAnsi="Arial"/>
          <w:sz w:val="15"/>
          <w:szCs w:val="15"/>
          <w:color w:val="auto"/>
        </w:rPr>
        <w:t>We are a biopharmaceutical company focused on acquiring and developing novel, small molecule therapeutics for the treatment of diseases with unmet medical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 We were incorporated in Delaware in September 2000.</w:t>
      </w:r>
    </w:p>
    <w:p>
      <w:pPr>
        <w:spacing w:after="0" w:line="9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are a development stage company. We have incurred significant net losses since our inception. At June 30, 2011, from inception, our accumulated deficit was approximately $277.9 million, including $48.6 million of non-cash stock-based compensation charges related to employee stock-based compensation and founders’ warrants. We expect to incur substantial net losses for at least the next several years as we continue to develop certain of our existing product development programs, primarily MN-221 for the treatment of acute exacerbations of asthma and Chronic Obstructive Pulmonary Disease, or COPD, exacerbations, and over the long-term if we are successful in expanding our research and development programs and acquiring or in-licensing products, technologies or businesses that are complementary to our own. While there can be no assurances given, we will need to successfully complete one or more additional financing transactions and/or corporate partnerships in the near-term; otherwise, we will not have sufficient cash or other liquidity to fund our operations as currently conducted and staffed for the following 12 months, which raises substantial doubt as to our ability to continue as a going concern.</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acquired licenses to eight compounds for the development of ten product candidates. Our development pipeline consists of eight product development programs which have been in clinical development for the treatment of acute exacerbations of asthma, MS, bronchial asthma, IC, solid tumor cancers, Generalized Anxiety Disorders/insomnia, preterm labor and urinary incontinence, and two product development programs which have been in preclinical development for the treatment of thrombotic disorders. In addition, we have expanded our development program for MN-221 for the treatment of COPD exacerbations.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December 2009 we acquired Avigen Inc., or Avigen, a biopharmaceutical company that focused on identifying and developing differentiated products to treat patients with serious disorders, whose potential product candidate was AV411, a macrophage migration inhibitory factor and a glial attenuator for central nervous system, or CNS, disorders, such as neuropathic pain, progressive MS or drug (opioid and methamphetamine) addiction. We continue to integrate the two ibudilast-based product development programs and pursue discussions with potential partners to secure a strategic collaboration to advance clinical development of the combined development programs.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present, we are focusing our resources on the following prioritized product development programs:</w:t>
      </w:r>
    </w:p>
    <w:p>
      <w:pPr>
        <w:spacing w:after="0" w:line="90" w:lineRule="exact"/>
        <w:rPr>
          <w:sz w:val="20"/>
          <w:szCs w:val="20"/>
          <w:color w:val="auto"/>
        </w:rPr>
      </w:pPr>
    </w:p>
    <w:p>
      <w:pPr>
        <w:ind w:left="900" w:right="20" w:hanging="446"/>
        <w:spacing w:after="0" w:line="294"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MN-221 for the treatment of acute exacerbations of asthma and COPD exacerbations, for which we initiated a Phase 2 clinical trial (MN-221-CL-007) in the first quarter of 2009 to evaluate the safety and efficacy of MN-221 in patients with severe, acute exacerbations of asthma treated in the emergency room. The MN-221-CL-007 trial is progressing. COPD development included a Phase 1b clinical trial in patients with stable, moderate to severe COPD, which was completed in 2010. The encouraging safety and efficacy data was reported via press release in the first quarter of 2010 and at the CHEST Society meeting later in 2010. Further COPD development is in the planning stage and is contingent upon additional funding.</w:t>
      </w:r>
    </w:p>
    <w:p>
      <w:pPr>
        <w:spacing w:after="0" w:line="34" w:lineRule="exact"/>
        <w:rPr>
          <w:rFonts w:ascii="Arial" w:cs="Arial" w:eastAsia="Arial" w:hAnsi="Arial"/>
          <w:sz w:val="16"/>
          <w:szCs w:val="16"/>
          <w:color w:val="auto"/>
        </w:rPr>
      </w:pPr>
    </w:p>
    <w:p>
      <w:pPr>
        <w:ind w:left="900" w:hanging="446"/>
        <w:spacing w:after="0" w:line="289"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MN-166/AV411, for which we continue to integrate the two programs into a combined ibudilast-based product development program to pursue discussions with potential partners or other strategic collaboration(s). MN-166 has completed a Phase 2 clinical trial in MS in Eastern Europe in 2008 wherein positive safety and neuroprotective efficacy indicators were obtained, thus, directing next stage development towards a Phase 2b progressive MS indication. AV411 for neuropathic pain is lined up for a phase 2 proof-of-concept trial pending funding. Limited animal safety and product manufacturing and stability work has been completed or is ongoing. In the drug addiction area, a Phase 1b/2a opioid withdrawal clinical trial funded by the National Institute on Drug Abuse, or NIDA, was completed at the end of 2010 and reported last quarter at the College on Problems of Drug Dependence meeting in Florida. A Phase 1b NIDA-funded clinical trial in methamphetamine-dependent volunteers with expert investigators at UCLA initiated in the fourth quarter of 2010 and is currently enrolling patients.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completion of proof-of-concept Phase 2 clinical trials, we intend to enter into strategic alliances with leading pharmaceutical or biotech companies to support further clinical development, and plan to keep certain commercialization rights in select markets. In addition, we continue to limit development activities for the balance of our existing product candidates in order to focus on our prioritized programs. For each of these remaining product candidates, we plan to conduct development activities only to the extent deemed necessary to maintain our license rights or maximize its value while pursuing a variety of initiatives to monetize such product candidate on appropriate terms.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eight non-prioritized product development programs consist of the following:</w:t>
      </w:r>
    </w:p>
    <w:p>
      <w:pPr>
        <w:spacing w:after="0" w:line="90" w:lineRule="exact"/>
        <w:rPr>
          <w:sz w:val="20"/>
          <w:szCs w:val="20"/>
          <w:color w:val="auto"/>
        </w:rPr>
      </w:pPr>
    </w:p>
    <w:p>
      <w:pPr>
        <w:ind w:left="900" w:right="14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MN-001 for the treatment of bronchial asthma, for which we initiated a Phase 3 clinical program in the fourth quarter of 2006 that we subsequently terminated in the second quarter of 2007, and for which we developed prototypes of once-per-day oral dosing formulations;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MN-001 for the treatment of interstitial cystitis, for which we completed a Phase 2 clinical trial in the first quarter of 2007;</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completed one Phase 1 clinical trial in the second quarter of 2006 and one Phase I clinical trial in the fourth quarter of 2007;</w:t>
      </w:r>
    </w:p>
    <w:p>
      <w:pPr>
        <w:spacing w:after="0" w:line="50" w:lineRule="exact"/>
        <w:rPr>
          <w:rFonts w:ascii="Arial" w:cs="Arial" w:eastAsia="Arial" w:hAnsi="Arial"/>
          <w:sz w:val="18"/>
          <w:szCs w:val="18"/>
          <w:color w:val="auto"/>
        </w:rPr>
      </w:pPr>
    </w:p>
    <w:p>
      <w:pPr>
        <w:ind w:left="900" w:right="22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MN-305 for the treatment of Generalized Anxiety Disorder/insomnia, for which we completed a Phase 2 clinical trial for the treatment of Generalized Anxiety Disorder in the second quarter of 2006 and a Phase 2 clinical trial for the treatment of insomnia in the fourth quarter of 2007;</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we completed a Phase 1 clinical trial to investigate the pharmacokinetic profile of MN-221 in healthy pregnant women not in labor in the second quarter of 2007;</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completed a Phase 1 clinical trial in the fourth quarter of 2006 and a Phase 1 food effects study in the first quarter of 2007;</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MN-447 for the treatment of thrombotic disorders, which remains in preclinical development;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MN-462 for the treatment of thrombotic disorders, which remains in preclinical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Avigen Transaction</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December 2009, Absolute Merger, Inc., a wholly-owned subsidiary of ours, merged with and into Avigen, with Avigen continuing as the surviving entity and wholly-owned subsidiary of ours. Under the terms of the merger, we issued $29.4 million in secured convertible notes that matured on June 18, 2011, the 18-month anniversary of the closing of the merger. Holders of these convertible notes could convert their notes into our common stock at an initial conversion price of $6.80 per share. At the maturity of the convertible notes, the remaining holders were paid out the same per share amount as the Avigen shareholders that elected to receive cash at the merger closing, plus accrued interest, approximately $1.19 per share. As part of the merger consideration, the former Avigen shareholders received approximately $0.04 per share, which was paid in two increments in 2010, and rights under contingent payment rights issued as part of the merger consideration.</w:t>
      </w:r>
    </w:p>
    <w:p>
      <w:pPr>
        <w:spacing w:after="0" w:line="147"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As a result of the Avigen transaction, our consolidated financial statements include Avigen’s operations after the completion of the acquisition. We accounted for the Avigen merger using the acquisition method of accounting. As a result, we recorded $4.8 million of IPR&amp;D related to Avigen’s AV411 asset and we recorded $9.6 million of goodwill related to the excess purchase price over the assigned values of the net assets acquired. The goodwill was primarily a result of the conversion feature related to the convertible notes issued pursuant to the merger agreement. Our annual test date for IPR&amp;D and goodwill impairment is December 31. We operate as one reporting segment and during the six months ended June 30, 2011 through the date of this report, there were no triggering events, market conditions (such as a drop in our stock price by more than 50%) or other factors (such as adverse clinical trial results) that would indicate possible or actual impairment of IPR&amp;D or goodwill.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May 10, 2010, we entered into a loan and security agreement, or the Loan Agreement, with Oxford, under which we borrowed $15.0 million. The financing was used to satisfy working capital needs, including the continued clinical development of MN-221. The stated interest rate on the loan was 12.87 percent. The effective interest rate on the loan was 18.14 percent when taking into consideration the deferred interest payment, the relative fair value of the warrants issued in connection with the loan and the fees associated with procuring the loan. Pursuant to the Loan Agreement, we also issued to Oxford a warrant to acquire up to 198,020 shares of our common stock, par value $0.001 per share, at an exercise price of $6.06 per share. Based on a Black Scholes model, the relative fair value of the warrant was approximately $859,000. In addition, the warrant and debt instrument are immediately separable and were issued separately; thus, we accounted for the warrant as a component of stockholders’ equity as the agreement requires settlement in shares and under no provision of the agreement are we required to settle the warrant in cash.</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accounted for the interest on the debt under the effective interest method wherein we treated the debt issuance costs paid directly to Oxford and the fair value of the warrants issued to Oxford as a discount on the debt (or a contra liability) and we treated the debt issuance costs paid to third parties as an asset. The related amortization of the debt discount was recorded as interest expense and the amortization of the debt issuance costs paid to third parties was recorded as other expense in our consolidated statement of operations.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March 31, 2011, we and Oxford executed a pay-off letter in which Oxford waived early payment penalties of approximately $437,000 and we repaid the loan in-full on April 1, 2011, which resulted in the write-off of the debt related costs.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Reduction-in-Force</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January 2011, we commenced a reduction-in-force, or RIF, wherein we down-sized the company to save costs. We believe that with this RIF, we are adequately staffed given our research and development focus and that we are a development stage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Joint Venture</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On June 29, 2011, we executed a joint venture agreement with Zhejiang Medicine Co., Ltd. and Beijing Make-Friend Medicine Technology Co., Ltd., which provides for the formation of a joint venture company to develop and commercialize MN-221 in China (China JV). Final approval from the Ministry of Commerce of the People’s Republic of China with respect to the joint venture has not yet been obtained.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Firm Commitment Public Offering</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On March 23, 2011, we announced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The warrants are exercisable immediately upon issuance, have a five-year term and an exercise price of $3.56 per share. On March 24, 2011, the underwriter exercised 50,666 units of its 412,500 unit overallotment. On March 29, 2011, we received net proceeds of approximately $7.9 million, after underwriter discount and underwriter expenses and no warrants exercised. In accordance with the authoritative guidance, we concluded that the warrants were indexed to our stock and do not permit net-cash settlement. Therefore, the warrants were classified as equity instruments and are not being marked to market prospectively as long as they continue to meet the conditions for equity classification.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May 5, 2011, we entered into an at-the-market issuance sales agreement, or sales agreement, with McNicoll, Lewis &amp; Vlak LLC, or MLV, pursuant to which we may issue and sell shares of our common stock having an aggregate offering price of up to $15.0 million from time to time through MLV as our sales agent. The issuance and sale of these shares by us under the sales agreement, if any, is subject to the effectiveness of our shelf registration statement on Form S-3 (File No. 333-163116), initially filed with the Securities and Exchange Commission on November 13, 2009.</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Sales of our common stock through MLV, if any, will be made on The NASDAQ Global Market by means of ordinary brokers’ transactions at market prices, in block transactions or as otherwise agreed by us and MLV. Subject to the terms and conditions of the sales agreement, MLV will use commercially reasonable efforts to sell our common stock from time to time, based upon our instructions (including any price, time or size limits or other customary parameters or conditions we may impose). We are not obligated to make any sales of common stock under the sales agreement and may terminate the sales agreement at any time on 10 days notice. We will pay MLV an aggregate commission rate of 3.0% of the gross proceeds of the sales price per share of any common stock sold through MLV under the sales agreement. We have also provided MLV with customary indemnification rights. We have also engaged Ladenburg, Thalmann &amp; Co., or Ladenburg, to act as a financial advisor in connection with the offering contemplated by the sales agreement and agreed to pay Ladenburg a fee of 0.5% of the gross proceeds of any “at-the-market” equity offering consummated in connection therewith payable upon the closing of each such “at-the-market” equity offering. For the three and six months ended June 30, 2011 we have not issued any shares of common stock under the sales agreement.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July 6, 2011, we entered into a fifth amendment, the Lease Amendment, of our lease agreement, the Lease, with 4350 La Jolla Village LLC, the Landlord. The Lease Amendment amends the Lease of our headquarters located at 4350 La Jolla Village Drive, Suite 950, San Diego, California, 92122, and extends the Lease term for nine additional months with respect to 5,089 square feet, from August 31, 2011 to May 31, 2012. The Lease Amendment provides that we will pay the Landlord a monthly base rent of $12,468.00 for the premises during the nine-month extension period.</w:t>
      </w:r>
    </w:p>
    <w:p>
      <w:pPr>
        <w:spacing w:after="0" w:line="11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On August 10, 2011, we announced a clinical trial collaboration with a headache and pain specialist in the Clinical Pharmacology department at the University of Adelaide, Australia who is initiating a Phase 2 trial of ibudilast (MN-166/AV411) as a potential new pharmacotherapy for medication overuse headache (MOH). This investigator-initiated and investigator-funded MOH trial has cleared necessary reviews and we will provide active drug and placebo product, as well as regulatory support for the trial. We do not expect that collaboration in the MOH trial will have a material effect on our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Cost of Revenues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not generated any revenues from licensing, milestones or product sales to date, and we do not expect to generate any revenues from the commercialization of our product candidates within the next several years, if at all. Our revenues to date have been generated from providing development management services under master service agreements with Asahi Kasei Pharma Corporation and Argenes, Inc., pursuant to which we billed consulting fees and our pass-through clinical contract costs. The primary costs associated with our revenue were the clinical contract costs we incurred and passed-through to our customers. Our agreement with Asahi Kasei Pharma Corporation has been completed, and we terminated our agreement with Argenes, Inc. Therefore, we will not generate any further revenue from these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research and development expenses consist primarily of the license fees related to our product candidates, salaries and related employee benefits, costs associated with the preclinical and clinical development of our product candidates, costs associated with non-clinical activities, such as regulatory expenses, and pre-commercialization manufacturing development activities. We use external service providers to manufacture our product candidates to be used in clinical trials and for the majority of the services performed in connection with the preclinical and clinical development of our product candidates; therefore, these research and development expenses consist substantially of external costs, such as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consist of costs of compensation and other expenses for research and development personnel, supplies, materials, facility costs and depreciation. Research and development costs are expensed as incurred or accrued based on certain contractual factors such as for estimates of work performed, milestones achieved, patient enrollment and experience with similar contracts. As actual costs become known, accruals are adjusted. To date, our estimates have not differed significantly from the actual costs incurred.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 following table summarizes our research and development expenses for the periods indicated for each of our product candidates. To the extent that costs, including personnel costs, are not tracked to a specific product development program, such costs are included in the “Unallocated” category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Product</w:t>
            </w:r>
          </w:p>
        </w:tc>
        <w:tc>
          <w:tcPr>
            <w:tcW w:w="10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5"/>
              </w:rPr>
              <w:t>Three months ended</w:t>
            </w:r>
          </w:p>
        </w:tc>
        <w:tc>
          <w:tcPr>
            <w:tcW w:w="16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00" w:type="dxa"/>
            <w:vAlign w:val="bottom"/>
            <w:gridSpan w:val="5"/>
          </w:tcPr>
          <w:p>
            <w:pPr>
              <w:jc w:val="center"/>
              <w:ind w:right="420"/>
              <w:spacing w:after="0" w:line="135" w:lineRule="exact"/>
              <w:rPr>
                <w:sz w:val="20"/>
                <w:szCs w:val="20"/>
                <w:color w:val="auto"/>
              </w:rPr>
            </w:pPr>
            <w:r>
              <w:rPr>
                <w:rFonts w:ascii="Arial" w:cs="Arial" w:eastAsia="Arial" w:hAnsi="Arial"/>
                <w:sz w:val="14"/>
                <w:szCs w:val="14"/>
                <w:b w:val="1"/>
                <w:bCs w:val="1"/>
                <w:color w:val="auto"/>
                <w:w w:val="85"/>
              </w:rPr>
              <w:t>June 30,</w:t>
            </w:r>
          </w:p>
        </w:tc>
        <w:tc>
          <w:tcPr>
            <w:tcW w:w="1600" w:type="dxa"/>
            <w:vAlign w:val="bottom"/>
            <w:gridSpan w:val="4"/>
          </w:tcPr>
          <w:p>
            <w:pPr>
              <w:jc w:val="right"/>
              <w:ind w:right="620"/>
              <w:spacing w:after="0" w:line="135"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6"/>
        </w:trPr>
        <w:tc>
          <w:tcPr>
            <w:tcW w:w="980" w:type="dxa"/>
            <w:vAlign w:val="bottom"/>
            <w:gridSpan w:val="2"/>
            <w:vMerge w:val="restart"/>
          </w:tcPr>
          <w:p>
            <w:pPr>
              <w:spacing w:after="0" w:line="141" w:lineRule="exact"/>
              <w:rPr>
                <w:sz w:val="20"/>
                <w:szCs w:val="20"/>
                <w:color w:val="auto"/>
              </w:rPr>
            </w:pPr>
            <w:r>
              <w:rPr>
                <w:rFonts w:ascii="Arial" w:cs="Arial" w:eastAsia="Arial" w:hAnsi="Arial"/>
                <w:sz w:val="14"/>
                <w:szCs w:val="14"/>
                <w:b w:val="1"/>
                <w:bCs w:val="1"/>
                <w:color w:val="auto"/>
              </w:rPr>
              <w:t>Candidate</w:t>
            </w:r>
          </w:p>
        </w:tc>
        <w:tc>
          <w:tcPr>
            <w:tcW w:w="100" w:type="dxa"/>
            <w:vAlign w:val="bottom"/>
            <w:vMerge w:val="restart"/>
          </w:tcPr>
          <w:p>
            <w:pPr>
              <w:spacing w:after="0"/>
              <w:rPr>
                <w:sz w:val="2"/>
                <w:szCs w:val="2"/>
                <w:color w:val="auto"/>
              </w:rPr>
            </w:pPr>
          </w:p>
        </w:tc>
        <w:tc>
          <w:tcPr>
            <w:tcW w:w="6840" w:type="dxa"/>
            <w:vAlign w:val="bottom"/>
            <w:gridSpan w:val="2"/>
            <w:vMerge w:val="restart"/>
          </w:tcPr>
          <w:p>
            <w:pPr>
              <w:ind w:left="2740"/>
              <w:spacing w:after="0" w:line="141" w:lineRule="exact"/>
              <w:rPr>
                <w:sz w:val="20"/>
                <w:szCs w:val="20"/>
                <w:color w:val="auto"/>
              </w:rPr>
            </w:pPr>
            <w:r>
              <w:rPr>
                <w:rFonts w:ascii="Arial" w:cs="Arial" w:eastAsia="Arial" w:hAnsi="Arial"/>
                <w:sz w:val="14"/>
                <w:szCs w:val="14"/>
                <w:b w:val="1"/>
                <w:bCs w:val="1"/>
                <w:color w:val="auto"/>
              </w:rPr>
              <w:t>Disease/Indication</w:t>
            </w: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980" w:type="dxa"/>
            <w:vAlign w:val="bottom"/>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840" w:type="dxa"/>
            <w:vAlign w:val="bottom"/>
            <w:gridSpan w:val="2"/>
            <w:vMerge w:val="continue"/>
          </w:tcPr>
          <w:p>
            <w:pPr>
              <w:spacing w:after="0"/>
              <w:rPr>
                <w:sz w:val="10"/>
                <w:szCs w:val="10"/>
                <w:color w:val="auto"/>
              </w:rPr>
            </w:pPr>
          </w:p>
        </w:tc>
        <w:tc>
          <w:tcPr>
            <w:tcW w:w="540" w:type="dxa"/>
            <w:vAlign w:val="bottom"/>
          </w:tcPr>
          <w:p>
            <w:pPr>
              <w:jc w:val="right"/>
              <w:ind w:right="57"/>
              <w:spacing w:after="0" w:line="102" w:lineRule="exact"/>
              <w:rPr>
                <w:sz w:val="20"/>
                <w:szCs w:val="20"/>
                <w:color w:val="auto"/>
              </w:rPr>
            </w:pPr>
            <w:r>
              <w:rPr>
                <w:rFonts w:ascii="Arial" w:cs="Arial" w:eastAsia="Arial" w:hAnsi="Arial"/>
                <w:sz w:val="11"/>
                <w:szCs w:val="11"/>
                <w:b w:val="1"/>
                <w:bCs w:val="1"/>
                <w:color w:val="auto"/>
              </w:rPr>
              <w:t>2011</w:t>
            </w:r>
          </w:p>
        </w:tc>
        <w:tc>
          <w:tcPr>
            <w:tcW w:w="20" w:type="dxa"/>
            <w:vAlign w:val="bottom"/>
          </w:tcPr>
          <w:p>
            <w:pPr>
              <w:spacing w:after="0"/>
              <w:rPr>
                <w:sz w:val="10"/>
                <w:szCs w:val="10"/>
                <w:color w:val="auto"/>
              </w:rPr>
            </w:pPr>
          </w:p>
        </w:tc>
        <w:tc>
          <w:tcPr>
            <w:tcW w:w="920" w:type="dxa"/>
            <w:vAlign w:val="bottom"/>
            <w:gridSpan w:val="2"/>
          </w:tcPr>
          <w:p>
            <w:pPr>
              <w:jc w:val="right"/>
              <w:ind w:right="32"/>
              <w:spacing w:after="0" w:line="102" w:lineRule="exact"/>
              <w:rPr>
                <w:sz w:val="20"/>
                <w:szCs w:val="20"/>
                <w:color w:val="auto"/>
              </w:rPr>
            </w:pPr>
            <w:r>
              <w:rPr>
                <w:rFonts w:ascii="Arial" w:cs="Arial" w:eastAsia="Arial" w:hAnsi="Arial"/>
                <w:sz w:val="11"/>
                <w:szCs w:val="11"/>
                <w:b w:val="1"/>
                <w:bCs w:val="1"/>
                <w:color w:val="auto"/>
              </w:rPr>
              <w:t>2010</w:t>
            </w:r>
          </w:p>
        </w:tc>
        <w:tc>
          <w:tcPr>
            <w:tcW w:w="420" w:type="dxa"/>
            <w:vAlign w:val="bottom"/>
          </w:tcPr>
          <w:p>
            <w:pPr>
              <w:spacing w:after="0"/>
              <w:rPr>
                <w:sz w:val="10"/>
                <w:szCs w:val="10"/>
                <w:color w:val="auto"/>
              </w:rPr>
            </w:pPr>
          </w:p>
        </w:tc>
        <w:tc>
          <w:tcPr>
            <w:tcW w:w="540" w:type="dxa"/>
            <w:vAlign w:val="bottom"/>
          </w:tcPr>
          <w:p>
            <w:pPr>
              <w:jc w:val="right"/>
              <w:ind w:right="57"/>
              <w:spacing w:after="0" w:line="102" w:lineRule="exact"/>
              <w:rPr>
                <w:sz w:val="20"/>
                <w:szCs w:val="20"/>
                <w:color w:val="auto"/>
              </w:rPr>
            </w:pPr>
            <w:r>
              <w:rPr>
                <w:rFonts w:ascii="Arial" w:cs="Arial" w:eastAsia="Arial" w:hAnsi="Arial"/>
                <w:sz w:val="11"/>
                <w:szCs w:val="11"/>
                <w:b w:val="1"/>
                <w:bCs w:val="1"/>
                <w:color w:val="auto"/>
              </w:rPr>
              <w:t>2011</w:t>
            </w:r>
          </w:p>
        </w:tc>
        <w:tc>
          <w:tcPr>
            <w:tcW w:w="420" w:type="dxa"/>
            <w:vAlign w:val="bottom"/>
          </w:tcPr>
          <w:p>
            <w:pPr>
              <w:spacing w:after="0"/>
              <w:rPr>
                <w:sz w:val="10"/>
                <w:szCs w:val="10"/>
                <w:color w:val="auto"/>
              </w:rPr>
            </w:pPr>
          </w:p>
        </w:tc>
        <w:tc>
          <w:tcPr>
            <w:tcW w:w="540" w:type="dxa"/>
            <w:vAlign w:val="bottom"/>
          </w:tcPr>
          <w:p>
            <w:pPr>
              <w:jc w:val="right"/>
              <w:ind w:right="55"/>
              <w:spacing w:after="0" w:line="102" w:lineRule="exact"/>
              <w:rPr>
                <w:sz w:val="20"/>
                <w:szCs w:val="20"/>
                <w:color w:val="auto"/>
              </w:rPr>
            </w:pPr>
            <w:r>
              <w:rPr>
                <w:rFonts w:ascii="Arial" w:cs="Arial" w:eastAsia="Arial" w:hAnsi="Arial"/>
                <w:sz w:val="11"/>
                <w:szCs w:val="11"/>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MN-221</w:t>
            </w:r>
          </w:p>
        </w:tc>
        <w:tc>
          <w:tcPr>
            <w:tcW w:w="10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Acute exacerbations of asthma/ COPD</w:t>
            </w: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$ 1,487</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$ 1,710</w:t>
            </w: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$ 3,432</w:t>
            </w: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$ 4,044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MN-166</w:t>
            </w:r>
          </w:p>
        </w:tc>
        <w:tc>
          <w:tcPr>
            <w:tcW w:w="6940" w:type="dxa"/>
            <w:vAlign w:val="bottom"/>
            <w:gridSpan w:val="3"/>
          </w:tcPr>
          <w:p>
            <w:pPr>
              <w:ind w:left="100"/>
              <w:spacing w:after="0"/>
              <w:rPr>
                <w:sz w:val="20"/>
                <w:szCs w:val="20"/>
                <w:color w:val="auto"/>
              </w:rPr>
            </w:pPr>
            <w:r>
              <w:rPr>
                <w:rFonts w:ascii="Arial" w:cs="Arial" w:eastAsia="Arial" w:hAnsi="Arial"/>
                <w:sz w:val="18"/>
                <w:szCs w:val="18"/>
                <w:color w:val="auto"/>
              </w:rPr>
              <w:t>Multiple sclerosis/other CNS disorders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4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389</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6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Bronchial asthma</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MN-001</w:t>
            </w:r>
          </w:p>
        </w:tc>
        <w:tc>
          <w:tcPr>
            <w:tcW w:w="6940" w:type="dxa"/>
            <w:vAlign w:val="bottom"/>
            <w:gridSpan w:val="3"/>
          </w:tcPr>
          <w:p>
            <w:pPr>
              <w:ind w:left="100"/>
              <w:spacing w:after="0"/>
              <w:rPr>
                <w:sz w:val="20"/>
                <w:szCs w:val="20"/>
                <w:color w:val="auto"/>
              </w:rPr>
            </w:pPr>
            <w:r>
              <w:rPr>
                <w:rFonts w:ascii="Arial" w:cs="Arial" w:eastAsia="Arial" w:hAnsi="Arial"/>
                <w:sz w:val="18"/>
                <w:szCs w:val="18"/>
                <w:color w:val="auto"/>
              </w:rPr>
              <w:t>Interstitial cystitis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16</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6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Solid tumors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MN-305</w:t>
            </w:r>
          </w:p>
        </w:tc>
        <w:tc>
          <w:tcPr>
            <w:tcW w:w="6940" w:type="dxa"/>
            <w:vAlign w:val="bottom"/>
            <w:gridSpan w:val="3"/>
          </w:tcPr>
          <w:p>
            <w:pPr>
              <w:ind w:left="100"/>
              <w:spacing w:after="0"/>
              <w:rPr>
                <w:sz w:val="20"/>
                <w:szCs w:val="20"/>
                <w:color w:val="auto"/>
              </w:rPr>
            </w:pPr>
            <w:r>
              <w:rPr>
                <w:rFonts w:ascii="Arial" w:cs="Arial" w:eastAsia="Arial" w:hAnsi="Arial"/>
                <w:sz w:val="18"/>
                <w:szCs w:val="18"/>
                <w:color w:val="auto"/>
              </w:rPr>
              <w:t>Generalized Anxiety Disorder/insomnia</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6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Preterm labor</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MN-246</w:t>
            </w:r>
          </w:p>
        </w:tc>
        <w:tc>
          <w:tcPr>
            <w:tcW w:w="6940" w:type="dxa"/>
            <w:vAlign w:val="bottom"/>
            <w:gridSpan w:val="3"/>
          </w:tcPr>
          <w:p>
            <w:pPr>
              <w:ind w:left="100"/>
              <w:spacing w:after="0"/>
              <w:rPr>
                <w:sz w:val="20"/>
                <w:szCs w:val="20"/>
                <w:color w:val="auto"/>
              </w:rPr>
            </w:pPr>
            <w:r>
              <w:rPr>
                <w:rFonts w:ascii="Arial" w:cs="Arial" w:eastAsia="Arial" w:hAnsi="Arial"/>
                <w:sz w:val="18"/>
                <w:szCs w:val="18"/>
                <w:color w:val="auto"/>
              </w:rPr>
              <w:t>Urinary incontinence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(18)</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MN-447</w:t>
            </w:r>
          </w:p>
        </w:tc>
        <w:tc>
          <w:tcPr>
            <w:tcW w:w="6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Thrombotic disorders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MN-462</w:t>
            </w:r>
          </w:p>
        </w:tc>
        <w:tc>
          <w:tcPr>
            <w:tcW w:w="6940" w:type="dxa"/>
            <w:vAlign w:val="bottom"/>
            <w:gridSpan w:val="3"/>
          </w:tcPr>
          <w:p>
            <w:pPr>
              <w:ind w:left="100"/>
              <w:spacing w:after="0"/>
              <w:rPr>
                <w:sz w:val="20"/>
                <w:szCs w:val="20"/>
                <w:color w:val="auto"/>
              </w:rPr>
            </w:pPr>
            <w:r>
              <w:rPr>
                <w:rFonts w:ascii="Arial" w:cs="Arial" w:eastAsia="Arial" w:hAnsi="Arial"/>
                <w:sz w:val="18"/>
                <w:szCs w:val="18"/>
                <w:color w:val="auto"/>
              </w:rPr>
              <w:t>Thrombotic disorders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w:t>
            </w:r>
          </w:p>
        </w:tc>
        <w:tc>
          <w:tcPr>
            <w:tcW w:w="100" w:type="dxa"/>
            <w:vAlign w:val="bottom"/>
            <w:shd w:val="clear" w:color="auto" w:fill="CCEEFF"/>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
        </w:trPr>
        <w:tc>
          <w:tcPr>
            <w:tcW w:w="7920" w:type="dxa"/>
            <w:vAlign w:val="bottom"/>
            <w:gridSpan w:val="5"/>
            <w:vMerge w:val="restart"/>
          </w:tcPr>
          <w:p>
            <w:pPr>
              <w:spacing w:after="0"/>
              <w:rPr>
                <w:sz w:val="20"/>
                <w:szCs w:val="20"/>
                <w:color w:val="auto"/>
              </w:rPr>
            </w:pPr>
            <w:r>
              <w:rPr>
                <w:rFonts w:ascii="Arial" w:cs="Arial" w:eastAsia="Arial" w:hAnsi="Arial"/>
                <w:sz w:val="18"/>
                <w:szCs w:val="18"/>
                <w:color w:val="auto"/>
              </w:rPr>
              <w:t>Total research and development</w:t>
            </w: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20" w:type="dxa"/>
            <w:vAlign w:val="bottom"/>
            <w:gridSpan w:val="5"/>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$ 2,040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$ 2,305</w:t>
            </w:r>
          </w:p>
        </w:tc>
        <w:tc>
          <w:tcPr>
            <w:tcW w:w="42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$ 4,664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$ 5,254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of the end of the second quarter of 2007, we determined to focus our resources on the development of our two prioritized product candidates, MN-221 for the treatment of acute exacerbations of asthma and MN-166 for the treatment of MS. In the third quarter of 2009, we determined to expand the product development program for MN-221 to evaluate MN-221 for the treatment of COPD exacerbations. In the second quarter of 2008 we completed the Phase 2 clinical trial of MN-166 ibudilast for the treatment of MS and in December 2009, through the Avigen acquisition, we acquired AV411 ibudilast for the treatment of other CNS disorders. We continue to work on combing the two ibudilast-based development programs and we are pursuing discussions with potential partners to secure a strategic collaboration. As such, we do not plan to undertake any further significant clinical development of MN-166/AV411 until such time that we secure a strategic collaboration to advance the combined ibudilast-based development program. We anticipate that our research and development expenses will increase with respect to MN-221 over the next two quarters as we strive to complete the current clinical trial, MN-221 CL-007, which is set in the ER. In addition, with respect to MN-166/AV411, in future periods, we will limit expenditures on this product candidate to those development activities deemed necessary, if any, to maximize its value for purposes of securing a partner for clinical development.</w:t>
      </w:r>
    </w:p>
    <w:p>
      <w:pPr>
        <w:spacing w:after="0" w:line="12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Following the last protocol amendment change to MN-221-CL-007 in 2010, we are experiencing a higher average enrollment rate for the quarter over last year’s average enrollment rate for the quarter. While we anticipate enrolling the last patient in this study by the end of 2011, due to the risks inherent in the clinical development process and given that this study is set in the ER, we are unable to estimate with certainty the costs that we will incur in the continued development of such product candidate and that we will complete this study as expected.</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will continue to limit our expenditures on the remainder of our existing product candidates to only those activities deemed necessary to maintain our license rights or maximize the value of such product candidates, if any, while pursuing a variety of initiatives to monetize such product candidates on appropriate terms. As a result, we expect that research and development expenses will decrease or otherwise remain low for the remainder of our existing product candidates in future periods.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general and administrative expenses primarily consist of salaries, benefits and consulting and professional fees related to our administrative, finance, human resources, business development, legal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information systems support functions. In addition, general and administrative expenses include facilities and insurance costs. General and administrative costs are expensed as incurred or accrued based on monitoring the status of the specified project, contractual factors such as milestones or retainer fees, services provided and invoices received. As actual costs become known to us, we adjust our accruals. To date, general and administrative accruals have not differed significantly from the actual costs incurred.</w:t>
      </w:r>
    </w:p>
    <w:p>
      <w:pPr>
        <w:spacing w:after="0" w:line="14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anticipate that our general and administrative expenses may increase in future periods if we are required to expand our infrastructure based on the success of our current prioritized product development programs and in raising capital to support those and other development programs or otherwise in connection with increased business development activities related to partnering, out-licensing or disposition of our product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 and ARS Put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investment securities had consisted of auction rate securities, or ARS, all of which had AAA ratings at the time of original purchase. ARS are generally long-term debt instruments that historically have provided liquidity through a “Dutch” auction process that resets the applicable interest rate at predetermined calendar intervals, typically seven, 28, 35 or 49 days. All of our ARS principally represent insurance notes and portfolios of securities (primarily commercial paper).</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Certain of our ARS were subject to a settlement in which we received the right to sell back certain of our ARS at par value at any time during the period beginning June 30, 2010 and ending July 2, 2012 and we were offered a no net cost loan program, or ARS Loan, whereby the interest cost would not exceed the interest being paid on the underlying ARS investments.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2010, we no longer held any investment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Write-off of Debt Related Costs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Oxford loan had an original maturity of July 31, 2013, assuming certain affirmative covenants were met as of March 31, 2011. To preserve cash by saving on future interest payments, we negotiated with Oxford early repayment of the loan in-full on April 1, 2011, wherein the prepayment penalty of $437,000 was waived. In recording the loan repayment, we wrote off the unamortized debt discount and debt issuance costs related to the loan, which resulted in a total write-off of approximately $0.5 million being recorded in our statement of operations during the three and six months ended June 30,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Loss/(Gain)</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To date, we have conducted most of our clinical trials in the United States. However, the Phase 2 clinical trial for MN-166 for the treatment of MS that completed in 2008 was conducted in Eastern Europe and the on-going Phase 2 clinical trial in MN-221 for the treatment of acute exacerbations of asthma, had a few clinical sites located in Australia and New Zealand in which certain of the invoices were denominated the Australian dollar and New Zealand dollar, respectively. In addition, we have certain investor relation invoices denominated in Japanese Yen and we have certain manufacturing invoices denominated in British Pound. At this time, we have not established a hedging program to mitigate our foreign exchange exposure. Foreign exchange gain/loss is based on the difference between the exchange rate at the settlement date and the exchange rate at the balance sheet date for the respective foreign currency invoice.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 consisted of accretion related to the convertible notes and the amortization of debt issuance costs paid to third parties.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Interest expense consisted of interest charged on our ARS Loan, interest charged on our long-term debt based on the effective interest method and amortization of debt discount.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consists of interest earned on our cash, cash equivalents and investment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 consolidated financial statements requires us to make estimates and judgments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to be reasonable under the circumstances, the results of which form the basis for making judgments about the carrying values of assets and liabilities. Actual results may differ from these estimates under different assumptions or conditions. Our critical accounting policies and estimates are the same as those noted in our Annual Report on Form 10-K for the year ended December 31, 2010, as filed with the SEC on March 31, 2011.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June 2011, the Financial Accounting Standards Board, or FASB, issued an accounting standard regarding comprehensive income. This recently issued accounting standard (1) eliminates the option to present the components of other comprehensive income as part of the statement of changes in stockholders’ equity; (2) requires the consecutive presentation of the statement of net income and other comprehensive income; and (3) requires an entity to present reclassification adjustments on the face of the financial statements from other comprehensive income to net income. The amendments in this ASU do not change the items that must be reported in other comprehensive income or when an item of other comprehensive income must be reclassified to net income nor do the amendments affect how earnings per share is calculated or presented. This ASU is required to be applied retrospectively and is effective for fiscal years and interim periods within those years beginning after December 15, 2011. We will adopt this standard in January 2012. As this accounting standard only requires enhanced disclosure, the adoption of this standard will not impact our financial position or results of operations.</w:t>
      </w:r>
    </w:p>
    <w:p>
      <w:pPr>
        <w:spacing w:after="0" w:line="11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May 2011, the FASB issued clarification regarding fair value measurements. This recently issued accounting standard clarifies the application of certain existing fair value measurement guidance and expands the disclosures for fair value measurements that are estimated using significant unobservable</w:t>
      </w:r>
    </w:p>
    <w:p>
      <w:pPr>
        <w:ind w:right="180"/>
        <w:spacing w:after="0" w:line="323" w:lineRule="auto"/>
        <w:rPr>
          <w:sz w:val="20"/>
          <w:szCs w:val="20"/>
          <w:color w:val="auto"/>
        </w:rPr>
      </w:pPr>
      <w:r>
        <w:rPr>
          <w:rFonts w:ascii="Arial" w:cs="Arial" w:eastAsia="Arial" w:hAnsi="Arial"/>
          <w:sz w:val="16"/>
          <w:szCs w:val="16"/>
          <w:color w:val="auto"/>
        </w:rPr>
        <w:t>(Level 3) inputs. This ASU is effective on a prospective basis for annual and interim reporting periods beginning on or after December 15, 2011. We will adopt this standard in January 2012. We do not expect that adoption of this standard will have a material impact on our financial position or results of operations.</w:t>
      </w:r>
    </w:p>
    <w:p>
      <w:pPr>
        <w:spacing w:after="0" w:line="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December 2010, the FASB issued updated guidance related goodwill impairment testing. This guidance requires an entity to use an equity premise when performing the first step of a goodwill impairment test and if a reporting unit has a zero or negative carrying amount, the entity must assess and consider qualitative factors and whether it is more likely than not that a goodwill impairment exists. The second step continues to compare the carrying amount of the reporting unit’s goodwill to its implied fair value. The guidance is effective for public entities, for impairment tests performed during entities’ fiscal years (and interim periods within those years) that begin after December 15, 2010. We adopted the updated guidance in January 2011 and using the transitional approach we determined not to perform an interim goodwill impairment test given that we operate as one reporting segment and did not have a zero or negative carrying amount. We will continue to monitor our stock price and equity and assess qualitative factors. However, should our stock price continue to decline, possible impairment of goodwill could have a material impact on our consolidated financial statements.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2011 and 2010</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three months ended June 30, 2011 or June 30, 2010.</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Research and development expenses for the three months ended June 30, 2011 were $2.0 million, a decrease of $0.3 million when compared to $2.3 million for the three months ended June 30, 2010. This decrease in research and development expenses was primarily due to a decrease of $0.2 million in spending on our prioritized asset MN-221 for the treatment of acute exacerbations of asthma and COPD due primarily to the completion of the COPD and bioavailability clinical trials in 2010, offset by an increase MN-221 CL007 clinical trial expenses due to an increase in patient enrollment over prior year’s quarter and a decrease of $0.1 in unallocated personnel costs primarily due to a reduction in headcount.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General and administrative expenses were $1.7 million for the three months ended June 30, 2011, a decrease of $0.1 million when compared to $1.8 million for the three months ended June 30, 2010. This decrease in general and administrative expenses was due primarily to a decrease of $0.3 million in stock based compensation expense due to employee terminations, offset by a $0.2 million increase in professional fees due primarily to the Chinese JV agreement.</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Write-off of Debt Related Costs</w:t>
      </w:r>
    </w:p>
    <w:p>
      <w:pPr>
        <w:spacing w:after="0" w:line="90"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Write-off of debt related costs for the three months ended June 30, 2011 was $494,000, as compared to no write-off of debt related costs for the three months ended June 30, 2010. In April 2011, pursuant to the early repayment of our debt with Oxford, we wrote-off the unamortized debt discount and debt issuance costs related to the debt.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Charge/Gain, net, on Investment Securities</w:t>
      </w:r>
    </w:p>
    <w:p>
      <w:pPr>
        <w:spacing w:after="0" w:line="90" w:lineRule="exact"/>
        <w:rPr>
          <w:sz w:val="20"/>
          <w:szCs w:val="20"/>
          <w:color w:val="auto"/>
        </w:rPr>
      </w:pPr>
    </w:p>
    <w:p>
      <w:pPr>
        <w:jc w:val="both"/>
        <w:ind w:right="520" w:firstLine="456"/>
        <w:spacing w:after="0" w:line="332" w:lineRule="auto"/>
        <w:rPr>
          <w:sz w:val="20"/>
          <w:szCs w:val="20"/>
          <w:color w:val="auto"/>
        </w:rPr>
      </w:pPr>
      <w:r>
        <w:rPr>
          <w:rFonts w:ascii="Arial" w:cs="Arial" w:eastAsia="Arial" w:hAnsi="Arial"/>
          <w:sz w:val="16"/>
          <w:szCs w:val="16"/>
          <w:color w:val="auto"/>
        </w:rPr>
        <w:t>There was no impairment charge or gain on investment securities for the three months ended June 30, 2011, as compared to a net gain on investment securities of $64,000 for the three months ended June 30, 2010. In 2011 we no longer held any investment securities.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 Loss/Gain</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Foreign exchange loss for the three months ended June 30, 2011 was $200, as compared to a foreign exchange gain of $2,000 for the three months ended June 30, 2010. The foreign exchange loss in the current quarter was a result of the revaluation of Japanese yen-denominated liabilities, whereas in the second quarter of 2010, the revaluation of the Japanese yen-denominated liabilities resulted in a foreign exchange gain.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Expense</w:t>
      </w:r>
    </w:p>
    <w:p>
      <w:pPr>
        <w:spacing w:after="0" w:line="90"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Other expense for the three months ended June 30, 2011 was $31,000, as compared to $43,000 for the three months ended June 30, 2010. For the second quarter of 2011, other expense consists only of accretion related to the convertible notes as our debt with Oxford was repaid on April 1. In the second quarter of 2010, other expense related to both accretion on the convertible notes and amortization of debt issuance costs paid to third parties related to the long-term debt.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Interest expense for the three months ended June 30, 2011 was $450,000, as compared to $406,000 for the three months ended June 30, 2010. The increase in interest expense was due to the payment of the deferred interest upon repayment of our debt with Oxford. In 2010, interest expense was comprised of interest charged on the debt using the effective interest method and interest charged on the ARS Loan which was repaid in 2010.</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Other income for the three months ended June 30, 2011 was $16,000, as compared to $201,000 for the three months ended June 30, 2010. The decrease is due to a decrease in interest income due to a lower yield earned on invested balances as we converted higher yielding investment securities into cash and cash equivalents, which were invested in money market funds to preserve liquidity and principal.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2011 and 2010</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six months ended June 30, 2011 or June 30, 2010.</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Research and development expenses for the six months ended June 30, 2011 were $4.7 million, a decrease of $0.6 million when compared to $5.3 million for the six months ended June 30, 2010. This decrease in research and development expenses was primarily due to a decrease of $0.6 million in spending on our prioritized asset MN-221 for the treatment of acute exacerbations of asthma and COPD due the completion of the COPD and bioavailability clinical trials and less drug manufacturing costs, offset by increased clinical trial costs in our on-going MN-221-CL-007 clinical trial due to higher enrollment in the study, as compared to the study’s enrollment in the prior year.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General and administrative expenses were $4.0 million for the six months ended June 30, 2011, a decrease of $0.1 million when compared to $4.1 million for the six months ended June 30, 2010. This decrease in general and administrative expenses of $0.1 million was due primarily to a decrease in stock-based compensation expense due to a reduction in headcount, offset by an increase in professional fees related to the financing transactions and the China JV agreement.</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Write-off of Debt Related Costs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Write-off of debt related costs for the six months ended June 30, 2011 was $494,000, as compared to no write-off of debt related costs for the six months ended June 30, 2010. In April 2011, pursuant to the early repayment of our debt with Oxford, we wrote-off the unamortized debt discount and debt issuance costs related to the debt.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Charge/Gain, net, on Investment Securities</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There was no impairment charge or gain on investment securities for the six months ended June 30, 2011, as compared to a net gain on investment securities of $57,000 for the six months ended June 30, 2010. In 2011 we no longer held any investment securities.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 Loss/Gain</w:t>
      </w:r>
    </w:p>
    <w:p>
      <w:pPr>
        <w:spacing w:after="0" w:line="9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Foreign exchange gain for the six months ended June 30, 2011 was $200, as compared to a foreign exchange loss of $2,000 for the six months ended June 30, 2010. The foreign exchange gain/loss for the six months ended June 30, 2011 and 2010 relate to the remeasurement of foreign payables.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Expense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Other expense for the six months ended June 30, 2011 was $84,000, as compared to $75,000 for the six months ended June 30, 2010. Other expense relates to accretion on the convertible notes and amortization of debt issuance costs paid to third parties. The increase is due to a longer amortization period in 2011 as the debt was procured in May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Interest expense for the six months ended June 30, 2011 was $1.1 million, as compared to $450,000 for the six months ended June 30, 2010. The increase in interest expense was due to the lump-sum payment of the deferred interest in April upon repayment of our debt with Oxford, whereas in 2010 interest expense was comprised on interest expense on the debt, derived under the effective interest method, and interest paid on our ARS Loan in which was repaid in the third quarter of 2010.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Other income for the six months ended June 30, 2011 was $42,000, as compared to $362,000 for the six months ended June 30, 2010. The decrease is due to a decrease in interest income due to a lower yield earned on invested balances as we converted higher yielding investment securities into cash and cash equivalents, which were invested in money market funds to preserve liquidity and principal.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incurred losses of $4,681,348 and $10,337,078 for the three and six months ended June 30, 2011 and we have incurred losses of $20,187,308,</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$20,368,890 and $21,924,829 for the years ended December 31, 2010, 2009, and 2008 respectively. We have an accumulated deficit of $277,875,484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2011. Additionally, we have used net cash of $9,384,326, $17,698,079, $17,014,162 and $21,118,380 to fund our operating activities for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ended June 30, 2011 and for the years ended December 31, 2010, 2009, and 2008, respectively</w:t>
      </w:r>
      <w:r>
        <w:rPr>
          <w:rFonts w:ascii="Arial" w:cs="Arial" w:eastAsia="Arial" w:hAnsi="Arial"/>
          <w:sz w:val="15"/>
          <w:szCs w:val="15"/>
          <w:b w:val="1"/>
          <w:bCs w:val="1"/>
          <w:color w:val="auto"/>
        </w:rPr>
        <w:t>.</w:t>
      </w:r>
      <w:r>
        <w:rPr>
          <w:rFonts w:ascii="Arial" w:cs="Arial" w:eastAsia="Arial" w:hAnsi="Arial"/>
          <w:sz w:val="15"/>
          <w:szCs w:val="15"/>
          <w:color w:val="auto"/>
        </w:rPr>
        <w:t xml:space="preserve"> To date these operating losses have been funded primarily through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private placement of our equity securities, the public sale of our common stock, debt, the conversion of convertible notes to our common stock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exercise of founders’ warrants, net of treasury stock repurchases.</w:t>
      </w:r>
    </w:p>
    <w:p>
      <w:pPr>
        <w:spacing w:after="0" w:line="16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 a development stage company, we have consumed substantial amounts of capital since our inception. We do not have any material commitments for capital expenditures; however, we have an on-going 200 patient Phase 2 clinical trial (MN-221-CL-007) for which we expect to complete enrollment by the end of 2011. Our clinical studies are administered by third-party CROs and there is a significant degree of estimation involved in quantifying the expense associated with clinical trial activity. We accrue costs for work performed by CROs based on the achievement of contracted milestone activities and on internal estimates of activities using patient enrollment and contractual or estimated rates during the period. If we do not receive complete and accurate information from the CRO or third parties on a timely basis or correctly estimate the outcome of contract negotiations, activity levels and the enrollment rate, this could potentially impact R&amp;D expense and cash payments in subsequent periods.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had, and continue to have, an ongoing need to raise additional cash from outside sources to fund our operations. We have an established history of raising capital through equity and debt, and we are currently involved in discussions with multiple parties. In March 2011, we raised approximately $7.9 million in net proceeds from a firm underwritten public offering in which we offered 2,750,000 units, with each unit consisting of one share of common stock and a warrant to purchase one share of common stock. The purchase price for each unit was $3.00 and each warrant has an exercise price of $3.56 per share. In addition, in March 2011, the underwriter exercised 50,666 units of its 412,500 unit overallotment. Our current cash and cash equivalents, along with the proceeds from this offering, are our principal sources of liquidity as the convertible notes expired on June 18, 2011 and we have released all of our restricted assets to the respective noteholders. In May 2011, we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entered into an at-the-market issuance sales agreement, with a sales agent, pursuant to which we may issue and sell shares of our common stock having an aggregate offering price of up to $15.0 million from time to time through the sales agent, subject to the effectiveness of our shelf registration statement on Form S-3, initially filed with the Securities and Exchange Commission on November 13, 2009. Our business will continue to require us to incur substantial research and development.</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Although there can be no assurance given, we hope to successfully complete one or more additional financing transactions and/or corporate partnerships in the near-term; otherwise, we will not have sufficient cash or other liquidity to fund our operations as currently conducted and staffed for the following 12 months which raises substantial doubt as to our ability to continue as a going concern. The accompanying consolidated financial statements have been prepared assuming that we will continue as a going concern. If we are unsuccessful in our efforts to raise outside capital in the immediate near term through our effective S-3 shelf registration and/or our discussions with potential strategic partners, we will be required to delay, reduce the scope of or terminate one or more of our product development programs and relinquish some or even all rights to product candidates. In parallel, we would be required to implement another RIF, implement additional cost reduction measures related to compensation and employee benefits, and reduce our professional fees and our travel spending to minimize operating costs, to offset the lack of available funding.</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while at the same time maximizing the income we receive without significantly increasing risk. Our risk associated with fluctuating interest rates is limited to our investments in interest rate sensitive financial instruments. Under our current policies,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 Declines in interest rates over time, however, will reduce our interest income, while increases in interest rates over time will increase our interest income.</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Cash and cash equivalents as of June 30, 2011 were $11.9 million and were primarily invested in money market interest bearing accounts and money market funds. A hypothetical 10% adverse change in the average interest rate on our money market cash investments and short-term investments would have had no material effect on net income for the year ended June 30, 2011.</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pursuant to the Securities Exchange Act of 1934, as amended, or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March 3, 2011, we received a legal letter from a former employee who had been terminated in January 2011 pursuant to our planned reduction-in-force to save costs. The legal letter did not assert a claim outright; however, there were allegations made in the legal letter that could threaten litigation against us. We have engaged legal counsel in connection with the possibility of a lawsuit given this legal letter and the fact that this former employee’s separation agreement has expired. Given the inherent uncertainty and unpredictability of litigation and due to the status of this legal action, no range of loss or possible loss can be reasonably estimated. However, we do not expect the outcome of this matter to have a material adverse effect on our consolidated financial statements.</w:t>
      </w:r>
    </w:p>
    <w:p>
      <w:pPr>
        <w:spacing w:after="0" w:line="11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Quarterly Report on Form 10-Q and our other public filings with the SEC. Other events that we do not currently anticipate or that we currently deem immaterial may also affect our results of operations and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expect that we will incur continued losses for the foreseeable future.</w:t>
      </w:r>
    </w:p>
    <w:p>
      <w:pPr>
        <w:spacing w:after="0" w:line="113" w:lineRule="exact"/>
        <w:rPr>
          <w:sz w:val="20"/>
          <w:szCs w:val="20"/>
          <w:color w:val="auto"/>
        </w:rPr>
      </w:pPr>
    </w:p>
    <w:p>
      <w:pPr>
        <w:jc w:val="both"/>
        <w:ind w:right="120" w:firstLine="456"/>
        <w:spacing w:after="0" w:line="323" w:lineRule="auto"/>
        <w:rPr>
          <w:sz w:val="20"/>
          <w:szCs w:val="20"/>
          <w:color w:val="auto"/>
        </w:rPr>
      </w:pPr>
      <w:r>
        <w:rPr>
          <w:rFonts w:ascii="Arial" w:cs="Arial" w:eastAsia="Arial" w:hAnsi="Arial"/>
          <w:sz w:val="15"/>
          <w:szCs w:val="15"/>
          <w:color w:val="auto"/>
        </w:rPr>
        <w:t>We are a development stage biopharmaceutical company with a limited operating history. We have incurred significant net losses since our inception. For the three and six months ended June 30, 2011, we had a net loss of $4.7 million and $10.3 million, respectively, and our accumulated deficit was approximately $277.9 million. If we are successful in securing a strategic collaboration or in raising additional capital to support the expansion of our business, our annual net losses may increase over the next several years as we expand our infrastructure and incur significant costs related to the development of our product candidates.</w:t>
      </w:r>
    </w:p>
    <w:p>
      <w:pPr>
        <w:spacing w:after="0" w:line="98"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If we have taxable income in the future, utilization of the net operating losses, or NOL, and tax credit carryforwards will be subject to a substantial annual limitation under Section 382 and 383 of the Internal Revenue Code of 1986, and similar state provisions due to ownership change limitations that have occurred. These ownership changes will limit the amount of NOL and tax credit carryforwards that can be utilized to offset future taxable income and tax, respectively.</w:t>
      </w:r>
    </w:p>
    <w:p>
      <w:pPr>
        <w:spacing w:after="0" w:line="88"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believe our existing cash and cash equivalents at June 30, 2011 will be sufficient to fund our forecasted research and development expenses and our fixed obligations over the next 12 months. However, we will need to successfully complete one or more additional financing transactions and/or corporate partnerships in the near-term; otherwise, we will not have sufficient cash or other liquidity to fund our operations as currently conducted and staffed for the following 12 months which raises doubt as to our ability to continue as a going concern.</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These assumptions may prove to be wrong, and we could spend our available financial resources before we complete the clinical trial. Our future capital requirements will also depend on many factors, including:</w:t>
      </w:r>
    </w:p>
    <w:p>
      <w:pPr>
        <w:spacing w:after="0" w:line="51" w:lineRule="exact"/>
        <w:rPr>
          <w:sz w:val="20"/>
          <w:szCs w:val="20"/>
          <w:color w:val="auto"/>
        </w:rPr>
      </w:pPr>
    </w:p>
    <w:p>
      <w:pPr>
        <w:ind w:left="5620" w:right="3140" w:hanging="5166"/>
        <w:spacing w:after="0" w:line="440" w:lineRule="auto"/>
        <w:tabs>
          <w:tab w:leader="none" w:pos="8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 29</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 and to complete acquisitions of additional product candidates;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expanding our management, personnel, systems and facilities;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9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expect our research and development expenses to increase in connection with ongoing and planned clinical trials primarily related to MN-221 for the treatment of acute exacerbations of asthma and COPD exacerbations, and any other development activities that it may initiate. In addition, our general and administrative expenses may increase in future periods as a result of several factors, including our research and development activities, our business development activities and any expansions in our infrastructure related to such activities. Consequently, we expect to continue to incur significant and increasing operating losses for the foreseeable future. Because of the numerous risks and uncertainties associated with developing drug products, we are unable to predict the extent of any future losses or when we will become profitable, if at all.</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1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have consumed substantial amounts of capital since our inception. From our inception to June 30, 2011, we had an accumulated deficit of $277.9 million. Our cash and cash equivalents were approximately $11.9 million at June 30, 2011.</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business will continue to require us to incur substantial research and development expenses and we do not expect to be able to fund these expenses solely from upfront cash or milestones from collaborations or strategic alliances. As such we may be required to raise capital from one or more sources in the near term to continue our operations at or close to the levels currently conducted. We believe that without raising additional capital soon from accessible sources of financings, we will not otherwise have adequate funding to complete the development of MN-221 including pivotal clinical trials or the commercialization of any products we successfully develop. There is no guarantee that adequate funds will be available when needed from additional debt or equity financing, arrangements with partners, or from other sources, or on terms attractive to us. The inability to obtain sufficient additional funds when needed to fund our operations would require us to significantly delay, scale back, or eliminate some or all of our clinical or regulatory activities, further reduce general and administrative expenses and have a substantial negative effect on our results of operations and financial condition.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51" w:lineRule="exact"/>
        <w:rPr>
          <w:sz w:val="20"/>
          <w:szCs w:val="20"/>
          <w:color w:val="auto"/>
        </w:rPr>
      </w:pPr>
    </w:p>
    <w:p>
      <w:pPr>
        <w:ind w:right="140" w:firstLine="456"/>
        <w:spacing w:after="0" w:line="309" w:lineRule="auto"/>
        <w:rPr>
          <w:sz w:val="20"/>
          <w:szCs w:val="20"/>
          <w:color w:val="auto"/>
        </w:rPr>
      </w:pPr>
      <w:r>
        <w:rPr>
          <w:rFonts w:ascii="Arial" w:cs="Arial" w:eastAsia="Arial" w:hAnsi="Arial"/>
          <w:sz w:val="15"/>
          <w:szCs w:val="15"/>
          <w:color w:val="auto"/>
        </w:rPr>
        <w:t>To date, we have funded our operations primarily from sales of our securities and, to a lesser extent, debt financing. We have not received, and do not expect to receive for at least the next several years, if at all, any revenues from the commercialization of our product candidates. Our only source of revenues since inception has been from development management services rendered to Asahi Kasei Pharma Corporation and Argenes, Inc., both Japanese pharmaceutical companies, in connection with their clinical development of pharmaceutical product candidates. We completed our agreement with Asahi Kasei Pharma Corporation and terminated our agreement with Argenes, Inc.; therefore, we will not generate any further revenues from these agreements. We anticipate that, prior to our commercialization of a product candidate, out-licensing upfront and milestone payments will be our primary source of revenue if we can enter into collaborations, strategic alliances or other agreements that would provide us with such revenues.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and maintain profitability.</w:t>
      </w:r>
    </w:p>
    <w:p>
      <w:pPr>
        <w:spacing w:after="0" w:line="18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are largely dependent on the success of our two prioritized product candidates, MN-221 and MN-166/AV411, and we cannot be certain that either of these product candidates will receive regulatory approval or be successfully commercialized.</w:t>
      </w:r>
    </w:p>
    <w:p>
      <w:pPr>
        <w:spacing w:after="0" w:line="5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We currently have no products for sale, and we cannot guarantee that we will ever have any drug products approved for sale. The research, testing, manufacturing, labeling, approval, selling, marketing and distribution of drug products are subject to extensive regulation by the FDA and comparable regulatory authorities in other countries. We are not permitted to market any of our product candidates in the United States until we submit and receive approval of a New Drug Application, or NDA, for a product candidate from the FDA or its foreign equivalent from a foreign regulatory authority. Obtaining FDA approval is a lengthy, expensive and uncertain process. We currently have two prioritized product candidates, MN-221 for the treatment of acute exacerbations of asthma and COPD exacerbations and MN-166/AV411, a combined ibudilast product development program covering MS and other CNS disorders, and the success of our business currently depends on their successful development and commercialization. Neither of these product candidates has completed the clinical development process; therefore, we have not submitted an NDA or foreign equivalent or received marketing approval for either of these two prioritized product candidates. In addition, we are not currently planning to fund any further significant clinical development of MN-166/AV411 until such time that we are able to secure a strategic collaboration to advance the combined development programs, which may delay or impede the process of completing clinical trials and seeking regulatory approval for this product candidate. We also cannot assure you that we will be able to secure such a strategic collaboration on attractive financial and other terms, or at all.</w:t>
      </w:r>
    </w:p>
    <w:p>
      <w:pPr>
        <w:spacing w:after="0" w:line="12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clinical development programs for MN-221 and MN-166/AV411 may not lead to commercial products for a number of reasons, including our clinical trials’ failure to demonstrate to the FDA’s satisfaction that these product candidates are safe and effective or our failure to obtain necessary approvals from the FDA or similar foreign regulatory authorities for any reason.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either MN-221 or MN-166/AV411 in a timely manner would have a material and adverse impact on our business and our stock price.</w:t>
      </w:r>
    </w:p>
    <w:p>
      <w:pPr>
        <w:spacing w:after="0" w:line="20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or terminated at any time.</w:t>
      </w:r>
    </w:p>
    <w:p>
      <w:pPr>
        <w:spacing w:after="0" w:line="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product candidates are subject to extensive government regulations related to development, clinical trials, manufacturing and commercialization. The process of obtaining FDA and other regulatory approvals is costly, time-consuming, uncertain and subject to unanticipated delays. To receive regulatory approval for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commercial sale of any of our product candidates, we must conduct, at our own expense, adequate and well-controlled clinical trials in human patients to demonstrate the efficacy and safety of the product candidate. Clinical testing is expensive, takes many years and has an uncertain outcome. To date, we have obtained regulatory authorization to conduct clinical trials for eight of our product development programs. Investigational New Drug Applications, or INDs, were approved by the FDA and are active for seven of our product candidates. We also have obtained Clinical Trial Authorizations, or CTAs, for the ongoing Phase 2 clinical trial for MN-221 in Canada, Australia and New Zealand. Through the acquisition of Avigen, we have assumed responsibility for AV411 clinical trials including one active IND for neuropathic pain and cross-reference and drug product support of the NIDA-funded opioid withdrawal investigator-initiated IND with Columbia University drug addiction clinical researchers. In the third quarter of 2010, a NIDA-funded investigator-initiated IND with University of California Los Angeles was given approval by the FDA to proceed with an initial trial of our neurological drug candidate, ibudilast (MN-166/AV411), as a potential new pharmacotherapy for methamphetamine addiction. The study will be led by established clinical research investigators in the treatment of drug addiction.</w:t>
      </w:r>
    </w:p>
    <w:p>
      <w:pPr>
        <w:spacing w:after="0" w:line="33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It may take years to complete the clinical development necessary to commercialize a drug, and delays or failure can occur at any stage, which may result in our inability to market and sell any products derived from any of our product candidates that are ultimately approved by the FDA or foreign regulatory authorities. Our clinical trials may produce negative or inconclusive results, and we may decide, or regulators may require us, to conduct additional clinical and/or non-clinical testing. For example, in October 2007, we announced that our Phase 2 clinical trial of MN-305 for the treatment of insomnia failed to achieve statistical significance in its primary endpoint, and, as a result, we terminated development of MN-305 for the treatment of insomnia. Of the large number of drugs in development, only a small percentage result in the submission of an NDA to the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conduct of clinical trials for each of our product candidates, we face many risks, including the risks that:</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FDA or other regulatory authorities may not agree with our proposed development plans or accept the results of completed clinical trials; and</w:t>
      </w:r>
    </w:p>
    <w:p>
      <w:pPr>
        <w:spacing w:after="0" w:line="113"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 In addition, even if our product candidates receive regulatory approval, they remain subject to ongoing FDA regulations, including obligations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conduct additional clinical trials, changes to the product label, new or revised regulatory requirements for manufacturing practices, written advisements to physicians, and/or a product recall or withdrawal.</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5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ongoing and planned clinical trials for our product candidates will be completed on time, or whether our additional planned and ongoing clinical trials for our product candidates will be completed on schedule, if at all. For example, through the third quarter of 2010 we continued to experience an overall slower than anticipated enrollment of patients for our ongoing Phase 2 clinical trial evaluating the safety and efficacy of MN-221 in patients with severe, acute exacerbations of asthma for various reasons such as the length of time required to stay in the emergency room, or ER, during the treatment period. Our enrollment rates have improved since September 30, 2010, we believe, due in part to changes to the protocol that shortened the length of time the patient needed to stay in the ER and that gave the ER physician control over the standard-of-care that was given to the patient during the treatment period. However, there is no assurance that we will complete enrollment by the end of 2011.</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and completion of clinical trials can be delayed for a variety of other reasons, including delays in:</w:t>
      </w:r>
    </w:p>
    <w:p>
      <w:pPr>
        <w:spacing w:after="0" w:line="9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regulatory approval to commence or amend a clinical trial;</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IRB approval or approval from foreign counterparts to conduct or amend a clinical trial at a prospective site.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a clinical trial may be delayed, suspended or terminated by us, the FDA or other regulatory authorities due to a number of factors, including:</w:t>
      </w:r>
    </w:p>
    <w:p>
      <w:pPr>
        <w:spacing w:after="0" w:line="113" w:lineRule="exact"/>
        <w:rPr>
          <w:sz w:val="20"/>
          <w:szCs w:val="20"/>
          <w:color w:val="auto"/>
        </w:rPr>
      </w:pPr>
    </w:p>
    <w:p>
      <w:pPr>
        <w:jc w:val="both"/>
        <w:ind w:left="900" w:right="140" w:hanging="446"/>
        <w:spacing w:after="0" w:line="30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25" w:lineRule="exact"/>
        <w:rPr>
          <w:rFonts w:ascii="Arial" w:cs="Arial" w:eastAsia="Arial" w:hAnsi="Arial"/>
          <w:sz w:val="16"/>
          <w:szCs w:val="16"/>
          <w:color w:val="auto"/>
        </w:rPr>
      </w:pPr>
    </w:p>
    <w:p>
      <w:pPr>
        <w:ind w:left="900" w:right="46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trial presents unacceptable health risks;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 and</w:t>
      </w:r>
    </w:p>
    <w:p>
      <w:pPr>
        <w:spacing w:after="0" w:line="9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IRBs or their foreign counterparts for reexamination, which may delay or otherwise impact the costs, timing or successful completion of a clinical trial.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With the exception of AV411, we license the rights to develop and market our product candidates. Currently, we have licensed rights relating to eight compounds for the development of ten product candidates.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any of our license agreements is terminated, we would have no further rights to develop and commercialize the product candidate that is the subject of the license. The termination of the license agreements related to either of our two prioritized product candidates would significantly and adversely affect our business. The termination of any of the remainder of our license agreements could materially and adversely affect our business.</w:t>
      </w:r>
    </w:p>
    <w:p>
      <w:pPr>
        <w:spacing w:after="0" w:line="18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We cannot assure you that developments by others will not render our product candidates obsolete or noncompetitive. Many of our competitors have products that have been approved or are in advanced development and may succeed in developing drugs that are more effective, safer, more affordable or more easily administered than ours, or that achieve patent protection or</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commercialization sooner than our products. Our competitors may also develop alternative therapies that could further limit the market for any products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8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194"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third-party arrangements.</w:t>
      </w:r>
    </w:p>
    <w:p>
      <w:pPr>
        <w:spacing w:after="0" w:line="5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key aspect of our strategy is to seek collaborations with partners, such as large pharmaceutical companies, that are willing to conduct later-stage clinical trials and further develop and commercialize selected product candidates. Following completion of the Phase 2 clinical trial for MN-166 for the treatment of MS in the second quarter of 2008 and the acquisition of AV411 in December 2009, we do not plan to undertake any further significant clinical development activities for any of our product candidates other than MN-221 for the treatment of acute exacerbations of asthma and COPD exacerbations, other than those activities deemed necessary to maximize each product candidate’s value, until such time that we are successful in entering into a partnership or collaboration to further development of such product candidates. To date, we have not entered into any such collaborative arrangements, and we may not be able to enter into any collaborations or otherwise monetize these product candidates on acceptable terms, if at all.</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59" w:lineRule="exact"/>
        <w:rPr>
          <w:sz w:val="20"/>
          <w:szCs w:val="20"/>
          <w:color w:val="auto"/>
        </w:rPr>
      </w:pPr>
    </w:p>
    <w:p>
      <w:pPr>
        <w:ind w:left="900" w:right="6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does not have sufficient resources or decides not to devote the necessary resources due to internal constraints such as limited cash or human resources;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If we are not successful in attracting partners and entering into collaborations on acceptable terms for these product candidates or otherwise monetizing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terms under which we raise additional capital or debt financing may harm our business and may significantly dilute stockholders’ ownership interests.</w:t>
      </w:r>
    </w:p>
    <w:p>
      <w:pPr>
        <w:spacing w:after="0" w:line="12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we raise additional funds through collaborations or licensing arrangements with third parties, we may need to relinquish some rights to our product candidates, including commercialization rights, which may hinder our ability to generate revenues and achieve or sustain profitability. If we raise additional funds by issuing equity securities, including as part of a debt financing, stockholders may experience substantial dilution. Debt financing, if available, may involve significant cash payment obligations and restrictive covenants and other financial terms that may impede our ability to operate our business. Any debt financing or additional equity that we raise may contain terms that are not favorable to us or our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2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our third-party manufacturers, service providers, suppliers and partners,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or result in the incurrence of additional costs. Any delay or failure in obtaining required approvals could substantially reduce or negate our ability to generate revenues from the particular product candidate.</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we cannot predict the likelihood, nature or extent of government regulation that may arise from future legislation or administrative action, either in the United States or abroad.</w:t>
      </w:r>
    </w:p>
    <w:p>
      <w:pPr>
        <w:spacing w:after="0" w:line="11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including FDA approval in the United States, does not ensure regulatory approval in another. In addition, a failure or delay in obtaining regulatory approval in one country may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4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If we fail to comply with applicable regulatory requirements in the United States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224"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2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rely extensively on CROs, medical institutions, clinical investigators, contract laboratories and other service providers to perform important functions related to the conduct of our clinical trials, the collection and analysis of data and the preparation of regulatory submissions. Although we design and manage our current clinical trials to ensure that each clinical trial is conducted in accordance with its investigational plan and protocol, we do not have the ability to conduct all aspects of our clinical trials directly for our product candidates.</w:t>
      </w:r>
    </w:p>
    <w:p>
      <w:pPr>
        <w:spacing w:after="0" w:line="14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medical institutions, clinical investigators, contract laboratories and other service providers that we employ in the conduct of our clinical trials are not our employees, and we cannot control the amount or timing of resources that they devote to our product development programs. If any of these third parties fails to devote sufficient care, time and resources to our product development programs, if its performance is substandard, or if any third party is inspected by the FDA and found not to be in compliance with GCPs, it will delay the completion of the clinical trial in which they are involved and the progress of the affected development program. The CROs with which we contract for execution of our clinical trials play a significant role in the conduct of the clinical trials and the subsequent collection and analysis of data. Any failure of the 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does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20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which may result in delays in our clinical trials and the commercialization of products, as well as increased costs.</w:t>
      </w:r>
    </w:p>
    <w:p>
      <w:pPr>
        <w:spacing w:after="0" w:line="5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have no manufacturing facilities, and we do not intend to develop facilities for the manufacture of our product candidates for clinical trials or commercial purposes in the foreseeable future. We contract with third-party manufacturers to produce, in collaboration with us, sufficient quantities of our product candidates for clinical trials, and we plan to contract with third-party manufacturers to produce sufficient quantities of any product candidates approved by the FDA or other regulatory authorities for commercial sale. While we believe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that there are competitive sources available to manufacture our product candidates, we may not be able to enter into arrangements without delays or additional expenditures. We cannot estimate these delays or costs with certainty.</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Reliance on third-party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interrupted, which could result in delayed clinical trials or receipt of regulatory approval and lost or delayed revenues.</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have entered into an agreement with Hospira Worldwide, Inc. for the development and supply of finished product of MN-221 for the treatment of acute exacerbations of asthma that we intend to use in clinical trials and the commercial market if MN-221 receives regulatory approval. We do not have agreements established regarding commercial supply of finished product of MN-221 in standard vials or for the active pharmaceutical ingredient, or API, or finished product for any of our product candidates. Pursuant to our license agreement with Kissei Pharmaceutical Co. Ltd., we will collaborate with them to successfully negotiate a commercial supply agreement on commercially reasonable terms, in order to manufacture the API for MN-221 on a commercial scale if MN-221 is approved by the FDA or other regulatory authorities for commercial sale. We will also need to successfully negotiate a supply agreement with a third-party manufacturer on commercially reasonable terms in order to manufacture the finished product of MN-221 in standard vials. 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 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26"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Our manufacturers are obligated to operate in accordance with FDA-mandated current good manufacturing practices, or cGMPs and, in some cases, International Convention on Harmonization, or ICH, standards. A failure of any of our third-party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 addition, changing third-party manufacturers is difficult. For example, a change in third-party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2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To date, our product candidates have been manufactured in small quantities for preclinical studies and clinical trials. If any of our product candidates is approved by the FDA or comparable regulatory authorities in 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201"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rely on the third-party manufacturers of our product candidates to purchase from third-party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MN-221 or MN-166/AV411, our other product candidates or any other product candidates that we may in-license or acquire, if any, may include a restriction on the terms of its use, or it may not include one or more of our intended indications.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product candidates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commercial good manufacturing practices, or cGMPs, a regulatory agency may:</w:t>
      </w:r>
    </w:p>
    <w:p>
      <w:pPr>
        <w:spacing w:after="0" w:line="39"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5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If one of our product candidates is approved for commercial sale by the FDA or other regulatory authorities, the degree of market acceptance of any approved product by physicians, healthcare professionals and third-party payors and our profitability and growth will depend on a number of factors, including:</w:t>
      </w:r>
    </w:p>
    <w:p>
      <w:pPr>
        <w:spacing w:after="0" w:line="4"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less expensive generic drugs;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third-party coverage or reimbursement. If any product candidate is approved but does not achieve an adequate level of acceptance by physicians, patients and third-party payors, our ability to generate revenues from that product would be substantially reduced. In addition, our efforts to educate the medical community and third-party payors on the benefits of our product candidates may require significant resources and may never be successful.</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payors, our revenues and profitability will suffer.</w:t>
      </w:r>
    </w:p>
    <w:p>
      <w:pPr>
        <w:spacing w:after="0" w:line="5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from governmental authorities, private health insurers and other organizations, such as health maintenance organizations, or HMOs. Third-party payors are increasingly challenging the prices charged for medical products and services. We cannot provide any assurances that third-party payors will consider our products cost-effective or provide coverage of and reimbursement for our products, in whole or in part.</w:t>
      </w:r>
    </w:p>
    <w:p>
      <w:pPr>
        <w:spacing w:after="0" w:line="1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payors may conclude that our products are less safe, less clinically effective or less cost-effective than existing products, and third-party payors may not approve our products for coverage and reimbursement. If we are unable to obtain adequate coverage of and reimbursement for our products from third-party payors, physicians may limit how much or under what circumstances they will prescribe or administer them. Such reduction or limitation in the use of our products could cause our sales to suffer. Even if third-party payors make reimbursement available, payment levels may not be sufficient to make the sale of our products profitable.</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Also, continuing health care reform in the U.S. will control or significantly influence the purchase of medical services and products, and may result in inadequate coverage of and reimbursement for our products. Many third-party payors are pursuing various ways to reduce pharmaceutical costs, including the use of formularies. The market for our products depends on access to such formularies, which are lists of medications for which third-party payors provide reimbursement. These formularies are increasingly restricted, and pharmaceutical companies face significant competition in their efforts to place their products on formularies. This increased competition has led to a downward pricing pressure in the industry. The cost containment measures that third-party payors, including government payors, are instituting could have a material adverse effect on our ability to operate profitably.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Because we do not have internal discovery capabilities, our business over the long term is substantially dependent on our ability to license or acquire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we do. We may not have the requisite capital resources to consummate product candidate acquisitions or licenses that we identify to fulfill our strategy.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9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of entering new markets or technologies and of receiving regulatory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that may result from our having to perform unanticipated preclinical trials or other tests on the product candidate.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not successful in identifying and licensing or acquiring other product candidates over the long term, we will not be able to grow our revenues with sales from new products beyond those revenues, if any, from any approved products derived from our existing product candidates, and we may fail to achieve or sustain profitability.</w:t>
      </w:r>
    </w:p>
    <w:p>
      <w:pPr>
        <w:spacing w:after="0" w:line="221" w:lineRule="exact"/>
        <w:rPr>
          <w:sz w:val="20"/>
          <w:szCs w:val="20"/>
          <w:color w:val="auto"/>
        </w:rPr>
      </w:pPr>
    </w:p>
    <w:p>
      <w:pPr>
        <w:ind w:right="140"/>
        <w:spacing w:after="0" w:line="357" w:lineRule="auto"/>
        <w:rPr>
          <w:sz w:val="20"/>
          <w:szCs w:val="20"/>
          <w:color w:val="auto"/>
        </w:rPr>
      </w:pPr>
      <w:r>
        <w:rPr>
          <w:rFonts w:ascii="Arial" w:cs="Arial" w:eastAsia="Arial" w:hAnsi="Arial"/>
          <w:sz w:val="15"/>
          <w:szCs w:val="15"/>
          <w:b w:val="1"/>
          <w:bCs w:val="1"/>
          <w:i w:val="1"/>
          <w:iCs w:val="1"/>
          <w:color w:val="auto"/>
        </w:rPr>
        <w:t>We are dependent on our management team, Yuichi Iwaki, M.D., Ph.D., and experienced scientific staff, and if we are unable to retain, motivate and attract key personnel, our product development programs may be delayed and we may be unable to develop successfully or commercialize our product candidates.</w:t>
      </w:r>
    </w:p>
    <w:p>
      <w:pPr>
        <w:ind w:firstLine="456"/>
        <w:spacing w:after="0" w:line="287" w:lineRule="auto"/>
        <w:rPr>
          <w:sz w:val="20"/>
          <w:szCs w:val="20"/>
          <w:color w:val="auto"/>
        </w:rPr>
      </w:pPr>
      <w:r>
        <w:rPr>
          <w:rFonts w:ascii="Arial" w:cs="Arial" w:eastAsia="Arial" w:hAnsi="Arial"/>
          <w:sz w:val="16"/>
          <w:szCs w:val="16"/>
          <w:color w:val="auto"/>
        </w:rPr>
        <w:t>We are dependent upon the continued services of our executive officers and other key personnel, particularly Yuichi Iwaki, M.D., Ph.D., a founder of the company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services with us, whether through employment, service on our board of directors or a consulting agreement. We are also substantially dependent on the continued services of clinical development personnel because of the highly technical nature of our product development programs. We are not presently aware of any plans of our executive officers or key personnel to retire or leave employment with the company. Each of our executive officers is party to an employment agreement that continues in effect until the earliest of termination of employment upon (i) consent of the parties, (ii) cause or other material breach of the agreement, (iii) death or permanent disability and (iv) three months’ written notice. Following termination of employment, these individuals may engage in other businesses that may compete with us.</w:t>
      </w:r>
    </w:p>
    <w:p>
      <w:pPr>
        <w:spacing w:after="0" w:line="12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If we acquire or license new product candidates, our success will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and regulatory personnel. However, we face competition for experienced scientists and other technical and professional personnel from numerous companies and academic and other research institutions. Competition for qualified personnel is particularly intense in the San Diego, California area, where our corporate headquarters is located. Our short operating history and the uncertainties attendant to being a development-stage biopharmaceutical company could impair our ability to attract and retain personnel and impede the achievement of our development and commercialization objectives.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2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product candidates.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and marketing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pricing of prescription drugs is subject to government control, and we expect proposals to implement similar controls in the United States to continue. Another example of proposed reform that could affect our business is drug reimportation into the United States. Moreover, the pendency or approval of such proposals could result in a decrease in our stock price or our ability to raise capital or to obtain strategic partnerships or licenses. More recently, the President signed into law the Patient Protection and Affordable Care Act, which imposes numerous provisions over a four-year period. We have begun to assess the impact of this Act, but, at this early stage the likely impact cannot be ascertained with any degree of certainty.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for product liability, which could result in substantial liabilities that exceed our available resources and damage our reputation.</w:t>
      </w:r>
    </w:p>
    <w:p>
      <w:pPr>
        <w:spacing w:after="0" w:line="113"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2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7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22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may need to increase the size of our organization, and we may encounter difficulties managing our growth, which could adversely affect our results of operations.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August 10, 2011, we had 14 full-time employees, following a reduction in force which commenced in January 2011, wherein we down-sized the company to save costs. If we are successful in securing a strategic collaboration or raising additional capital, our management, personnel, systems and facilities currently in place may not be adequate to support the company’s needs. For example, we may hire additional personnel in clinical development, regulatory affairs and business development to further strengthen our core competencies or choose to develop sales, marketing and distribution capabilities for certain of our product candidates. Our need to effectively manage our operations, growth and product development programs requires that we:</w:t>
      </w:r>
    </w:p>
    <w:p>
      <w:pPr>
        <w:spacing w:after="0" w:line="35"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manage our internal development efforts effectively while carrying out our contractual obligations to licensors and other third parties;</w:t>
      </w:r>
    </w:p>
    <w:p>
      <w:pPr>
        <w:spacing w:after="0" w:line="113" w:lineRule="exact"/>
        <w:rPr>
          <w:rFonts w:ascii="Arial" w:cs="Arial" w:eastAsia="Arial" w:hAnsi="Arial"/>
          <w:sz w:val="16"/>
          <w:szCs w:val="16"/>
          <w:color w:val="auto"/>
        </w:rPr>
      </w:pPr>
    </w:p>
    <w:p>
      <w:pPr>
        <w:ind w:left="900" w:right="24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ensure that our consultants, CROs and other service providers successfully carry out their contractual obligations, provide high quality results and meet expected deadlines;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171"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We may be unable to successfully implement these tasks on a larger scale, which may impact our ability to timely achieve our development and commercialization goals, if at all.</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1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51" w:lineRule="exact"/>
        <w:rPr>
          <w:sz w:val="20"/>
          <w:szCs w:val="20"/>
          <w:color w:val="auto"/>
        </w:rPr>
      </w:pPr>
    </w:p>
    <w:p>
      <w:pPr>
        <w:ind w:left="900" w:right="88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4" w:lineRule="exact"/>
        <w:rPr>
          <w:rFonts w:ascii="Arial" w:cs="Arial" w:eastAsia="Arial" w:hAnsi="Arial"/>
          <w:sz w:val="16"/>
          <w:szCs w:val="16"/>
          <w:color w:val="auto"/>
        </w:rPr>
      </w:pPr>
    </w:p>
    <w:p>
      <w:pPr>
        <w:ind w:left="900" w:right="86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Our management has broad discretion over the use of our cash, and we may not use our cash effectively, which could adversely affect our results of operations.</w:t>
      </w:r>
    </w:p>
    <w:p>
      <w:pPr>
        <w:spacing w:after="0" w:line="5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management has significant flexibility in applying our cash resources and could use these resources for corporate purposes that do not increase our market value or in ways with which our stockholders may not agree. We may use our cash resources for corporate purposes that do not yield a significant return or any return at all for our stockholders, which may cause our stock price to decline.</w:t>
      </w:r>
    </w:p>
    <w:p>
      <w:pPr>
        <w:spacing w:after="0" w:line="22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public company, we are required to comply with the Sarbanes-Oxley Act of 2002, as well as rules and regulations implemented by the SEC, The Nasdaq Stock Market, or Nasdaq, and Japanese securities laws,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result in imposition of reduced policy limits and coverage.</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Sarbanes-Oxley Act requires that we maintain effective internal controls for financial reporting and disclosure controls and procedures. Our listing obligations under the Jasdaq Market (formerly the Hercules Market until its closure in 2010) of the Osaka Securities Exchange, or OSE, also require that we comply either with Section 404 of the Sarbanes-Oxley Act or equivalent regulations in Japan and we elected to comply with Section 404. As a result, we are required to perform an evaluation of our internal control over financial reporting to allow management to report on the effectiveness of those controls, as required by Section 404. We are subject to attestation by our registered public accounting firm on our report regarding internal control over financial reporting for the year ended December 31, 2010 under Japanese securities laws. Our efforts to comply with Section 404 and related regulations have required, and continue to require, the commitment of significant financial and managerial resources. We cannot be certain that a material weakness will not be identified when we test the effectiveness of our controls in the future. If a material weakness is identified, we could be subject to sanctions or investigations by Nasdaq, the SEC, the OSE or other regulatory authorities, which would require additional financial and management resources, costly litigation or a loss of public confidence in our internal controls, which could have an adverse effect on the market price of our stock.</w:t>
      </w:r>
    </w:p>
    <w:p>
      <w:pPr>
        <w:spacing w:after="0" w:line="20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identified a material weakness in our internal control over financial reporting, and any failure to effectively remediate the material weakness identified as of September 30, 2010 could result in material misstatements in our financial statements.</w:t>
      </w:r>
    </w:p>
    <w:p>
      <w:pPr>
        <w:spacing w:after="0" w:line="5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that creates a reasonable possibility that a material misstatement of our interim or annual financial statements will not be prevented or detected on a timely basis. In the course of carrying out the required quarterly evaluation and preparing the financial statements as of September 30, 2010, management identified control overrides and policy deviations by one of our senior executive officers. The following deficiencies in internal control over financial reporting, which collectively represented a material weakness in our internal control over financial reporting, were reported by management to our Audit Committee:</w:t>
      </w:r>
    </w:p>
    <w:p>
      <w:pPr>
        <w:spacing w:after="0" w:line="35" w:lineRule="exact"/>
        <w:rPr>
          <w:sz w:val="20"/>
          <w:szCs w:val="20"/>
          <w:color w:val="auto"/>
        </w:rPr>
      </w:pPr>
    </w:p>
    <w:p>
      <w:pPr>
        <w:ind w:left="900" w:right="48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senior executive officer lacked a sufficient control awareness related to compliance with our Code of Conduct, contract review and approval policies, and certain human resources policies and procedures for employee terminations.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did not design adequate human resources policies and procedures related to ensuring compliance with our Code of Conduct.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management team is committed to achieving and maintaining a strong control environment and an overall tone within the organization that empowers all employees to act with the highest standards of ethical conduct. In addition, management remains committed to the process of developing and implementing improved corporate governance and compliance initiatives. Our Board and management team implemented the following remediation plan to address the material weakness and enhance our internal controls:</w:t>
      </w:r>
    </w:p>
    <w:p>
      <w:pPr>
        <w:spacing w:after="0" w:line="62" w:lineRule="exact"/>
        <w:rPr>
          <w:sz w:val="20"/>
          <w:szCs w:val="20"/>
          <w:color w:val="auto"/>
        </w:rPr>
      </w:pPr>
    </w:p>
    <w:p>
      <w:pPr>
        <w:ind w:left="900" w:right="62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Board revised our contract review and approval policy to require the signature of two executive officers, one of whom must be the Chief Financial Officer or his designee;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Board assigned additional responsibility to the Compensation Committee, including requirements that the Compensation Committee approve</w:t>
      </w:r>
    </w:p>
    <w:p>
      <w:pPr>
        <w:spacing w:after="0" w:line="38" w:lineRule="exact"/>
        <w:rPr>
          <w:rFonts w:ascii="Arial" w:cs="Arial" w:eastAsia="Arial" w:hAnsi="Arial"/>
          <w:sz w:val="16"/>
          <w:szCs w:val="16"/>
          <w:color w:val="auto"/>
        </w:rPr>
      </w:pPr>
    </w:p>
    <w:p>
      <w:pPr>
        <w:ind w:left="900" w:right="60"/>
        <w:spacing w:after="0" w:line="255" w:lineRule="auto"/>
        <w:rPr>
          <w:rFonts w:ascii="Arial" w:cs="Arial" w:eastAsia="Arial" w:hAnsi="Arial"/>
          <w:sz w:val="16"/>
          <w:szCs w:val="16"/>
          <w:color w:val="auto"/>
        </w:rPr>
      </w:pPr>
      <w:r>
        <w:rPr>
          <w:rFonts w:ascii="Arial" w:cs="Arial" w:eastAsia="Arial" w:hAnsi="Arial"/>
          <w:sz w:val="18"/>
          <w:szCs w:val="18"/>
          <w:color w:val="auto"/>
        </w:rPr>
        <w:t>(1) any salary increases/adjustments greater than 10%, (2) any promotion or hiring into any position at the level of Vice President or above, (3) the salary of any individual promoted or hired for any position at the level of Vice President or above and (4) the granting to any employee of benefits or other perquisites not generally available to all employees;</w:t>
      </w:r>
    </w:p>
    <w:p>
      <w:pPr>
        <w:spacing w:after="0" w:line="63"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Board changed the reporting lines of our Vice President of Clinical Development and our Manager of Human Resources and Administration; and</w:t>
      </w:r>
    </w:p>
    <w:p>
      <w:pPr>
        <w:spacing w:after="0" w:line="113" w:lineRule="exact"/>
        <w:rPr>
          <w:rFonts w:ascii="Arial" w:cs="Arial" w:eastAsia="Arial" w:hAnsi="Arial"/>
          <w:sz w:val="16"/>
          <w:szCs w:val="16"/>
          <w:color w:val="auto"/>
        </w:rPr>
      </w:pPr>
    </w:p>
    <w:p>
      <w:pPr>
        <w:ind w:left="900" w:right="14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Due to the appearance of a possible conflict of interest, the Board granted a waiver under our Code of Conduct to a senior executive officer and one of our other employees with respect to any joint real estate and banking transactions to which they are party as of November 13, 2010.</w:t>
      </w:r>
    </w:p>
    <w:p>
      <w:pPr>
        <w:spacing w:after="0" w:line="85"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In addition, subsequent to September 30, 2010, our Board formed a Strategic and Operational Review Committee comprised of certain members of our Board and our senior management team that has been tasked with reviewing all key strategic and operational matters. Our Board and our senior management team may engage additional third-party specialists to further review and identify any other enhancements to our internal controls that may help prevent future significant deficiencies and/or material weaknesses.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tested our remediation plan with the assistance of a third party and we have conducted an evaluation of the effectiveness of our internal control over financial reporting as of December 31, 2010. The framework on which such evaluation was based is contained in the report entitled “Internal Control – Integrated Framework” issued by the Committee of Sponsoring Organizations of the Treadway Commission (the “COSO Report”). Based on our evaluation under the criteria set forth in the COSO Report, our management concluded our internal control over financial reporting was effective as of December 31, 2010. Our registered public accounting firm issued an audit report on the effectiveness of our internal control over financial reporting as of December 31, 2010 wherein they opined on the effectiveness of our internal control over financial reporting as of December 31, 2010.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significant deficiencies or additional material weaknesses in our internal control are discovered or occur in the future, we may fail to meet our future reporting obligations on a timely basis, our consolidated financial statements may contain material misstatements, we could be required to restate our prior period financial results, our operating results may be harmed, we may be subject to class action litigation and, our common stock could be delisted from Nasdaq and the Jasdaq Market of the OSE.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Despite the implementation of security measures, our internal computer systems are vulnerable to damage from computer viruses, unauthorized access, natural disasters, terrorism, war and telecommunication and electrical failures. Any system failure, accident or security breach that causes interruptions in our operations could result in a material disruption of our drug development programs, including delays in our regulatory approval efforts and significantly increase our costs to recover or reproduce the data. To the extent that 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disruption or security breach results in a loss or damage to our data or applications, or inappropriate disclosure of confidential or proprietary information, we may incur liability and the further development of our product candidates may be delayed.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all of the anticipated benefits of the combined clinical development programs based on ibudilast.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successfully secure a strategic collaboration to advance the combined ibudilast development programs. Following completion of the Phase 2 clinical trial of MN-166 for the treatment of MS in the second quarter of 2008 and the acquisition of AV411 in December 2009, we have not undertaken, nor do we plan to undertake, any further significant clinical development of MN-166/AV411 until such time that we secure a strategic collaboration to advance the combined clinical development of MN-166/AV411 ibudilast-based development program. We cannot assure you that we will be able to secure such a strategic collaboration or otherwise further advance, or recognize value from, a combined MN-166/AV411 clinical development program.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MN-166/AV411 and MN-001 product candidates, although we do have patent protection for a particular crystalline polymorph of MN-001 and we have composition of matter protection on ibudilast analogs. As a result, competitors that obtain the requisite regulatory approval will be able to offer products with the same API as found in our MN-166/AV411 and MN-001 product candidates so long as such competitors do not infringe any methods of use, methods of manufacture, formulation or, in the case of MN-001, specific polymorph patents that we hold or have exclusive rights to through our licensors. For example, we currently rely on a method of use patent for MN-166, which covers the use of the API found in our MN-166 product candidate for the treatment of MS. We also have a method of use patent for AV411 for the treatment of neuropathic pain syndromes.</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and prosecution of the applications. We have limited control, if any, over the amount or timing of resources that each licensor devotes on our behalf, and a licensor may not assign as great a priority to prosecution of these patent applications as we would if we were undertaking such prosecution ourselves. As a result of this lack of control and general uncertainties in the patent prosecution process,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and pending patent applications will not become abandoned. For example, certain annuities were not paid in a timely manner with respect to foreign patents licensed under MN-002 (the active metabolite of MN-001) and, as a result, our patent rights may be impaired in those territories. In addition, our licensors may have selected a limited amount of foreign patent protection, and therefore applications have not been filed in, and foreign patents may not have been perfected in, all commercially significant countries.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4"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obtain and maintain any required or desirable licenses to use certain technologies of third parties, which may be protected by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9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2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5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40"/>
        <w:spacing w:after="0" w:line="303" w:lineRule="auto"/>
        <w:rPr>
          <w:sz w:val="20"/>
          <w:szCs w:val="20"/>
          <w:color w:val="auto"/>
        </w:rPr>
      </w:pPr>
      <w:r>
        <w:rPr>
          <w:rFonts w:ascii="Arial" w:cs="Arial" w:eastAsia="Arial" w:hAnsi="Arial"/>
          <w:sz w:val="15"/>
          <w:szCs w:val="15"/>
          <w:color w:val="auto"/>
        </w:rPr>
        <w:t>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third-party patents containing claims covering our product candidates, their methods of use or manufacture do not exist. Moreover,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40" w:lineRule="exact"/>
        <w:rPr>
          <w:sz w:val="20"/>
          <w:szCs w:val="20"/>
          <w:color w:val="auto"/>
        </w:rPr>
      </w:pPr>
    </w:p>
    <w:p>
      <w:pPr>
        <w:ind w:left="900" w:right="6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enhanced damages and attorneys’ fees, if any infringement for which we are found liable is deemed willful, or a case against us is determined by a judge to be exceptional;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having to enter into license arrangements that may not be available on reasonable or commercially acceptable terms;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lose our ability to develop and commercialize current or future product candidates.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Despite the listing of our common stock on the Nasdaq Global Market and the Jasdaq Market of the Osaka Securities Exchange in Japan, trading volume in our securities has been light and an active trading market may not develop for our common stock. In June 2011, our average trading volume was approximately 37,000 shares per day on the Nasdaq Global Market and approximately 36,000 shares per day on the Jasdaq Market.</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 February 4, 2005 through June 30, 2011, our common stock has traded as high as approximately $42.00 and as low as approximately $1.40. The following factors, in addition to other risk factors described in this section, may have a significant impact on the market price of our common stock:</w:t>
      </w:r>
    </w:p>
    <w:p>
      <w:pPr>
        <w:spacing w:after="0" w:line="32" w:lineRule="exact"/>
        <w:rPr>
          <w:sz w:val="20"/>
          <w:szCs w:val="20"/>
          <w:color w:val="auto"/>
        </w:rPr>
      </w:pPr>
    </w:p>
    <w:p>
      <w:pPr>
        <w:ind w:left="900" w:right="38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 and particularly our prioritized product candidates;</w:t>
      </w:r>
    </w:p>
    <w:p>
      <w:pPr>
        <w:spacing w:after="0" w:line="50" w:lineRule="exact"/>
        <w:rPr>
          <w:rFonts w:ascii="Arial" w:cs="Arial" w:eastAsia="Arial" w:hAnsi="Arial"/>
          <w:sz w:val="18"/>
          <w:szCs w:val="18"/>
          <w:color w:val="auto"/>
        </w:rPr>
      </w:pPr>
    </w:p>
    <w:p>
      <w:pPr>
        <w:ind w:left="900" w:right="102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initiation, termination, or reduction in the scope of any collaboration arrangements or any disputes or developments regarding such collaborations;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FDA or foreign regulatory actions, including failure to receive regulatory approval for any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potential delisting of our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Broad market and industry factors, as well as economic and political factors, also may materially adversely affect the market price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9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We may become involved in this type of litigation in the future. Litigation often is expensive and diverts management’s attention and resources, which could adversely affect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to sell your shares.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Sales of substantial amounts of our common stock, or the availability of such common stock for sale, could adversely affect the prevailing market prices for our common stock. If this occurs and continues, it could impair our ability to raise additional capital through the sale of securities should we desire to do so. In addition, it may be difficult, or even impossible, to find a buyer for shares of our common stock.</w:t>
      </w:r>
    </w:p>
    <w:p>
      <w:pPr>
        <w:spacing w:after="0" w:line="14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have also registered all common stock that we may issue under our current employee benefits plans and upon exercise of warrants.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and the existence of our stockholder rights plan may make an acquisition of us more complicated and the removal and replacement of our directors and management more difficult.</w:t>
      </w:r>
    </w:p>
    <w:p>
      <w:pPr>
        <w:spacing w:after="0" w:line="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62" w:lineRule="exact"/>
        <w:rPr>
          <w:sz w:val="20"/>
          <w:szCs w:val="20"/>
          <w:color w:val="auto"/>
        </w:rPr>
      </w:pPr>
    </w:p>
    <w:p>
      <w:pPr>
        <w:ind w:left="900" w:right="1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90"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 percent stockholder approval;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we adopted a stockholder rights plan in November 2006, pursuant to which each share of our common stock includes an attached preferred stock purchase right, that is designed to impede takeover transactions that are not supported by our board of directors.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percent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9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40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400" w:type="dxa"/>
            <w:vAlign w:val="bottom"/>
            <w:gridSpan w:val="3"/>
          </w:tcPr>
          <w:p>
            <w:pPr>
              <w:ind w:left="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10.43(1)</w:t>
            </w:r>
          </w:p>
        </w:tc>
        <w:tc>
          <w:tcPr>
            <w:tcW w:w="480" w:type="dxa"/>
            <w:vAlign w:val="bottom"/>
            <w:vMerge w:val="continue"/>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5"/>
              </w:rPr>
              <w:t>At-The-Market Issuance Sales Agreement, dated May 5, 2011, by and between MediciNova, Inc. and McNicoll, Lewis &amp; Vlak LLC.</w:t>
            </w: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10.44(†)</w:t>
            </w:r>
          </w:p>
        </w:tc>
        <w:tc>
          <w:tcPr>
            <w:tcW w:w="10400" w:type="dxa"/>
            <w:vAlign w:val="bottom"/>
            <w:gridSpan w:val="3"/>
          </w:tcPr>
          <w:p>
            <w:pPr>
              <w:ind w:left="480"/>
              <w:spacing w:after="0"/>
              <w:rPr>
                <w:sz w:val="20"/>
                <w:szCs w:val="20"/>
                <w:color w:val="auto"/>
              </w:rPr>
            </w:pPr>
            <w:r>
              <w:rPr>
                <w:rFonts w:ascii="Arial" w:cs="Arial" w:eastAsia="Arial" w:hAnsi="Arial"/>
                <w:sz w:val="18"/>
                <w:szCs w:val="18"/>
                <w:color w:val="auto"/>
                <w:w w:val="92"/>
              </w:rPr>
              <w:t>Joint Venture Agreement, dated June 29, 2011, by and among MediciNova, Inc., Zhejiang Medicine Co., Ltd. and Beijing Make-Friend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0" w:type="dxa"/>
            <w:vAlign w:val="bottom"/>
            <w:gridSpan w:val="3"/>
          </w:tcPr>
          <w:p>
            <w:pPr>
              <w:ind w:left="480"/>
              <w:spacing w:after="0"/>
              <w:rPr>
                <w:sz w:val="20"/>
                <w:szCs w:val="20"/>
                <w:color w:val="auto"/>
              </w:rPr>
            </w:pPr>
            <w:r>
              <w:rPr>
                <w:rFonts w:ascii="Arial" w:cs="Arial" w:eastAsia="Arial" w:hAnsi="Arial"/>
                <w:sz w:val="18"/>
                <w:szCs w:val="18"/>
                <w:color w:val="auto"/>
              </w:rPr>
              <w:t>Medicine Technology Co., Ltd.</w:t>
            </w:r>
          </w:p>
        </w:tc>
        <w:tc>
          <w:tcPr>
            <w:tcW w:w="0" w:type="dxa"/>
            <w:vAlign w:val="bottom"/>
          </w:tcPr>
          <w:p>
            <w:pPr>
              <w:spacing w:after="0"/>
              <w:rPr>
                <w:sz w:val="1"/>
                <w:szCs w:val="1"/>
                <w:color w:val="auto"/>
              </w:rPr>
            </w:pPr>
          </w:p>
        </w:tc>
      </w:tr>
      <w:tr>
        <w:trPr>
          <w:trHeight w:val="324"/>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10400" w:type="dxa"/>
            <w:vAlign w:val="bottom"/>
            <w:gridSpan w:val="3"/>
          </w:tcPr>
          <w:p>
            <w:pPr>
              <w:ind w:left="480"/>
              <w:spacing w:after="0"/>
              <w:rPr>
                <w:sz w:val="20"/>
                <w:szCs w:val="20"/>
                <w:color w:val="auto"/>
              </w:rPr>
            </w:pPr>
            <w:r>
              <w:rPr>
                <w:rFonts w:ascii="Arial" w:cs="Arial" w:eastAsia="Arial" w:hAnsi="Arial"/>
                <w:sz w:val="18"/>
                <w:szCs w:val="18"/>
                <w:color w:val="auto"/>
                <w:w w:val="90"/>
              </w:rPr>
              <w:t>Certification of the Chief Executive Officer pursuant to Section 302 of the Sarbanes-Oxley Act of 2002 for the period ended June 30, 2011.</w:t>
            </w:r>
          </w:p>
        </w:tc>
        <w:tc>
          <w:tcPr>
            <w:tcW w:w="0" w:type="dxa"/>
            <w:vAlign w:val="bottom"/>
          </w:tcPr>
          <w:p>
            <w:pPr>
              <w:spacing w:after="0"/>
              <w:rPr>
                <w:sz w:val="1"/>
                <w:szCs w:val="1"/>
                <w:color w:val="auto"/>
              </w:rPr>
            </w:pPr>
          </w:p>
        </w:tc>
      </w:tr>
      <w:tr>
        <w:trPr>
          <w:trHeight w:val="324"/>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10400" w:type="dxa"/>
            <w:vAlign w:val="bottom"/>
            <w:gridSpan w:val="3"/>
          </w:tcPr>
          <w:p>
            <w:pPr>
              <w:ind w:left="480"/>
              <w:spacing w:after="0"/>
              <w:rPr>
                <w:sz w:val="20"/>
                <w:szCs w:val="20"/>
                <w:color w:val="auto"/>
              </w:rPr>
            </w:pPr>
            <w:r>
              <w:rPr>
                <w:rFonts w:ascii="Arial" w:cs="Arial" w:eastAsia="Arial" w:hAnsi="Arial"/>
                <w:sz w:val="18"/>
                <w:szCs w:val="18"/>
                <w:color w:val="auto"/>
                <w:w w:val="90"/>
              </w:rPr>
              <w:t>Certification of the Chief Financial Officer pursuant to Section 302 of the Sarbanes-Oxley Act of 2002 for the period ended June 30, 2011.</w:t>
            </w:r>
          </w:p>
        </w:tc>
        <w:tc>
          <w:tcPr>
            <w:tcW w:w="0" w:type="dxa"/>
            <w:vAlign w:val="bottom"/>
          </w:tcPr>
          <w:p>
            <w:pPr>
              <w:spacing w:after="0"/>
              <w:rPr>
                <w:sz w:val="1"/>
                <w:szCs w:val="1"/>
                <w:color w:val="auto"/>
              </w:rPr>
            </w:pPr>
          </w:p>
        </w:tc>
      </w:tr>
      <w:tr>
        <w:trPr>
          <w:trHeight w:val="324"/>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10400" w:type="dxa"/>
            <w:vAlign w:val="bottom"/>
            <w:gridSpan w:val="3"/>
          </w:tcPr>
          <w:p>
            <w:pPr>
              <w:ind w:left="480"/>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c>
          <w:tcPr>
            <w:tcW w:w="0" w:type="dxa"/>
            <w:vAlign w:val="bottom"/>
          </w:tcPr>
          <w:p>
            <w:pPr>
              <w:spacing w:after="0"/>
              <w:rPr>
                <w:sz w:val="1"/>
                <w:szCs w:val="1"/>
                <w:color w:val="auto"/>
              </w:rPr>
            </w:pPr>
          </w:p>
        </w:tc>
      </w:tr>
      <w:tr>
        <w:trPr>
          <w:trHeight w:val="324"/>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10400" w:type="dxa"/>
            <w:vAlign w:val="bottom"/>
            <w:gridSpan w:val="3"/>
          </w:tcPr>
          <w:p>
            <w:pPr>
              <w:ind w:left="480"/>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w w:val="97"/>
              </w:rPr>
              <w:t>101(*)</w:t>
            </w:r>
          </w:p>
        </w:tc>
        <w:tc>
          <w:tcPr>
            <w:tcW w:w="360" w:type="dxa"/>
            <w:vAlign w:val="bottom"/>
          </w:tcPr>
          <w:p>
            <w:pPr>
              <w:spacing w:after="0"/>
              <w:rPr>
                <w:sz w:val="24"/>
                <w:szCs w:val="24"/>
                <w:color w:val="auto"/>
              </w:rPr>
            </w:pPr>
          </w:p>
        </w:tc>
        <w:tc>
          <w:tcPr>
            <w:tcW w:w="10400" w:type="dxa"/>
            <w:vAlign w:val="bottom"/>
            <w:gridSpan w:val="3"/>
          </w:tcPr>
          <w:p>
            <w:pPr>
              <w:ind w:left="480"/>
              <w:spacing w:after="0"/>
              <w:rPr>
                <w:sz w:val="20"/>
                <w:szCs w:val="20"/>
                <w:color w:val="auto"/>
              </w:rPr>
            </w:pPr>
            <w:r>
              <w:rPr>
                <w:rFonts w:ascii="Arial" w:cs="Arial" w:eastAsia="Arial" w:hAnsi="Arial"/>
                <w:sz w:val="18"/>
                <w:szCs w:val="18"/>
                <w:color w:val="auto"/>
                <w:w w:val="89"/>
              </w:rPr>
              <w:t>The following financial statements from the MediciNova, Inc. Quarterly Report on Form 10-Q for the quarter ended June 30, 2011 formatted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0" w:type="dxa"/>
            <w:vAlign w:val="bottom"/>
            <w:gridSpan w:val="3"/>
          </w:tcPr>
          <w:p>
            <w:pPr>
              <w:ind w:left="480"/>
              <w:spacing w:after="0"/>
              <w:rPr>
                <w:sz w:val="20"/>
                <w:szCs w:val="20"/>
                <w:color w:val="auto"/>
              </w:rPr>
            </w:pPr>
            <w:r>
              <w:rPr>
                <w:rFonts w:ascii="Arial" w:cs="Arial" w:eastAsia="Arial" w:hAnsi="Arial"/>
                <w:sz w:val="18"/>
                <w:szCs w:val="18"/>
                <w:color w:val="auto"/>
                <w:w w:val="93"/>
              </w:rPr>
              <w:t>in Extensible Business Reporting Language (XBRL): (i) Consolidated Balance Sheets; (ii) Consolidated Statements of Operations; (iii)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0" w:type="dxa"/>
            <w:vAlign w:val="bottom"/>
            <w:gridSpan w:val="3"/>
          </w:tcPr>
          <w:p>
            <w:pPr>
              <w:ind w:left="480"/>
              <w:spacing w:after="0"/>
              <w:rPr>
                <w:sz w:val="20"/>
                <w:szCs w:val="20"/>
                <w:color w:val="auto"/>
              </w:rPr>
            </w:pPr>
            <w:r>
              <w:rPr>
                <w:rFonts w:ascii="Arial" w:cs="Arial" w:eastAsia="Arial" w:hAnsi="Arial"/>
                <w:sz w:val="18"/>
                <w:szCs w:val="18"/>
                <w:color w:val="auto"/>
              </w:rPr>
              <w:t>Consolidated Statements of Cash Flows; and (iv) the notes to the consolidated financial statements (tagged as block text).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6, 2011 and incorporated herein by reference.</w:t>
      </w:r>
    </w:p>
    <w:p>
      <w:pPr>
        <w:spacing w:after="0" w:line="15" w:lineRule="exact"/>
        <w:rPr>
          <w:sz w:val="20"/>
          <w:szCs w:val="20"/>
          <w:color w:val="auto"/>
        </w:rPr>
      </w:pPr>
    </w:p>
    <w:p>
      <w:pPr>
        <w:ind w:left="46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1" w:lineRule="exact"/>
        <w:rPr>
          <w:sz w:val="20"/>
          <w:szCs w:val="20"/>
          <w:color w:val="auto"/>
        </w:rPr>
      </w:pPr>
    </w:p>
    <w:p>
      <w:pPr>
        <w:ind w:left="5620" w:right="3880" w:hanging="5612"/>
        <w:spacing w:after="0" w:line="433" w:lineRule="auto"/>
        <w:tabs>
          <w:tab w:leader="none" w:pos="4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 by the SEC. 53</w:t>
      </w:r>
    </w:p>
    <w:p>
      <w:pPr>
        <w:sectPr>
          <w:pgSz w:w="11900" w:h="16838" w:orient="portrait"/>
          <w:cols w:equalWidth="0" w:num="1">
            <w:col w:w="11320"/>
          </w:cols>
          <w:pgMar w:left="24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MEDICINOVA, INC.</w:t>
      </w:r>
    </w:p>
    <w:p>
      <w:pPr>
        <w:spacing w:after="0" w:line="231" w:lineRule="exact"/>
        <w:rPr>
          <w:sz w:val="20"/>
          <w:szCs w:val="20"/>
          <w:color w:val="auto"/>
        </w:rPr>
      </w:pPr>
    </w:p>
    <w:p>
      <w:pPr>
        <w:spacing w:after="0"/>
        <w:tabs>
          <w:tab w:leader="none" w:pos="5680" w:val="left"/>
          <w:tab w:leader="none" w:pos="8040" w:val="left"/>
          <w:tab w:leader="none" w:pos="8380" w:val="left"/>
        </w:tabs>
        <w:rPr>
          <w:sz w:val="20"/>
          <w:szCs w:val="20"/>
          <w:color w:val="auto"/>
        </w:rPr>
      </w:pPr>
      <w:r>
        <w:rPr>
          <w:rFonts w:ascii="Arial" w:cs="Arial" w:eastAsia="Arial" w:hAnsi="Arial"/>
          <w:sz w:val="18"/>
          <w:szCs w:val="18"/>
          <w:color w:val="auto"/>
        </w:rPr>
        <w:t>Date: August 15,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Yuichi Iwaki, M.D., Ph.D.</w:t>
      </w:r>
    </w:p>
    <w:p>
      <w:pPr>
        <w:jc w:val="center"/>
        <w:ind w:left="606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06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606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08" w:lineRule="exact"/>
        <w:rPr>
          <w:sz w:val="20"/>
          <w:szCs w:val="20"/>
          <w:color w:val="auto"/>
        </w:rPr>
      </w:pPr>
    </w:p>
    <w:p>
      <w:pPr>
        <w:ind w:left="5700"/>
        <w:spacing w:after="0"/>
        <w:tabs>
          <w:tab w:leader="none" w:pos="7900" w:val="left"/>
          <w:tab w:leader="none" w:pos="8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ICHAEL</w:t>
      </w:r>
      <w:r>
        <w:rPr>
          <w:rFonts w:ascii="Arial" w:cs="Arial" w:eastAsia="Arial" w:hAnsi="Arial"/>
          <w:sz w:val="16"/>
          <w:szCs w:val="16"/>
          <w:color w:val="auto"/>
        </w:rPr>
        <w:t xml:space="preserve"> C</w:t>
      </w:r>
      <w:r>
        <w:rPr>
          <w:rFonts w:ascii="Arial" w:cs="Arial" w:eastAsia="Arial" w:hAnsi="Arial"/>
          <w:sz w:val="13"/>
          <w:szCs w:val="13"/>
          <w:color w:val="auto"/>
        </w:rPr>
        <w:t>OFFEE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Michael Coffee</w:t>
      </w:r>
    </w:p>
    <w:p>
      <w:pPr>
        <w:jc w:val="center"/>
        <w:ind w:left="6060"/>
        <w:spacing w:after="0" w:line="223" w:lineRule="auto"/>
        <w:rPr>
          <w:sz w:val="20"/>
          <w:szCs w:val="20"/>
          <w:color w:val="auto"/>
        </w:rPr>
      </w:pPr>
      <w:r>
        <w:rPr>
          <w:rFonts w:ascii="Arial" w:cs="Arial" w:eastAsia="Arial" w:hAnsi="Arial"/>
          <w:sz w:val="14"/>
          <w:szCs w:val="14"/>
          <w:b w:val="1"/>
          <w:bCs w:val="1"/>
          <w:color w:val="auto"/>
        </w:rPr>
        <w:t>Chief Business Officer and Interim Chief Financial Officer</w:t>
      </w:r>
    </w:p>
    <w:p>
      <w:pPr>
        <w:jc w:val="center"/>
        <w:ind w:left="606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606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780"/>
          </w:cols>
          <w:pgMar w:left="240" w:top="459" w:right="8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20" w:type="dxa"/>
            <w:vAlign w:val="bottom"/>
          </w:tcPr>
          <w:p>
            <w:pPr>
              <w:ind w:left="280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0"/>
        </w:trPr>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240" w:type="dxa"/>
            <w:vAlign w:val="bottom"/>
            <w:gridSpan w:val="3"/>
          </w:tcPr>
          <w:p>
            <w:pPr>
              <w:ind w:left="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10.43(1)</w:t>
            </w:r>
          </w:p>
        </w:tc>
        <w:tc>
          <w:tcPr>
            <w:tcW w:w="320" w:type="dxa"/>
            <w:vAlign w:val="bottom"/>
            <w:vMerge w:val="continue"/>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5"/>
              </w:rPr>
              <w:t>At-The-Market Issuance Sales Agreement, dated May 5, 2011, by and between MediciNova, Inc. and McNicoll, Lewis &amp; Vlak LLC.</w:t>
            </w: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10.44(†)</w:t>
            </w:r>
          </w:p>
        </w:tc>
        <w:tc>
          <w:tcPr>
            <w:tcW w:w="10240" w:type="dxa"/>
            <w:vAlign w:val="bottom"/>
            <w:gridSpan w:val="3"/>
          </w:tcPr>
          <w:p>
            <w:pPr>
              <w:ind w:left="320"/>
              <w:spacing w:after="0"/>
              <w:rPr>
                <w:sz w:val="20"/>
                <w:szCs w:val="20"/>
                <w:color w:val="auto"/>
              </w:rPr>
            </w:pPr>
            <w:r>
              <w:rPr>
                <w:rFonts w:ascii="Arial" w:cs="Arial" w:eastAsia="Arial" w:hAnsi="Arial"/>
                <w:sz w:val="18"/>
                <w:szCs w:val="18"/>
                <w:color w:val="auto"/>
                <w:w w:val="92"/>
              </w:rPr>
              <w:t>Joint Venture Agreement, dated June 29, 2011, by and among MediciNova, Inc., Zhejiang Medicine Co., Ltd. and Beijing Make-Friend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40" w:type="dxa"/>
            <w:vAlign w:val="bottom"/>
            <w:gridSpan w:val="3"/>
          </w:tcPr>
          <w:p>
            <w:pPr>
              <w:ind w:left="320"/>
              <w:spacing w:after="0"/>
              <w:rPr>
                <w:sz w:val="20"/>
                <w:szCs w:val="20"/>
                <w:color w:val="auto"/>
              </w:rPr>
            </w:pPr>
            <w:r>
              <w:rPr>
                <w:rFonts w:ascii="Arial" w:cs="Arial" w:eastAsia="Arial" w:hAnsi="Arial"/>
                <w:sz w:val="18"/>
                <w:szCs w:val="18"/>
                <w:color w:val="auto"/>
              </w:rPr>
              <w:t>Medicine Technology Co., Ltd.</w:t>
            </w:r>
          </w:p>
        </w:tc>
        <w:tc>
          <w:tcPr>
            <w:tcW w:w="0" w:type="dxa"/>
            <w:vAlign w:val="bottom"/>
          </w:tcPr>
          <w:p>
            <w:pPr>
              <w:spacing w:after="0"/>
              <w:rPr>
                <w:sz w:val="1"/>
                <w:szCs w:val="1"/>
                <w:color w:val="auto"/>
              </w:rPr>
            </w:pPr>
          </w:p>
        </w:tc>
      </w:tr>
      <w:tr>
        <w:trPr>
          <w:trHeight w:val="324"/>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520" w:type="dxa"/>
            <w:vAlign w:val="bottom"/>
          </w:tcPr>
          <w:p>
            <w:pPr>
              <w:spacing w:after="0"/>
              <w:rPr>
                <w:sz w:val="24"/>
                <w:szCs w:val="24"/>
                <w:color w:val="auto"/>
              </w:rPr>
            </w:pPr>
          </w:p>
        </w:tc>
        <w:tc>
          <w:tcPr>
            <w:tcW w:w="10240" w:type="dxa"/>
            <w:vAlign w:val="bottom"/>
            <w:gridSpan w:val="3"/>
          </w:tcPr>
          <w:p>
            <w:pPr>
              <w:ind w:left="320"/>
              <w:spacing w:after="0"/>
              <w:rPr>
                <w:sz w:val="20"/>
                <w:szCs w:val="20"/>
                <w:color w:val="auto"/>
              </w:rPr>
            </w:pPr>
            <w:r>
              <w:rPr>
                <w:rFonts w:ascii="Arial" w:cs="Arial" w:eastAsia="Arial" w:hAnsi="Arial"/>
                <w:sz w:val="18"/>
                <w:szCs w:val="18"/>
                <w:color w:val="auto"/>
                <w:w w:val="90"/>
              </w:rPr>
              <w:t>Certification of the Chief Executive Officer pursuant to Section 302 of the Sarbanes-Oxley Act of 2002 for the period ended June 30, 2011.</w:t>
            </w:r>
          </w:p>
        </w:tc>
        <w:tc>
          <w:tcPr>
            <w:tcW w:w="0" w:type="dxa"/>
            <w:vAlign w:val="bottom"/>
          </w:tcPr>
          <w:p>
            <w:pPr>
              <w:spacing w:after="0"/>
              <w:rPr>
                <w:sz w:val="1"/>
                <w:szCs w:val="1"/>
                <w:color w:val="auto"/>
              </w:rPr>
            </w:pPr>
          </w:p>
        </w:tc>
      </w:tr>
      <w:tr>
        <w:trPr>
          <w:trHeight w:val="324"/>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520" w:type="dxa"/>
            <w:vAlign w:val="bottom"/>
          </w:tcPr>
          <w:p>
            <w:pPr>
              <w:spacing w:after="0"/>
              <w:rPr>
                <w:sz w:val="24"/>
                <w:szCs w:val="24"/>
                <w:color w:val="auto"/>
              </w:rPr>
            </w:pPr>
          </w:p>
        </w:tc>
        <w:tc>
          <w:tcPr>
            <w:tcW w:w="10240" w:type="dxa"/>
            <w:vAlign w:val="bottom"/>
            <w:gridSpan w:val="3"/>
          </w:tcPr>
          <w:p>
            <w:pPr>
              <w:ind w:left="320"/>
              <w:spacing w:after="0"/>
              <w:rPr>
                <w:sz w:val="20"/>
                <w:szCs w:val="20"/>
                <w:color w:val="auto"/>
              </w:rPr>
            </w:pPr>
            <w:r>
              <w:rPr>
                <w:rFonts w:ascii="Arial" w:cs="Arial" w:eastAsia="Arial" w:hAnsi="Arial"/>
                <w:sz w:val="18"/>
                <w:szCs w:val="18"/>
                <w:color w:val="auto"/>
                <w:w w:val="90"/>
              </w:rPr>
              <w:t>Certification of the Chief Financial Officer pursuant to Section 302 of the Sarbanes-Oxley Act of 2002 for the period ended June 30, 2011.</w:t>
            </w:r>
          </w:p>
        </w:tc>
        <w:tc>
          <w:tcPr>
            <w:tcW w:w="0" w:type="dxa"/>
            <w:vAlign w:val="bottom"/>
          </w:tcPr>
          <w:p>
            <w:pPr>
              <w:spacing w:after="0"/>
              <w:rPr>
                <w:sz w:val="1"/>
                <w:szCs w:val="1"/>
                <w:color w:val="auto"/>
              </w:rPr>
            </w:pPr>
          </w:p>
        </w:tc>
      </w:tr>
      <w:tr>
        <w:trPr>
          <w:trHeight w:val="324"/>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520" w:type="dxa"/>
            <w:vAlign w:val="bottom"/>
          </w:tcPr>
          <w:p>
            <w:pPr>
              <w:spacing w:after="0"/>
              <w:rPr>
                <w:sz w:val="24"/>
                <w:szCs w:val="24"/>
                <w:color w:val="auto"/>
              </w:rPr>
            </w:pPr>
          </w:p>
        </w:tc>
        <w:tc>
          <w:tcPr>
            <w:tcW w:w="10240" w:type="dxa"/>
            <w:vAlign w:val="bottom"/>
            <w:gridSpan w:val="3"/>
          </w:tcPr>
          <w:p>
            <w:pPr>
              <w:ind w:left="320"/>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c>
          <w:tcPr>
            <w:tcW w:w="0" w:type="dxa"/>
            <w:vAlign w:val="bottom"/>
          </w:tcPr>
          <w:p>
            <w:pPr>
              <w:spacing w:after="0"/>
              <w:rPr>
                <w:sz w:val="1"/>
                <w:szCs w:val="1"/>
                <w:color w:val="auto"/>
              </w:rPr>
            </w:pPr>
          </w:p>
        </w:tc>
      </w:tr>
      <w:tr>
        <w:trPr>
          <w:trHeight w:val="324"/>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520" w:type="dxa"/>
            <w:vAlign w:val="bottom"/>
          </w:tcPr>
          <w:p>
            <w:pPr>
              <w:spacing w:after="0"/>
              <w:rPr>
                <w:sz w:val="24"/>
                <w:szCs w:val="24"/>
                <w:color w:val="auto"/>
              </w:rPr>
            </w:pPr>
          </w:p>
        </w:tc>
        <w:tc>
          <w:tcPr>
            <w:tcW w:w="10240" w:type="dxa"/>
            <w:vAlign w:val="bottom"/>
            <w:gridSpan w:val="3"/>
          </w:tcPr>
          <w:p>
            <w:pPr>
              <w:ind w:left="320"/>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w w:val="97"/>
              </w:rPr>
              <w:t>101(*)</w:t>
            </w:r>
          </w:p>
        </w:tc>
        <w:tc>
          <w:tcPr>
            <w:tcW w:w="520" w:type="dxa"/>
            <w:vAlign w:val="bottom"/>
          </w:tcPr>
          <w:p>
            <w:pPr>
              <w:spacing w:after="0"/>
              <w:rPr>
                <w:sz w:val="24"/>
                <w:szCs w:val="24"/>
                <w:color w:val="auto"/>
              </w:rPr>
            </w:pPr>
          </w:p>
        </w:tc>
        <w:tc>
          <w:tcPr>
            <w:tcW w:w="10240" w:type="dxa"/>
            <w:vAlign w:val="bottom"/>
            <w:gridSpan w:val="3"/>
          </w:tcPr>
          <w:p>
            <w:pPr>
              <w:ind w:left="320"/>
              <w:spacing w:after="0"/>
              <w:rPr>
                <w:sz w:val="20"/>
                <w:szCs w:val="20"/>
                <w:color w:val="auto"/>
              </w:rPr>
            </w:pPr>
            <w:r>
              <w:rPr>
                <w:rFonts w:ascii="Arial" w:cs="Arial" w:eastAsia="Arial" w:hAnsi="Arial"/>
                <w:sz w:val="18"/>
                <w:szCs w:val="18"/>
                <w:color w:val="auto"/>
                <w:w w:val="89"/>
              </w:rPr>
              <w:t>The following financial statements from the MediciNova, Inc. Quarterly Report on Form 10-Q for the quarter ended June 30, 2011 formatted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3"/>
          </w:tcPr>
          <w:p>
            <w:pPr>
              <w:ind w:left="320"/>
              <w:spacing w:after="0"/>
              <w:rPr>
                <w:sz w:val="20"/>
                <w:szCs w:val="20"/>
                <w:color w:val="auto"/>
              </w:rPr>
            </w:pPr>
            <w:r>
              <w:rPr>
                <w:rFonts w:ascii="Arial" w:cs="Arial" w:eastAsia="Arial" w:hAnsi="Arial"/>
                <w:sz w:val="18"/>
                <w:szCs w:val="18"/>
                <w:color w:val="auto"/>
                <w:w w:val="93"/>
              </w:rPr>
              <w:t>in Extensible Business Reporting Language (XBRL): (i) Consolidated Balance Sheets; (ii) Consolidated Statements of Operations; (iii)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40" w:type="dxa"/>
            <w:vAlign w:val="bottom"/>
            <w:gridSpan w:val="3"/>
          </w:tcPr>
          <w:p>
            <w:pPr>
              <w:ind w:left="320"/>
              <w:spacing w:after="0"/>
              <w:rPr>
                <w:sz w:val="20"/>
                <w:szCs w:val="20"/>
                <w:color w:val="auto"/>
              </w:rPr>
            </w:pPr>
            <w:r>
              <w:rPr>
                <w:rFonts w:ascii="Arial" w:cs="Arial" w:eastAsia="Arial" w:hAnsi="Arial"/>
                <w:sz w:val="18"/>
                <w:szCs w:val="18"/>
                <w:color w:val="auto"/>
              </w:rPr>
              <w:t>Consolidated Statements of Cash Flows; and (iv) the notes to the consolidated financial statements (tagged as block text).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6, 2011 and incorporated herein by reference.</w:t>
      </w:r>
    </w:p>
    <w:p>
      <w:pPr>
        <w:spacing w:after="0" w:line="15" w:lineRule="exact"/>
        <w:rPr>
          <w:sz w:val="20"/>
          <w:szCs w:val="20"/>
          <w:color w:val="auto"/>
        </w:rPr>
      </w:pPr>
    </w:p>
    <w:p>
      <w:pPr>
        <w:ind w:left="46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1" w:lineRule="exact"/>
        <w:rPr>
          <w:sz w:val="20"/>
          <w:szCs w:val="20"/>
          <w:color w:val="auto"/>
        </w:rPr>
      </w:pPr>
    </w:p>
    <w:p>
      <w:pPr>
        <w:ind w:left="5620" w:right="3880" w:hanging="5612"/>
        <w:spacing w:after="0" w:line="433" w:lineRule="auto"/>
        <w:tabs>
          <w:tab w:leader="none" w:pos="4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 by the SEC. 55</w:t>
      </w:r>
    </w:p>
    <w:p>
      <w:pPr>
        <w:sectPr>
          <w:pgSz w:w="11900" w:h="16838" w:orient="portrait"/>
          <w:cols w:equalWidth="0" w:num="1">
            <w:col w:w="11320"/>
          </w:cols>
          <w:pgMar w:left="240" w:top="459"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10.44</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Text Omitted and Filed Separately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Pursuant to a Confidential Treatment Request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under 17 C.F.R. §§ 200.80(b)(4) and 240.24b-2(b)(1)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JOINT VENTURE CONTRACT</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Zhejiang Sunmy Medicine Biotechnology Corporation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June 29, 2011</w:t>
      </w:r>
    </w:p>
    <w:p>
      <w:pPr>
        <w:sectPr>
          <w:pgSz w:w="11900" w:h="16838" w:orient="portrait"/>
          <w:cols w:equalWidth="0" w:num="1">
            <w:col w:w="10220"/>
          </w:cols>
          <w:pgMar w:left="1440" w:top="131"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8"/>
        </w:trPr>
        <w:tc>
          <w:tcPr>
            <w:tcW w:w="1320" w:type="dxa"/>
            <w:vAlign w:val="bottom"/>
          </w:tcPr>
          <w:p>
            <w:pPr>
              <w:spacing w:after="0"/>
              <w:rPr>
                <w:sz w:val="19"/>
                <w:szCs w:val="19"/>
                <w:color w:val="auto"/>
              </w:rPr>
            </w:pPr>
          </w:p>
        </w:tc>
        <w:tc>
          <w:tcPr>
            <w:tcW w:w="8180" w:type="dxa"/>
            <w:vAlign w:val="bottom"/>
          </w:tcPr>
          <w:p>
            <w:pPr>
              <w:ind w:left="3460"/>
              <w:spacing w:after="0"/>
              <w:rPr>
                <w:sz w:val="20"/>
                <w:szCs w:val="20"/>
                <w:color w:val="auto"/>
              </w:rPr>
            </w:pPr>
            <w:r>
              <w:rPr>
                <w:rFonts w:ascii="Arial" w:cs="Arial" w:eastAsia="Arial" w:hAnsi="Arial"/>
                <w:sz w:val="18"/>
                <w:szCs w:val="18"/>
                <w:b w:val="1"/>
                <w:bCs w:val="1"/>
                <w:color w:val="auto"/>
              </w:rPr>
              <w:t>TABLE OF CONTENTS</w:t>
            </w:r>
          </w:p>
        </w:tc>
        <w:tc>
          <w:tcPr>
            <w:tcW w:w="1820" w:type="dxa"/>
            <w:vAlign w:val="bottom"/>
          </w:tcPr>
          <w:p>
            <w:pPr>
              <w:spacing w:after="0"/>
              <w:rPr>
                <w:sz w:val="19"/>
                <w:szCs w:val="19"/>
                <w:color w:val="auto"/>
              </w:rPr>
            </w:pPr>
          </w:p>
        </w:tc>
      </w:tr>
      <w:tr>
        <w:trPr>
          <w:trHeight w:val="419"/>
        </w:trPr>
        <w:tc>
          <w:tcPr>
            <w:tcW w:w="1320" w:type="dxa"/>
            <w:vAlign w:val="bottom"/>
          </w:tcPr>
          <w:p>
            <w:pPr>
              <w:spacing w:after="0"/>
              <w:rPr>
                <w:sz w:val="20"/>
                <w:szCs w:val="20"/>
                <w:color w:val="auto"/>
              </w:rPr>
            </w:pPr>
            <w:r>
              <w:rPr>
                <w:rFonts w:ascii="Arial" w:cs="Arial" w:eastAsia="Arial" w:hAnsi="Arial"/>
                <w:sz w:val="18"/>
                <w:szCs w:val="18"/>
                <w:color w:val="auto"/>
              </w:rPr>
              <w:t>Chapter I</w:t>
            </w:r>
          </w:p>
        </w:tc>
        <w:tc>
          <w:tcPr>
            <w:tcW w:w="8180" w:type="dxa"/>
            <w:vAlign w:val="bottom"/>
          </w:tcPr>
          <w:p>
            <w:pPr>
              <w:ind w:left="260"/>
              <w:spacing w:after="0"/>
              <w:rPr>
                <w:sz w:val="20"/>
                <w:szCs w:val="20"/>
                <w:color w:val="auto"/>
              </w:rPr>
            </w:pPr>
            <w:r>
              <w:rPr>
                <w:rFonts w:ascii="Arial" w:cs="Arial" w:eastAsia="Arial" w:hAnsi="Arial"/>
                <w:sz w:val="18"/>
                <w:szCs w:val="18"/>
                <w:color w:val="auto"/>
              </w:rPr>
              <w:t>General Provisions</w:t>
            </w: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Chapter II</w:t>
            </w:r>
          </w:p>
        </w:tc>
        <w:tc>
          <w:tcPr>
            <w:tcW w:w="8180" w:type="dxa"/>
            <w:vAlign w:val="bottom"/>
          </w:tcPr>
          <w:p>
            <w:pPr>
              <w:ind w:left="260"/>
              <w:spacing w:after="0"/>
              <w:rPr>
                <w:sz w:val="20"/>
                <w:szCs w:val="20"/>
                <w:color w:val="auto"/>
              </w:rPr>
            </w:pPr>
            <w:r>
              <w:rPr>
                <w:rFonts w:ascii="Arial" w:cs="Arial" w:eastAsia="Arial" w:hAnsi="Arial"/>
                <w:sz w:val="18"/>
                <w:szCs w:val="18"/>
                <w:color w:val="auto"/>
              </w:rPr>
              <w:t>Parties of the Joint Venture</w:t>
            </w: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Chapter III</w:t>
            </w:r>
          </w:p>
        </w:tc>
        <w:tc>
          <w:tcPr>
            <w:tcW w:w="8180" w:type="dxa"/>
            <w:vAlign w:val="bottom"/>
          </w:tcPr>
          <w:p>
            <w:pPr>
              <w:ind w:left="260"/>
              <w:spacing w:after="0"/>
              <w:rPr>
                <w:sz w:val="20"/>
                <w:szCs w:val="20"/>
                <w:color w:val="auto"/>
              </w:rPr>
            </w:pPr>
            <w:r>
              <w:rPr>
                <w:rFonts w:ascii="Arial" w:cs="Arial" w:eastAsia="Arial" w:hAnsi="Arial"/>
                <w:sz w:val="18"/>
                <w:szCs w:val="18"/>
                <w:color w:val="auto"/>
              </w:rPr>
              <w:t>Establishment of the Joint Venture Company</w:t>
            </w:r>
          </w:p>
        </w:tc>
        <w:tc>
          <w:tcPr>
            <w:tcW w:w="1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Chapter IV</w:t>
            </w:r>
          </w:p>
        </w:tc>
        <w:tc>
          <w:tcPr>
            <w:tcW w:w="8180" w:type="dxa"/>
            <w:vAlign w:val="bottom"/>
          </w:tcPr>
          <w:p>
            <w:pPr>
              <w:ind w:left="260"/>
              <w:spacing w:after="0"/>
              <w:rPr>
                <w:sz w:val="20"/>
                <w:szCs w:val="20"/>
                <w:color w:val="auto"/>
              </w:rPr>
            </w:pPr>
            <w:r>
              <w:rPr>
                <w:rFonts w:ascii="Arial" w:cs="Arial" w:eastAsia="Arial" w:hAnsi="Arial"/>
                <w:sz w:val="18"/>
                <w:szCs w:val="18"/>
                <w:color w:val="auto"/>
              </w:rPr>
              <w:t>Purpose, Scope and Scale of Production and Business</w:t>
            </w:r>
          </w:p>
        </w:tc>
        <w:tc>
          <w:tcPr>
            <w:tcW w:w="1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Chapter V</w:t>
            </w:r>
          </w:p>
        </w:tc>
        <w:tc>
          <w:tcPr>
            <w:tcW w:w="8180" w:type="dxa"/>
            <w:vAlign w:val="bottom"/>
          </w:tcPr>
          <w:p>
            <w:pPr>
              <w:ind w:left="260"/>
              <w:spacing w:after="0"/>
              <w:rPr>
                <w:sz w:val="20"/>
                <w:szCs w:val="20"/>
                <w:color w:val="auto"/>
              </w:rPr>
            </w:pPr>
            <w:r>
              <w:rPr>
                <w:rFonts w:ascii="Arial" w:cs="Arial" w:eastAsia="Arial" w:hAnsi="Arial"/>
                <w:sz w:val="18"/>
                <w:szCs w:val="18"/>
                <w:color w:val="auto"/>
              </w:rPr>
              <w:t>Total Amount of Investment, the Registered Capital and Manner of Capital Contributions</w:t>
            </w:r>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Chapter VI</w:t>
            </w:r>
          </w:p>
        </w:tc>
        <w:tc>
          <w:tcPr>
            <w:tcW w:w="8180" w:type="dxa"/>
            <w:vAlign w:val="bottom"/>
          </w:tcPr>
          <w:p>
            <w:pPr>
              <w:ind w:left="260"/>
              <w:spacing w:after="0"/>
              <w:rPr>
                <w:sz w:val="20"/>
                <w:szCs w:val="20"/>
                <w:color w:val="auto"/>
              </w:rPr>
            </w:pPr>
            <w:r>
              <w:rPr>
                <w:rFonts w:ascii="Arial" w:cs="Arial" w:eastAsia="Arial" w:hAnsi="Arial"/>
                <w:sz w:val="18"/>
                <w:szCs w:val="18"/>
                <w:color w:val="auto"/>
              </w:rPr>
              <w:t>Responsibilities of Each Party</w:t>
            </w:r>
          </w:p>
        </w:tc>
        <w:tc>
          <w:tcPr>
            <w:tcW w:w="1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Chapter VII</w:t>
            </w:r>
          </w:p>
        </w:tc>
        <w:tc>
          <w:tcPr>
            <w:tcW w:w="8180" w:type="dxa"/>
            <w:vAlign w:val="bottom"/>
          </w:tcPr>
          <w:p>
            <w:pPr>
              <w:ind w:left="260"/>
              <w:spacing w:after="0"/>
              <w:rPr>
                <w:sz w:val="20"/>
                <w:szCs w:val="20"/>
                <w:color w:val="auto"/>
              </w:rPr>
            </w:pPr>
            <w:r>
              <w:rPr>
                <w:rFonts w:ascii="Arial" w:cs="Arial" w:eastAsia="Arial" w:hAnsi="Arial"/>
                <w:sz w:val="18"/>
                <w:szCs w:val="18"/>
                <w:color w:val="auto"/>
              </w:rPr>
              <w:t>License of Technology</w:t>
            </w:r>
          </w:p>
        </w:tc>
        <w:tc>
          <w:tcPr>
            <w:tcW w:w="1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Chapter VIII</w:t>
            </w:r>
          </w:p>
        </w:tc>
        <w:tc>
          <w:tcPr>
            <w:tcW w:w="8180" w:type="dxa"/>
            <w:vAlign w:val="bottom"/>
          </w:tcPr>
          <w:p>
            <w:pPr>
              <w:ind w:left="260"/>
              <w:spacing w:after="0"/>
              <w:rPr>
                <w:sz w:val="20"/>
                <w:szCs w:val="20"/>
                <w:color w:val="auto"/>
              </w:rPr>
            </w:pPr>
            <w:r>
              <w:rPr>
                <w:rFonts w:ascii="Arial" w:cs="Arial" w:eastAsia="Arial" w:hAnsi="Arial"/>
                <w:sz w:val="18"/>
                <w:szCs w:val="18"/>
                <w:color w:val="auto"/>
              </w:rPr>
              <w:t>Product Manufacture and Sale</w:t>
            </w: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Chapter IX</w:t>
            </w:r>
          </w:p>
        </w:tc>
        <w:tc>
          <w:tcPr>
            <w:tcW w:w="8180" w:type="dxa"/>
            <w:vAlign w:val="bottom"/>
          </w:tcPr>
          <w:p>
            <w:pPr>
              <w:ind w:left="260"/>
              <w:spacing w:after="0"/>
              <w:rPr>
                <w:sz w:val="20"/>
                <w:szCs w:val="20"/>
                <w:color w:val="auto"/>
              </w:rPr>
            </w:pPr>
            <w:r>
              <w:rPr>
                <w:rFonts w:ascii="Arial" w:cs="Arial" w:eastAsia="Arial" w:hAnsi="Arial"/>
                <w:sz w:val="18"/>
                <w:szCs w:val="18"/>
                <w:color w:val="auto"/>
              </w:rPr>
              <w:t>Organization</w:t>
            </w: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Chapter X</w:t>
            </w:r>
          </w:p>
        </w:tc>
        <w:tc>
          <w:tcPr>
            <w:tcW w:w="8180" w:type="dxa"/>
            <w:vAlign w:val="bottom"/>
          </w:tcPr>
          <w:p>
            <w:pPr>
              <w:ind w:left="260"/>
              <w:spacing w:after="0"/>
              <w:rPr>
                <w:sz w:val="20"/>
                <w:szCs w:val="20"/>
                <w:color w:val="auto"/>
              </w:rPr>
            </w:pPr>
            <w:r>
              <w:rPr>
                <w:rFonts w:ascii="Arial" w:cs="Arial" w:eastAsia="Arial" w:hAnsi="Arial"/>
                <w:sz w:val="18"/>
                <w:szCs w:val="18"/>
                <w:color w:val="auto"/>
              </w:rPr>
              <w:t>Business Management Office</w:t>
            </w: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Chapter XI</w:t>
            </w:r>
          </w:p>
        </w:tc>
        <w:tc>
          <w:tcPr>
            <w:tcW w:w="8180" w:type="dxa"/>
            <w:vAlign w:val="bottom"/>
          </w:tcPr>
          <w:p>
            <w:pPr>
              <w:ind w:left="260"/>
              <w:spacing w:after="0"/>
              <w:rPr>
                <w:sz w:val="20"/>
                <w:szCs w:val="20"/>
                <w:color w:val="auto"/>
              </w:rPr>
            </w:pPr>
            <w:r>
              <w:rPr>
                <w:rFonts w:ascii="Arial" w:cs="Arial" w:eastAsia="Arial" w:hAnsi="Arial"/>
                <w:sz w:val="18"/>
                <w:szCs w:val="18"/>
                <w:color w:val="auto"/>
              </w:rPr>
              <w:t>Purchase of Equipment</w:t>
            </w:r>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Chapter XII</w:t>
            </w:r>
          </w:p>
        </w:tc>
        <w:tc>
          <w:tcPr>
            <w:tcW w:w="8180" w:type="dxa"/>
            <w:vAlign w:val="bottom"/>
          </w:tcPr>
          <w:p>
            <w:pPr>
              <w:ind w:left="260"/>
              <w:spacing w:after="0"/>
              <w:rPr>
                <w:sz w:val="20"/>
                <w:szCs w:val="20"/>
                <w:color w:val="auto"/>
              </w:rPr>
            </w:pPr>
            <w:r>
              <w:rPr>
                <w:rFonts w:ascii="Arial" w:cs="Arial" w:eastAsia="Arial" w:hAnsi="Arial"/>
                <w:sz w:val="18"/>
                <w:szCs w:val="18"/>
                <w:color w:val="auto"/>
              </w:rPr>
              <w:t>Management of Labor</w:t>
            </w:r>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Chapter XIII</w:t>
            </w:r>
          </w:p>
        </w:tc>
        <w:tc>
          <w:tcPr>
            <w:tcW w:w="8180" w:type="dxa"/>
            <w:vAlign w:val="bottom"/>
          </w:tcPr>
          <w:p>
            <w:pPr>
              <w:ind w:left="260"/>
              <w:spacing w:after="0"/>
              <w:rPr>
                <w:sz w:val="20"/>
                <w:szCs w:val="20"/>
                <w:color w:val="auto"/>
              </w:rPr>
            </w:pPr>
            <w:r>
              <w:rPr>
                <w:rFonts w:ascii="Arial" w:cs="Arial" w:eastAsia="Arial" w:hAnsi="Arial"/>
                <w:sz w:val="18"/>
                <w:szCs w:val="18"/>
                <w:color w:val="auto"/>
              </w:rPr>
              <w:t>Taxes, Finance, Audit and Foreign</w:t>
            </w:r>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Chapter XIV</w:t>
            </w:r>
          </w:p>
        </w:tc>
        <w:tc>
          <w:tcPr>
            <w:tcW w:w="8180" w:type="dxa"/>
            <w:vAlign w:val="bottom"/>
          </w:tcPr>
          <w:p>
            <w:pPr>
              <w:ind w:left="260"/>
              <w:spacing w:after="0"/>
              <w:rPr>
                <w:sz w:val="20"/>
                <w:szCs w:val="20"/>
                <w:color w:val="auto"/>
              </w:rPr>
            </w:pPr>
            <w:r>
              <w:rPr>
                <w:rFonts w:ascii="Arial" w:cs="Arial" w:eastAsia="Arial" w:hAnsi="Arial"/>
                <w:sz w:val="18"/>
                <w:szCs w:val="18"/>
                <w:color w:val="auto"/>
              </w:rPr>
              <w:t>Distribution of Profit</w:t>
            </w:r>
          </w:p>
        </w:tc>
        <w:tc>
          <w:tcPr>
            <w:tcW w:w="18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Chapter XV</w:t>
            </w:r>
          </w:p>
        </w:tc>
        <w:tc>
          <w:tcPr>
            <w:tcW w:w="8180" w:type="dxa"/>
            <w:vAlign w:val="bottom"/>
          </w:tcPr>
          <w:p>
            <w:pPr>
              <w:ind w:left="260"/>
              <w:spacing w:after="0"/>
              <w:rPr>
                <w:sz w:val="20"/>
                <w:szCs w:val="20"/>
                <w:color w:val="auto"/>
              </w:rPr>
            </w:pPr>
            <w:r>
              <w:rPr>
                <w:rFonts w:ascii="Arial" w:cs="Arial" w:eastAsia="Arial" w:hAnsi="Arial"/>
                <w:sz w:val="18"/>
                <w:szCs w:val="18"/>
                <w:color w:val="auto"/>
              </w:rPr>
              <w:t>Duration of the Joint Venture</w:t>
            </w:r>
          </w:p>
        </w:tc>
        <w:tc>
          <w:tcPr>
            <w:tcW w:w="18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Chapter XVI</w:t>
            </w:r>
          </w:p>
        </w:tc>
        <w:tc>
          <w:tcPr>
            <w:tcW w:w="8180" w:type="dxa"/>
            <w:vAlign w:val="bottom"/>
          </w:tcPr>
          <w:p>
            <w:pPr>
              <w:ind w:left="260"/>
              <w:spacing w:after="0"/>
              <w:rPr>
                <w:sz w:val="20"/>
                <w:szCs w:val="20"/>
                <w:color w:val="auto"/>
              </w:rPr>
            </w:pPr>
            <w:r>
              <w:rPr>
                <w:rFonts w:ascii="Arial" w:cs="Arial" w:eastAsia="Arial" w:hAnsi="Arial"/>
                <w:sz w:val="18"/>
                <w:szCs w:val="18"/>
                <w:color w:val="auto"/>
              </w:rPr>
              <w:t>Disposal of Assets after the Expiration of the Duration; Non-Compete</w:t>
            </w:r>
          </w:p>
        </w:tc>
        <w:tc>
          <w:tcPr>
            <w:tcW w:w="18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Chapter XVII</w:t>
            </w:r>
          </w:p>
        </w:tc>
        <w:tc>
          <w:tcPr>
            <w:tcW w:w="818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18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Chapter XVIII</w:t>
            </w:r>
          </w:p>
        </w:tc>
        <w:tc>
          <w:tcPr>
            <w:tcW w:w="8180" w:type="dxa"/>
            <w:vAlign w:val="bottom"/>
          </w:tcPr>
          <w:p>
            <w:pPr>
              <w:ind w:left="260"/>
              <w:spacing w:after="0"/>
              <w:rPr>
                <w:sz w:val="20"/>
                <w:szCs w:val="20"/>
                <w:color w:val="auto"/>
              </w:rPr>
            </w:pPr>
            <w:r>
              <w:rPr>
                <w:rFonts w:ascii="Arial" w:cs="Arial" w:eastAsia="Arial" w:hAnsi="Arial"/>
                <w:sz w:val="18"/>
                <w:szCs w:val="18"/>
                <w:color w:val="auto"/>
              </w:rPr>
              <w:t>Amendment, Alteration and Termination of the Contract</w:t>
            </w:r>
          </w:p>
        </w:tc>
        <w:tc>
          <w:tcPr>
            <w:tcW w:w="18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Chapter XIX</w:t>
            </w:r>
          </w:p>
        </w:tc>
        <w:tc>
          <w:tcPr>
            <w:tcW w:w="8180" w:type="dxa"/>
            <w:vAlign w:val="bottom"/>
          </w:tcPr>
          <w:p>
            <w:pPr>
              <w:ind w:left="260"/>
              <w:spacing w:after="0"/>
              <w:rPr>
                <w:sz w:val="20"/>
                <w:szCs w:val="20"/>
                <w:color w:val="auto"/>
              </w:rPr>
            </w:pPr>
            <w:r>
              <w:rPr>
                <w:rFonts w:ascii="Arial" w:cs="Arial" w:eastAsia="Arial" w:hAnsi="Arial"/>
                <w:sz w:val="18"/>
                <w:szCs w:val="18"/>
                <w:color w:val="auto"/>
              </w:rPr>
              <w:t>Liability for Breach of Contract</w:t>
            </w:r>
          </w:p>
        </w:tc>
        <w:tc>
          <w:tcPr>
            <w:tcW w:w="18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Chapter XX</w:t>
            </w:r>
          </w:p>
        </w:tc>
        <w:tc>
          <w:tcPr>
            <w:tcW w:w="8180" w:type="dxa"/>
            <w:vAlign w:val="bottom"/>
          </w:tcPr>
          <w:p>
            <w:pPr>
              <w:ind w:left="260"/>
              <w:spacing w:after="0"/>
              <w:rPr>
                <w:sz w:val="20"/>
                <w:szCs w:val="20"/>
                <w:color w:val="auto"/>
              </w:rPr>
            </w:pPr>
            <w:r>
              <w:rPr>
                <w:rFonts w:ascii="Arial" w:cs="Arial" w:eastAsia="Arial" w:hAnsi="Arial"/>
                <w:sz w:val="18"/>
                <w:szCs w:val="18"/>
                <w:color w:val="auto"/>
              </w:rPr>
              <w:t>Force Majeure</w:t>
            </w:r>
          </w:p>
        </w:tc>
        <w:tc>
          <w:tcPr>
            <w:tcW w:w="18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Chapter XXI</w:t>
            </w:r>
          </w:p>
        </w:tc>
        <w:tc>
          <w:tcPr>
            <w:tcW w:w="8180" w:type="dxa"/>
            <w:vAlign w:val="bottom"/>
          </w:tcPr>
          <w:p>
            <w:pPr>
              <w:ind w:left="260"/>
              <w:spacing w:after="0"/>
              <w:rPr>
                <w:sz w:val="20"/>
                <w:szCs w:val="20"/>
                <w:color w:val="auto"/>
              </w:rPr>
            </w:pPr>
            <w:r>
              <w:rPr>
                <w:rFonts w:ascii="Arial" w:cs="Arial" w:eastAsia="Arial" w:hAnsi="Arial"/>
                <w:sz w:val="18"/>
                <w:szCs w:val="18"/>
                <w:color w:val="auto"/>
              </w:rPr>
              <w:t>Applicable Laws</w:t>
            </w:r>
          </w:p>
        </w:tc>
        <w:tc>
          <w:tcPr>
            <w:tcW w:w="18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Chapter XXII</w:t>
            </w:r>
          </w:p>
        </w:tc>
        <w:tc>
          <w:tcPr>
            <w:tcW w:w="8180" w:type="dxa"/>
            <w:vAlign w:val="bottom"/>
          </w:tcPr>
          <w:p>
            <w:pPr>
              <w:ind w:left="260"/>
              <w:spacing w:after="0"/>
              <w:rPr>
                <w:sz w:val="20"/>
                <w:szCs w:val="20"/>
                <w:color w:val="auto"/>
              </w:rPr>
            </w:pPr>
            <w:r>
              <w:rPr>
                <w:rFonts w:ascii="Arial" w:cs="Arial" w:eastAsia="Arial" w:hAnsi="Arial"/>
                <w:sz w:val="18"/>
                <w:szCs w:val="18"/>
                <w:color w:val="auto"/>
              </w:rPr>
              <w:t>Settlement of Disputes</w:t>
            </w:r>
          </w:p>
        </w:tc>
        <w:tc>
          <w:tcPr>
            <w:tcW w:w="18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Chapter XXIII</w:t>
            </w:r>
          </w:p>
        </w:tc>
        <w:tc>
          <w:tcPr>
            <w:tcW w:w="8180" w:type="dxa"/>
            <w:vAlign w:val="bottom"/>
          </w:tcPr>
          <w:p>
            <w:pPr>
              <w:ind w:left="260"/>
              <w:spacing w:after="0"/>
              <w:rPr>
                <w:sz w:val="20"/>
                <w:szCs w:val="20"/>
                <w:color w:val="auto"/>
              </w:rPr>
            </w:pPr>
            <w:r>
              <w:rPr>
                <w:rFonts w:ascii="Arial" w:cs="Arial" w:eastAsia="Arial" w:hAnsi="Arial"/>
                <w:sz w:val="18"/>
                <w:szCs w:val="18"/>
                <w:color w:val="auto"/>
              </w:rPr>
              <w:t>Languages</w:t>
            </w:r>
          </w:p>
        </w:tc>
        <w:tc>
          <w:tcPr>
            <w:tcW w:w="18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Chapter XXIV</w:t>
            </w:r>
          </w:p>
        </w:tc>
        <w:tc>
          <w:tcPr>
            <w:tcW w:w="8180" w:type="dxa"/>
            <w:vAlign w:val="bottom"/>
          </w:tcPr>
          <w:p>
            <w:pPr>
              <w:ind w:left="260"/>
              <w:spacing w:after="0"/>
              <w:rPr>
                <w:sz w:val="20"/>
                <w:szCs w:val="20"/>
                <w:color w:val="auto"/>
              </w:rPr>
            </w:pPr>
            <w:r>
              <w:rPr>
                <w:rFonts w:ascii="Arial" w:cs="Arial" w:eastAsia="Arial" w:hAnsi="Arial"/>
                <w:sz w:val="18"/>
                <w:szCs w:val="18"/>
                <w:color w:val="auto"/>
              </w:rPr>
              <w:t>Effectiveness of the Contract and Miscellaneous</w:t>
            </w:r>
          </w:p>
        </w:tc>
        <w:tc>
          <w:tcPr>
            <w:tcW w:w="18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65"/>
        </w:trPr>
        <w:tc>
          <w:tcPr>
            <w:tcW w:w="1320" w:type="dxa"/>
            <w:vAlign w:val="bottom"/>
          </w:tcPr>
          <w:p>
            <w:pPr>
              <w:spacing w:after="0"/>
              <w:rPr>
                <w:sz w:val="24"/>
                <w:szCs w:val="24"/>
                <w:color w:val="auto"/>
              </w:rPr>
            </w:pPr>
          </w:p>
        </w:tc>
        <w:tc>
          <w:tcPr>
            <w:tcW w:w="8180" w:type="dxa"/>
            <w:vAlign w:val="bottom"/>
          </w:tcPr>
          <w:p>
            <w:pPr>
              <w:ind w:left="4320"/>
              <w:spacing w:after="0"/>
              <w:rPr>
                <w:sz w:val="20"/>
                <w:szCs w:val="20"/>
                <w:color w:val="auto"/>
              </w:rPr>
            </w:pPr>
            <w:r>
              <w:rPr>
                <w:rFonts w:ascii="Arial" w:cs="Arial" w:eastAsia="Arial" w:hAnsi="Arial"/>
                <w:sz w:val="18"/>
                <w:szCs w:val="18"/>
                <w:color w:val="auto"/>
              </w:rPr>
              <w:t>-i-</w:t>
            </w:r>
          </w:p>
        </w:tc>
        <w:tc>
          <w:tcPr>
            <w:tcW w:w="18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7" w:name="page58"/>
    <w:bookmarkEnd w:id="57"/>
    <w:p>
      <w:pPr>
        <w:jc w:val="center"/>
        <w:spacing w:after="0"/>
        <w:tabs>
          <w:tab w:leader="none" w:pos="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Chapter I</w:t>
      </w:r>
      <w:r>
        <w:rPr>
          <w:sz w:val="20"/>
          <w:szCs w:val="20"/>
          <w:color w:val="auto"/>
        </w:rPr>
        <w:tab/>
      </w:r>
      <w:r>
        <w:rPr>
          <w:rFonts w:ascii="Arial" w:cs="Arial" w:eastAsia="Arial" w:hAnsi="Arial"/>
          <w:sz w:val="15"/>
          <w:szCs w:val="15"/>
          <w:b w:val="1"/>
          <w:bCs w:val="1"/>
          <w:color w:val="auto"/>
        </w:rPr>
        <w:t>General Provisions</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In accordance with the Law of the People’s Republic of China on Chinese-Foreign Equity Joint Venture (the </w:t>
      </w:r>
      <w:r>
        <w:rPr>
          <w:rFonts w:ascii="Arial" w:cs="Arial" w:eastAsia="Arial" w:hAnsi="Arial"/>
          <w:sz w:val="18"/>
          <w:szCs w:val="18"/>
          <w:b w:val="1"/>
          <w:bCs w:val="1"/>
          <w:color w:val="auto"/>
        </w:rPr>
        <w:t>“Joint Venture Law”</w:t>
      </w:r>
      <w:r>
        <w:rPr>
          <w:rFonts w:ascii="Arial" w:cs="Arial" w:eastAsia="Arial" w:hAnsi="Arial"/>
          <w:sz w:val="18"/>
          <w:szCs w:val="18"/>
          <w:color w:val="auto"/>
        </w:rPr>
        <w:t xml:space="preserve">) and other relevant Chinese laws and regulations, Zhejiang Medicine Co., Ltd., Beijing Make-Friend Medicine Technology Co., Ltd. and MediciNova, Inc., based on the principles of equality and mutual benefit and through friendly consultations, agree to jointly invest to set up a joint venture enterprise in the form of an equity joint venture in Hangzhou, Zhejiang Province, the People’s Republic of China (the </w:t>
      </w:r>
      <w:r>
        <w:rPr>
          <w:rFonts w:ascii="Arial" w:cs="Arial" w:eastAsia="Arial" w:hAnsi="Arial"/>
          <w:sz w:val="18"/>
          <w:szCs w:val="18"/>
          <w:b w:val="1"/>
          <w:bCs w:val="1"/>
          <w:color w:val="auto"/>
        </w:rPr>
        <w:t>“PRC”</w:t>
      </w:r>
      <w:r>
        <w:rPr>
          <w:rFonts w:ascii="Arial" w:cs="Arial" w:eastAsia="Arial" w:hAnsi="Arial"/>
          <w:sz w:val="18"/>
          <w:szCs w:val="18"/>
          <w:color w:val="auto"/>
        </w:rPr>
        <w:t xml:space="preserve"> or </w:t>
      </w:r>
      <w:r>
        <w:rPr>
          <w:rFonts w:ascii="Arial" w:cs="Arial" w:eastAsia="Arial" w:hAnsi="Arial"/>
          <w:sz w:val="18"/>
          <w:szCs w:val="18"/>
          <w:b w:val="1"/>
          <w:bCs w:val="1"/>
          <w:color w:val="auto"/>
        </w:rPr>
        <w:t>“China”</w:t>
      </w:r>
      <w:r>
        <w:rPr>
          <w:rFonts w:ascii="Arial" w:cs="Arial" w:eastAsia="Arial" w:hAnsi="Arial"/>
          <w:sz w:val="18"/>
          <w:szCs w:val="18"/>
          <w:color w:val="auto"/>
        </w:rPr>
        <w:t xml:space="preserve">) and hereby enter into this joint venture contract (the </w:t>
      </w:r>
      <w:r>
        <w:rPr>
          <w:rFonts w:ascii="Arial" w:cs="Arial" w:eastAsia="Arial" w:hAnsi="Arial"/>
          <w:sz w:val="18"/>
          <w:szCs w:val="18"/>
          <w:b w:val="1"/>
          <w:bCs w:val="1"/>
          <w:color w:val="auto"/>
        </w:rPr>
        <w:t>“Contract”</w:t>
      </w:r>
      <w:r>
        <w:rPr>
          <w:rFonts w:ascii="Arial" w:cs="Arial" w:eastAsia="Arial" w:hAnsi="Arial"/>
          <w:sz w:val="18"/>
          <w:szCs w:val="18"/>
          <w:color w:val="auto"/>
        </w:rPr>
        <w:t>) as of June 29, 2011.</w:t>
      </w:r>
    </w:p>
    <w:p>
      <w:pPr>
        <w:spacing w:after="0" w:line="301" w:lineRule="exact"/>
        <w:rPr>
          <w:sz w:val="20"/>
          <w:szCs w:val="20"/>
          <w:color w:val="auto"/>
        </w:rPr>
      </w:pPr>
    </w:p>
    <w:p>
      <w:pPr>
        <w:ind w:left="4200"/>
        <w:spacing w:after="0"/>
        <w:tabs>
          <w:tab w:leader="none" w:pos="5160" w:val="left"/>
        </w:tabs>
        <w:rPr>
          <w:sz w:val="20"/>
          <w:szCs w:val="20"/>
          <w:color w:val="auto"/>
        </w:rPr>
      </w:pPr>
      <w:r>
        <w:rPr>
          <w:rFonts w:ascii="Arial" w:cs="Arial" w:eastAsia="Arial" w:hAnsi="Arial"/>
          <w:sz w:val="18"/>
          <w:szCs w:val="18"/>
          <w:b w:val="1"/>
          <w:bCs w:val="1"/>
          <w:color w:val="auto"/>
        </w:rPr>
        <w:t>Chapter II</w:t>
      </w:r>
      <w:r>
        <w:rPr>
          <w:sz w:val="20"/>
          <w:szCs w:val="20"/>
          <w:color w:val="auto"/>
        </w:rPr>
        <w:tab/>
      </w:r>
      <w:r>
        <w:rPr>
          <w:rFonts w:ascii="Arial" w:cs="Arial" w:eastAsia="Arial" w:hAnsi="Arial"/>
          <w:sz w:val="15"/>
          <w:szCs w:val="15"/>
          <w:b w:val="1"/>
          <w:bCs w:val="1"/>
          <w:color w:val="auto"/>
        </w:rPr>
        <w:t>Parties of the Joint Venture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1. The parties to this Contract are as follows:</w:t>
      </w:r>
    </w:p>
    <w:p>
      <w:pPr>
        <w:spacing w:after="0" w:line="165"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color w:val="auto"/>
        </w:rPr>
        <w:t xml:space="preserve">Zhejiang Medicine Co., Ltd. (hereinafter referred to as </w:t>
      </w:r>
      <w:r>
        <w:rPr>
          <w:rFonts w:ascii="Arial" w:cs="Arial" w:eastAsia="Arial" w:hAnsi="Arial"/>
          <w:sz w:val="18"/>
          <w:szCs w:val="18"/>
          <w:b w:val="1"/>
          <w:bCs w:val="1"/>
          <w:color w:val="auto"/>
        </w:rPr>
        <w:t>“Party A”</w:t>
      </w:r>
      <w:r>
        <w:rPr>
          <w:rFonts w:ascii="Arial" w:cs="Arial" w:eastAsia="Arial" w:hAnsi="Arial"/>
          <w:sz w:val="18"/>
          <w:szCs w:val="18"/>
          <w:color w:val="auto"/>
        </w:rPr>
        <w:t>), a company organized and existing under the laws of the PRC, registered with the Administrative Bureau for Industry and Commerce of Zhejiang Province in China, with its legal address at No. 268, Dengyun Rd., Gongshu District, Hangzhou, Zhejiang Province, China. Postal code: 310011.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Position: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Nationality: […***…]</w:t>
      </w:r>
    </w:p>
    <w:p>
      <w:pPr>
        <w:spacing w:after="0" w:line="165"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color w:val="auto"/>
        </w:rPr>
        <w:t xml:space="preserve">Beijing Make-Friend Medicine Technology Co., Ltd. (hereinafter referred to as </w:t>
      </w:r>
      <w:r>
        <w:rPr>
          <w:rFonts w:ascii="Arial" w:cs="Arial" w:eastAsia="Arial" w:hAnsi="Arial"/>
          <w:sz w:val="18"/>
          <w:szCs w:val="18"/>
          <w:b w:val="1"/>
          <w:bCs w:val="1"/>
          <w:color w:val="auto"/>
        </w:rPr>
        <w:t>“Party B”</w:t>
      </w:r>
      <w:r>
        <w:rPr>
          <w:rFonts w:ascii="Arial" w:cs="Arial" w:eastAsia="Arial" w:hAnsi="Arial"/>
          <w:sz w:val="18"/>
          <w:szCs w:val="18"/>
          <w:color w:val="auto"/>
        </w:rPr>
        <w:t>), a company organized and existing under the laws of the PRC, registered with the Administrative Bureau for Industry and Commerce of Beijing in China, with a legal address at Suite 507, Ju’an Building, No. 8 Chedaogou, Haidian District, Beijing, China. Postal code: 100089.</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Position: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Nationality: […***…]</w:t>
      </w:r>
    </w:p>
    <w:p>
      <w:pPr>
        <w:spacing w:after="0" w:line="165"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 xml:space="preserve">MediciNova, Inc. (hereinafter referred to as </w:t>
      </w:r>
      <w:r>
        <w:rPr>
          <w:rFonts w:ascii="Arial" w:cs="Arial" w:eastAsia="Arial" w:hAnsi="Arial"/>
          <w:sz w:val="18"/>
          <w:szCs w:val="18"/>
          <w:b w:val="1"/>
          <w:bCs w:val="1"/>
          <w:color w:val="auto"/>
        </w:rPr>
        <w:t>“Party C”</w:t>
      </w:r>
      <w:r>
        <w:rPr>
          <w:rFonts w:ascii="Arial" w:cs="Arial" w:eastAsia="Arial" w:hAnsi="Arial"/>
          <w:sz w:val="18"/>
          <w:szCs w:val="18"/>
          <w:color w:val="auto"/>
        </w:rPr>
        <w:t>), a corporation registered under the laws of the State of Delaware, United States of America (USA), with the registered address at 1209 Orange Street, Wilmington, County of New Castle, Delaware, USA. Postal code: 19801.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Position: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Nationality: […***…]</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58" w:name="page59"/>
    <w:bookmarkEnd w:id="5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of the parties listed above is referred to individually as a </w:t>
      </w:r>
      <w:r>
        <w:rPr>
          <w:rFonts w:ascii="Arial" w:cs="Arial" w:eastAsia="Arial" w:hAnsi="Arial"/>
          <w:sz w:val="18"/>
          <w:szCs w:val="18"/>
          <w:b w:val="1"/>
          <w:bCs w:val="1"/>
          <w:color w:val="auto"/>
        </w:rPr>
        <w:t>“Party”</w:t>
      </w:r>
      <w:r>
        <w:rPr>
          <w:rFonts w:ascii="Arial" w:cs="Arial" w:eastAsia="Arial" w:hAnsi="Arial"/>
          <w:sz w:val="18"/>
          <w:szCs w:val="18"/>
          <w:color w:val="auto"/>
        </w:rPr>
        <w:t xml:space="preserve"> and collectively as the </w:t>
      </w:r>
      <w:r>
        <w:rPr>
          <w:rFonts w:ascii="Arial" w:cs="Arial" w:eastAsia="Arial" w:hAnsi="Arial"/>
          <w:sz w:val="18"/>
          <w:szCs w:val="18"/>
          <w:b w:val="1"/>
          <w:bCs w:val="1"/>
          <w:color w:val="auto"/>
        </w:rPr>
        <w:t>“Parties.”</w:t>
      </w:r>
    </w:p>
    <w:p>
      <w:pPr>
        <w:spacing w:after="0" w:line="333"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8"/>
          <w:szCs w:val="18"/>
          <w:b w:val="1"/>
          <w:bCs w:val="1"/>
          <w:color w:val="auto"/>
        </w:rPr>
        <w:t>Chapter III</w:t>
      </w:r>
      <w:r>
        <w:rPr>
          <w:sz w:val="20"/>
          <w:szCs w:val="20"/>
          <w:color w:val="auto"/>
        </w:rPr>
        <w:tab/>
      </w:r>
      <w:r>
        <w:rPr>
          <w:rFonts w:ascii="Arial" w:cs="Arial" w:eastAsia="Arial" w:hAnsi="Arial"/>
          <w:sz w:val="15"/>
          <w:szCs w:val="15"/>
          <w:b w:val="1"/>
          <w:bCs w:val="1"/>
          <w:color w:val="auto"/>
        </w:rPr>
        <w:t>Establishment of the Joint Venture Company</w:t>
      </w:r>
    </w:p>
    <w:p>
      <w:pPr>
        <w:spacing w:after="0" w:line="17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ARTICLE 2. In accordance with the Joint Venture Law and other relevant Chinese laws and regulations, the Parties hereto agree to set up an equity joint venture limited liability company in the PRC to research, develop, manufacture, market, distribute and sell pharmaceutical and biotechnological products in the PRC.</w:t>
      </w:r>
    </w:p>
    <w:p>
      <w:pPr>
        <w:spacing w:after="0" w:line="134"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 xml:space="preserve">ARTICLE 3. The name of the joint venture company (hereinafter referred to as the </w:t>
      </w:r>
      <w:r>
        <w:rPr>
          <w:rFonts w:ascii="Arial" w:cs="Arial" w:eastAsia="Arial" w:hAnsi="Arial"/>
          <w:sz w:val="18"/>
          <w:szCs w:val="18"/>
          <w:b w:val="1"/>
          <w:bCs w:val="1"/>
          <w:color w:val="auto"/>
        </w:rPr>
        <w:t>“JV”</w:t>
      </w:r>
      <w:r>
        <w:rPr>
          <w:rFonts w:ascii="Arial" w:cs="Arial" w:eastAsia="Arial" w:hAnsi="Arial"/>
          <w:sz w:val="18"/>
          <w:szCs w:val="18"/>
          <w:color w:val="auto"/>
        </w:rPr>
        <w:t>) shall be Zhejiang Sunmy Medicine Biotechnology Corporation Limited.</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JV’s legal address shall be at 9 Fuchunjiang Road, Jianggan. District, Hangzhou, Zhejiang Province. Postal code: 310020.</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ARTICLE 4. In the event the JV is required to enter into a lease agreement or other such agreement for the facility set forth in ARTICLE 3, such agreement shall indemnify and hold Party C harmless from all claims, obligations and liabilities as set forth in that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5. All activities of the JV shall abide by the laws, decrees and pertinent rules and regulations of the People’s Republic of China.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ARTICLE 6. The JV shall be a […***…]. Liabilities of each Party shall be limited by […***…]. The profits, risks and losses of the JV shall be […</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1"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Chapter IV</w:t>
      </w:r>
      <w:r>
        <w:rPr>
          <w:sz w:val="20"/>
          <w:szCs w:val="20"/>
          <w:color w:val="auto"/>
        </w:rPr>
        <w:tab/>
      </w:r>
      <w:r>
        <w:rPr>
          <w:rFonts w:ascii="Arial" w:cs="Arial" w:eastAsia="Arial" w:hAnsi="Arial"/>
          <w:sz w:val="15"/>
          <w:szCs w:val="15"/>
          <w:b w:val="1"/>
          <w:bCs w:val="1"/>
          <w:color w:val="auto"/>
        </w:rPr>
        <w:t>Purpose, Scope and Scale of Production and Business</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ARTICLE 7. The purpose of the Parties to set up the JV is to enhance economic cooperation and technical exchanges, to research and develop first-class new biomedical technology and pharmaceutical products by adopting advanced and appropriate technology and scientific management methods, so as to increase economic efficiency and ensure satisfactory economic benefits for each Party.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8. The business scope of the JV shall be:</w:t>
      </w:r>
    </w:p>
    <w:p>
      <w:pPr>
        <w:spacing w:after="0" w:line="90" w:lineRule="exact"/>
        <w:rPr>
          <w:sz w:val="20"/>
          <w:szCs w:val="20"/>
          <w:color w:val="auto"/>
        </w:rPr>
      </w:pPr>
    </w:p>
    <w:p>
      <w:pPr>
        <w:ind w:left="1020" w:hanging="566"/>
        <w:spacing w:after="0" w:line="259" w:lineRule="auto"/>
        <w:tabs>
          <w:tab w:leader="none" w:pos="10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 xml:space="preserve">to in-license drug candidates from Party C, and conduct and manage the development work of such drug candidates to obtain regulatory approval in China from the State Food and Drug Administration of China (hereinafter referred to as the </w:t>
      </w:r>
      <w:r>
        <w:rPr>
          <w:rFonts w:ascii="Arial" w:cs="Arial" w:eastAsia="Arial" w:hAnsi="Arial"/>
          <w:sz w:val="18"/>
          <w:szCs w:val="18"/>
          <w:b w:val="1"/>
          <w:bCs w:val="1"/>
          <w:color w:val="auto"/>
        </w:rPr>
        <w:t>“SFDA”</w:t>
      </w:r>
      <w:r>
        <w:rPr>
          <w:rFonts w:ascii="Arial" w:cs="Arial" w:eastAsia="Arial" w:hAnsi="Arial"/>
          <w:sz w:val="18"/>
          <w:szCs w:val="18"/>
          <w:color w:val="auto"/>
        </w:rPr>
        <w:t>) and/or any other applicable Chinese regulatory agencies;</w:t>
      </w:r>
    </w:p>
    <w:p>
      <w:pPr>
        <w:spacing w:after="0" w:line="59" w:lineRule="exact"/>
        <w:rPr>
          <w:sz w:val="20"/>
          <w:szCs w:val="20"/>
          <w:color w:val="auto"/>
        </w:rPr>
      </w:pPr>
    </w:p>
    <w:p>
      <w:pPr>
        <w:ind w:left="1020" w:right="480" w:hanging="566"/>
        <w:spacing w:after="0" w:line="268" w:lineRule="auto"/>
        <w:tabs>
          <w:tab w:leader="none" w:pos="10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to construct, equip, own, manage, and operate a R&amp;D facility in China, which complies with all regulations and guidelines applicable to such facility to conduct the development work set forth in ARTICLE 8.1;</w:t>
      </w:r>
    </w:p>
    <w:p>
      <w:pPr>
        <w:spacing w:after="0" w:line="51" w:lineRule="exact"/>
        <w:rPr>
          <w:sz w:val="20"/>
          <w:szCs w:val="20"/>
          <w:color w:val="auto"/>
        </w:rPr>
      </w:pPr>
    </w:p>
    <w:p>
      <w:pPr>
        <w:jc w:val="both"/>
        <w:ind w:left="1020" w:right="300" w:hanging="566"/>
        <w:spacing w:after="0" w:line="259" w:lineRule="auto"/>
        <w:tabs>
          <w:tab w:leader="none" w:pos="10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 xml:space="preserve">to manage and operate a manufacturing facility in the PRC that complies with all regulations and guidelines applicable to such a manufacturing facility and that has the capacity to manufacture the pharmaceuticals that the JV in-licensed from Party C and developed for the Chinese market (the </w:t>
      </w:r>
      <w:r>
        <w:rPr>
          <w:rFonts w:ascii="Arial" w:cs="Arial" w:eastAsia="Arial" w:hAnsi="Arial"/>
          <w:sz w:val="18"/>
          <w:szCs w:val="18"/>
          <w:b w:val="1"/>
          <w:bCs w:val="1"/>
          <w:color w:val="auto"/>
        </w:rPr>
        <w:t>“JV Products”</w:t>
      </w:r>
      <w:r>
        <w:rPr>
          <w:rFonts w:ascii="Arial" w:cs="Arial" w:eastAsia="Arial" w:hAnsi="Arial"/>
          <w:sz w:val="18"/>
          <w:szCs w:val="18"/>
          <w:color w:val="auto"/>
        </w:rPr>
        <w:t>);</w:t>
      </w:r>
    </w:p>
    <w:p>
      <w:pPr>
        <w:spacing w:after="0" w:line="59"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5"/>
          <w:szCs w:val="15"/>
          <w:color w:val="auto"/>
        </w:rPr>
        <w:t>to manufacture, market, distribute and sell the JV Products in the PRC territory.</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ARTICLE 9. All business activities of the JV with respect to MN-221, which is a code number of a drug candidate in-licensed from Party C pursuant to a license agreement to be entered into between Party C and the JV, shall be conducted within the territory of PRC only. The JV may conduct business activities outside the</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9" w:name="page60"/>
    <w:bookmarkEnd w:id="59"/>
    <w:p>
      <w:pPr>
        <w:ind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territory of PRC for other drug candidates in-licensed to the JV as per ARTICLE 10 depending upon the scope of the applicable license for such other drug candidates.</w:t>
      </w:r>
    </w:p>
    <w:p>
      <w:pPr>
        <w:spacing w:after="0" w:line="132"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ARTICLE 10. The core business of the JV shall be based on MN-221. Upon written agreement of all the Parties hereto, the JV may bring other drug candidates into its business in the future, as well as to develop new and related pharmaceutical products. Notwithstanding, […***…]. […***…] shall be controlled by Chapter XIV (Distribution of Profit).</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ARTICLE 11. The primary operations of the JV is to manage the development work on MN-221 for […***…], to acquire regulatory approval in the PRC, and upon such regulatory approval, to manage the manufacture, market, distribution and sale of MN-221 in the PRC. Specifically, the JV will be responsible for and conduct the following activities:</w:t>
      </w:r>
    </w:p>
    <w:p>
      <w:pPr>
        <w:spacing w:after="0" w:line="59" w:lineRule="exact"/>
        <w:rPr>
          <w:sz w:val="20"/>
          <w:szCs w:val="20"/>
          <w:color w:val="auto"/>
        </w:rPr>
      </w:pPr>
    </w:p>
    <w:p>
      <w:pPr>
        <w:ind w:left="1020" w:right="100" w:hanging="566"/>
        <w:spacing w:after="0" w:line="268" w:lineRule="auto"/>
        <w:tabs>
          <w:tab w:leader="none" w:pos="1000" w:val="left"/>
        </w:tabs>
        <w:rPr>
          <w:sz w:val="20"/>
          <w:szCs w:val="20"/>
          <w:color w:val="auto"/>
        </w:rPr>
      </w:pPr>
      <w:r>
        <w:rPr>
          <w:rFonts w:ascii="Arial" w:cs="Arial" w:eastAsia="Arial" w:hAnsi="Arial"/>
          <w:sz w:val="18"/>
          <w:szCs w:val="18"/>
          <w:color w:val="auto"/>
        </w:rPr>
        <w:t>11.1</w:t>
        <w:tab/>
        <w:t>In […***…], the JV shall start the SFDA registration procedure on MN-221 initially for […***…]. Upon unanimous agreement of all Parties, the JV may pursue SFDA registration […***…].</w:t>
      </w:r>
    </w:p>
    <w:p>
      <w:pPr>
        <w:spacing w:after="0" w:line="51" w:lineRule="exact"/>
        <w:rPr>
          <w:sz w:val="20"/>
          <w:szCs w:val="20"/>
          <w:color w:val="auto"/>
        </w:rPr>
      </w:pPr>
    </w:p>
    <w:p>
      <w:pPr>
        <w:ind w:left="1020" w:right="100" w:hanging="566"/>
        <w:spacing w:after="0" w:line="268" w:lineRule="auto"/>
        <w:tabs>
          <w:tab w:leader="none" w:pos="1000" w:val="left"/>
        </w:tabs>
        <w:rPr>
          <w:sz w:val="20"/>
          <w:szCs w:val="20"/>
          <w:color w:val="auto"/>
        </w:rPr>
      </w:pPr>
      <w:r>
        <w:rPr>
          <w:rFonts w:ascii="Arial" w:cs="Arial" w:eastAsia="Arial" w:hAnsi="Arial"/>
          <w:sz w:val="18"/>
          <w:szCs w:val="18"/>
          <w:color w:val="auto"/>
        </w:rPr>
        <w:t>11.2</w:t>
        <w:tab/>
        <w:t>The JV shall be responsible for conducting all clinical trials of MN-221 necessary to gain regulatory approval in China, including […***…]. With Party C’s prior written consent, the JV may […***…].</w:t>
      </w:r>
    </w:p>
    <w:p>
      <w:pPr>
        <w:spacing w:after="0" w:line="51" w:lineRule="exact"/>
        <w:rPr>
          <w:sz w:val="20"/>
          <w:szCs w:val="20"/>
          <w:color w:val="auto"/>
        </w:rPr>
      </w:pPr>
    </w:p>
    <w:p>
      <w:pPr>
        <w:ind w:left="1020" w:right="260" w:hanging="566"/>
        <w:spacing w:after="0" w:line="332" w:lineRule="auto"/>
        <w:tabs>
          <w:tab w:leader="none" w:pos="10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The JV shall endeavor to acquire the Pharmaceutical Product License for MN-221 for […***…] from the SFDA in […***…]. The JV shall not look to, or otherwise acquire from, Kissei Pharmaceutical Co., Ltd. (</w:t>
      </w:r>
      <w:r>
        <w:rPr>
          <w:rFonts w:ascii="Arial" w:cs="Arial" w:eastAsia="Arial" w:hAnsi="Arial"/>
          <w:sz w:val="16"/>
          <w:szCs w:val="16"/>
          <w:b w:val="1"/>
          <w:bCs w:val="1"/>
          <w:color w:val="auto"/>
        </w:rPr>
        <w:t>“Kissei”</w:t>
      </w:r>
      <w:r>
        <w:rPr>
          <w:rFonts w:ascii="Arial" w:cs="Arial" w:eastAsia="Arial" w:hAnsi="Arial"/>
          <w:sz w:val="16"/>
          <w:szCs w:val="16"/>
          <w:color w:val="auto"/>
        </w:rPr>
        <w:t>) any supply of MN-221 or any of its synthetic intermediates.</w:t>
      </w:r>
    </w:p>
    <w:p>
      <w:pPr>
        <w:spacing w:after="0" w:line="4" w:lineRule="exact"/>
        <w:rPr>
          <w:sz w:val="20"/>
          <w:szCs w:val="20"/>
          <w:color w:val="auto"/>
        </w:rPr>
      </w:pPr>
    </w:p>
    <w:p>
      <w:pPr>
        <w:ind w:left="1020" w:right="140" w:hanging="566"/>
        <w:spacing w:after="0" w:line="268" w:lineRule="auto"/>
        <w:tabs>
          <w:tab w:leader="none" w:pos="1000" w:val="left"/>
        </w:tabs>
        <w:rPr>
          <w:sz w:val="20"/>
          <w:szCs w:val="20"/>
          <w:color w:val="auto"/>
        </w:rPr>
      </w:pPr>
      <w:r>
        <w:rPr>
          <w:rFonts w:ascii="Arial" w:cs="Arial" w:eastAsia="Arial" w:hAnsi="Arial"/>
          <w:sz w:val="18"/>
          <w:szCs w:val="18"/>
          <w:color w:val="auto"/>
        </w:rPr>
        <w:t>11.4</w:t>
        <w:tab/>
        <w:t>After obtaining the Pharmaceutical Product License, the JV shall manage the manufacture and production of MN-221 for […***…], and carry on the activities of marketing and sales in the PRC.</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ARTICLE 12. The production scale of the JV is anticipated to be as follows: The JV shall manage to […***…] utilizing the drug candidates in-licensed from Party C and approved by the SFDA, and then to manufacture, market, distribute and sale of the new drugs in China via […***…].</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ARTICLE 13. With the approval of the Board of Directors of the JV, the anticipated production scale provided for in ARTICLE 12 may be increased or decreased to reflect changes in the production capacity and operations of the JV and the market conditions.</w:t>
      </w:r>
    </w:p>
    <w:p>
      <w:pPr>
        <w:spacing w:after="0" w:line="288"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8"/>
          <w:szCs w:val="18"/>
          <w:b w:val="1"/>
          <w:bCs w:val="1"/>
          <w:color w:val="auto"/>
        </w:rPr>
        <w:t>Chapter V</w:t>
      </w:r>
      <w:r>
        <w:rPr>
          <w:sz w:val="20"/>
          <w:szCs w:val="20"/>
          <w:color w:val="auto"/>
        </w:rPr>
        <w:tab/>
      </w:r>
      <w:r>
        <w:rPr>
          <w:rFonts w:ascii="Arial" w:cs="Arial" w:eastAsia="Arial" w:hAnsi="Arial"/>
          <w:sz w:val="16"/>
          <w:szCs w:val="16"/>
          <w:b w:val="1"/>
          <w:bCs w:val="1"/>
          <w:color w:val="auto"/>
        </w:rPr>
        <w:t>Total Amount of Investment, the Registered Capital and Manner of Capital Contributions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ARTICLE 14. The total amount of investment is RMB […***…] Yuan. The initial amount of registered capital of investment is RMB 14,290,000 Yuan.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However, the Parties may invest additional capital in the JV with the maximum amount of registered capital invested in the JV up to RMB […***…] Yuan.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15. Investment contributed by the Parties shall be RMB […***…] Yuan, which will be the registered capital of the JV.</w:t>
      </w:r>
    </w:p>
    <w:p>
      <w:pPr>
        <w:spacing w:after="0" w:line="212"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Of which:</w:t>
      </w:r>
      <w:r>
        <w:rPr>
          <w:sz w:val="20"/>
          <w:szCs w:val="20"/>
          <w:color w:val="auto"/>
        </w:rPr>
        <w:tab/>
      </w:r>
      <w:r>
        <w:rPr>
          <w:rFonts w:ascii="Arial" w:cs="Arial" w:eastAsia="Arial" w:hAnsi="Arial"/>
          <w:sz w:val="16"/>
          <w:szCs w:val="16"/>
          <w:color w:val="auto"/>
        </w:rPr>
        <w:t>[…***…] shall pay […***…] Yuan, accounting for […***…]%;</w:t>
      </w:r>
    </w:p>
    <w:p>
      <w:pPr>
        <w:spacing w:after="0" w:line="11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 shall pay […***…] Yuan, accounting for […***…]%;</w:t>
      </w:r>
    </w:p>
    <w:p>
      <w:pPr>
        <w:spacing w:after="0" w:line="117" w:lineRule="exact"/>
        <w:rPr>
          <w:sz w:val="20"/>
          <w:szCs w:val="20"/>
          <w:color w:val="auto"/>
        </w:rPr>
      </w:pPr>
    </w:p>
    <w:p>
      <w:pPr>
        <w:jc w:val="both"/>
        <w:ind w:left="1740" w:right="40"/>
        <w:spacing w:after="0" w:line="259" w:lineRule="auto"/>
        <w:rPr>
          <w:sz w:val="20"/>
          <w:szCs w:val="20"/>
          <w:color w:val="auto"/>
        </w:rPr>
      </w:pPr>
      <w:r>
        <w:rPr>
          <w:rFonts w:ascii="Arial" w:cs="Arial" w:eastAsia="Arial" w:hAnsi="Arial"/>
          <w:sz w:val="18"/>
          <w:szCs w:val="18"/>
          <w:color w:val="auto"/>
        </w:rPr>
        <w:t>Party C shall pay USD 650,000 (equivalent to 4,287,000 Yuan), accounting for 30%. Upon Party C’s payment of its capital contribution, no additional capital injection by Party A or Party B shall dilute Party C’s ownership percentage in the JV to be less than 30% of the JV’s registered capital.</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0" w:name="page61"/>
    <w:bookmarkEnd w:id="6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16. Each Party shall contribute the following as its investment: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cash […***…] Yuan.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cash […***…] Yuan.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Party C: cash USD 650,000 (equivalent to 4,287,000 Yuan).</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ARTICLE 17. The registered capital of the JV shall be paid in full by each Party with respect to its respective proportion. Such contribution shall be made no later than three months after the Establishment Date into a bank account designated by the JV in the name of the JV.</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ARTICLE 18. If the JV reasonably requires additional capital in excess of its registered capital, Party A and Party B shall have obligations to arrange for meeting the financial needs of the JV through […***…]. Party C shall have no obligation to provide financing support, and any financing activity arranged by or undertaken by Party A or Party B shall not impact or change the ownership percentages of the Parties in the JV. In the event additional capital is provided to the JV, Party C shall be given […***…] to maintain Party C’s ownership percentage to be at least 30% of the JV’s registered capital. Party C shall be […***…].</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ARTICLE 19. In case any Party to the JV (the </w:t>
      </w:r>
      <w:r>
        <w:rPr>
          <w:rFonts w:ascii="Arial" w:cs="Arial" w:eastAsia="Arial" w:hAnsi="Arial"/>
          <w:sz w:val="16"/>
          <w:szCs w:val="16"/>
          <w:b w:val="1"/>
          <w:bCs w:val="1"/>
          <w:color w:val="auto"/>
        </w:rPr>
        <w:t>“Transferring Party”</w:t>
      </w:r>
      <w:r>
        <w:rPr>
          <w:rFonts w:ascii="Arial" w:cs="Arial" w:eastAsia="Arial" w:hAnsi="Arial"/>
          <w:sz w:val="16"/>
          <w:szCs w:val="16"/>
          <w:color w:val="auto"/>
        </w:rPr>
        <w:t>) wishes to assign or transfer to a third party all or part of its investment interest in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JV (the </w:t>
      </w:r>
      <w:r>
        <w:rPr>
          <w:rFonts w:ascii="Arial" w:cs="Arial" w:eastAsia="Arial" w:hAnsi="Arial"/>
          <w:sz w:val="16"/>
          <w:szCs w:val="16"/>
          <w:b w:val="1"/>
          <w:bCs w:val="1"/>
          <w:color w:val="auto"/>
        </w:rPr>
        <w:t>“Transferred Interest”</w:t>
      </w:r>
      <w:r>
        <w:rPr>
          <w:rFonts w:ascii="Arial" w:cs="Arial" w:eastAsia="Arial" w:hAnsi="Arial"/>
          <w:sz w:val="16"/>
          <w:szCs w:val="16"/>
          <w:color w:val="auto"/>
        </w:rPr>
        <w:t>), […***…] and approval must be obtained from […***…]. The […***…] to purchase the Transferred Interest, as follows:</w:t>
      </w:r>
    </w:p>
    <w:p>
      <w:pPr>
        <w:spacing w:after="0" w:line="107"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The Transferring Party shall offer to sell the Transferred Interest to the […***…].</w:t>
      </w:r>
    </w:p>
    <w:p>
      <w:pPr>
        <w:spacing w:after="0" w:line="90" w:lineRule="exact"/>
        <w:rPr>
          <w:sz w:val="20"/>
          <w:szCs w:val="20"/>
          <w:color w:val="auto"/>
        </w:rPr>
      </w:pPr>
    </w:p>
    <w:p>
      <w:pPr>
        <w:ind w:left="1020" w:right="300" w:hanging="566"/>
        <w:spacing w:after="0" w:line="268" w:lineRule="auto"/>
        <w:tabs>
          <w:tab w:leader="none" w:pos="1000" w:val="left"/>
        </w:tabs>
        <w:rPr>
          <w:sz w:val="20"/>
          <w:szCs w:val="20"/>
          <w:color w:val="auto"/>
        </w:rPr>
      </w:pPr>
      <w:r>
        <w:rPr>
          <w:rFonts w:ascii="Arial" w:cs="Arial" w:eastAsia="Arial" w:hAnsi="Arial"/>
          <w:sz w:val="18"/>
          <w:szCs w:val="18"/>
          <w:color w:val="auto"/>
        </w:rPr>
        <w:t>19.2</w:t>
        <w:tab/>
        <w:t>The Continuing Parties shall have the right to […***…], and each such Party shall have a period of […***…], and, if it does elect to purchase, such Party shall have a further period of […***…] to determine whether to purchase […***…].</w:t>
      </w:r>
    </w:p>
    <w:p>
      <w:pPr>
        <w:spacing w:after="0" w:line="51"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Any portion of the Transferred Interest not so acquired by […***…] may be transferred to the third party on the same terms as offered to […</w:t>
      </w:r>
    </w:p>
    <w:p>
      <w:pPr>
        <w:spacing w:after="0" w:line="15" w:lineRule="exact"/>
        <w:rPr>
          <w:sz w:val="20"/>
          <w:szCs w:val="20"/>
          <w:color w:val="auto"/>
        </w:rPr>
      </w:pPr>
    </w:p>
    <w:p>
      <w:pPr>
        <w:ind w:left="1020" w:right="480"/>
        <w:spacing w:after="0" w:line="261" w:lineRule="auto"/>
        <w:rPr>
          <w:sz w:val="20"/>
          <w:szCs w:val="20"/>
          <w:color w:val="auto"/>
        </w:rPr>
      </w:pPr>
      <w:r>
        <w:rPr>
          <w:rFonts w:ascii="Arial" w:cs="Arial" w:eastAsia="Arial" w:hAnsi="Arial"/>
          <w:sz w:val="18"/>
          <w:szCs w:val="18"/>
          <w:color w:val="auto"/>
        </w:rPr>
        <w:t>***…] described in the preceding paragraph, subject to the approval of the Continuing Parties and the examination and approval authority as referred to above.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foregoing, each of Party A and Party C shall be entitled to transfer its interests in the JV to its wholly owned subsidiary corporation.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the transfer effected pursuant to this ARTICLE 19, the transferee shall assume all the responsibilities and liabilities of the original Party.</w:t>
      </w:r>
    </w:p>
    <w:p>
      <w:pPr>
        <w:spacing w:after="0" w:line="19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ARTICLE 20. If the Parties all agree for the JV to pursue additional indications of MN-221, including but not limited to […***…] […***…], any additional investment relating to any new indication application shall be contributed by each Party in accordance with […***…]. The Board of Directors will send written notice of such increase to the Parties. If any Party shall fail to provide such additional capital contribution in accordance with such notice, […***…]. Whether or not a Party elects to participate in such capital increase, such Party agrees to […***…].</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ARTICLE 21. The Parties recognize that additional funds may be required by the JV for the capital expenditures required to increase the productivity and capacity of the JV in accordance with the business plan which has been submitted to and approved by the Parties (the </w:t>
      </w:r>
      <w:r>
        <w:rPr>
          <w:rFonts w:ascii="Arial" w:cs="Arial" w:eastAsia="Arial" w:hAnsi="Arial"/>
          <w:sz w:val="18"/>
          <w:szCs w:val="18"/>
          <w:b w:val="1"/>
          <w:bCs w:val="1"/>
          <w:color w:val="auto"/>
        </w:rPr>
        <w:t>“Business Plan”</w:t>
      </w:r>
      <w:r>
        <w:rPr>
          <w:rFonts w:ascii="Arial" w:cs="Arial" w:eastAsia="Arial" w:hAnsi="Arial"/>
          <w:sz w:val="18"/>
          <w:szCs w:val="18"/>
          <w:color w:val="auto"/>
        </w:rPr>
        <w:t>), if the Board of Directors determines that the capital contribution of each Party to the JV shall be increased, […***…]. Notwithstanding the foregoing, Party C shall not be required to make any additional capital contribution to the JV other than its know-how. Party A and Party B hereby agree that Party C shall be given […***…] shall be allotted to maintain</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61" w:name="page62"/>
    <w:bookmarkEnd w:id="61"/>
    <w:p>
      <w:pPr>
        <w:ind w:right="8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Party C’s ownership percentage to be at least 30% of the JV’s registered capital. If any Party shall fail to provide such additional capital contribution in accordance with such notice, […***…]. Whether or not a Party elects to participate in such capital increase, such Party agrees to […***…].</w:t>
      </w:r>
    </w:p>
    <w:p>
      <w:pPr>
        <w:spacing w:after="0" w:line="241"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8"/>
          <w:szCs w:val="18"/>
          <w:b w:val="1"/>
          <w:bCs w:val="1"/>
          <w:color w:val="auto"/>
        </w:rPr>
        <w:t>Chapter VI</w:t>
      </w:r>
      <w:r>
        <w:rPr>
          <w:sz w:val="20"/>
          <w:szCs w:val="20"/>
          <w:color w:val="auto"/>
        </w:rPr>
        <w:tab/>
      </w:r>
      <w:r>
        <w:rPr>
          <w:rFonts w:ascii="Arial" w:cs="Arial" w:eastAsia="Arial" w:hAnsi="Arial"/>
          <w:sz w:val="15"/>
          <w:szCs w:val="15"/>
          <w:b w:val="1"/>
          <w:bCs w:val="1"/>
          <w:color w:val="auto"/>
        </w:rPr>
        <w:t>Responsibilities of Each Party</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ARTICLE 22. Party A and Party B shall arrange, on behalf of the JV, government grants supports, and Party A or Party B shall arrange, on behalf of the JV, any third party financing as the JV may reasonably require in connection with the operation of the JV, provided however, such government grants and financing shall not affect or change the ownership percentages of the Parties in the JV.</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ARTICLE 23. In addition to any other express obligations of each Party under this Contract or the Articles of Association, the responsibilities of Party A, Party B and Party C shall include the following:</w:t>
      </w:r>
    </w:p>
    <w:p>
      <w:pPr>
        <w:spacing w:after="0" w:line="51"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Party A and Party B shall, at their sole costs and expenses:</w:t>
      </w:r>
    </w:p>
    <w:p>
      <w:pPr>
        <w:spacing w:after="0" w:line="90" w:lineRule="exact"/>
        <w:rPr>
          <w:sz w:val="20"/>
          <w:szCs w:val="20"/>
          <w:color w:val="auto"/>
        </w:rPr>
      </w:pPr>
    </w:p>
    <w:p>
      <w:pPr>
        <w:ind w:left="1940" w:right="100" w:hanging="904"/>
        <w:spacing w:after="0" w:line="268" w:lineRule="auto"/>
        <w:tabs>
          <w:tab w:leader="none" w:pos="1920" w:val="left"/>
        </w:tabs>
        <w:rPr>
          <w:sz w:val="20"/>
          <w:szCs w:val="20"/>
          <w:color w:val="auto"/>
        </w:rPr>
      </w:pPr>
      <w:r>
        <w:rPr>
          <w:rFonts w:ascii="Arial" w:cs="Arial" w:eastAsia="Arial" w:hAnsi="Arial"/>
          <w:sz w:val="18"/>
          <w:szCs w:val="18"/>
          <w:color w:val="auto"/>
        </w:rPr>
        <w:t>23.1.A.</w:t>
      </w:r>
      <w:r>
        <w:rPr>
          <w:sz w:val="20"/>
          <w:szCs w:val="20"/>
          <w:color w:val="auto"/>
        </w:rPr>
        <w:tab/>
      </w:r>
      <w:r>
        <w:rPr>
          <w:rFonts w:ascii="Arial" w:cs="Arial" w:eastAsia="Arial" w:hAnsi="Arial"/>
          <w:sz w:val="18"/>
          <w:szCs w:val="18"/>
          <w:color w:val="auto"/>
        </w:rPr>
        <w:t>Obtain all licenses and approvals necessary, and render all necessary assistance, for the establishment of the JV as a legal person with limited liability and establishment of the R&amp;D facility;</w:t>
      </w:r>
    </w:p>
    <w:p>
      <w:pPr>
        <w:spacing w:after="0" w:line="51" w:lineRule="exact"/>
        <w:rPr>
          <w:sz w:val="20"/>
          <w:szCs w:val="20"/>
          <w:color w:val="auto"/>
        </w:rPr>
      </w:pPr>
    </w:p>
    <w:p>
      <w:pPr>
        <w:ind w:left="1940" w:right="60" w:hanging="904"/>
        <w:spacing w:after="0" w:line="268" w:lineRule="auto"/>
        <w:tabs>
          <w:tab w:leader="none" w:pos="1920" w:val="left"/>
        </w:tabs>
        <w:rPr>
          <w:sz w:val="20"/>
          <w:szCs w:val="20"/>
          <w:color w:val="auto"/>
        </w:rPr>
      </w:pPr>
      <w:r>
        <w:rPr>
          <w:rFonts w:ascii="Arial" w:cs="Arial" w:eastAsia="Arial" w:hAnsi="Arial"/>
          <w:sz w:val="18"/>
          <w:szCs w:val="18"/>
          <w:color w:val="auto"/>
        </w:rPr>
        <w:t>23.1.B.</w:t>
      </w:r>
      <w:r>
        <w:rPr>
          <w:sz w:val="20"/>
          <w:szCs w:val="20"/>
          <w:color w:val="auto"/>
        </w:rPr>
        <w:tab/>
      </w:r>
      <w:r>
        <w:rPr>
          <w:rFonts w:ascii="Arial" w:cs="Arial" w:eastAsia="Arial" w:hAnsi="Arial"/>
          <w:sz w:val="18"/>
          <w:szCs w:val="18"/>
          <w:color w:val="auto"/>
        </w:rPr>
        <w:t>Assist the JV in the procurement of all approvals, registrations, licenses and other permits to be issued by or effected with the Chinese authorities necessary for the operation of the JV after establishment;</w:t>
      </w:r>
    </w:p>
    <w:p>
      <w:pPr>
        <w:spacing w:after="0" w:line="51" w:lineRule="exact"/>
        <w:rPr>
          <w:sz w:val="20"/>
          <w:szCs w:val="20"/>
          <w:color w:val="auto"/>
        </w:rPr>
      </w:pPr>
    </w:p>
    <w:p>
      <w:pPr>
        <w:ind w:left="1940" w:right="460" w:hanging="904"/>
        <w:spacing w:after="0" w:line="268" w:lineRule="auto"/>
        <w:tabs>
          <w:tab w:leader="none" w:pos="1920" w:val="left"/>
        </w:tabs>
        <w:rPr>
          <w:sz w:val="20"/>
          <w:szCs w:val="20"/>
          <w:color w:val="auto"/>
        </w:rPr>
      </w:pPr>
      <w:r>
        <w:rPr>
          <w:rFonts w:ascii="Arial" w:cs="Arial" w:eastAsia="Arial" w:hAnsi="Arial"/>
          <w:sz w:val="18"/>
          <w:szCs w:val="18"/>
          <w:color w:val="auto"/>
        </w:rPr>
        <w:t>23.1.C.</w:t>
      </w:r>
      <w:r>
        <w:rPr>
          <w:sz w:val="20"/>
          <w:szCs w:val="20"/>
          <w:color w:val="auto"/>
        </w:rPr>
        <w:tab/>
      </w:r>
      <w:r>
        <w:rPr>
          <w:rFonts w:ascii="Arial" w:cs="Arial" w:eastAsia="Arial" w:hAnsi="Arial"/>
          <w:sz w:val="18"/>
          <w:szCs w:val="18"/>
          <w:color w:val="auto"/>
        </w:rPr>
        <w:t>Endeavor to entitle the JV to all the preferential treatments granted under Chinese laws, including but not limited to, preferential treatments in taxation and market promotion;</w:t>
      </w:r>
    </w:p>
    <w:p>
      <w:pPr>
        <w:spacing w:after="0" w:line="51"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8"/>
          <w:szCs w:val="18"/>
          <w:color w:val="auto"/>
        </w:rPr>
        <w:t>23.1.D.</w:t>
      </w:r>
      <w:r>
        <w:rPr>
          <w:sz w:val="20"/>
          <w:szCs w:val="20"/>
          <w:color w:val="auto"/>
        </w:rPr>
        <w:tab/>
      </w:r>
      <w:r>
        <w:rPr>
          <w:rFonts w:ascii="Arial" w:cs="Arial" w:eastAsia="Arial" w:hAnsi="Arial"/>
          <w:sz w:val="15"/>
          <w:szCs w:val="15"/>
          <w:color w:val="auto"/>
        </w:rPr>
        <w:t>Assist the JV in its hiring and employment of local Chinese managers, technicians, workers and other staff;</w:t>
      </w:r>
    </w:p>
    <w:p>
      <w:pPr>
        <w:spacing w:after="0" w:line="90"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8"/>
          <w:szCs w:val="18"/>
          <w:color w:val="auto"/>
        </w:rPr>
        <w:t>23.1.E.</w:t>
      </w:r>
      <w:r>
        <w:rPr>
          <w:sz w:val="20"/>
          <w:szCs w:val="20"/>
          <w:color w:val="auto"/>
        </w:rPr>
        <w:tab/>
      </w:r>
      <w:r>
        <w:rPr>
          <w:rFonts w:ascii="Arial" w:cs="Arial" w:eastAsia="Arial" w:hAnsi="Arial"/>
          <w:sz w:val="16"/>
          <w:szCs w:val="16"/>
          <w:color w:val="auto"/>
        </w:rPr>
        <w:t>Facilitate entry visas, work permits and other travel formalities for foreign staff of the JV and Party C;</w:t>
      </w:r>
    </w:p>
    <w:p>
      <w:pPr>
        <w:spacing w:after="0" w:line="90"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8"/>
          <w:szCs w:val="18"/>
          <w:color w:val="auto"/>
        </w:rPr>
        <w:t>23.1.F.</w:t>
      </w:r>
      <w:r>
        <w:rPr>
          <w:sz w:val="20"/>
          <w:szCs w:val="20"/>
          <w:color w:val="auto"/>
        </w:rPr>
        <w:tab/>
      </w:r>
      <w:r>
        <w:rPr>
          <w:rFonts w:ascii="Arial" w:cs="Arial" w:eastAsia="Arial" w:hAnsi="Arial"/>
          <w:sz w:val="16"/>
          <w:szCs w:val="16"/>
          <w:color w:val="auto"/>
        </w:rPr>
        <w:t>Contribute cash investment as set forth in ARTICLE 16 and ARTICLE 17; and</w:t>
      </w:r>
    </w:p>
    <w:p>
      <w:pPr>
        <w:spacing w:after="0" w:line="90"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8"/>
          <w:szCs w:val="18"/>
          <w:color w:val="auto"/>
        </w:rPr>
        <w:t>23.1.G.</w:t>
      </w:r>
      <w:r>
        <w:rPr>
          <w:sz w:val="20"/>
          <w:szCs w:val="20"/>
          <w:color w:val="auto"/>
        </w:rPr>
        <w:tab/>
      </w:r>
      <w:r>
        <w:rPr>
          <w:rFonts w:ascii="Arial" w:cs="Arial" w:eastAsia="Arial" w:hAnsi="Arial"/>
          <w:sz w:val="15"/>
          <w:szCs w:val="15"/>
          <w:color w:val="auto"/>
        </w:rPr>
        <w:t>Perform other matters entrusted to Party A and Party B by the JV.</w:t>
      </w:r>
    </w:p>
    <w:p>
      <w:pPr>
        <w:spacing w:after="0" w:line="90"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color w:val="auto"/>
        </w:rPr>
        <w:t>Party C shall, at its sole cost and expense:</w:t>
      </w:r>
    </w:p>
    <w:p>
      <w:pPr>
        <w:spacing w:after="0" w:line="90"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8"/>
          <w:szCs w:val="18"/>
          <w:color w:val="auto"/>
        </w:rPr>
        <w:t>23.2.A.</w:t>
      </w:r>
      <w:r>
        <w:rPr>
          <w:sz w:val="20"/>
          <w:szCs w:val="20"/>
          <w:color w:val="auto"/>
        </w:rPr>
        <w:tab/>
      </w:r>
      <w:r>
        <w:rPr>
          <w:rFonts w:ascii="Arial" w:cs="Arial" w:eastAsia="Arial" w:hAnsi="Arial"/>
          <w:sz w:val="16"/>
          <w:szCs w:val="16"/>
          <w:color w:val="auto"/>
        </w:rPr>
        <w:t>Contribute cash investment as set forth in ARTICLE 16 and ARTICLE 17;</w:t>
      </w:r>
    </w:p>
    <w:p>
      <w:pPr>
        <w:spacing w:after="0" w:line="90"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8"/>
          <w:szCs w:val="18"/>
          <w:color w:val="auto"/>
        </w:rPr>
        <w:t>23.2.B.</w:t>
      </w:r>
      <w:r>
        <w:rPr>
          <w:sz w:val="20"/>
          <w:szCs w:val="20"/>
          <w:color w:val="auto"/>
        </w:rPr>
        <w:tab/>
      </w:r>
      <w:r>
        <w:rPr>
          <w:rFonts w:ascii="Arial" w:cs="Arial" w:eastAsia="Arial" w:hAnsi="Arial"/>
          <w:sz w:val="15"/>
          <w:szCs w:val="15"/>
          <w:color w:val="auto"/>
        </w:rPr>
        <w:t>Facilitate entry visas to the United States for employees of the JV;</w:t>
      </w:r>
    </w:p>
    <w:p>
      <w:pPr>
        <w:spacing w:after="0" w:line="90"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8"/>
          <w:szCs w:val="18"/>
          <w:color w:val="auto"/>
        </w:rPr>
        <w:t>23.2.C.</w:t>
      </w:r>
      <w:r>
        <w:rPr>
          <w:sz w:val="20"/>
          <w:szCs w:val="20"/>
          <w:color w:val="auto"/>
        </w:rPr>
        <w:tab/>
      </w:r>
      <w:r>
        <w:rPr>
          <w:rFonts w:ascii="Arial" w:cs="Arial" w:eastAsia="Arial" w:hAnsi="Arial"/>
          <w:sz w:val="16"/>
          <w:szCs w:val="16"/>
          <w:color w:val="auto"/>
        </w:rPr>
        <w:t>License the technology licensed to the JV as set forth in ARTICLE 24; and</w:t>
      </w:r>
    </w:p>
    <w:p>
      <w:pPr>
        <w:spacing w:after="0" w:line="90"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8"/>
          <w:szCs w:val="18"/>
          <w:color w:val="auto"/>
        </w:rPr>
        <w:t>23.2.D.</w:t>
      </w:r>
      <w:r>
        <w:rPr>
          <w:sz w:val="20"/>
          <w:szCs w:val="20"/>
          <w:color w:val="auto"/>
        </w:rPr>
        <w:tab/>
      </w:r>
      <w:r>
        <w:rPr>
          <w:rFonts w:ascii="Arial" w:cs="Arial" w:eastAsia="Arial" w:hAnsi="Arial"/>
          <w:sz w:val="15"/>
          <w:szCs w:val="15"/>
          <w:color w:val="auto"/>
        </w:rPr>
        <w:t>Perform such other matters entrusted to Party C by the JV and accepted by Party C.</w:t>
      </w:r>
    </w:p>
    <w:p>
      <w:pPr>
        <w:spacing w:after="0" w:line="327"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Chapter VII</w:t>
      </w:r>
      <w:r>
        <w:rPr>
          <w:sz w:val="20"/>
          <w:szCs w:val="20"/>
          <w:color w:val="auto"/>
        </w:rPr>
        <w:tab/>
      </w:r>
      <w:r>
        <w:rPr>
          <w:rFonts w:ascii="Arial" w:cs="Arial" w:eastAsia="Arial" w:hAnsi="Arial"/>
          <w:sz w:val="15"/>
          <w:szCs w:val="15"/>
          <w:b w:val="1"/>
          <w:bCs w:val="1"/>
          <w:color w:val="auto"/>
        </w:rPr>
        <w:t>License of Technology</w:t>
      </w:r>
    </w:p>
    <w:p>
      <w:pPr>
        <w:spacing w:after="0" w:line="17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ARTICLE 24. Party C agrees to grant rights to its drug candidate MN-221 to the JV and related know-how, to the extent owned by or licensed to Party C, pursuant to the terms and conditions of a license agreement to be entered into between the JV and Party C, except that Party C is under no obligation to grant the JV access to know-how or other information provided to Party C by or on behalf of Kissei under Party C’s license with Kissei.</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62" w:name="page63"/>
    <w:bookmarkEnd w:id="62"/>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Chapter VIII</w:t>
      </w:r>
      <w:r>
        <w:rPr>
          <w:sz w:val="20"/>
          <w:szCs w:val="20"/>
          <w:color w:val="auto"/>
        </w:rPr>
        <w:tab/>
      </w:r>
      <w:r>
        <w:rPr>
          <w:rFonts w:ascii="Arial" w:cs="Arial" w:eastAsia="Arial" w:hAnsi="Arial"/>
          <w:sz w:val="16"/>
          <w:szCs w:val="16"/>
          <w:b w:val="1"/>
          <w:bCs w:val="1"/>
          <w:color w:val="auto"/>
        </w:rPr>
        <w:t>Product Manufacture and Sale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ARTICLE 25. The pharmaceutical products, including MN-221, of the JV upon SFDA approval shall be manufactured and sold solely within the PRC. The JV may contract with a third party manufacturer in the PRC to manufacture the JV Products.</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ARTICLE 26. The trademark to be used on the JV Products shall be decided by the Board of Directors and shall be registered with the PRC Trademark Office.</w:t>
      </w:r>
    </w:p>
    <w:p>
      <w:pPr>
        <w:spacing w:after="0" w:line="288"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Chapter IX</w:t>
      </w:r>
      <w:r>
        <w:rPr>
          <w:sz w:val="20"/>
          <w:szCs w:val="20"/>
          <w:color w:val="auto"/>
        </w:rPr>
        <w:tab/>
      </w:r>
      <w:r>
        <w:rPr>
          <w:rFonts w:ascii="Arial" w:cs="Arial" w:eastAsia="Arial" w:hAnsi="Arial"/>
          <w:sz w:val="16"/>
          <w:szCs w:val="16"/>
          <w:b w:val="1"/>
          <w:bCs w:val="1"/>
          <w:color w:val="auto"/>
        </w:rPr>
        <w:t>Organization</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ARTICLE 27. The JV shall have a Board of Directors. The date of issuance of the Business License of the JV shall be the date of the establishment of the Board of Directors.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ARTICLE 28. The Board of Directors shall consist of […***…] members, […***…] shall appoint […***…] directors, […***…] shall appoint [… ***…] directors, and […***…] shall appoint […***…] directors. The Chairman of Board of Directors shall be appointed by […***…]. The term of office for each director and the Chairman shall be […***…], which term may be […***…].</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29. The highest authority of the JV shall be its Board of Directors. It shall decide all major issues concerning the JV.</w:t>
      </w:r>
    </w:p>
    <w:p>
      <w:pPr>
        <w:spacing w:after="0" w:line="90"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color w:val="auto"/>
        </w:rPr>
        <w:t>Unanimous approval of all directors shall be required for any one of the following matters:</w:t>
      </w:r>
    </w:p>
    <w:p>
      <w:pPr>
        <w:spacing w:after="0" w:line="90"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8"/>
          <w:szCs w:val="18"/>
          <w:color w:val="auto"/>
        </w:rPr>
        <w:t>29.1.A.</w:t>
      </w:r>
      <w:r>
        <w:rPr>
          <w:sz w:val="20"/>
          <w:szCs w:val="20"/>
          <w:color w:val="auto"/>
        </w:rPr>
        <w:tab/>
      </w:r>
      <w:r>
        <w:rPr>
          <w:rFonts w:ascii="Arial" w:cs="Arial" w:eastAsia="Arial" w:hAnsi="Arial"/>
          <w:sz w:val="16"/>
          <w:szCs w:val="16"/>
          <w:color w:val="auto"/>
        </w:rPr>
        <w:t>Approving annual operating plans of the JV;</w:t>
      </w:r>
    </w:p>
    <w:p>
      <w:pPr>
        <w:spacing w:after="0" w:line="90"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8"/>
          <w:szCs w:val="18"/>
          <w:color w:val="auto"/>
        </w:rPr>
        <w:t>29.1.B.</w:t>
      </w:r>
      <w:r>
        <w:rPr>
          <w:sz w:val="20"/>
          <w:szCs w:val="20"/>
          <w:color w:val="auto"/>
        </w:rPr>
        <w:tab/>
      </w:r>
      <w:r>
        <w:rPr>
          <w:rFonts w:ascii="Arial" w:cs="Arial" w:eastAsia="Arial" w:hAnsi="Arial"/>
          <w:sz w:val="16"/>
          <w:szCs w:val="16"/>
          <w:color w:val="auto"/>
        </w:rPr>
        <w:t>Investigating and approving the obtainment by the JV of all third party financing;</w:t>
      </w:r>
    </w:p>
    <w:p>
      <w:pPr>
        <w:spacing w:after="0" w:line="90"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8"/>
          <w:szCs w:val="18"/>
          <w:color w:val="auto"/>
        </w:rPr>
        <w:t>29.1.C.</w:t>
      </w:r>
      <w:r>
        <w:rPr>
          <w:sz w:val="20"/>
          <w:szCs w:val="20"/>
          <w:color w:val="auto"/>
        </w:rPr>
        <w:tab/>
      </w:r>
      <w:r>
        <w:rPr>
          <w:rFonts w:ascii="Arial" w:cs="Arial" w:eastAsia="Arial" w:hAnsi="Arial"/>
          <w:sz w:val="15"/>
          <w:szCs w:val="15"/>
          <w:color w:val="auto"/>
        </w:rPr>
        <w:t>Examining and approving the fiscal budget, financial statements and balance sheets of the JV;</w:t>
      </w:r>
    </w:p>
    <w:p>
      <w:pPr>
        <w:spacing w:after="0" w:line="90"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8"/>
          <w:szCs w:val="18"/>
          <w:color w:val="auto"/>
        </w:rPr>
        <w:t>29.1.D.</w:t>
      </w:r>
      <w:r>
        <w:rPr>
          <w:sz w:val="20"/>
          <w:szCs w:val="20"/>
          <w:color w:val="auto"/>
        </w:rPr>
        <w:tab/>
      </w:r>
      <w:r>
        <w:rPr>
          <w:rFonts w:ascii="Arial" w:cs="Arial" w:eastAsia="Arial" w:hAnsi="Arial"/>
          <w:sz w:val="16"/>
          <w:szCs w:val="16"/>
          <w:color w:val="auto"/>
        </w:rPr>
        <w:t>Determining and approving the profit allocation and distribution and the loss offset plan for the JV;</w:t>
      </w:r>
    </w:p>
    <w:p>
      <w:pPr>
        <w:spacing w:after="0" w:line="90"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8"/>
          <w:szCs w:val="18"/>
          <w:color w:val="auto"/>
        </w:rPr>
        <w:t>29.1.E.</w:t>
      </w:r>
      <w:r>
        <w:rPr>
          <w:sz w:val="20"/>
          <w:szCs w:val="20"/>
          <w:color w:val="auto"/>
        </w:rPr>
        <w:tab/>
      </w:r>
      <w:r>
        <w:rPr>
          <w:rFonts w:ascii="Arial" w:cs="Arial" w:eastAsia="Arial" w:hAnsi="Arial"/>
          <w:sz w:val="15"/>
          <w:szCs w:val="15"/>
          <w:color w:val="auto"/>
        </w:rPr>
        <w:t>Approving any change in the registered capital for the JV;</w:t>
      </w:r>
    </w:p>
    <w:p>
      <w:pPr>
        <w:spacing w:after="0" w:line="90"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8"/>
          <w:szCs w:val="18"/>
          <w:color w:val="auto"/>
        </w:rPr>
        <w:t>29.1.F.</w:t>
      </w:r>
      <w:r>
        <w:rPr>
          <w:sz w:val="20"/>
          <w:szCs w:val="20"/>
          <w:color w:val="auto"/>
        </w:rPr>
        <w:tab/>
      </w:r>
      <w:r>
        <w:rPr>
          <w:rFonts w:ascii="Arial" w:cs="Arial" w:eastAsia="Arial" w:hAnsi="Arial"/>
          <w:sz w:val="15"/>
          <w:szCs w:val="15"/>
          <w:color w:val="auto"/>
        </w:rPr>
        <w:t>Approving any transfer, assignment and sale of the registered capital of the JV to a third party;</w:t>
      </w:r>
    </w:p>
    <w:p>
      <w:pPr>
        <w:spacing w:after="0" w:line="90"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8"/>
          <w:szCs w:val="18"/>
          <w:color w:val="auto"/>
        </w:rPr>
        <w:t>29.1.G.</w:t>
      </w:r>
      <w:r>
        <w:rPr>
          <w:sz w:val="20"/>
          <w:szCs w:val="20"/>
          <w:color w:val="auto"/>
        </w:rPr>
        <w:tab/>
      </w:r>
      <w:r>
        <w:rPr>
          <w:rFonts w:ascii="Arial" w:cs="Arial" w:eastAsia="Arial" w:hAnsi="Arial"/>
          <w:sz w:val="16"/>
          <w:szCs w:val="16"/>
          <w:color w:val="auto"/>
        </w:rPr>
        <w:t>Approving adding any new parties to the JV;</w:t>
      </w:r>
    </w:p>
    <w:p>
      <w:pPr>
        <w:spacing w:after="0" w:line="90"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8"/>
          <w:szCs w:val="18"/>
          <w:color w:val="auto"/>
        </w:rPr>
        <w:t>29.1.H.</w:t>
      </w:r>
      <w:r>
        <w:rPr>
          <w:sz w:val="20"/>
          <w:szCs w:val="20"/>
          <w:color w:val="auto"/>
        </w:rPr>
        <w:tab/>
      </w:r>
      <w:r>
        <w:rPr>
          <w:rFonts w:ascii="Arial" w:cs="Arial" w:eastAsia="Arial" w:hAnsi="Arial"/>
          <w:sz w:val="15"/>
          <w:szCs w:val="15"/>
          <w:color w:val="auto"/>
        </w:rPr>
        <w:t>Approving any merger, acquisition or change of business scope of the JV,</w:t>
      </w:r>
    </w:p>
    <w:p>
      <w:pPr>
        <w:spacing w:after="0" w:line="90"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8"/>
          <w:szCs w:val="18"/>
          <w:color w:val="auto"/>
        </w:rPr>
        <w:t>29.1.I.</w:t>
      </w:r>
      <w:r>
        <w:rPr>
          <w:sz w:val="20"/>
          <w:szCs w:val="20"/>
          <w:color w:val="auto"/>
        </w:rPr>
        <w:tab/>
      </w:r>
      <w:r>
        <w:rPr>
          <w:rFonts w:ascii="Arial" w:cs="Arial" w:eastAsia="Arial" w:hAnsi="Arial"/>
          <w:sz w:val="16"/>
          <w:szCs w:val="16"/>
          <w:color w:val="auto"/>
        </w:rPr>
        <w:t>Approving the termination, dissolution or liquidation of the JV;</w:t>
      </w:r>
    </w:p>
    <w:p>
      <w:pPr>
        <w:spacing w:after="0" w:line="90"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8"/>
          <w:szCs w:val="18"/>
          <w:color w:val="auto"/>
        </w:rPr>
        <w:t>29.1.J.</w:t>
      </w:r>
      <w:r>
        <w:rPr>
          <w:sz w:val="20"/>
          <w:szCs w:val="20"/>
          <w:color w:val="auto"/>
        </w:rPr>
        <w:tab/>
      </w:r>
      <w:r>
        <w:rPr>
          <w:rFonts w:ascii="Arial" w:cs="Arial" w:eastAsia="Arial" w:hAnsi="Arial"/>
          <w:sz w:val="16"/>
          <w:szCs w:val="16"/>
          <w:color w:val="auto"/>
        </w:rPr>
        <w:t>Amending this Contract or the Articles of Association of the JV;</w:t>
      </w:r>
    </w:p>
    <w:p>
      <w:pPr>
        <w:spacing w:after="0" w:line="90" w:lineRule="exact"/>
        <w:rPr>
          <w:sz w:val="20"/>
          <w:szCs w:val="20"/>
          <w:color w:val="auto"/>
        </w:rPr>
      </w:pPr>
    </w:p>
    <w:p>
      <w:pPr>
        <w:ind w:left="1940" w:right="40" w:hanging="904"/>
        <w:spacing w:after="0" w:line="268" w:lineRule="auto"/>
        <w:tabs>
          <w:tab w:leader="none" w:pos="1920" w:val="left"/>
        </w:tabs>
        <w:rPr>
          <w:sz w:val="20"/>
          <w:szCs w:val="20"/>
          <w:color w:val="auto"/>
        </w:rPr>
      </w:pPr>
      <w:r>
        <w:rPr>
          <w:rFonts w:ascii="Arial" w:cs="Arial" w:eastAsia="Arial" w:hAnsi="Arial"/>
          <w:sz w:val="18"/>
          <w:szCs w:val="18"/>
          <w:color w:val="auto"/>
        </w:rPr>
        <w:t>29.1.K.</w:t>
      </w:r>
      <w:r>
        <w:rPr>
          <w:sz w:val="20"/>
          <w:szCs w:val="20"/>
          <w:color w:val="auto"/>
        </w:rPr>
        <w:tab/>
      </w:r>
      <w:r>
        <w:rPr>
          <w:rFonts w:ascii="Arial" w:cs="Arial" w:eastAsia="Arial" w:hAnsi="Arial"/>
          <w:sz w:val="18"/>
          <w:szCs w:val="18"/>
          <w:color w:val="auto"/>
        </w:rPr>
        <w:t>Approving the transfer, sale or licensing to a third party of any improvements in technology that belong to the JV or contractually may be transferred, sold or licensed by the JV;</w:t>
      </w:r>
    </w:p>
    <w:p>
      <w:pPr>
        <w:spacing w:after="0" w:line="51"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8"/>
          <w:szCs w:val="18"/>
          <w:color w:val="auto"/>
        </w:rPr>
        <w:t>29.1.L.</w:t>
      </w:r>
      <w:r>
        <w:rPr>
          <w:sz w:val="20"/>
          <w:szCs w:val="20"/>
          <w:color w:val="auto"/>
        </w:rPr>
        <w:tab/>
      </w:r>
      <w:r>
        <w:rPr>
          <w:rFonts w:ascii="Arial" w:cs="Arial" w:eastAsia="Arial" w:hAnsi="Arial"/>
          <w:sz w:val="15"/>
          <w:szCs w:val="15"/>
          <w:color w:val="auto"/>
        </w:rPr>
        <w:t>Appointing the General Manager, Deputy General Managers and other senior management personnel and the auditors of the JV;</w:t>
      </w:r>
    </w:p>
    <w:p>
      <w:pPr>
        <w:spacing w:after="0" w:line="90"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8"/>
          <w:szCs w:val="18"/>
          <w:color w:val="auto"/>
        </w:rPr>
        <w:t>29.1.M.</w:t>
      </w:r>
      <w:r>
        <w:rPr>
          <w:sz w:val="20"/>
          <w:szCs w:val="20"/>
          <w:color w:val="auto"/>
        </w:rPr>
        <w:tab/>
      </w:r>
      <w:r>
        <w:rPr>
          <w:rFonts w:ascii="Arial" w:cs="Arial" w:eastAsia="Arial" w:hAnsi="Arial"/>
          <w:sz w:val="16"/>
          <w:szCs w:val="16"/>
          <w:color w:val="auto"/>
        </w:rPr>
        <w:t>Authorizing any expenditure of the JV exceeding US$50,000;</w:t>
      </w:r>
    </w:p>
    <w:p>
      <w:pPr>
        <w:spacing w:after="0" w:line="90"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8"/>
          <w:szCs w:val="18"/>
          <w:color w:val="auto"/>
        </w:rPr>
        <w:t>29.1.N.</w:t>
      </w:r>
      <w:r>
        <w:rPr>
          <w:sz w:val="20"/>
          <w:szCs w:val="20"/>
          <w:color w:val="auto"/>
        </w:rPr>
        <w:tab/>
      </w:r>
      <w:r>
        <w:rPr>
          <w:rFonts w:ascii="Arial" w:cs="Arial" w:eastAsia="Arial" w:hAnsi="Arial"/>
          <w:sz w:val="16"/>
          <w:szCs w:val="16"/>
          <w:color w:val="auto"/>
        </w:rPr>
        <w:t>Authorizing application for SFDA registration on […***…]; and</w:t>
      </w:r>
    </w:p>
    <w:p>
      <w:pPr>
        <w:spacing w:after="0" w:line="90"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8"/>
          <w:szCs w:val="18"/>
          <w:color w:val="auto"/>
        </w:rPr>
        <w:t>29.1.O.</w:t>
      </w:r>
      <w:r>
        <w:rPr>
          <w:sz w:val="20"/>
          <w:szCs w:val="20"/>
          <w:color w:val="auto"/>
        </w:rPr>
        <w:tab/>
      </w:r>
      <w:r>
        <w:rPr>
          <w:rFonts w:ascii="Arial" w:cs="Arial" w:eastAsia="Arial" w:hAnsi="Arial"/>
          <w:sz w:val="15"/>
          <w:szCs w:val="15"/>
          <w:color w:val="auto"/>
        </w:rPr>
        <w:t>Other issues of importance so deemed by the Board of Directors.</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3" w:name="page64"/>
    <w:bookmarkEnd w:id="63"/>
    <w:p>
      <w:pPr>
        <w:ind w:left="1020" w:right="160" w:hanging="566"/>
        <w:spacing w:after="0" w:line="268" w:lineRule="auto"/>
        <w:tabs>
          <w:tab w:leader="none" w:pos="1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29.2</w:t>
        <w:tab/>
        <w:t>All other matters shall be decided by the Board of Directors with a simple majority votes of the directors, which votes shall include the vote of at least one director appointed by Party C.</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ARTICLE 30. The Chairman of the Board is the legal representative of the JV. Should the Chairman be unable to carry out his duties for any reason, he shall authorize another director to represent the JV temporarily.</w:t>
      </w:r>
    </w:p>
    <w:p>
      <w:pPr>
        <w:spacing w:after="0" w:line="132"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ARTICLE 31. The Board of Directors shall convene regular meetings at least once every year. The meeting shall be called and presided over by the Chairman of the Board. The Chairman may call and convene a special meeting based on a proposal made by at least two directors.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Detailed minutes of the meetings shall be written in English and Chinese and be placed on file.</w:t>
      </w:r>
    </w:p>
    <w:p>
      <w:pPr>
        <w:spacing w:after="0" w:line="17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ARTICLE 32. A quorum of at least a majority of the directors, which includes at least one designee of each of Party A, Party B and Party C, shall be required for a Board meeting. A director unable to attend a board meeting may by written proxy authorize another person to represent him at such meeting and vote in his place. Any director may attend a board meeting via telephone conference. Actions of the Board of Directors may be taken by unanimous written consent of all the directors. Meetings may be held anywhere within or outside of China as shall be designated in a written notice of the meeting.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ARTICLE 33. The JV shall have one (1) supervisor in lieu of a Board of Supervisors, who shall be selected jointly by Party A, Party B and Party C.</w:t>
      </w:r>
    </w:p>
    <w:p>
      <w:pPr>
        <w:spacing w:after="0" w:line="19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ARTICLE 34. Members of the Board of Directors and senior management shall not serve as the supervisor of the JV. The supervisor shall be appointed for a term of three (3) years, subject to renewal upon continuous appointment by Party A, Party B and Party C.</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ARTICLE 35. The supervisor may attend the board meetings, and raise questions and suggestions on the matters discussed by the Board of Directors. In case the supervisor finds abnormal operating conditions in the JV, the supervisor may conduct an investigation, or hire an accounting firm to assist the investigation if necessary. The expense shall be borne by the JV.</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36. The expense resulted from the supervisor performing his duties shall be borne by the JV.</w:t>
      </w:r>
    </w:p>
    <w:p>
      <w:pPr>
        <w:spacing w:after="0" w:line="327"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8"/>
          <w:szCs w:val="18"/>
          <w:b w:val="1"/>
          <w:bCs w:val="1"/>
          <w:color w:val="auto"/>
        </w:rPr>
        <w:t>Chapter X</w:t>
      </w:r>
      <w:r>
        <w:rPr>
          <w:sz w:val="20"/>
          <w:szCs w:val="20"/>
          <w:color w:val="auto"/>
        </w:rPr>
        <w:tab/>
      </w:r>
      <w:r>
        <w:rPr>
          <w:rFonts w:ascii="Arial" w:cs="Arial" w:eastAsia="Arial" w:hAnsi="Arial"/>
          <w:sz w:val="15"/>
          <w:szCs w:val="15"/>
          <w:b w:val="1"/>
          <w:bCs w:val="1"/>
          <w:color w:val="auto"/>
        </w:rPr>
        <w:t>Business Management Office</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ARTICLE 37. The JV shall establish a management office which shall be responsible for the day-to-day operations of the JV. The management office shall have one (1) General Manager and several Deputy General Managers. The General Manager and Deputy General Managers shall be appointed by the Board of Directors for a term of three (3) years.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ARTICLE 38. The General Manager shall carry out resolutions of the Board of Directors and manage the daily operations of the JV. The Deputy General Manager shall assist the General Manager in his work.</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management office of the JV may set up several departments and appoint department managers, who shall be responsible for the works of various departments of the JV respectively. The department managers shall handle the matters designated to them by the General Manager and Deputy General Managers and shall report to the general manager and Deputy general managers.</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ARTICLE 39. In the case of engagement in malpractice for private gain or serious dereliction of duty on the part of the General Manager, Deputy General Managers or other corporate executives, they may be removed immediately at any time by resolutions of the Board of Directors.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64" w:name="page65"/>
    <w:bookmarkEnd w:id="64"/>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Chapter XI</w:t>
      </w:r>
      <w:r>
        <w:rPr>
          <w:sz w:val="20"/>
          <w:szCs w:val="20"/>
          <w:color w:val="auto"/>
        </w:rPr>
        <w:tab/>
      </w:r>
      <w:r>
        <w:rPr>
          <w:rFonts w:ascii="Arial" w:cs="Arial" w:eastAsia="Arial" w:hAnsi="Arial"/>
          <w:sz w:val="15"/>
          <w:szCs w:val="15"/>
          <w:b w:val="1"/>
          <w:bCs w:val="1"/>
          <w:color w:val="auto"/>
        </w:rPr>
        <w:t>Purchase of Equipment</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ARTICLE 40. In its purchase of necessary equipment, raw materials, fuel, parts, means of transportation, and office supplies, the JV shall give first priority to purchase from sources in China as long as the quality, availability, price, and other terms and conditions are at least as favorable as those available from sources outside China.</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ARTICLE 41. When Party C is entrusted by the JV to purchase equipment or raw materials from overseas markets, Party A and Party B shall be invited to participate in the purchase process.</w:t>
      </w:r>
    </w:p>
    <w:p>
      <w:pPr>
        <w:spacing w:after="0" w:line="288"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Chapter XII</w:t>
      </w:r>
      <w:r>
        <w:rPr>
          <w:sz w:val="20"/>
          <w:szCs w:val="20"/>
          <w:color w:val="auto"/>
        </w:rPr>
        <w:tab/>
      </w:r>
      <w:r>
        <w:rPr>
          <w:rFonts w:ascii="Arial" w:cs="Arial" w:eastAsia="Arial" w:hAnsi="Arial"/>
          <w:sz w:val="16"/>
          <w:szCs w:val="16"/>
          <w:b w:val="1"/>
          <w:bCs w:val="1"/>
          <w:color w:val="auto"/>
        </w:rPr>
        <w:t>Management of Labor</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ARTICLE 42. Matters relating to the staff and workers of the JV such as recruitment, employment, dismissal and resignation, wages, labor insurance, welfare benefits, incentives and disciplines, shall be stipulated in the labor contract to be signed by the JV and the Trade Union formed in the JV collectively, or signed between the JV and the individual employees in accordance with the policies and programs mapped out by the Board of Directors and in accordance with relevant PRC laws and regulations governing labor employment and social benefits.</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ARTICLE 43. The employment of senior management personnel, their salaries, social insurance, welfare and the standard of traveling expenses shall be decided by the Board of Directors.</w:t>
      </w:r>
    </w:p>
    <w:p>
      <w:pPr>
        <w:spacing w:after="0" w:line="288" w:lineRule="exact"/>
        <w:rPr>
          <w:sz w:val="20"/>
          <w:szCs w:val="20"/>
          <w:color w:val="auto"/>
        </w:rPr>
      </w:pPr>
    </w:p>
    <w:p>
      <w:pPr>
        <w:ind w:left="3840"/>
        <w:spacing w:after="0"/>
        <w:tabs>
          <w:tab w:leader="none" w:pos="5000" w:val="left"/>
        </w:tabs>
        <w:rPr>
          <w:sz w:val="20"/>
          <w:szCs w:val="20"/>
          <w:color w:val="auto"/>
        </w:rPr>
      </w:pPr>
      <w:r>
        <w:rPr>
          <w:rFonts w:ascii="Arial" w:cs="Arial" w:eastAsia="Arial" w:hAnsi="Arial"/>
          <w:sz w:val="18"/>
          <w:szCs w:val="18"/>
          <w:b w:val="1"/>
          <w:bCs w:val="1"/>
          <w:color w:val="auto"/>
        </w:rPr>
        <w:t>Chapter XIII</w:t>
      </w:r>
      <w:r>
        <w:rPr>
          <w:sz w:val="20"/>
          <w:szCs w:val="20"/>
          <w:color w:val="auto"/>
        </w:rPr>
        <w:tab/>
      </w:r>
      <w:r>
        <w:rPr>
          <w:rFonts w:ascii="Arial" w:cs="Arial" w:eastAsia="Arial" w:hAnsi="Arial"/>
          <w:sz w:val="15"/>
          <w:szCs w:val="15"/>
          <w:b w:val="1"/>
          <w:bCs w:val="1"/>
          <w:color w:val="auto"/>
        </w:rPr>
        <w:t>Taxes, Finance, Audit and Foreign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44. The JV and its employees shall pay taxes in accordance with applicable Chinese laws and regulations.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ARTICLE 45. Allocations for reserve funds, expansion funds of the JV and welfare funds and bonuses for staff and workers shall be set aside in accordance with the provisions of the Joint Venture Law and other applicable laws and regulations. The annual allocation ratio shall be decided by the Board of Directors according to the business situation of the JV.</w:t>
      </w:r>
    </w:p>
    <w:p>
      <w:pPr>
        <w:spacing w:after="0" w:line="14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ARTICLE 46. The fiscal year of the JV shall be from January 1 to December 31. All vouchers, receipts, financial statements, accounting books and other accounting records will be written in Chinese language, except that all financial statements, audit reports and underlying material financial documents shall be prepared in both Chinese and English. All Parties and their designated representatives shall have the right to have access to all such books and records at any time.</w:t>
      </w:r>
    </w:p>
    <w:p>
      <w:pPr>
        <w:spacing w:after="0" w:line="8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ARTICLE 47. Financial auditing of the JV shall be conducted by an auditor registered in the PRC and approved by the Board of Directors, and the auditing reports shall be submitted to the Board of Directors and the General Manager within three months after the fiscal year.</w:t>
      </w:r>
    </w:p>
    <w:p>
      <w:pPr>
        <w:spacing w:after="0" w:line="8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case a Party considers it necessary to engage a different auditor to undertake annual financial auditing, such Party shall make a request to the Board of Directors and the Board of Directors shall consent to such request. All the expenses thereof shall be borne by the Party making such request.</w:t>
      </w:r>
    </w:p>
    <w:p>
      <w:pPr>
        <w:spacing w:after="0" w:line="85"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ARTICLE 48. Within the first three months of each fiscal year, the General Manager shall prepare the previous year’s balance sheet, profit and loss statement and a proposal for the distribution of profits in both Chinese and English, and submit them to the Board of Directors for examination and approval. Quarterly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65" w:name="page66"/>
    <w:bookmarkEnd w:id="65"/>
    <w:p>
      <w:pPr>
        <w:ind w:right="7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and operating reports shall also be distributed to each member of the Board of Directors. The JV shall provide each Party with all financial and accounting information needed by such Party to comply with its tax and reporting obligations in China and other countries.</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ARTICLE 49. All matters concerning foreign exchange of the JV shall be handled according to the Regulations on Foreign Exchange Administration of the People’s Republic of China and any other relevant regulations.</w:t>
      </w:r>
    </w:p>
    <w:p>
      <w:pPr>
        <w:spacing w:after="0" w:line="288"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Chapter XIV</w:t>
      </w:r>
      <w:r>
        <w:rPr>
          <w:sz w:val="20"/>
          <w:szCs w:val="20"/>
          <w:color w:val="auto"/>
        </w:rPr>
        <w:tab/>
      </w:r>
      <w:r>
        <w:rPr>
          <w:rFonts w:ascii="Arial" w:cs="Arial" w:eastAsia="Arial" w:hAnsi="Arial"/>
          <w:sz w:val="16"/>
          <w:szCs w:val="16"/>
          <w:b w:val="1"/>
          <w:bCs w:val="1"/>
          <w:color w:val="auto"/>
        </w:rPr>
        <w:t>Distribution of Profit</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ARTICLE 50. The distribution of the annual profit of the JV shall be made in accordance with […***…], and shall be subject to approval by the Board of Directors. The JV shall distribute its annual profit to the Parties to […***…].</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51. […***…].</w:t>
      </w:r>
    </w:p>
    <w:p>
      <w:pPr>
        <w:spacing w:after="0" w:line="327"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Chapter XV</w:t>
      </w:r>
      <w:r>
        <w:rPr>
          <w:sz w:val="20"/>
          <w:szCs w:val="20"/>
          <w:color w:val="auto"/>
        </w:rPr>
        <w:tab/>
      </w:r>
      <w:r>
        <w:rPr>
          <w:rFonts w:ascii="Arial" w:cs="Arial" w:eastAsia="Arial" w:hAnsi="Arial"/>
          <w:sz w:val="15"/>
          <w:szCs w:val="15"/>
          <w:b w:val="1"/>
          <w:bCs w:val="1"/>
          <w:color w:val="auto"/>
        </w:rPr>
        <w:t>Duration of the Joint Venture</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ARTICLE 52. The duration of the JV is 30 years. The establishment date of the JV shall be the date on which the business license of the JV is issued. An application for the extension of the duration, proposed by one Party and unanimously approved by the Board of Directors, shall be submitted to the original examination and approval authority six months prior to the expiration date of the JV.</w:t>
      </w:r>
    </w:p>
    <w:p>
      <w:pPr>
        <w:spacing w:after="0" w:line="296" w:lineRule="exact"/>
        <w:rPr>
          <w:sz w:val="20"/>
          <w:szCs w:val="20"/>
          <w:color w:val="auto"/>
        </w:rPr>
      </w:pPr>
    </w:p>
    <w:p>
      <w:pPr>
        <w:ind w:left="2520"/>
        <w:spacing w:after="0"/>
        <w:tabs>
          <w:tab w:leader="none" w:pos="3660" w:val="left"/>
        </w:tabs>
        <w:rPr>
          <w:sz w:val="20"/>
          <w:szCs w:val="20"/>
          <w:color w:val="auto"/>
        </w:rPr>
      </w:pPr>
      <w:r>
        <w:rPr>
          <w:rFonts w:ascii="Arial" w:cs="Arial" w:eastAsia="Arial" w:hAnsi="Arial"/>
          <w:sz w:val="18"/>
          <w:szCs w:val="18"/>
          <w:b w:val="1"/>
          <w:bCs w:val="1"/>
          <w:color w:val="auto"/>
        </w:rPr>
        <w:t>Chapter XVI</w:t>
      </w:r>
      <w:r>
        <w:rPr>
          <w:sz w:val="20"/>
          <w:szCs w:val="20"/>
          <w:color w:val="auto"/>
        </w:rPr>
        <w:tab/>
      </w:r>
      <w:r>
        <w:rPr>
          <w:rFonts w:ascii="Arial" w:cs="Arial" w:eastAsia="Arial" w:hAnsi="Arial"/>
          <w:sz w:val="15"/>
          <w:szCs w:val="15"/>
          <w:b w:val="1"/>
          <w:bCs w:val="1"/>
          <w:color w:val="auto"/>
        </w:rPr>
        <w:t>Disposal of Assets after the Expiration of the Duration; Non-Compete</w:t>
      </w:r>
    </w:p>
    <w:p>
      <w:pPr>
        <w:spacing w:after="0" w:line="17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ARTICLE 53. Upon the expiration of the duration or early termination of the JV, […***…] shall be carried out according to the relevant laws and regulations. […***…] of the registered capital contributed by each Party. Upon […***…] and no other Party to the JV shall have any rights thereto. Upon [… ***…]. In the event that the JV is dismissed before the MN-221 being approved to market in PRC by SFDA, […***…]. But in that event, […***…].</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54. Upon expiration or early termination of the JV, […***…] each agrees not to […***…] thereafter in the PRC market.</w:t>
      </w:r>
    </w:p>
    <w:p>
      <w:pPr>
        <w:spacing w:after="0" w:line="327"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Chapter XVII</w:t>
      </w:r>
      <w:r>
        <w:rPr>
          <w:sz w:val="20"/>
          <w:szCs w:val="20"/>
          <w:color w:val="auto"/>
        </w:rPr>
        <w:tab/>
      </w:r>
      <w:r>
        <w:rPr>
          <w:rFonts w:ascii="Arial" w:cs="Arial" w:eastAsia="Arial" w:hAnsi="Arial"/>
          <w:sz w:val="15"/>
          <w:szCs w:val="15"/>
          <w:b w:val="1"/>
          <w:bCs w:val="1"/>
          <w:color w:val="auto"/>
        </w:rPr>
        <w:t>Insurance</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ARTICLE 55. Insurance policies of the JV on various kinds of risks shall be underwritten by insurance companies, Chinese or foreign, authorized to sell insurance in the PRC. The types, value and duration of insurance shall be decided by the Board of Directors.</w:t>
      </w:r>
    </w:p>
    <w:p>
      <w:pPr>
        <w:spacing w:after="0" w:line="288"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8"/>
          <w:szCs w:val="18"/>
          <w:b w:val="1"/>
          <w:bCs w:val="1"/>
          <w:color w:val="auto"/>
        </w:rPr>
        <w:t>Chapter XVIII</w:t>
      </w:r>
      <w:r>
        <w:rPr>
          <w:sz w:val="20"/>
          <w:szCs w:val="20"/>
          <w:color w:val="auto"/>
        </w:rPr>
        <w:tab/>
      </w:r>
      <w:r>
        <w:rPr>
          <w:rFonts w:ascii="Arial" w:cs="Arial" w:eastAsia="Arial" w:hAnsi="Arial"/>
          <w:sz w:val="16"/>
          <w:szCs w:val="16"/>
          <w:b w:val="1"/>
          <w:bCs w:val="1"/>
          <w:color w:val="auto"/>
        </w:rPr>
        <w:t>Amendment, Alteration and Termination of the Contract</w:t>
      </w:r>
    </w:p>
    <w:p>
      <w:pPr>
        <w:spacing w:after="0" w:line="1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ARTICLE 56. No amendments or supplements to this Contract and its appendixes shall be effective without the prior written agreement of all Parties hereto and the approval from the original examination and approval authority.</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66" w:name="page67"/>
    <w:bookmarkEnd w:id="66"/>
    <w:p>
      <w:pPr>
        <w:ind w:right="2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57. In the event that the Contract cannot be carried out due to force majeure or the JV was unable to continue its operations due to continuous severe losses, the Contract may be terminated before its expiration date upon unanimous approval of the Board of Directors of the JV and approval from the original examination and approval authority.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58. […***…].</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ARTICLE 59. Should the JV be unable to continue its operation or achieve its business purpose due to the fact that one of the Parties fails to fulfill the obligations prescribed by the Contract and Articles of Association, or seriously violates the provisions of the Contract and Articles of Association, that breaching Party shall be deemed to have […***…]. The other non-breaching Parties shall […***…]. In case the Parties of the JV agree to continue the operation, the [… ***…].</w:t>
      </w:r>
    </w:p>
    <w:p>
      <w:pPr>
        <w:spacing w:after="0" w:line="299"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Chapter XIX</w:t>
      </w:r>
      <w:r>
        <w:rPr>
          <w:sz w:val="20"/>
          <w:szCs w:val="20"/>
          <w:color w:val="auto"/>
        </w:rPr>
        <w:tab/>
      </w:r>
      <w:r>
        <w:rPr>
          <w:rFonts w:ascii="Arial" w:cs="Arial" w:eastAsia="Arial" w:hAnsi="Arial"/>
          <w:sz w:val="16"/>
          <w:szCs w:val="16"/>
          <w:b w:val="1"/>
          <w:bCs w:val="1"/>
          <w:color w:val="auto"/>
        </w:rPr>
        <w:t>Liability for Breach of Contract</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ARTICLE 60. Should either Party A, Party B or Party C fail to pay on schedule its respective contribution in accordance with the provisions set forth in Chapter V of this Contract, the Party in breach shall […***…]. Should the Party in breach fails to pay more than […***…] in accordance with the provisions of the Contract.</w:t>
      </w:r>
    </w:p>
    <w:p>
      <w:pPr>
        <w:spacing w:after="0" w:line="14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ARTICLE 61. If one or more Parties breach this Contract and make this Contract and its appendixes unable to be fulfilled or fulfilled completely, then the one or more breaching Parties shall have an opportunity to cure the breach, if curable, within […***…] of receiving a written notice from a non-breaching Party informing the one or more breaching Parties of the breach. If the breach is curable but remains uncured after the […***…] period, then the non-breaching Party may […***…]. […***…] shall not be considered in breach of this Contract in the event […***…].</w:t>
      </w:r>
    </w:p>
    <w:p>
      <w:pPr>
        <w:spacing w:after="0" w:line="269"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Chapter XX</w:t>
      </w:r>
      <w:r>
        <w:rPr>
          <w:sz w:val="20"/>
          <w:szCs w:val="20"/>
          <w:color w:val="auto"/>
        </w:rPr>
        <w:tab/>
      </w:r>
      <w:r>
        <w:rPr>
          <w:rFonts w:ascii="Arial" w:cs="Arial" w:eastAsia="Arial" w:hAnsi="Arial"/>
          <w:sz w:val="16"/>
          <w:szCs w:val="16"/>
          <w:b w:val="1"/>
          <w:bCs w:val="1"/>
          <w:color w:val="auto"/>
        </w:rPr>
        <w:t>Chapter XX Force Majeure</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ARTICLE 62. In the event of such incidents of force majeure as earthquake, hurricane, flood, fire, war and other unpredictable incidents whose inception and consequence are unpreventable, which result in the difficulty or inability to perform the Contract under the agreed conditions, the Party who is affected by the force majeure incidents shall promptly notify by e-mail or facsimile the other Parties of the situation and provide valid documents with regard to the details of the incident and causes for the nonperformance or partial nonperformance or prolonged performance of the Contract. In consideration of the extent of impact on the Contract performance, the Parties will discuss and decide on whether to terminate the Contract or partially alleviate the responsibility for nonperformance, or prolong the Contract performance.</w:t>
      </w:r>
    </w:p>
    <w:p>
      <w:pPr>
        <w:spacing w:after="0" w:line="300"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8"/>
          <w:szCs w:val="18"/>
          <w:b w:val="1"/>
          <w:bCs w:val="1"/>
          <w:color w:val="auto"/>
        </w:rPr>
        <w:t>Chapter XXI</w:t>
      </w:r>
      <w:r>
        <w:rPr>
          <w:sz w:val="20"/>
          <w:szCs w:val="20"/>
          <w:color w:val="auto"/>
        </w:rPr>
        <w:tab/>
      </w:r>
      <w:r>
        <w:rPr>
          <w:rFonts w:ascii="Arial" w:cs="Arial" w:eastAsia="Arial" w:hAnsi="Arial"/>
          <w:sz w:val="16"/>
          <w:szCs w:val="16"/>
          <w:b w:val="1"/>
          <w:bCs w:val="1"/>
          <w:color w:val="auto"/>
        </w:rPr>
        <w:t>Applicable Laws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ARTICLE 63. The formation, validity, interpretation, execution and dispute resolution arising from or in respect of this Contract shall be governed by the laws of the People’s Republic of China.</w:t>
      </w:r>
    </w:p>
    <w:p>
      <w:pPr>
        <w:spacing w:after="0" w:line="288"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Chapter XXII</w:t>
      </w:r>
      <w:r>
        <w:rPr>
          <w:sz w:val="20"/>
          <w:szCs w:val="20"/>
          <w:color w:val="auto"/>
        </w:rPr>
        <w:tab/>
      </w:r>
      <w:r>
        <w:rPr>
          <w:rFonts w:ascii="Arial" w:cs="Arial" w:eastAsia="Arial" w:hAnsi="Arial"/>
          <w:sz w:val="15"/>
          <w:szCs w:val="15"/>
          <w:b w:val="1"/>
          <w:bCs w:val="1"/>
          <w:color w:val="auto"/>
        </w:rPr>
        <w:t>Settlement of Disputes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ARTICLE 64. The Parties hereby agree that, in order to obtain prompt and expeditious resolution of disputes under this Contract, each claim, dispute or controversy of whatever nature, arising out of, in connection</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67" w:name="page68"/>
    <w:bookmarkEnd w:id="67"/>
    <w:p>
      <w:pPr>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or in relation to the interpretation, performance or breach of this Contract, including, without limitation, any claim based on contract, tort or statute, or the alleged breach hereof or thereof, shall first be attempted to be resolved in good faith by a representative of the Parties. In the event that the controversy is not resolved within thirty (30) days, the Parties shall proceed to binding arbitration pursuant to the following procedures:</w:t>
      </w:r>
    </w:p>
    <w:p>
      <w:pPr>
        <w:spacing w:after="0" w:line="26"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64.1</w:t>
      </w:r>
      <w:r>
        <w:rPr>
          <w:sz w:val="20"/>
          <w:szCs w:val="20"/>
          <w:color w:val="auto"/>
        </w:rPr>
        <w:tab/>
      </w:r>
      <w:r>
        <w:rPr>
          <w:rFonts w:ascii="Arial" w:cs="Arial" w:eastAsia="Arial" w:hAnsi="Arial"/>
          <w:sz w:val="16"/>
          <w:szCs w:val="16"/>
          <w:color w:val="auto"/>
        </w:rPr>
        <w:t>Any party may send another party written notice identifying the matter in dispute and invoking the procedures of this ARTICLE 64. Within fifteen</w:t>
      </w:r>
    </w:p>
    <w:p>
      <w:pPr>
        <w:spacing w:after="0" w:line="15" w:lineRule="exact"/>
        <w:rPr>
          <w:sz w:val="20"/>
          <w:szCs w:val="20"/>
          <w:color w:val="auto"/>
        </w:rPr>
      </w:pPr>
    </w:p>
    <w:p>
      <w:pPr>
        <w:ind w:left="1020" w:right="680" w:firstLine="1"/>
        <w:spacing w:after="0" w:line="261" w:lineRule="auto"/>
        <w:tabs>
          <w:tab w:leader="none" w:pos="13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Days thereafter, each party involved in the dispute shall meet at a location mutually agreed by the Parties, for the purpose of determining whether they can resolve the dispute themselves by written agreement.</w:t>
      </w:r>
    </w:p>
    <w:p>
      <w:pPr>
        <w:spacing w:after="0" w:line="57" w:lineRule="exact"/>
        <w:rPr>
          <w:sz w:val="20"/>
          <w:szCs w:val="20"/>
          <w:color w:val="auto"/>
        </w:rPr>
      </w:pPr>
    </w:p>
    <w:p>
      <w:pPr>
        <w:ind w:left="1020" w:right="40" w:hanging="566"/>
        <w:spacing w:after="0" w:line="291" w:lineRule="auto"/>
        <w:tabs>
          <w:tab w:leader="none" w:pos="1000" w:val="left"/>
        </w:tabs>
        <w:rPr>
          <w:sz w:val="20"/>
          <w:szCs w:val="20"/>
          <w:color w:val="auto"/>
        </w:rPr>
      </w:pPr>
      <w:r>
        <w:rPr>
          <w:rFonts w:ascii="Arial" w:cs="Arial" w:eastAsia="Arial" w:hAnsi="Arial"/>
          <w:sz w:val="18"/>
          <w:szCs w:val="18"/>
          <w:color w:val="auto"/>
        </w:rPr>
        <w:t>64.2</w:t>
      </w:r>
      <w:r>
        <w:rPr>
          <w:sz w:val="20"/>
          <w:szCs w:val="20"/>
          <w:color w:val="auto"/>
        </w:rPr>
        <w:tab/>
      </w:r>
      <w:r>
        <w:rPr>
          <w:rFonts w:ascii="Arial" w:cs="Arial" w:eastAsia="Arial" w:hAnsi="Arial"/>
          <w:sz w:val="16"/>
          <w:szCs w:val="16"/>
          <w:color w:val="auto"/>
        </w:rPr>
        <w:t>If such Parties fail to resolve the dispute by written agreement, the dispute shall, at the request of either party upon written notice to that effect to the other party (a “Demand”), be finally settled by binding arbitration in accordance with the rules for commercial arbitration of the United Nations Commission on International Trade Law (“UNCITRAL”) then in effect, except as modified herein. The Arbitration Tribunal shall be composed of either (X) one (1) arbitrator if the Parties can reach agreement on the appointment of such arbitrator or (Y) three (3) arbitrators if no agreement can be reached on the appointment of a single arbitrator (in either case, the “Arbitration Tribunal”). If the Arbitration Tribunal is to be composed of a panel of three arbitrators, such arbitrators shall be appointed as follows:</w:t>
      </w:r>
    </w:p>
    <w:p>
      <w:pPr>
        <w:spacing w:after="0" w:line="39" w:lineRule="exact"/>
        <w:rPr>
          <w:sz w:val="20"/>
          <w:szCs w:val="20"/>
          <w:color w:val="auto"/>
        </w:rPr>
      </w:pPr>
    </w:p>
    <w:p>
      <w:pPr>
        <w:ind w:left="1940" w:right="40" w:hanging="904"/>
        <w:spacing w:after="0" w:line="256" w:lineRule="auto"/>
        <w:tabs>
          <w:tab w:leader="none" w:pos="1920" w:val="left"/>
        </w:tabs>
        <w:rPr>
          <w:sz w:val="20"/>
          <w:szCs w:val="20"/>
          <w:color w:val="auto"/>
        </w:rPr>
      </w:pPr>
      <w:r>
        <w:rPr>
          <w:rFonts w:ascii="Arial" w:cs="Arial" w:eastAsia="Arial" w:hAnsi="Arial"/>
          <w:sz w:val="18"/>
          <w:szCs w:val="18"/>
          <w:color w:val="auto"/>
        </w:rPr>
        <w:t>64.2.A.</w:t>
      </w:r>
      <w:r>
        <w:rPr>
          <w:sz w:val="20"/>
          <w:szCs w:val="20"/>
          <w:color w:val="auto"/>
        </w:rPr>
        <w:tab/>
      </w:r>
      <w:r>
        <w:rPr>
          <w:rFonts w:ascii="Arial" w:cs="Arial" w:eastAsia="Arial" w:hAnsi="Arial"/>
          <w:sz w:val="18"/>
          <w:szCs w:val="18"/>
          <w:color w:val="auto"/>
        </w:rPr>
        <w:t>Party A and Party B as a group, on one hand, and Party C, on the other hand, shall each select one arbitrator in accordance with the applicable rules of UNCITRAL within fifteen (15) days of its receipt of the Demand, or, if such party to the dispute fails to make such selection within such fifteen (15) days of the receipt of the Demand, the UNCITRAL shall make such appointment within five days thereafter.</w:t>
      </w:r>
    </w:p>
    <w:p>
      <w:pPr>
        <w:spacing w:after="0" w:line="62" w:lineRule="exact"/>
        <w:rPr>
          <w:sz w:val="20"/>
          <w:szCs w:val="20"/>
          <w:color w:val="auto"/>
        </w:rPr>
      </w:pPr>
    </w:p>
    <w:p>
      <w:pPr>
        <w:jc w:val="both"/>
        <w:ind w:left="1940" w:right="160" w:hanging="904"/>
        <w:spacing w:after="0" w:line="259" w:lineRule="auto"/>
        <w:tabs>
          <w:tab w:leader="none" w:pos="1920" w:val="left"/>
        </w:tabs>
        <w:rPr>
          <w:sz w:val="20"/>
          <w:szCs w:val="20"/>
          <w:color w:val="auto"/>
        </w:rPr>
      </w:pPr>
      <w:r>
        <w:rPr>
          <w:rFonts w:ascii="Arial" w:cs="Arial" w:eastAsia="Arial" w:hAnsi="Arial"/>
          <w:sz w:val="18"/>
          <w:szCs w:val="18"/>
          <w:color w:val="auto"/>
        </w:rPr>
        <w:t>64.2.B.</w:t>
      </w:r>
      <w:r>
        <w:rPr>
          <w:sz w:val="20"/>
          <w:szCs w:val="20"/>
          <w:color w:val="auto"/>
        </w:rPr>
        <w:tab/>
      </w:r>
      <w:r>
        <w:rPr>
          <w:rFonts w:ascii="Arial" w:cs="Arial" w:eastAsia="Arial" w:hAnsi="Arial"/>
          <w:sz w:val="18"/>
          <w:szCs w:val="18"/>
          <w:color w:val="auto"/>
        </w:rPr>
        <w:t>Within five days of their appointment, the two arbitrators thus appointed shall select the third arbitrator, who shall act as chairman of the panel. If the two arbitrators fail to agree on a third arbitrator within five days of their selection, the UNCITRAL shall make such appointment within five days thereafter.</w:t>
      </w:r>
    </w:p>
    <w:p>
      <w:pPr>
        <w:spacing w:after="0" w:line="59"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8"/>
          <w:szCs w:val="18"/>
          <w:color w:val="auto"/>
        </w:rPr>
        <w:t>64.2.C.</w:t>
      </w:r>
      <w:r>
        <w:rPr>
          <w:sz w:val="20"/>
          <w:szCs w:val="20"/>
          <w:color w:val="auto"/>
        </w:rPr>
        <w:tab/>
      </w:r>
      <w:r>
        <w:rPr>
          <w:rFonts w:ascii="Arial" w:cs="Arial" w:eastAsia="Arial" w:hAnsi="Arial"/>
          <w:sz w:val="16"/>
          <w:szCs w:val="16"/>
          <w:color w:val="auto"/>
        </w:rPr>
        <w:t>Notwithstanding anything contained in the UNCITRAL rules to the contrary, any selection of arbitrators to be made by UNCITRAL</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pursuant to this ARTICLE 64 shall be made by the Chairman of the Singapore International Arbitration Centre (SIAC).</w:t>
      </w:r>
    </w:p>
    <w:p>
      <w:pPr>
        <w:spacing w:after="0" w:line="84" w:lineRule="exact"/>
        <w:rPr>
          <w:sz w:val="20"/>
          <w:szCs w:val="20"/>
          <w:color w:val="auto"/>
        </w:rPr>
      </w:pPr>
    </w:p>
    <w:p>
      <w:pPr>
        <w:ind w:left="1020" w:hanging="566"/>
        <w:spacing w:after="0" w:line="291" w:lineRule="auto"/>
        <w:tabs>
          <w:tab w:leader="none" w:pos="1000" w:val="left"/>
        </w:tabs>
        <w:rPr>
          <w:sz w:val="20"/>
          <w:szCs w:val="20"/>
          <w:color w:val="auto"/>
        </w:rPr>
      </w:pPr>
      <w:r>
        <w:rPr>
          <w:rFonts w:ascii="Arial" w:cs="Arial" w:eastAsia="Arial" w:hAnsi="Arial"/>
          <w:sz w:val="18"/>
          <w:szCs w:val="18"/>
          <w:color w:val="auto"/>
        </w:rPr>
        <w:t>64.3</w:t>
      </w:r>
      <w:r>
        <w:rPr>
          <w:sz w:val="20"/>
          <w:szCs w:val="20"/>
          <w:color w:val="auto"/>
        </w:rPr>
        <w:tab/>
      </w:r>
      <w:r>
        <w:rPr>
          <w:rFonts w:ascii="Arial" w:cs="Arial" w:eastAsia="Arial" w:hAnsi="Arial"/>
          <w:sz w:val="16"/>
          <w:szCs w:val="16"/>
          <w:color w:val="auto"/>
        </w:rPr>
        <w:t>Within 90 days of the selection of the Arbitration Tribunal, the Parties involved in the dispute shall meet with the Arbitration Tribunal in Singapore, or such other location as mutually agreed by the Parties, at a place and time designated by such Arbitration Tribunal after consultation with such Parties and present their respective positions on the dispute. Each party shall have no longer than five days to present its position, and the decision of the Arbitration Tribunal shall be made in writing no more than 45 days following the end of the proceeding and shall set forth in writing the grounds or basis of the Arbitration Tribunal’s decision. The language to be used in all proceedings before the Arbitration Tribunal shall be English and all documents and testimony shall be in or translated to English.</w:t>
      </w:r>
    </w:p>
    <w:p>
      <w:pPr>
        <w:spacing w:after="0" w:line="39" w:lineRule="exact"/>
        <w:rPr>
          <w:sz w:val="20"/>
          <w:szCs w:val="20"/>
          <w:color w:val="auto"/>
        </w:rPr>
      </w:pPr>
    </w:p>
    <w:p>
      <w:pPr>
        <w:ind w:left="1020" w:right="420" w:hanging="566"/>
        <w:spacing w:after="0" w:line="306" w:lineRule="auto"/>
        <w:tabs>
          <w:tab w:leader="none" w:pos="1000" w:val="left"/>
        </w:tabs>
        <w:rPr>
          <w:sz w:val="20"/>
          <w:szCs w:val="20"/>
          <w:color w:val="auto"/>
        </w:rPr>
      </w:pPr>
      <w:r>
        <w:rPr>
          <w:rFonts w:ascii="Arial" w:cs="Arial" w:eastAsia="Arial" w:hAnsi="Arial"/>
          <w:sz w:val="18"/>
          <w:szCs w:val="18"/>
          <w:color w:val="auto"/>
        </w:rPr>
        <w:t>64.4</w:t>
      </w:r>
      <w:r>
        <w:rPr>
          <w:sz w:val="20"/>
          <w:szCs w:val="20"/>
          <w:color w:val="auto"/>
        </w:rPr>
        <w:tab/>
      </w:r>
      <w:r>
        <w:rPr>
          <w:rFonts w:ascii="Arial" w:cs="Arial" w:eastAsia="Arial" w:hAnsi="Arial"/>
          <w:sz w:val="16"/>
          <w:szCs w:val="16"/>
          <w:color w:val="auto"/>
        </w:rPr>
        <w:t>The award of the Arbitration Tribunal shall be a final and binding determination of the dispute and shall be final and binding on all the Parties involved in the arbitration proceeding. Such arbitration award shall be fully enforceable in any court of competent jurisdiction and may be confirmed and reduced to judgment in any court of competent jurisdiction over such Parties.</w:t>
      </w:r>
    </w:p>
    <w:p>
      <w:pPr>
        <w:spacing w:after="0" w:line="26" w:lineRule="exact"/>
        <w:rPr>
          <w:sz w:val="20"/>
          <w:szCs w:val="20"/>
          <w:color w:val="auto"/>
        </w:rPr>
      </w:pPr>
    </w:p>
    <w:p>
      <w:pPr>
        <w:ind w:left="1020" w:right="400" w:hanging="566"/>
        <w:spacing w:after="0" w:line="255" w:lineRule="auto"/>
        <w:tabs>
          <w:tab w:leader="none" w:pos="1000" w:val="left"/>
        </w:tabs>
        <w:rPr>
          <w:sz w:val="20"/>
          <w:szCs w:val="20"/>
          <w:color w:val="auto"/>
        </w:rPr>
      </w:pPr>
      <w:r>
        <w:rPr>
          <w:rFonts w:ascii="Arial" w:cs="Arial" w:eastAsia="Arial" w:hAnsi="Arial"/>
          <w:sz w:val="18"/>
          <w:szCs w:val="18"/>
          <w:color w:val="auto"/>
        </w:rPr>
        <w:t>64.5</w:t>
        <w:tab/>
        <w:t>The non-prevailing party (as determined by the Arbitration Tribunal) shall pay the Arbitration Tribunal’s fees and expenses and shall pay the reasonable attorneys’ fees and expenses incurred by the prevailing party (as determined by the Arbitration Tribunal) in connection with such arbitration proceeding. If the prevailing party must seek enforcement of any arbitration award made by the Arbitration Tribunal in a court of competent jurisdiction, the non-prevailing party shall pay all of the reasonable attorneys’ fees and expenses incurred by the prevailing party in connection with such enforcement.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65. In the course of arbitration, with the exception of matters in dispute, all Parties shall continue to perform the Contract.</w:t>
      </w:r>
    </w:p>
    <w:p>
      <w:pPr>
        <w:spacing w:after="0" w:line="327" w:lineRule="exact"/>
        <w:rPr>
          <w:sz w:val="20"/>
          <w:szCs w:val="20"/>
          <w:color w:val="auto"/>
        </w:rPr>
      </w:pPr>
    </w:p>
    <w:p>
      <w:pPr>
        <w:jc w:val="center"/>
        <w:ind w:right="-119"/>
        <w:spacing w:after="0"/>
        <w:tabs>
          <w:tab w:leader="none" w:pos="160" w:val="left"/>
        </w:tabs>
        <w:rPr>
          <w:sz w:val="20"/>
          <w:szCs w:val="20"/>
          <w:color w:val="auto"/>
        </w:rPr>
      </w:pPr>
      <w:r>
        <w:rPr>
          <w:rFonts w:ascii="Arial" w:cs="Arial" w:eastAsia="Arial" w:hAnsi="Arial"/>
          <w:sz w:val="18"/>
          <w:szCs w:val="18"/>
          <w:b w:val="1"/>
          <w:bCs w:val="1"/>
          <w:color w:val="auto"/>
        </w:rPr>
        <w:t>Chapter XXIII</w:t>
      </w:r>
      <w:r>
        <w:rPr>
          <w:sz w:val="20"/>
          <w:szCs w:val="20"/>
          <w:color w:val="auto"/>
        </w:rPr>
        <w:tab/>
      </w:r>
      <w:r>
        <w:rPr>
          <w:rFonts w:ascii="Arial" w:cs="Arial" w:eastAsia="Arial" w:hAnsi="Arial"/>
          <w:sz w:val="15"/>
          <w:szCs w:val="15"/>
          <w:b w:val="1"/>
          <w:bCs w:val="1"/>
          <w:color w:val="auto"/>
        </w:rPr>
        <w:t>Languages</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ARTICLE 66. The Contract is written with 6 copies both in Chinese language and English language. Both language versions are equally authentic. In the event of any discrepancy between the two aforementioned versions, the Chinese version shall prevail.</w:t>
      </w:r>
    </w:p>
    <w:p>
      <w:pPr>
        <w:spacing w:after="0" w:line="288" w:lineRule="exact"/>
        <w:rPr>
          <w:sz w:val="20"/>
          <w:szCs w:val="20"/>
          <w:color w:val="auto"/>
        </w:rPr>
      </w:pPr>
    </w:p>
    <w:p>
      <w:pPr>
        <w:jc w:val="center"/>
        <w:ind w:right="-119"/>
        <w:spacing w:after="0"/>
        <w:tabs>
          <w:tab w:leader="none" w:pos="140" w:val="left"/>
        </w:tabs>
        <w:rPr>
          <w:sz w:val="20"/>
          <w:szCs w:val="20"/>
          <w:color w:val="auto"/>
        </w:rPr>
      </w:pPr>
      <w:r>
        <w:rPr>
          <w:rFonts w:ascii="Arial" w:cs="Arial" w:eastAsia="Arial" w:hAnsi="Arial"/>
          <w:sz w:val="18"/>
          <w:szCs w:val="18"/>
          <w:b w:val="1"/>
          <w:bCs w:val="1"/>
          <w:color w:val="auto"/>
        </w:rPr>
        <w:t>Chapter XXIV</w:t>
      </w:r>
      <w:r>
        <w:rPr>
          <w:sz w:val="20"/>
          <w:szCs w:val="20"/>
          <w:color w:val="auto"/>
        </w:rPr>
        <w:tab/>
      </w:r>
      <w:r>
        <w:rPr>
          <w:rFonts w:ascii="Arial" w:cs="Arial" w:eastAsia="Arial" w:hAnsi="Arial"/>
          <w:sz w:val="15"/>
          <w:szCs w:val="15"/>
          <w:b w:val="1"/>
          <w:bCs w:val="1"/>
          <w:color w:val="auto"/>
        </w:rPr>
        <w:t>Effectiveness of the Contract and Miscellaneous</w:t>
      </w:r>
    </w:p>
    <w:p>
      <w:pPr>
        <w:spacing w:after="0" w:line="177" w:lineRule="exact"/>
        <w:rPr>
          <w:sz w:val="20"/>
          <w:szCs w:val="20"/>
          <w:color w:val="auto"/>
        </w:rPr>
      </w:pPr>
    </w:p>
    <w:p>
      <w:pPr>
        <w:jc w:val="both"/>
        <w:ind w:right="120" w:firstLine="456"/>
        <w:spacing w:after="0" w:line="332" w:lineRule="auto"/>
        <w:rPr>
          <w:sz w:val="20"/>
          <w:szCs w:val="20"/>
          <w:color w:val="auto"/>
        </w:rPr>
      </w:pPr>
      <w:r>
        <w:rPr>
          <w:rFonts w:ascii="Arial" w:cs="Arial" w:eastAsia="Arial" w:hAnsi="Arial"/>
          <w:sz w:val="16"/>
          <w:szCs w:val="16"/>
          <w:color w:val="auto"/>
        </w:rPr>
        <w:t>ARTICLE 67. The Contract and its appendices shall come into force upon the date of approval of the Ministry of Commerce of the People’s Republic of China (or its entrusted examination and approval authority). All appendices and schedules in connection with this Contract are an integral part of this Contract.</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ARTICLE 68. This Contract (including all of its appendices) embodies the entire agreement and understanding among the Parties with, respect to the subject matter hereof and supersedes all prior agreements and understandings, whether written or oral, with respect to the same subject matter, including but not limited to the Joint Venture Agreement among the Parties dated March 3, 2011.</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ARTICLE 69. Should notices in connection with any Party’s rights and obligations be sent by any other Party by e-mail, facsimile or other electronic means, the written letter notices shall be also required afterwards. The Notice shall be done in English or in both English and Chinese. The legal addresses of the Parties listed in this contract shall be the posting addresses, or such other addresses or number as shall be furnished in writing by any such Party. Such notice or communication shall be deemed to have been given as of the date received, sent by e-mail, facsimile or mail.</w:t>
      </w:r>
    </w:p>
    <w:p>
      <w:pPr>
        <w:spacing w:after="0" w:line="113" w:lineRule="exact"/>
        <w:rPr>
          <w:sz w:val="20"/>
          <w:szCs w:val="20"/>
          <w:color w:val="auto"/>
        </w:rPr>
      </w:pPr>
    </w:p>
    <w:p>
      <w:pPr>
        <w:jc w:val="center"/>
        <w:ind w:right="1380"/>
        <w:spacing w:after="0"/>
        <w:rPr>
          <w:sz w:val="20"/>
          <w:szCs w:val="20"/>
          <w:color w:val="auto"/>
        </w:rPr>
      </w:pPr>
      <w:r>
        <w:rPr>
          <w:rFonts w:ascii="Arial" w:cs="Arial" w:eastAsia="Arial" w:hAnsi="Arial"/>
          <w:sz w:val="16"/>
          <w:szCs w:val="16"/>
          <w:color w:val="auto"/>
        </w:rPr>
        <w:t>ARTICLE 70. The Contract is signed in Hangzhou, China by the duly authorized representatives of all Parties on June 29, 2011.</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[Intentionally Left Blank]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280"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 Page]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(Party 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(Zhejiang Medicine Co., Ltd)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(Signature): /s/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(Party B):</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(Beijing Make-Friend Medicine Technology Co., Ltd)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(Signature): /s/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(Party 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(MedicNova,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(Signature): /s/ […***…]</w:t>
      </w:r>
    </w:p>
    <w:p>
      <w:pPr>
        <w:spacing w:after="0" w:line="333" w:lineRule="exact"/>
        <w:rPr>
          <w:sz w:val="20"/>
          <w:szCs w:val="20"/>
          <w:color w:val="auto"/>
        </w:rPr>
      </w:pPr>
    </w:p>
    <w:p>
      <w:pPr>
        <w:jc w:val="right"/>
        <w:ind w:right="1640"/>
        <w:spacing w:after="0"/>
        <w:rPr>
          <w:sz w:val="20"/>
          <w:szCs w:val="20"/>
          <w:color w:val="auto"/>
        </w:rPr>
      </w:pPr>
      <w:r>
        <w:rPr>
          <w:rFonts w:ascii="Arial" w:cs="Arial" w:eastAsia="Arial" w:hAnsi="Arial"/>
          <w:sz w:val="18"/>
          <w:szCs w:val="18"/>
          <w:color w:val="auto"/>
        </w:rPr>
        <w:t>June 29, 2011</w:t>
      </w:r>
    </w:p>
    <w:p>
      <w:pPr>
        <w:spacing w:after="0" w:line="200" w:lineRule="exact"/>
        <w:rPr>
          <w:sz w:val="20"/>
          <w:szCs w:val="20"/>
          <w:color w:val="auto"/>
        </w:rPr>
      </w:pPr>
    </w:p>
    <w:p>
      <w:pPr>
        <w:spacing w:after="0" w:line="3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 Treatment Requested</w:t>
      </w:r>
    </w:p>
    <w:p>
      <w:pPr>
        <w:sectPr>
          <w:pgSz w:w="11900" w:h="16838" w:orient="portrait"/>
          <w:cols w:equalWidth="0" w:num="2">
            <w:col w:w="7840" w:space="720"/>
            <w:col w:w="2860"/>
          </w:cols>
          <w:pgMar w:left="240" w:top="28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90" w:lineRule="exact"/>
        <w:rPr>
          <w:sz w:val="20"/>
          <w:szCs w:val="20"/>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2011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15, 2011</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Coffee, certify that:</w:t>
      </w:r>
    </w:p>
    <w:p>
      <w:pPr>
        <w:spacing w:after="0" w:line="90" w:lineRule="exact"/>
        <w:rPr>
          <w:sz w:val="20"/>
          <w:szCs w:val="20"/>
          <w:color w:val="auto"/>
        </w:rPr>
      </w:pPr>
    </w:p>
    <w:p>
      <w:pPr>
        <w:ind w:left="640" w:hanging="17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2011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15, 2011</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ICHAEL</w:t>
      </w:r>
      <w:r>
        <w:rPr>
          <w:rFonts w:ascii="Arial" w:cs="Arial" w:eastAsia="Arial" w:hAnsi="Arial"/>
          <w:sz w:val="16"/>
          <w:szCs w:val="16"/>
          <w:color w:val="auto"/>
        </w:rPr>
        <w:t xml:space="preserve"> C</w:t>
      </w:r>
      <w:r>
        <w:rPr>
          <w:rFonts w:ascii="Arial" w:cs="Arial" w:eastAsia="Arial" w:hAnsi="Arial"/>
          <w:sz w:val="13"/>
          <w:szCs w:val="13"/>
          <w:color w:val="auto"/>
        </w:rPr>
        <w:t>OFFEE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Michael Coffee</w:t>
      </w:r>
    </w:p>
    <w:p>
      <w:pPr>
        <w:jc w:val="center"/>
        <w:ind w:left="7240"/>
        <w:spacing w:after="0" w:line="223" w:lineRule="auto"/>
        <w:rPr>
          <w:sz w:val="20"/>
          <w:szCs w:val="20"/>
          <w:color w:val="auto"/>
        </w:rPr>
      </w:pPr>
      <w:r>
        <w:rPr>
          <w:rFonts w:ascii="Arial" w:cs="Arial" w:eastAsia="Arial" w:hAnsi="Arial"/>
          <w:sz w:val="14"/>
          <w:szCs w:val="14"/>
          <w:b w:val="1"/>
          <w:bCs w:val="1"/>
          <w:color w:val="auto"/>
        </w:rPr>
        <w:t>Chief Business Officer and Interim Chief</w:t>
      </w:r>
    </w:p>
    <w:p>
      <w:pPr>
        <w:jc w:val="center"/>
        <w:ind w:left="7240"/>
        <w:spacing w:after="0" w:line="222" w:lineRule="auto"/>
        <w:rPr>
          <w:sz w:val="20"/>
          <w:szCs w:val="20"/>
          <w:color w:val="auto"/>
        </w:rPr>
      </w:pPr>
      <w:r>
        <w:rPr>
          <w:rFonts w:ascii="Arial" w:cs="Arial" w:eastAsia="Arial" w:hAnsi="Arial"/>
          <w:sz w:val="14"/>
          <w:szCs w:val="14"/>
          <w:b w:val="1"/>
          <w:bCs w:val="1"/>
          <w:color w:val="auto"/>
        </w:rPr>
        <w:t>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2011,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15, 2011</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2011, as filed with the Securities and Exchange Commission on the date hereof (the “Report”), I, Michael Coffee, as Vice President and Chief Financial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15, 2011</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ICHAEL</w:t>
      </w:r>
      <w:r>
        <w:rPr>
          <w:rFonts w:ascii="Arial" w:cs="Arial" w:eastAsia="Arial" w:hAnsi="Arial"/>
          <w:sz w:val="16"/>
          <w:szCs w:val="16"/>
          <w:color w:val="auto"/>
        </w:rPr>
        <w:t xml:space="preserve"> C</w:t>
      </w:r>
      <w:r>
        <w:rPr>
          <w:rFonts w:ascii="Arial" w:cs="Arial" w:eastAsia="Arial" w:hAnsi="Arial"/>
          <w:sz w:val="13"/>
          <w:szCs w:val="13"/>
          <w:color w:val="auto"/>
        </w:rPr>
        <w:t>OFFEE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Michael Coffee</w:t>
      </w:r>
    </w:p>
    <w:p>
      <w:pPr>
        <w:jc w:val="center"/>
        <w:ind w:left="7240"/>
        <w:spacing w:after="0" w:line="223" w:lineRule="auto"/>
        <w:rPr>
          <w:sz w:val="20"/>
          <w:szCs w:val="20"/>
          <w:color w:val="auto"/>
        </w:rPr>
      </w:pPr>
      <w:r>
        <w:rPr>
          <w:rFonts w:ascii="Arial" w:cs="Arial" w:eastAsia="Arial" w:hAnsi="Arial"/>
          <w:sz w:val="14"/>
          <w:szCs w:val="14"/>
          <w:b w:val="1"/>
          <w:bCs w:val="1"/>
          <w:color w:val="auto"/>
        </w:rPr>
        <w:t>Chief Business Officer and Interim Chief</w:t>
      </w:r>
    </w:p>
    <w:p>
      <w:pPr>
        <w:jc w:val="center"/>
        <w:ind w:left="7240"/>
        <w:spacing w:after="0" w:line="222" w:lineRule="auto"/>
        <w:rPr>
          <w:sz w:val="20"/>
          <w:szCs w:val="20"/>
          <w:color w:val="auto"/>
        </w:rPr>
      </w:pPr>
      <w:r>
        <w:rPr>
          <w:rFonts w:ascii="Arial" w:cs="Arial" w:eastAsia="Arial" w:hAnsi="Arial"/>
          <w:sz w:val="14"/>
          <w:szCs w:val="14"/>
          <w:b w:val="1"/>
          <w:bCs w:val="1"/>
          <w:color w:val="auto"/>
        </w:rPr>
        <w:t>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7"/>
    </w:lvl>
  </w:abstractNum>
  <w:abstractNum w:abstractNumId="6">
    <w:nsid w:val="79838CB2"/>
    <w:multiLevelType w:val="hybridMultilevel"/>
    <w:lvl w:ilvl="0">
      <w:lvlJc w:val="left"/>
      <w:lvlText w:val="%1."/>
      <w:numFmt w:val="decimal"/>
      <w:start w:val="10"/>
    </w:lvl>
  </w:abstractNum>
  <w:abstractNum w:abstractNumId="7">
    <w:nsid w:val="4353D0CD"/>
    <w:multiLevelType w:val="hybridMultilevel"/>
    <w:lvl w:ilvl="0">
      <w:lvlJc w:val="left"/>
      <w:lvlText w:val="%1."/>
      <w:numFmt w:val="decimal"/>
      <w:start w:val="1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decimal"/>
      <w:start w:val="15"/>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2019-12-10T22:49:41Z</dcterms:created>
  <dcterms:modified xsi:type="dcterms:W3CDTF">2019-12-10T22:49:41Z</dcterms:modified>
</cp:coreProperties>
</file>