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460" w:right="2380" w:hanging="452"/>
        <w:spacing w:after="0" w:line="32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14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3880" w:type="dxa"/>
            <w:vAlign w:val="bottom"/>
            <w:gridSpan w:val="3"/>
          </w:tcPr>
          <w:p>
            <w:pPr>
              <w:ind w:left="260"/>
              <w:spacing w:after="0"/>
              <w:rPr>
                <w:sz w:val="20"/>
                <w:szCs w:val="20"/>
                <w:color w:val="auto"/>
              </w:rPr>
            </w:pPr>
            <w:r>
              <w:rPr>
                <w:rFonts w:ascii="Arial" w:cs="Arial" w:eastAsia="Arial" w:hAnsi="Arial"/>
                <w:sz w:val="18"/>
                <w:szCs w:val="18"/>
                <w:b w:val="1"/>
                <w:bCs w:val="1"/>
                <w:color w:val="auto"/>
              </w:rPr>
              <w:t>to</w:t>
            </w:r>
          </w:p>
        </w:tc>
        <w:tc>
          <w:tcPr>
            <w:tcW w:w="2240" w:type="dxa"/>
            <w:vAlign w:val="bottom"/>
          </w:tcPr>
          <w:p>
            <w:pPr>
              <w:spacing w:after="0"/>
              <w:rPr>
                <w:sz w:val="19"/>
                <w:szCs w:val="19"/>
                <w:color w:val="auto"/>
              </w:rPr>
            </w:pPr>
          </w:p>
        </w:tc>
      </w:tr>
      <w:tr>
        <w:trPr>
          <w:trHeight w:val="151"/>
        </w:trPr>
        <w:tc>
          <w:tcPr>
            <w:tcW w:w="3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63"/>
        </w:trPr>
        <w:tc>
          <w:tcPr>
            <w:tcW w:w="3140" w:type="dxa"/>
            <w:vAlign w:val="bottom"/>
          </w:tcPr>
          <w:p>
            <w:pPr>
              <w:spacing w:after="0"/>
              <w:rPr>
                <w:sz w:val="22"/>
                <w:szCs w:val="22"/>
                <w:color w:val="auto"/>
              </w:rPr>
            </w:pPr>
          </w:p>
        </w:tc>
        <w:tc>
          <w:tcPr>
            <w:tcW w:w="3880" w:type="dxa"/>
            <w:vAlign w:val="bottom"/>
            <w:gridSpan w:val="3"/>
          </w:tcPr>
          <w:p>
            <w:pPr>
              <w:jc w:val="center"/>
              <w:ind w:left="247"/>
              <w:spacing w:after="0"/>
              <w:rPr>
                <w:sz w:val="20"/>
                <w:szCs w:val="20"/>
                <w:color w:val="auto"/>
              </w:rPr>
            </w:pPr>
            <w:r>
              <w:rPr>
                <w:rFonts w:ascii="Arial" w:cs="Arial" w:eastAsia="Arial" w:hAnsi="Arial"/>
                <w:sz w:val="18"/>
                <w:szCs w:val="18"/>
                <w:b w:val="1"/>
                <w:bCs w:val="1"/>
                <w:color w:val="auto"/>
                <w:w w:val="87"/>
              </w:rPr>
              <w:t>Commission file number: 001-33185</w:t>
            </w:r>
          </w:p>
        </w:tc>
        <w:tc>
          <w:tcPr>
            <w:tcW w:w="2240" w:type="dxa"/>
            <w:vAlign w:val="bottom"/>
          </w:tcPr>
          <w:p>
            <w:pPr>
              <w:spacing w:after="0"/>
              <w:rPr>
                <w:sz w:val="22"/>
                <w:szCs w:val="22"/>
                <w:color w:val="auto"/>
              </w:rPr>
            </w:pPr>
          </w:p>
        </w:tc>
      </w:tr>
      <w:tr>
        <w:trPr>
          <w:trHeight w:val="393"/>
        </w:trPr>
        <w:tc>
          <w:tcPr>
            <w:tcW w:w="3140" w:type="dxa"/>
            <w:vAlign w:val="bottom"/>
          </w:tcPr>
          <w:p>
            <w:pPr>
              <w:spacing w:after="0"/>
              <w:rPr>
                <w:sz w:val="24"/>
                <w:szCs w:val="24"/>
                <w:color w:val="auto"/>
              </w:rPr>
            </w:pPr>
          </w:p>
        </w:tc>
        <w:tc>
          <w:tcPr>
            <w:tcW w:w="3880" w:type="dxa"/>
            <w:vAlign w:val="bottom"/>
            <w:gridSpan w:val="3"/>
          </w:tcPr>
          <w:p>
            <w:pPr>
              <w:jc w:val="center"/>
              <w:ind w:left="267"/>
              <w:spacing w:after="0"/>
              <w:rPr>
                <w:sz w:val="20"/>
                <w:szCs w:val="20"/>
                <w:color w:val="auto"/>
              </w:rPr>
            </w:pPr>
            <w:r>
              <w:rPr>
                <w:rFonts w:ascii="Arial" w:cs="Arial" w:eastAsia="Arial" w:hAnsi="Arial"/>
                <w:sz w:val="32"/>
                <w:szCs w:val="32"/>
                <w:b w:val="1"/>
                <w:bCs w:val="1"/>
                <w:color w:val="auto"/>
              </w:rPr>
              <w:t>MEDICINOVA, INC.</w:t>
            </w:r>
          </w:p>
        </w:tc>
        <w:tc>
          <w:tcPr>
            <w:tcW w:w="2240" w:type="dxa"/>
            <w:vAlign w:val="bottom"/>
          </w:tcPr>
          <w:p>
            <w:pPr>
              <w:spacing w:after="0"/>
              <w:rPr>
                <w:sz w:val="24"/>
                <w:szCs w:val="24"/>
                <w:color w:val="auto"/>
              </w:rPr>
            </w:pPr>
          </w:p>
        </w:tc>
      </w:tr>
      <w:tr>
        <w:trPr>
          <w:trHeight w:val="174"/>
        </w:trPr>
        <w:tc>
          <w:tcPr>
            <w:tcW w:w="3140" w:type="dxa"/>
            <w:vAlign w:val="bottom"/>
          </w:tcPr>
          <w:p>
            <w:pPr>
              <w:spacing w:after="0"/>
              <w:rPr>
                <w:sz w:val="15"/>
                <w:szCs w:val="15"/>
                <w:color w:val="auto"/>
              </w:rPr>
            </w:pPr>
          </w:p>
        </w:tc>
        <w:tc>
          <w:tcPr>
            <w:tcW w:w="388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2240" w:type="dxa"/>
            <w:vAlign w:val="bottom"/>
          </w:tcPr>
          <w:p>
            <w:pPr>
              <w:spacing w:after="0"/>
              <w:rPr>
                <w:sz w:val="15"/>
                <w:szCs w:val="15"/>
                <w:color w:val="auto"/>
              </w:rPr>
            </w:pPr>
          </w:p>
        </w:tc>
      </w:tr>
      <w:tr>
        <w:trPr>
          <w:trHeight w:val="258"/>
        </w:trPr>
        <w:tc>
          <w:tcPr>
            <w:tcW w:w="3140" w:type="dxa"/>
            <w:vAlign w:val="bottom"/>
          </w:tcPr>
          <w:p>
            <w:pPr>
              <w:jc w:val="center"/>
              <w:ind w:left="1602"/>
              <w:spacing w:after="0"/>
              <w:rPr>
                <w:sz w:val="20"/>
                <w:szCs w:val="20"/>
                <w:color w:val="auto"/>
              </w:rPr>
            </w:pPr>
            <w:r>
              <w:rPr>
                <w:rFonts w:ascii="Arial" w:cs="Arial" w:eastAsia="Arial" w:hAnsi="Arial"/>
                <w:sz w:val="18"/>
                <w:szCs w:val="18"/>
                <w:b w:val="1"/>
                <w:bCs w:val="1"/>
                <w:color w:val="auto"/>
                <w:w w:val="88"/>
              </w:rPr>
              <w:t>Delaware</w:t>
            </w:r>
          </w:p>
        </w:tc>
        <w:tc>
          <w:tcPr>
            <w:tcW w:w="9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40" w:type="dxa"/>
            <w:vAlign w:val="bottom"/>
          </w:tcPr>
          <w:p>
            <w:pPr>
              <w:jc w:val="right"/>
              <w:ind w:right="542"/>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7020" w:type="dxa"/>
            <w:vAlign w:val="bottom"/>
            <w:gridSpan w:val="4"/>
          </w:tcPr>
          <w:p>
            <w:pPr>
              <w:jc w:val="center"/>
              <w:ind w:right="222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140" w:type="dxa"/>
            <w:vAlign w:val="bottom"/>
          </w:tcPr>
          <w:p>
            <w:pPr>
              <w:jc w:val="center"/>
              <w:ind w:left="1602"/>
              <w:spacing w:after="0"/>
              <w:rPr>
                <w:sz w:val="20"/>
                <w:szCs w:val="20"/>
                <w:color w:val="auto"/>
              </w:rPr>
            </w:pPr>
            <w:r>
              <w:rPr>
                <w:rFonts w:ascii="Arial" w:cs="Arial" w:eastAsia="Arial" w:hAnsi="Arial"/>
                <w:sz w:val="14"/>
                <w:szCs w:val="14"/>
                <w:b w:val="1"/>
                <w:bCs w:val="1"/>
                <w:color w:val="auto"/>
                <w:w w:val="90"/>
              </w:rPr>
              <w:t>or Organization)</w:t>
            </w:r>
          </w:p>
        </w:tc>
        <w:tc>
          <w:tcPr>
            <w:tcW w:w="9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2"/>
        </w:trPr>
        <w:tc>
          <w:tcPr>
            <w:tcW w:w="7020" w:type="dxa"/>
            <w:vAlign w:val="bottom"/>
            <w:gridSpan w:val="4"/>
          </w:tcPr>
          <w:p>
            <w:pPr>
              <w:jc w:val="center"/>
              <w:ind w:right="2220"/>
              <w:spacing w:after="0"/>
              <w:rPr>
                <w:sz w:val="20"/>
                <w:szCs w:val="20"/>
                <w:color w:val="auto"/>
              </w:rPr>
            </w:pPr>
            <w:r>
              <w:rPr>
                <w:rFonts w:ascii="Arial" w:cs="Arial" w:eastAsia="Arial" w:hAnsi="Arial"/>
                <w:sz w:val="18"/>
                <w:szCs w:val="18"/>
                <w:b w:val="1"/>
                <w:bCs w:val="1"/>
                <w:color w:val="auto"/>
                <w:w w:val="89"/>
              </w:rPr>
              <w:t>4350 La Jolla Village Drive, Suite 950, San Diego, CA</w:t>
            </w:r>
          </w:p>
        </w:tc>
        <w:tc>
          <w:tcPr>
            <w:tcW w:w="2240" w:type="dxa"/>
            <w:vAlign w:val="bottom"/>
          </w:tcPr>
          <w:p>
            <w:pPr>
              <w:jc w:val="right"/>
              <w:ind w:right="742"/>
              <w:spacing w:after="0"/>
              <w:rPr>
                <w:sz w:val="20"/>
                <w:szCs w:val="20"/>
                <w:color w:val="auto"/>
              </w:rPr>
            </w:pPr>
            <w:r>
              <w:rPr>
                <w:rFonts w:ascii="Arial" w:cs="Arial" w:eastAsia="Arial" w:hAnsi="Arial"/>
                <w:sz w:val="18"/>
                <w:szCs w:val="18"/>
                <w:b w:val="1"/>
                <w:bCs w:val="1"/>
                <w:color w:val="auto"/>
              </w:rPr>
              <w:t>92122</w:t>
            </w:r>
          </w:p>
        </w:tc>
      </w:tr>
      <w:tr>
        <w:trPr>
          <w:trHeight w:val="174"/>
        </w:trPr>
        <w:tc>
          <w:tcPr>
            <w:tcW w:w="7020" w:type="dxa"/>
            <w:vAlign w:val="bottom"/>
            <w:gridSpan w:val="4"/>
          </w:tcPr>
          <w:p>
            <w:pPr>
              <w:jc w:val="center"/>
              <w:ind w:right="22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4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(Zip Code)</w:t>
            </w:r>
          </w:p>
        </w:tc>
      </w:tr>
      <w:tr>
        <w:trPr>
          <w:trHeight w:val="258"/>
        </w:trPr>
        <w:tc>
          <w:tcPr>
            <w:tcW w:w="3140" w:type="dxa"/>
            <w:vAlign w:val="bottom"/>
          </w:tcPr>
          <w:p>
            <w:pPr>
              <w:spacing w:after="0"/>
              <w:rPr>
                <w:sz w:val="22"/>
                <w:szCs w:val="22"/>
                <w:color w:val="auto"/>
              </w:rPr>
            </w:pPr>
          </w:p>
        </w:tc>
        <w:tc>
          <w:tcPr>
            <w:tcW w:w="3300" w:type="dxa"/>
            <w:vAlign w:val="bottom"/>
            <w:gridSpan w:val="2"/>
          </w:tcPr>
          <w:p>
            <w:pPr>
              <w:jc w:val="center"/>
              <w:ind w:left="827"/>
              <w:spacing w:after="0"/>
              <w:rPr>
                <w:sz w:val="20"/>
                <w:szCs w:val="20"/>
                <w:color w:val="auto"/>
              </w:rPr>
            </w:pPr>
            <w:r>
              <w:rPr>
                <w:rFonts w:ascii="Arial" w:cs="Arial" w:eastAsia="Arial" w:hAnsi="Arial"/>
                <w:sz w:val="18"/>
                <w:szCs w:val="18"/>
                <w:b w:val="1"/>
                <w:bCs w:val="1"/>
                <w:color w:val="auto"/>
                <w:w w:val="89"/>
              </w:rPr>
              <w:t>(858) 373-1500</w:t>
            </w:r>
          </w:p>
        </w:tc>
        <w:tc>
          <w:tcPr>
            <w:tcW w:w="5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167"/>
        </w:trPr>
        <w:tc>
          <w:tcPr>
            <w:tcW w:w="3140" w:type="dxa"/>
            <w:vAlign w:val="bottom"/>
          </w:tcPr>
          <w:p>
            <w:pPr>
              <w:spacing w:after="0"/>
              <w:rPr>
                <w:sz w:val="14"/>
                <w:szCs w:val="14"/>
                <w:color w:val="auto"/>
              </w:rPr>
            </w:pPr>
          </w:p>
        </w:tc>
        <w:tc>
          <w:tcPr>
            <w:tcW w:w="388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40" w:type="dxa"/>
            <w:vAlign w:val="bottom"/>
          </w:tcPr>
          <w:p>
            <w:pPr>
              <w:spacing w:after="0"/>
              <w:rPr>
                <w:sz w:val="14"/>
                <w:szCs w:val="14"/>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tcPr>
          <w:p>
            <w:pPr>
              <w:spacing w:after="0"/>
              <w:rPr>
                <w:sz w:val="14"/>
                <w:szCs w:val="1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6820" w:type="dxa"/>
            <w:vAlign w:val="bottom"/>
            <w:gridSpan w:val="3"/>
          </w:tcPr>
          <w:p>
            <w:pPr>
              <w:jc w:val="center"/>
              <w:ind w:right="1932"/>
              <w:spacing w:after="0"/>
              <w:rPr>
                <w:sz w:val="20"/>
                <w:szCs w:val="20"/>
                <w:color w:val="auto"/>
              </w:rPr>
            </w:pPr>
            <w:r>
              <w:rPr>
                <w:rFonts w:ascii="Arial" w:cs="Arial" w:eastAsia="Arial" w:hAnsi="Arial"/>
                <w:sz w:val="18"/>
                <w:szCs w:val="18"/>
                <w:color w:val="auto"/>
                <w:w w:val="87"/>
              </w:rPr>
              <w:t>Common Stock, par value $0.001 per share</w:t>
            </w: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75"/>
        </w:trPr>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84"/>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87"/>
              </w:rPr>
              <w:t>Series A Participating Preferred Stock Purchase Rights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 No [X]</w:t>
            </w: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15(d) of the Act. Yes [  ]</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No</w:t>
            </w:r>
          </w:p>
        </w:tc>
        <w:tc>
          <w:tcPr>
            <w:tcW w:w="760" w:type="dxa"/>
            <w:vAlign w:val="bottom"/>
          </w:tcPr>
          <w:p>
            <w:pPr>
              <w:ind w:left="60"/>
              <w:spacing w:after="0"/>
              <w:rPr>
                <w:sz w:val="20"/>
                <w:szCs w:val="20"/>
                <w:color w:val="auto"/>
              </w:rPr>
            </w:pPr>
            <w:r>
              <w:rPr>
                <w:rFonts w:ascii="Arial" w:cs="Arial" w:eastAsia="Arial" w:hAnsi="Arial"/>
                <w:sz w:val="18"/>
                <w:szCs w:val="18"/>
                <w:color w:val="auto"/>
              </w:rPr>
              <w:t>[X]</w:t>
            </w:r>
          </w:p>
        </w:tc>
      </w:tr>
    </w:tbl>
    <w:p>
      <w:pPr>
        <w:spacing w:after="0" w:line="61"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6" w:lineRule="exact"/>
        <w:rPr>
          <w:sz w:val="24"/>
          <w:szCs w:val="24"/>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 ] Yes [ ] No</w:t>
      </w:r>
    </w:p>
    <w:p>
      <w:pPr>
        <w:spacing w:after="0" w:line="46"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240" w:firstLine="45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460"/>
        <w:spacing w:after="0"/>
        <w:tabs>
          <w:tab w:leader="none" w:pos="2340" w:val="left"/>
          <w:tab w:leader="none" w:pos="4020" w:val="left"/>
          <w:tab w:leader="none" w:pos="6020" w:val="left"/>
        </w:tabs>
        <w:rPr>
          <w:sz w:val="20"/>
          <w:szCs w:val="20"/>
          <w:color w:val="auto"/>
        </w:rPr>
      </w:pPr>
      <w:r>
        <w:rPr>
          <w:rFonts w:ascii="Arial" w:cs="Arial" w:eastAsia="Arial" w:hAnsi="Arial"/>
          <w:sz w:val="18"/>
          <w:szCs w:val="18"/>
          <w:color w:val="auto"/>
        </w:rPr>
        <w:t>Large accelerated filer [</w:t>
        <w:tab/>
        <w:t>] Accelerated filer  [</w:t>
        <w:tab/>
        <w:t>]  Non-accelerated filer [</w:t>
      </w:r>
      <w:r>
        <w:rPr>
          <w:sz w:val="20"/>
          <w:szCs w:val="20"/>
          <w:color w:val="auto"/>
        </w:rPr>
        <w:tab/>
      </w:r>
      <w:r>
        <w:rPr>
          <w:rFonts w:ascii="Arial" w:cs="Arial" w:eastAsia="Arial" w:hAnsi="Arial"/>
          <w:sz w:val="16"/>
          <w:szCs w:val="16"/>
          <w:color w:val="auto"/>
        </w:rPr>
        <w:t>] Smaller reporting company [X]</w:t>
      </w:r>
    </w:p>
    <w:p>
      <w:pPr>
        <w:spacing w:after="0" w:line="77" w:lineRule="exact"/>
        <w:rPr>
          <w:sz w:val="24"/>
          <w:szCs w:val="24"/>
          <w:color w:val="auto"/>
        </w:rPr>
      </w:pPr>
    </w:p>
    <w:p>
      <w:pPr>
        <w:ind w:left="460"/>
        <w:spacing w:after="0"/>
        <w:tabs>
          <w:tab w:leader="none" w:pos="10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 Yes [</w:t>
      </w:r>
      <w:r>
        <w:rPr>
          <w:sz w:val="20"/>
          <w:szCs w:val="20"/>
          <w:color w:val="auto"/>
        </w:rPr>
        <w:tab/>
      </w:r>
      <w:r>
        <w:rPr>
          <w:rFonts w:ascii="Arial" w:cs="Arial" w:eastAsia="Arial" w:hAnsi="Arial"/>
          <w:sz w:val="18"/>
          <w:szCs w:val="18"/>
          <w:color w:val="auto"/>
        </w:rPr>
        <w:t>] No [X]</w:t>
      </w:r>
    </w:p>
    <w:p>
      <w:pPr>
        <w:spacing w:after="0" w:line="77"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approximately $50,126,446 based on the closing price of the registrant’s common stock on the Nasdaq Global Market of $4.75 per share on June 30, 2010.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outstanding shares of the registrant’s common stock, par value $0.001 per share, as of March 30, 2011 was 15,247,104.</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2010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8"/>
          </w:tcPr>
          <w:p>
            <w:pPr>
              <w:jc w:val="center"/>
              <w:ind w:right="4140"/>
              <w:spacing w:after="0"/>
              <w:rPr>
                <w:sz w:val="20"/>
                <w:szCs w:val="20"/>
                <w:color w:val="auto"/>
              </w:rPr>
            </w:pPr>
            <w:r>
              <w:rPr>
                <w:rFonts w:ascii="Arial" w:cs="Arial" w:eastAsia="Arial" w:hAnsi="Arial"/>
                <w:sz w:val="18"/>
                <w:szCs w:val="18"/>
                <w:b w:val="1"/>
                <w:bCs w:val="1"/>
                <w:color w:val="auto"/>
              </w:rPr>
              <w:t>MEDICINOVA, INC.</w:t>
            </w:r>
          </w:p>
        </w:tc>
        <w:tc>
          <w:tcPr>
            <w:tcW w:w="360" w:type="dxa"/>
            <w:vAlign w:val="bottom"/>
          </w:tcPr>
          <w:p>
            <w:pPr>
              <w:spacing w:after="0"/>
              <w:rPr>
                <w:sz w:val="19"/>
                <w:szCs w:val="19"/>
                <w:color w:val="auto"/>
              </w:rPr>
            </w:pPr>
          </w:p>
        </w:tc>
      </w:tr>
      <w:tr>
        <w:trPr>
          <w:trHeight w:val="284"/>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80" w:type="dxa"/>
            <w:vAlign w:val="bottom"/>
            <w:gridSpan w:val="9"/>
          </w:tcPr>
          <w:p>
            <w:pPr>
              <w:jc w:val="center"/>
              <w:ind w:right="3700"/>
              <w:spacing w:after="0"/>
              <w:rPr>
                <w:sz w:val="20"/>
                <w:szCs w:val="20"/>
                <w:color w:val="auto"/>
              </w:rPr>
            </w:pPr>
            <w:r>
              <w:rPr>
                <w:rFonts w:ascii="Arial" w:cs="Arial" w:eastAsia="Arial" w:hAnsi="Arial"/>
                <w:sz w:val="18"/>
                <w:szCs w:val="18"/>
                <w:b w:val="1"/>
                <w:bCs w:val="1"/>
                <w:color w:val="auto"/>
                <w:w w:val="97"/>
              </w:rPr>
              <w:t>FORM 10-K—ANNUAL REPORT</w:t>
            </w:r>
          </w:p>
        </w:tc>
        <w:tc>
          <w:tcPr>
            <w:tcW w:w="36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2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88"/>
              </w:rPr>
              <w:t>For the Fiscal Year Ended December 31, 2010</w:t>
            </w:r>
          </w:p>
        </w:tc>
        <w:tc>
          <w:tcPr>
            <w:tcW w:w="36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86"/>
              </w:rPr>
              <w:t>Table of Contents</w:t>
            </w:r>
          </w:p>
        </w:tc>
        <w:tc>
          <w:tcPr>
            <w:tcW w:w="360" w:type="dxa"/>
            <w:vAlign w:val="bottom"/>
          </w:tcPr>
          <w:p>
            <w:pPr>
              <w:spacing w:after="0"/>
              <w:rPr>
                <w:sz w:val="24"/>
                <w:szCs w:val="24"/>
                <w:color w:val="auto"/>
              </w:rPr>
            </w:pPr>
          </w:p>
        </w:tc>
      </w:tr>
      <w:tr>
        <w:trPr>
          <w:trHeight w:val="365"/>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03"/>
        </w:trPr>
        <w:tc>
          <w:tcPr>
            <w:tcW w:w="13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9620" w:type="dxa"/>
            <w:vAlign w:val="bottom"/>
            <w:gridSpan w:val="2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62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62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Unresolved Staff Comments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17"/>
                <w:szCs w:val="17"/>
                <w:color w:val="auto"/>
              </w:rPr>
            </w:pPr>
          </w:p>
        </w:tc>
        <w:tc>
          <w:tcPr>
            <w:tcW w:w="76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62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Reserved</w:t>
              </w:r>
            </w:hyperlink>
          </w:p>
        </w:tc>
        <w:tc>
          <w:tcPr>
            <w:tcW w:w="832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9620" w:type="dxa"/>
            <w:vAlign w:val="bottom"/>
            <w:gridSpan w:val="21"/>
          </w:tcPr>
          <w:p>
            <w:pPr>
              <w:spacing w:after="0" w:line="184" w:lineRule="exact"/>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58</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62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3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Financial Statements and Supplementary Data</w:t>
              </w:r>
            </w:hyperlink>
          </w:p>
        </w:tc>
        <w:tc>
          <w:tcPr>
            <w:tcW w:w="636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9A(T)</w:t>
            </w: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Controls and Procedures</w:t>
              </w:r>
            </w:hyperlink>
          </w:p>
        </w:tc>
        <w:tc>
          <w:tcPr>
            <w:tcW w:w="78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620" w:type="dxa"/>
            <w:vAlign w:val="bottom"/>
            <w:gridSpan w:val="2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line="184"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Directors, Executive Officers and Corporate Governance</w:t>
              </w:r>
            </w:hyperlink>
          </w:p>
        </w:tc>
        <w:tc>
          <w:tcPr>
            <w:tcW w:w="5620" w:type="dxa"/>
            <w:vAlign w:val="bottom"/>
            <w:gridSpan w:val="7"/>
          </w:tcPr>
          <w:p>
            <w:pPr>
              <w:spacing w:after="0"/>
              <w:rPr>
                <w:sz w:val="15"/>
                <w:szCs w:val="15"/>
                <w:color w:val="auto"/>
              </w:rPr>
            </w:pPr>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124</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620" w:type="dxa"/>
            <w:vAlign w:val="bottom"/>
            <w:gridSpan w:val="2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Security Ownership of Certain Beneficial Owners and Management and Related Stockholder Matters</w:t>
              </w:r>
            </w:hyperlink>
          </w:p>
        </w:tc>
        <w:tc>
          <w:tcPr>
            <w:tcW w:w="25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9620" w:type="dxa"/>
            <w:vAlign w:val="bottom"/>
            <w:gridSpan w:val="2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Certain Relationships and Related Transactions, and Director Independence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Principal Accounting Fees and Services</w:t>
              </w:r>
            </w:hyperlink>
          </w:p>
        </w:tc>
        <w:tc>
          <w:tcPr>
            <w:tcW w:w="43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620" w:type="dxa"/>
            <w:vAlign w:val="bottom"/>
            <w:gridSpan w:val="21"/>
          </w:tcPr>
          <w:p>
            <w:pPr>
              <w:spacing w:after="0" w:line="184" w:lineRule="exact"/>
              <w:rPr>
                <w:rFonts w:ascii="Arial" w:cs="Arial" w:eastAsia="Arial" w:hAnsi="Arial"/>
                <w:sz w:val="18"/>
                <w:szCs w:val="18"/>
                <w:color w:val="0000EE"/>
              </w:rPr>
            </w:pPr>
            <w:hyperlink w:anchor="page128">
              <w:r>
                <w:rPr>
                  <w:rFonts w:ascii="Arial" w:cs="Arial" w:eastAsia="Arial" w:hAnsi="Arial"/>
                  <w:sz w:val="18"/>
                  <w:szCs w:val="18"/>
                  <w:color w:val="0000EE"/>
                </w:rPr>
                <w:t>Exhibits, Financial Statement Schedules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126</w:t>
            </w:r>
          </w:p>
        </w:tc>
      </w:tr>
      <w:tr>
        <w:trPr>
          <w:trHeight w:val="304"/>
        </w:trPr>
        <w:tc>
          <w:tcPr>
            <w:tcW w:w="1340" w:type="dxa"/>
            <w:vAlign w:val="bottom"/>
            <w:gridSpan w:val="2"/>
          </w:tcPr>
          <w:p>
            <w:pPr>
              <w:spacing w:after="0"/>
              <w:rPr>
                <w:rFonts w:ascii="Arial" w:cs="Arial" w:eastAsia="Arial" w:hAnsi="Arial"/>
                <w:sz w:val="18"/>
                <w:szCs w:val="18"/>
                <w:b w:val="1"/>
                <w:bCs w:val="1"/>
                <w:color w:val="0000EE"/>
              </w:rPr>
            </w:pPr>
            <w:hyperlink w:anchor="page132">
              <w:r>
                <w:rPr>
                  <w:rFonts w:ascii="Arial" w:cs="Arial" w:eastAsia="Arial" w:hAnsi="Arial"/>
                  <w:sz w:val="18"/>
                  <w:szCs w:val="18"/>
                  <w:b w:val="1"/>
                  <w:bCs w:val="1"/>
                  <w:color w:val="0000EE"/>
                </w:rPr>
                <w:t>Signatures</w:t>
              </w:r>
            </w:hyperlink>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This Annual Report on Form 10-K includes forward-looking statements that involve a number of risks and uncertainties, many of which are beyond our control. Our actual results may differ from those anticipated or expressed in these forward-looking </w:t>
      </w:r>
      <w:r>
        <w:rPr>
          <w:rFonts w:ascii="Arial" w:cs="Arial" w:eastAsia="Arial" w:hAnsi="Arial"/>
          <w:sz w:val="16"/>
          <w:szCs w:val="16"/>
          <w:color w:val="auto"/>
        </w:rPr>
        <w:t>ô</w:t>
      </w:r>
      <w:r>
        <w:rPr>
          <w:rFonts w:ascii="Arial" w:cs="Arial" w:eastAsia="Arial" w:hAnsi="Arial"/>
          <w:sz w:val="16"/>
          <w:szCs w:val="16"/>
          <w:i w:val="1"/>
          <w:iCs w:val="1"/>
          <w:color w:val="auto"/>
        </w:rPr>
        <w:t xml:space="preserve">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and maintain relationships with one or more strategic partners and terms of any related transactions; intense competition if any of our product candidates are ever commercialized; our ability to realize the anticipated strategic and financial benefits of our acquisition of Avigen, Inc., or Avigen; our ability to integrate Avigen’s ibudilast development program with ours; the potential impact of uncertainties in the credit and capital markets or a future deterioration of these markets on our investment portfolio; and our ability to raise sufficient capital or debt financing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In December 2009 we acquired Avigen Inc., or Avigen, a biopharmaceutical company that focused on identifying and developing differentiated products to treat patients with serious disorders, whose potential product candidate was AV411, a macrophage migration inhibitory factor and a glial attenuator for central nervous system, or CNS, disorders, such as neuropathic pain, opioid withdrawal and methamphetamine addiction.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our ability to gain access to and acquire potentially high-value product candidates from Japanese and European pharmaceutical companies is largely attributable to the established relationships and broad industry experience of our management team. In particular, we believe our relationships with Japanese pharmaceutical companies and their executives provide us with a competitive advantage in opportunistically sourcing product candidates from Japanese pharmaceutical companies at attractive terms. Since our inception, we have established relationships with a number of pharmaceutical companies, including Kissei Pharmaceutical Co., Ltd., or Kissei Pharmaceutical, Kyorin Pharmaceutical Co., Ltd., or Kyorin Pharmaceutical, Mitsubishi Tanabe Pharma Corporation and Meiji Seika Kaisha, Ltd., or Meiji Seika Kaisha, in Japan and Angiogene Pharmaceuticals, Ltd., or Angiogene Pharmaceuticals, in the United Kingdom, pursuant to which we have obtained rights to develop and commercialize our current product candidates.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our inception, we have acquired licenses to eight compounds for the development of ten product candidates in what we believe are large and underserved markets. Our development pipeline consists of eight product development programs which have been in clinical development for the treatment of asthma, acute exacerbations of asthma, diabetic neuropathic pain, opioid addiction, multiple sclerosis, or MS, other CNS disorders, interstitial cystitis, or IC, solid tumor cancers, Generalized Anxiety Disorder/insomnia, preterm labor and urinary incontinence. Our two earlier stage product development programs have been in preclinical development for the treatment of thrombotic disorders. In addition, we have expanded the development program for one of our prioritized product candidates, MN-221, to evaluate MN-221 for the treatment of Chronic Obstructive Pulmonary Disease, or COPD, exacerbations.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49"/>
        </w:trPr>
        <w:tc>
          <w:tcPr>
            <w:tcW w:w="18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300" w:type="dxa"/>
            <w:vAlign w:val="bottom"/>
          </w:tcPr>
          <w:p>
            <w:pPr>
              <w:spacing w:after="0"/>
              <w:rPr>
                <w:sz w:val="21"/>
                <w:szCs w:val="21"/>
                <w:color w:val="auto"/>
              </w:rPr>
            </w:pPr>
          </w:p>
        </w:tc>
        <w:tc>
          <w:tcPr>
            <w:tcW w:w="28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Disease/Indication</w:t>
            </w:r>
          </w:p>
        </w:tc>
        <w:tc>
          <w:tcPr>
            <w:tcW w:w="120" w:type="dxa"/>
            <w:vAlign w:val="bottom"/>
          </w:tcPr>
          <w:p>
            <w:pPr>
              <w:spacing w:after="0"/>
              <w:rPr>
                <w:sz w:val="21"/>
                <w:szCs w:val="21"/>
                <w:color w:val="auto"/>
              </w:rPr>
            </w:pPr>
          </w:p>
        </w:tc>
        <w:tc>
          <w:tcPr>
            <w:tcW w:w="27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Phase of Development</w:t>
            </w:r>
          </w:p>
        </w:tc>
        <w:tc>
          <w:tcPr>
            <w:tcW w:w="120" w:type="dxa"/>
            <w:vAlign w:val="bottom"/>
          </w:tcPr>
          <w:p>
            <w:pPr>
              <w:spacing w:after="0"/>
              <w:rPr>
                <w:sz w:val="21"/>
                <w:szCs w:val="21"/>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Licensor</w:t>
            </w:r>
          </w:p>
        </w:tc>
        <w:tc>
          <w:tcPr>
            <w:tcW w:w="120" w:type="dxa"/>
            <w:vAlign w:val="bottom"/>
          </w:tcPr>
          <w:p>
            <w:pPr>
              <w:spacing w:after="0"/>
              <w:rPr>
                <w:sz w:val="21"/>
                <w:szCs w:val="21"/>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Licensed Territory</w:t>
            </w:r>
          </w:p>
        </w:tc>
      </w:tr>
      <w:tr>
        <w:trPr>
          <w:trHeight w:val="196"/>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MN-221</w:t>
            </w:r>
          </w:p>
        </w:tc>
        <w:tc>
          <w:tcPr>
            <w:tcW w:w="300" w:type="dxa"/>
            <w:vAlign w:val="bottom"/>
          </w:tcPr>
          <w:p>
            <w:pPr>
              <w:spacing w:after="0"/>
              <w:rPr>
                <w:sz w:val="17"/>
                <w:szCs w:val="17"/>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Acute exacerbations of asthma and</w:t>
            </w:r>
          </w:p>
        </w:tc>
        <w:tc>
          <w:tcPr>
            <w:tcW w:w="120" w:type="dxa"/>
            <w:vAlign w:val="bottom"/>
          </w:tcPr>
          <w:p>
            <w:pPr>
              <w:spacing w:after="0"/>
              <w:rPr>
                <w:sz w:val="17"/>
                <w:szCs w:val="17"/>
                <w:color w:val="auto"/>
              </w:rPr>
            </w:pPr>
          </w:p>
        </w:tc>
        <w:tc>
          <w:tcPr>
            <w:tcW w:w="2740" w:type="dxa"/>
            <w:vAlign w:val="bottom"/>
          </w:tcPr>
          <w:p>
            <w:pPr>
              <w:spacing w:after="0" w:line="195" w:lineRule="exact"/>
              <w:rPr>
                <w:sz w:val="20"/>
                <w:szCs w:val="20"/>
                <w:color w:val="auto"/>
              </w:rPr>
            </w:pPr>
            <w:r>
              <w:rPr>
                <w:rFonts w:ascii="Arial" w:cs="Arial" w:eastAsia="Arial" w:hAnsi="Arial"/>
                <w:sz w:val="18"/>
                <w:szCs w:val="18"/>
                <w:color w:val="auto"/>
                <w:w w:val="99"/>
              </w:rPr>
              <w:t>Phase II clinical trial in emergency</w:t>
            </w:r>
          </w:p>
        </w:tc>
        <w:tc>
          <w:tcPr>
            <w:tcW w:w="120" w:type="dxa"/>
            <w:vAlign w:val="bottom"/>
          </w:tcPr>
          <w:p>
            <w:pPr>
              <w:spacing w:after="0"/>
              <w:rPr>
                <w:sz w:val="17"/>
                <w:szCs w:val="17"/>
                <w:color w:val="auto"/>
              </w:rPr>
            </w:pPr>
          </w:p>
        </w:tc>
        <w:tc>
          <w:tcPr>
            <w:tcW w:w="1460" w:type="dxa"/>
            <w:vAlign w:val="bottom"/>
          </w:tcPr>
          <w:p>
            <w:pPr>
              <w:spacing w:after="0" w:line="195" w:lineRule="exact"/>
              <w:rPr>
                <w:sz w:val="20"/>
                <w:szCs w:val="20"/>
                <w:color w:val="auto"/>
              </w:rPr>
            </w:pPr>
            <w:r>
              <w:rPr>
                <w:rFonts w:ascii="Arial" w:cs="Arial" w:eastAsia="Arial" w:hAnsi="Arial"/>
                <w:sz w:val="18"/>
                <w:szCs w:val="18"/>
                <w:color w:val="auto"/>
              </w:rPr>
              <w:t>Kissei</w:t>
            </w:r>
          </w:p>
        </w:tc>
        <w:tc>
          <w:tcPr>
            <w:tcW w:w="120" w:type="dxa"/>
            <w:vAlign w:val="bottom"/>
          </w:tcPr>
          <w:p>
            <w:pPr>
              <w:spacing w:after="0"/>
              <w:rPr>
                <w:sz w:val="17"/>
                <w:szCs w:val="17"/>
                <w:color w:val="auto"/>
              </w:rPr>
            </w:pPr>
          </w:p>
        </w:tc>
        <w:tc>
          <w:tcPr>
            <w:tcW w:w="2720" w:type="dxa"/>
            <w:vAlign w:val="bottom"/>
          </w:tcPr>
          <w:p>
            <w:pPr>
              <w:spacing w:after="0" w:line="195" w:lineRule="exact"/>
              <w:rPr>
                <w:sz w:val="20"/>
                <w:szCs w:val="20"/>
                <w:color w:val="auto"/>
              </w:rPr>
            </w:pPr>
            <w:r>
              <w:rPr>
                <w:rFonts w:ascii="Arial" w:cs="Arial" w:eastAsia="Arial" w:hAnsi="Arial"/>
                <w:sz w:val="18"/>
                <w:szCs w:val="18"/>
                <w:color w:val="auto"/>
              </w:rPr>
              <w:t>Worldwide, except Japan*</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COPD exacerbations</w:t>
            </w: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rooms at planned escalating doses in</w:t>
            </w: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Pharmaceutical</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patients with severe, acute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9"/>
              </w:rPr>
              <w:t>exacerbations of asthma completed in</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Q2, 2009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77"/>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Phase II clinical trial in emergency</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rooms to evaluate safety and efficacy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 patients with severe, acute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6"/>
              </w:rPr>
              <w:t>exacerbations of asthma initiated in</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8"/>
              </w:rPr>
              <w:t>Q1, 2009 and ongoing; expected to be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2"/>
              </w:rPr>
              <w:t>completed in the second half of 2011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77"/>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4"/>
              </w:rPr>
              <w:t>Phase Ib clinical trial to evaluate the</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safety and efficacy in patients with</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stable, moderate to severe COPD</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completed in Q1, 2010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78"/>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spacing w:after="0"/>
        <w:tabs>
          <w:tab w:leader="none" w:pos="1020" w:val="left"/>
          <w:tab w:leader="none" w:pos="4240" w:val="left"/>
        </w:tabs>
        <w:rPr>
          <w:sz w:val="20"/>
          <w:szCs w:val="20"/>
          <w:color w:val="auto"/>
        </w:rPr>
      </w:pPr>
      <w:r>
        <w:rPr>
          <w:rFonts w:ascii="Arial" w:cs="Arial" w:eastAsia="Arial" w:hAnsi="Arial"/>
          <w:sz w:val="18"/>
          <w:szCs w:val="18"/>
          <w:color w:val="auto"/>
        </w:rPr>
        <w:t>MN-166/</w:t>
      </w:r>
      <w:r>
        <w:rPr>
          <w:sz w:val="20"/>
          <w:szCs w:val="20"/>
          <w:color w:val="auto"/>
        </w:rPr>
        <w:tab/>
      </w:r>
      <w:r>
        <w:rPr>
          <w:rFonts w:ascii="Arial" w:cs="Arial" w:eastAsia="Arial" w:hAnsi="Arial"/>
          <w:sz w:val="18"/>
          <w:szCs w:val="18"/>
          <w:color w:val="auto"/>
        </w:rPr>
        <w:t>CNS disorders***</w:t>
      </w:r>
      <w:r>
        <w:rPr>
          <w:sz w:val="20"/>
          <w:szCs w:val="20"/>
          <w:color w:val="auto"/>
        </w:rPr>
        <w:tab/>
      </w:r>
      <w:r>
        <w:rPr>
          <w:rFonts w:ascii="Arial" w:cs="Arial" w:eastAsia="Arial" w:hAnsi="Arial"/>
          <w:sz w:val="16"/>
          <w:szCs w:val="16"/>
          <w:color w:val="auto"/>
        </w:rPr>
        <w:t>Phase II clinical trial completed in Q2,</w:t>
      </w:r>
    </w:p>
    <w:p>
      <w:pPr>
        <w:spacing w:after="0" w:line="15"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auto"/>
        </w:rPr>
        <w:t>AV411**</w:t>
      </w:r>
      <w:r>
        <w:rPr>
          <w:sz w:val="20"/>
          <w:szCs w:val="20"/>
          <w:color w:val="auto"/>
        </w:rPr>
        <w:tab/>
      </w:r>
      <w:r>
        <w:rPr>
          <w:rFonts w:ascii="Arial" w:cs="Arial" w:eastAsia="Arial" w:hAnsi="Arial"/>
          <w:sz w:val="18"/>
          <w:szCs w:val="18"/>
          <w:color w:val="auto"/>
        </w:rPr>
        <w:t>2008.</w:t>
      </w:r>
    </w:p>
    <w:p>
      <w:pPr>
        <w:spacing w:after="0" w:line="7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Prototype once-per-day oral</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formulation developed for future</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clinical trials</w:t>
      </w:r>
    </w:p>
    <w:p>
      <w:pPr>
        <w:spacing w:after="0" w:line="70"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Phase Ib/IIa clinical trial in diabetic</w:t>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neuropathic pain completed in Q4,</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2007</w:t>
      </w:r>
    </w:p>
    <w:p>
      <w:pPr>
        <w:spacing w:after="0" w:line="70"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Phase Ib National Institute on Drug</w:t>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Abuse, or NIDA, funded- clinical trial</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in methamphetamine-dependent</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volunteers initiated in Q4, 2010</w:t>
      </w:r>
    </w:p>
    <w:p>
      <w:pPr>
        <w:spacing w:after="0" w:line="7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Phase Ib/IIa NIDA-funded clinical</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trial to evaluate safety and efficacy in</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heroin-dependent volunteers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completed in Q4,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Kyorin</w:t>
      </w:r>
      <w:r>
        <w:rPr>
          <w:sz w:val="20"/>
          <w:szCs w:val="20"/>
          <w:color w:val="auto"/>
        </w:rPr>
        <w:tab/>
      </w:r>
      <w:r>
        <w:rPr>
          <w:rFonts w:ascii="Arial" w:cs="Arial" w:eastAsia="Arial" w:hAnsi="Arial"/>
          <w:sz w:val="16"/>
          <w:szCs w:val="16"/>
          <w:color w:val="auto"/>
        </w:rPr>
        <w:t>Worldwide, except Japan, China,</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Pharmaceutical</w:t>
      </w:r>
      <w:r>
        <w:rPr>
          <w:sz w:val="20"/>
          <w:szCs w:val="20"/>
          <w:color w:val="auto"/>
        </w:rPr>
        <w:tab/>
      </w:r>
      <w:r>
        <w:rPr>
          <w:rFonts w:ascii="Arial" w:cs="Arial" w:eastAsia="Arial" w:hAnsi="Arial"/>
          <w:sz w:val="16"/>
          <w:szCs w:val="16"/>
          <w:color w:val="auto"/>
        </w:rPr>
        <w:t>Taiwan and South Korea (MN-166)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(MN-166)</w:t>
      </w:r>
    </w:p>
    <w:p>
      <w:pPr>
        <w:spacing w:after="0" w:line="3244" w:lineRule="exact"/>
        <w:rPr>
          <w:sz w:val="20"/>
          <w:szCs w:val="20"/>
          <w:color w:val="auto"/>
        </w:rPr>
      </w:pPr>
    </w:p>
    <w:p>
      <w:pPr>
        <w:sectPr>
          <w:pgSz w:w="11900" w:h="16838" w:orient="portrait"/>
          <w:cols w:equalWidth="0" w:num="2">
            <w:col w:w="6980" w:space="140"/>
            <w:col w:w="4300"/>
          </w:cols>
          <w:pgMar w:left="240" w:top="459" w:right="239" w:bottom="1440" w:gutter="0" w:footer="0" w:header="0"/>
          <w:type w:val="continuous"/>
        </w:sectPr>
      </w:pPr>
    </w:p>
    <w:p>
      <w:pPr>
        <w:ind w:left="460" w:right="20" w:hanging="452"/>
        <w:spacing w:after="0" w:line="28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our license agreement with Kissei Pharmaceutical, Kissei Pharmaceutical has the right to co-promote licensed products in our territory on terms to be agreed upon by the parties. On March 3, 2011, we executed a joint venture agreement with Zhejiang Medicine Co., Ltd. and Beijing Make-Friend Medicine Technology Co., Ltd., which provides for the establishment of a joint venture company to develop and commercialize MN-221 in China.</w:t>
      </w:r>
    </w:p>
    <w:p>
      <w:pPr>
        <w:spacing w:after="0" w:line="1" w:lineRule="exact"/>
        <w:rPr>
          <w:sz w:val="20"/>
          <w:szCs w:val="20"/>
          <w:color w:val="auto"/>
        </w:rPr>
      </w:pPr>
    </w:p>
    <w:p>
      <w:pPr>
        <w:jc w:val="both"/>
        <w:ind w:left="460" w:hanging="452"/>
        <w:spacing w:after="0" w:line="30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MN-166 and AV411 are both ibudilast, an orally available, small molecule therapeutic. With the acquisition of AV411, we are integrating the two ibudilast-based product development programs and pursuing discussions with potential partners to secure a strategic collaboration to advance clinical development of the combined development programs. Our rights to MN-166 licensed from Kyorin Pharmaceutical exclude ophthalmic solution formulations.</w:t>
      </w:r>
    </w:p>
    <w:p>
      <w:pPr>
        <w:spacing w:after="0" w:line="9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AV411 has advanced through multiple Phase I and IIa clinical trials in healthy volunteers and patients with neuropathic pain.</w:t>
      </w:r>
    </w:p>
    <w:p>
      <w:pPr>
        <w:spacing w:after="0" w:line="157"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CNS disorders encompass MS, neuropathic pain, opioid addiction and withdrawal and methamphetamine addiction.</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Upon completion of proof-of-concept Phase II clinical trials, we intend to enter into strategic alliances with leading pharmaceutical or biotech companies to support further clinical development, and plan to keep certain commercialization rights in select markets. In addition, we continue to limit development activities for the balance of our existing product candidates in order to focus on our prioritized programs. For each of these remaining product candidates, we plan to conduct development activities only to the extent deemed necessary to maintain our license rights or maximize its value while pursuing a variety of initiatives to monetize such product candidate on appropriate terms. We cannot assure you that we will be successful in monetizing these product candidates on attractive terms, or at all. See </w:t>
      </w:r>
      <w:r>
        <w:rPr>
          <w:rFonts w:ascii="Arial" w:cs="Arial" w:eastAsia="Arial" w:hAnsi="Arial"/>
          <w:sz w:val="18"/>
          <w:szCs w:val="18"/>
          <w:i w:val="1"/>
          <w:iCs w:val="1"/>
          <w:color w:val="auto"/>
        </w:rPr>
        <w:t>“Risk Factors.”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Pr>
          <w:p>
            <w:pPr>
              <w:spacing w:after="0"/>
              <w:rPr>
                <w:sz w:val="19"/>
                <w:szCs w:val="19"/>
                <w:color w:val="auto"/>
              </w:rPr>
            </w:pPr>
          </w:p>
        </w:tc>
        <w:tc>
          <w:tcPr>
            <w:tcW w:w="6820" w:type="dxa"/>
            <w:vAlign w:val="bottom"/>
            <w:gridSpan w:val="6"/>
          </w:tcPr>
          <w:p>
            <w:pPr>
              <w:ind w:left="340"/>
              <w:spacing w:after="0"/>
              <w:rPr>
                <w:sz w:val="20"/>
                <w:szCs w:val="20"/>
                <w:color w:val="auto"/>
              </w:rPr>
            </w:pPr>
            <w:r>
              <w:rPr>
                <w:rFonts w:ascii="Arial" w:cs="Arial" w:eastAsia="Arial" w:hAnsi="Arial"/>
                <w:sz w:val="18"/>
                <w:szCs w:val="18"/>
                <w:color w:val="auto"/>
              </w:rPr>
              <w:t>Our remaining eight product development programs consist of:</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52"/>
        </w:trPr>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w w:val="88"/>
              </w:rPr>
              <w:t>Disease/Indication</w:t>
            </w: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b w:val="1"/>
                <w:bCs w:val="1"/>
                <w:color w:val="auto"/>
                <w:w w:val="85"/>
              </w:rPr>
              <w:t>Phase of Development</w:t>
            </w:r>
          </w:p>
        </w:tc>
        <w:tc>
          <w:tcPr>
            <w:tcW w:w="110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b w:val="1"/>
                <w:bCs w:val="1"/>
                <w:color w:val="auto"/>
              </w:rPr>
              <w:t>Licensor</w:t>
            </w: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r>
      <w:tr>
        <w:trPr>
          <w:trHeight w:val="27"/>
        </w:trPr>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920" w:type="dxa"/>
            <w:vAlign w:val="bottom"/>
            <w:gridSpan w:val="2"/>
          </w:tcPr>
          <w:p>
            <w:pPr>
              <w:spacing w:after="0"/>
              <w:rPr>
                <w:sz w:val="20"/>
                <w:szCs w:val="20"/>
                <w:color w:val="auto"/>
              </w:rPr>
            </w:pPr>
            <w:r>
              <w:rPr>
                <w:rFonts w:ascii="Arial" w:cs="Arial" w:eastAsia="Arial" w:hAnsi="Arial"/>
                <w:sz w:val="18"/>
                <w:szCs w:val="18"/>
                <w:color w:val="auto"/>
              </w:rPr>
              <w:t>MN-001*</w:t>
            </w:r>
          </w:p>
        </w:tc>
        <w:tc>
          <w:tcPr>
            <w:tcW w:w="240" w:type="dxa"/>
            <w:vAlign w:val="bottom"/>
          </w:tcPr>
          <w:p>
            <w:pPr>
              <w:spacing w:after="0"/>
              <w:rPr>
                <w:sz w:val="23"/>
                <w:szCs w:val="23"/>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Bronchial asthma</w:t>
            </w:r>
          </w:p>
        </w:tc>
        <w:tc>
          <w:tcPr>
            <w:tcW w:w="1580" w:type="dxa"/>
            <w:vAlign w:val="bottom"/>
          </w:tcPr>
          <w:p>
            <w:pPr>
              <w:spacing w:after="0"/>
              <w:rPr>
                <w:sz w:val="23"/>
                <w:szCs w:val="23"/>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7"/>
              </w:rPr>
              <w:t>Phase III clinical trial initiated in Q4,</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Kyorin</w:t>
            </w:r>
          </w:p>
        </w:tc>
        <w:tc>
          <w:tcPr>
            <w:tcW w:w="2580" w:type="dxa"/>
            <w:vAlign w:val="bottom"/>
            <w:gridSpan w:val="2"/>
          </w:tcPr>
          <w:p>
            <w:pPr>
              <w:spacing w:after="0"/>
              <w:rPr>
                <w:sz w:val="20"/>
                <w:szCs w:val="20"/>
                <w:color w:val="auto"/>
              </w:rPr>
            </w:pPr>
            <w:r>
              <w:rPr>
                <w:rFonts w:ascii="Arial" w:cs="Arial" w:eastAsia="Arial" w:hAnsi="Arial"/>
                <w:sz w:val="18"/>
                <w:szCs w:val="18"/>
                <w:color w:val="auto"/>
                <w:w w:val="97"/>
              </w:rPr>
              <w:t>Worldwide, except Japan, China,</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2006 and terminated in Q2, 2007;</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2"/>
              </w:rPr>
              <w:t>Once-per-day oral dosing formulation</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prototypes developed</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MN-001</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Interstitial cystitis</w:t>
            </w:r>
          </w:p>
        </w:tc>
        <w:tc>
          <w:tcPr>
            <w:tcW w:w="2780" w:type="dxa"/>
            <w:vAlign w:val="bottom"/>
            <w:gridSpan w:val="2"/>
          </w:tcPr>
          <w:p>
            <w:pPr>
              <w:spacing w:after="0"/>
              <w:rPr>
                <w:sz w:val="20"/>
                <w:szCs w:val="20"/>
                <w:color w:val="auto"/>
              </w:rPr>
            </w:pPr>
            <w:r>
              <w:rPr>
                <w:rFonts w:ascii="Arial" w:cs="Arial" w:eastAsia="Arial" w:hAnsi="Arial"/>
                <w:sz w:val="18"/>
                <w:szCs w:val="18"/>
                <w:color w:val="auto"/>
                <w:w w:val="91"/>
              </w:rPr>
              <w:t>Phase II clinical trial completed in Q1,</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Kyorin</w:t>
            </w:r>
          </w:p>
        </w:tc>
        <w:tc>
          <w:tcPr>
            <w:tcW w:w="2580" w:type="dxa"/>
            <w:vAlign w:val="bottom"/>
            <w:gridSpan w:val="2"/>
          </w:tcPr>
          <w:p>
            <w:pPr>
              <w:spacing w:after="0"/>
              <w:rPr>
                <w:sz w:val="20"/>
                <w:szCs w:val="20"/>
                <w:color w:val="auto"/>
              </w:rPr>
            </w:pPr>
            <w:r>
              <w:rPr>
                <w:rFonts w:ascii="Arial" w:cs="Arial" w:eastAsia="Arial" w:hAnsi="Arial"/>
                <w:sz w:val="18"/>
                <w:szCs w:val="18"/>
                <w:color w:val="auto"/>
                <w:w w:val="97"/>
              </w:rPr>
              <w:t>Worldwide, except Japan, China,</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2007†</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291"/>
        </w:trPr>
        <w:tc>
          <w:tcPr>
            <w:tcW w:w="920" w:type="dxa"/>
            <w:vAlign w:val="bottom"/>
            <w:gridSpan w:val="2"/>
          </w:tcPr>
          <w:p>
            <w:pPr>
              <w:spacing w:after="0"/>
              <w:rPr>
                <w:sz w:val="20"/>
                <w:szCs w:val="20"/>
                <w:color w:val="auto"/>
              </w:rPr>
            </w:pPr>
            <w:r>
              <w:rPr>
                <w:rFonts w:ascii="Arial" w:cs="Arial" w:eastAsia="Arial" w:hAnsi="Arial"/>
                <w:sz w:val="18"/>
                <w:szCs w:val="18"/>
                <w:color w:val="auto"/>
              </w:rPr>
              <w:t>MN-029</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Solid tumors</w:t>
            </w:r>
          </w:p>
        </w:tc>
        <w:tc>
          <w:tcPr>
            <w:tcW w:w="2780" w:type="dxa"/>
            <w:vAlign w:val="bottom"/>
            <w:gridSpan w:val="2"/>
          </w:tcPr>
          <w:p>
            <w:pPr>
              <w:spacing w:after="0"/>
              <w:rPr>
                <w:sz w:val="20"/>
                <w:szCs w:val="20"/>
                <w:color w:val="auto"/>
              </w:rPr>
            </w:pPr>
            <w:r>
              <w:rPr>
                <w:rFonts w:ascii="Arial" w:cs="Arial" w:eastAsia="Arial" w:hAnsi="Arial"/>
                <w:sz w:val="18"/>
                <w:szCs w:val="18"/>
                <w:color w:val="auto"/>
                <w:w w:val="93"/>
              </w:rPr>
              <w:t>Phase I clinical trial completed in Q2,</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Angiogene</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2006; Second Phase I clinical trial</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Pharmaceuticals</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completed in Q4, 2007</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MN-305</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w w:val="93"/>
              </w:rPr>
              <w:t>Generalized Anxiety Disorder/ Insomnia</w:t>
            </w:r>
          </w:p>
        </w:tc>
        <w:tc>
          <w:tcPr>
            <w:tcW w:w="2780" w:type="dxa"/>
            <w:vAlign w:val="bottom"/>
            <w:gridSpan w:val="2"/>
          </w:tcPr>
          <w:p>
            <w:pPr>
              <w:spacing w:after="0"/>
              <w:rPr>
                <w:sz w:val="20"/>
                <w:szCs w:val="20"/>
                <w:color w:val="auto"/>
              </w:rPr>
            </w:pPr>
            <w:r>
              <w:rPr>
                <w:rFonts w:ascii="Arial" w:cs="Arial" w:eastAsia="Arial" w:hAnsi="Arial"/>
                <w:sz w:val="18"/>
                <w:szCs w:val="18"/>
                <w:color w:val="auto"/>
              </w:rPr>
              <w:t>Phase II clinical trial completed in</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Mitsubishi Tanabe</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6"/>
              </w:rPr>
              <w:t>Generalized Anxiety Disorder in Q2,</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Pharma Corporation</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2006†; Phase II clinical trial in</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insomnia completed in Q4, 2007††</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MN-221</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Preterm labor</w:t>
            </w:r>
          </w:p>
        </w:tc>
        <w:tc>
          <w:tcPr>
            <w:tcW w:w="2780" w:type="dxa"/>
            <w:vAlign w:val="bottom"/>
            <w:gridSpan w:val="2"/>
          </w:tcPr>
          <w:p>
            <w:pPr>
              <w:spacing w:after="0"/>
              <w:rPr>
                <w:sz w:val="20"/>
                <w:szCs w:val="20"/>
                <w:color w:val="auto"/>
              </w:rPr>
            </w:pPr>
            <w:r>
              <w:rPr>
                <w:rFonts w:ascii="Arial" w:cs="Arial" w:eastAsia="Arial" w:hAnsi="Arial"/>
                <w:sz w:val="18"/>
                <w:szCs w:val="18"/>
                <w:color w:val="auto"/>
                <w:w w:val="93"/>
              </w:rPr>
              <w:t>Phase I clinical trial completed in Q2,</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w w:val="94"/>
              </w:rPr>
              <w:t>Kissei 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 except Japan</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2007</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MN-246</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Urinary incontinence</w:t>
            </w:r>
          </w:p>
        </w:tc>
        <w:tc>
          <w:tcPr>
            <w:tcW w:w="2780" w:type="dxa"/>
            <w:vAlign w:val="bottom"/>
            <w:gridSpan w:val="2"/>
          </w:tcPr>
          <w:p>
            <w:pPr>
              <w:spacing w:after="0"/>
              <w:rPr>
                <w:sz w:val="20"/>
                <w:szCs w:val="20"/>
                <w:color w:val="auto"/>
              </w:rPr>
            </w:pPr>
            <w:r>
              <w:rPr>
                <w:rFonts w:ascii="Arial" w:cs="Arial" w:eastAsia="Arial" w:hAnsi="Arial"/>
                <w:sz w:val="18"/>
                <w:szCs w:val="18"/>
                <w:color w:val="auto"/>
                <w:w w:val="93"/>
              </w:rPr>
              <w:t>Phase I clinical trial completed in Q4,</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Mitsubishi Tanabe</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2006; Phase I food effects study</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Pharma Corporation</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completed in Q1, 2007</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MN-447</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Thrombotic disorders</w:t>
            </w:r>
          </w:p>
        </w:tc>
        <w:tc>
          <w:tcPr>
            <w:tcW w:w="278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Meiji Seika Kaisha</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MN-462</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Thrombotic disorders</w:t>
            </w:r>
          </w:p>
        </w:tc>
        <w:tc>
          <w:tcPr>
            <w:tcW w:w="278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Meiji Seika Kaisha</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rights to MN-001 licensed from Kyorin Pharmaceutical exclude ophthalmic solution formulations.</w:t>
      </w:r>
    </w:p>
    <w:p>
      <w:pPr>
        <w:spacing w:after="0" w:line="15" w:lineRule="exact"/>
        <w:rPr>
          <w:sz w:val="20"/>
          <w:szCs w:val="20"/>
          <w:color w:val="auto"/>
        </w:rPr>
      </w:pPr>
    </w:p>
    <w:p>
      <w:pPr>
        <w:ind w:left="460" w:right="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positive signs of efficacy were obtained in the clinical trials conducted on MN-001 in interstitial cystitis and MN-305 in Generalized Anxiety Disorder, the predefined primary statistical endpoints of the clinical trials were not achieved; therefore, we would not anticipate submitting either clinical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trial as a pivotal trial supporting a New Drug Application, or NDA, to the U.S. Food and Drug Administration, or the FDA.</w:t>
      </w:r>
    </w:p>
    <w:p>
      <w:pPr>
        <w:spacing w:after="0" w:line="9" w:lineRule="exact"/>
        <w:rPr>
          <w:sz w:val="20"/>
          <w:szCs w:val="20"/>
          <w:color w:val="auto"/>
        </w:rPr>
      </w:pPr>
    </w:p>
    <w:p>
      <w:pPr>
        <w:ind w:left="460" w:right="3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Phase II clinical trial conducted on MN-305 in insomnia, the predefined statistical endpoint of the clinical trial was not achieved; therefore, we terminated any further development of MN-305 for the treatment of insomnia.</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goal is to build a sustainable biopharmaceutical business through the successful development and commercialization of differentiated products for the treatment of diseases with unmet medical need in high-value therapeutic areas. Key elements of our strategy are as follows:</w:t>
      </w:r>
    </w:p>
    <w:p>
      <w:pPr>
        <w:spacing w:after="0" w:line="72" w:lineRule="exact"/>
        <w:rPr>
          <w:sz w:val="20"/>
          <w:szCs w:val="20"/>
          <w:color w:val="auto"/>
        </w:rPr>
      </w:pPr>
    </w:p>
    <w:p>
      <w:pPr>
        <w:ind w:left="780" w:right="20" w:hanging="326"/>
        <w:spacing w:after="0" w:line="298"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Concentrate our resources on our two prioritized product development programs, MN-221 and MN-166/AV411. </w:t>
      </w:r>
      <w:r>
        <w:rPr>
          <w:rFonts w:ascii="Arial" w:cs="Arial" w:eastAsia="Arial" w:hAnsi="Arial"/>
          <w:sz w:val="16"/>
          <w:szCs w:val="16"/>
          <w:color w:val="auto"/>
        </w:rPr>
        <w:t>We intend to enter into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alliances with leading pharmaceutical or biotech companies to support further clinical development of both MN-221 and MN-166/AV411 in the United States. We may also decide to pursue potential partners and potential acquirers of license rights to our programs in markets outside the United States, with the goal of retaining significant commercial participation in these product opportunities.</w:t>
      </w:r>
    </w:p>
    <w:p>
      <w:pPr>
        <w:spacing w:after="0" w:line="18" w:lineRule="exact"/>
        <w:rPr>
          <w:rFonts w:ascii="Arial" w:cs="Arial" w:eastAsia="Arial" w:hAnsi="Arial"/>
          <w:sz w:val="16"/>
          <w:szCs w:val="16"/>
          <w:color w:val="auto"/>
        </w:rPr>
      </w:pPr>
    </w:p>
    <w:p>
      <w:pPr>
        <w:ind w:left="780" w:right="60" w:hanging="326"/>
        <w:spacing w:after="0" w:line="25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Pursue additional indications and commercial opportunities for our prioritized product candidates</w:t>
      </w:r>
      <w:r>
        <w:rPr>
          <w:rFonts w:ascii="Arial" w:cs="Arial" w:eastAsia="Arial" w:hAnsi="Arial"/>
          <w:sz w:val="18"/>
          <w:szCs w:val="18"/>
          <w:color w:val="auto"/>
        </w:rPr>
        <w:t>. We will seek to maximize the value of MN-221</w:t>
      </w:r>
      <w:r>
        <w:rPr>
          <w:rFonts w:ascii="Arial" w:cs="Arial" w:eastAsia="Arial" w:hAnsi="Arial"/>
          <w:sz w:val="18"/>
          <w:szCs w:val="18"/>
          <w:i w:val="1"/>
          <w:iCs w:val="1"/>
          <w:color w:val="auto"/>
        </w:rPr>
        <w:t xml:space="preserve"> </w:t>
      </w:r>
      <w:r>
        <w:rPr>
          <w:rFonts w:ascii="Arial" w:cs="Arial" w:eastAsia="Arial" w:hAnsi="Arial"/>
          <w:sz w:val="18"/>
          <w:szCs w:val="18"/>
          <w:color w:val="auto"/>
        </w:rPr>
        <w:t>and MN-166/AV411 by pursuing other potential indications and commercial opportunities for such product candidates. For example, we have rights to develop and commercialize MN-221 for any disease or indication. In addition to the ongoing evaluation of MN-221 for the treatment of acute exacerbations of asthma, we expanded our development program for MN-221 to evaluate MN-221 for the treatment of COPD exacerbations utilizing our existing IND for MN-221.</w:t>
      </w:r>
    </w:p>
    <w:p>
      <w:pPr>
        <w:spacing w:after="0" w:line="48" w:lineRule="exact"/>
        <w:rPr>
          <w:rFonts w:ascii="Arial" w:cs="Arial" w:eastAsia="Arial" w:hAnsi="Arial"/>
          <w:sz w:val="18"/>
          <w:szCs w:val="18"/>
          <w:color w:val="auto"/>
        </w:rPr>
      </w:pPr>
    </w:p>
    <w:p>
      <w:pPr>
        <w:jc w:val="both"/>
        <w:ind w:left="780" w:right="6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Maximize the value of the remainder of our diversified pipeline of existing product candidates. </w:t>
      </w:r>
      <w:r>
        <w:rPr>
          <w:rFonts w:ascii="Arial" w:cs="Arial" w:eastAsia="Arial" w:hAnsi="Arial"/>
          <w:sz w:val="16"/>
          <w:szCs w:val="16"/>
          <w:color w:val="auto"/>
        </w:rPr>
        <w:t>We will conduct development activities strategically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remainder of our existing product candidates, to the extent that we deem any further activities necessary to maintain our license rights or maximize their value, while aggressively pursuing a variety of initiatives to monetize these product candidates on appropriate terms.</w:t>
      </w:r>
    </w:p>
    <w:p>
      <w:pPr>
        <w:spacing w:after="0" w:line="12" w:lineRule="exact"/>
        <w:rPr>
          <w:rFonts w:ascii="Arial" w:cs="Arial" w:eastAsia="Arial" w:hAnsi="Arial"/>
          <w:sz w:val="16"/>
          <w:szCs w:val="16"/>
          <w:color w:val="auto"/>
        </w:rPr>
      </w:pPr>
    </w:p>
    <w:p>
      <w:pPr>
        <w:ind w:left="780" w:right="40" w:hanging="326"/>
        <w:spacing w:after="0" w:line="291"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Opportunistically in-license additional product candidates through our global industry relationships. </w:t>
      </w:r>
      <w:r>
        <w:rPr>
          <w:rFonts w:ascii="Arial" w:cs="Arial" w:eastAsia="Arial" w:hAnsi="Arial"/>
          <w:sz w:val="16"/>
          <w:szCs w:val="16"/>
          <w:color w:val="auto"/>
        </w:rPr>
        <w:t>Over the long term, we intend to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of in-licensed product candidates by continuing to cultivate and strengthen our business relationships with pharmaceutical companies in Japan and other markets. We believe our ability leverage industry relationships to acquire product candidates with high potential and existing preclinical or early clinical data from Japanese pharmaceutical companies provides us with a competitive advantage over other drug development companies in the U.S. market. We believe that additional diversification and expansion of our pipeline of product candidates will help maximize the commercial opportunity and mitigate the risks inherent in drug discovery and development.</w:t>
      </w:r>
    </w:p>
    <w:p>
      <w:pPr>
        <w:spacing w:after="0" w:line="25"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Strategically partner with pharmaceutical companies who are leaders in their fields to complete late stage product development and successfully commercialize our products. </w:t>
      </w:r>
      <w:r>
        <w:rPr>
          <w:rFonts w:ascii="Arial" w:cs="Arial" w:eastAsia="Arial" w:hAnsi="Arial"/>
          <w:sz w:val="16"/>
          <w:szCs w:val="16"/>
          <w:color w:val="auto"/>
        </w:rPr>
        <w:t>We develop and maintain business development relationships with pharmaceutical therapeutic area leaders who seek late</w:t>
      </w:r>
      <w:r>
        <w:rPr>
          <w:rFonts w:ascii="Arial" w:cs="Arial" w:eastAsia="Arial" w:hAnsi="Arial"/>
          <w:sz w:val="16"/>
          <w:szCs w:val="16"/>
          <w:i w:val="1"/>
          <w:iCs w:val="1"/>
          <w:color w:val="auto"/>
        </w:rPr>
        <w:t xml:space="preserve"> </w:t>
      </w:r>
      <w:r>
        <w:rPr>
          <w:rFonts w:ascii="Arial" w:cs="Arial" w:eastAsia="Arial" w:hAnsi="Arial"/>
          <w:sz w:val="16"/>
          <w:szCs w:val="16"/>
          <w:color w:val="auto"/>
        </w:rPr>
        <w:t>stage product candidates to complete development and commercialization. We intend to select partners with demonstrated ability to complete late stage development and successfully commercialize product candidates. To ensure our ability to build a sustainable business, we may selectively add commercial capabilities to our management team to support our evolution into a commercial entity as our product development programs mature.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16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our product candidates offer innovative therapeutic approaches that may provide significant advantages relative to current therapies.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product acquisitions have focused primarily on product candidates with significant preclinical and early clinical testing data that have been developed by the licensors outside of the United States. We utilize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existing data in preparing INDs or foreign equivalents and designing additional clinical trials to advance the regulatory approval process in the United States or abroad. Following are details of our product development programs: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Prioritized Product Candidates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state of the development program for each of our two prioritized product candidates is described below.</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An acute exacerbation of asthma is a long-lasting and severe asthma episode in which asthma symptoms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responsive to initial bronchodilator or corticosteroid therapy. Acute exacerbations of asthma are an emergency situation that can lead to emergency department treatment and, in some cases, hospital admission or death. Beta-agonist agents are the mainstays of acute treatment for these types of asthma attacks and are included in the recommended standard of care according to the National Guideline Clearinghouse from the U.S. Department of Health and Human Services, or DHSS, for patients suffering from acute exacerbations of asthma.</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Data from the National Center for Health Statistics show that visits to emergency departments for asthma increased from approximately 1.5 million in 1992 to approximately 1.7 million in 2006. There were approximately 456,000 hospital discharges and approximately 3,447 deaths due to asthma during 2007, according to the National Center for Health Statistics. Despite significant improvements in the treatment for asthma over the past 20 years, there has not been a corresponding decrease in hospitalizations due to asthma according to the National Center for Health Statistics (e.g. there were approximately 423,000 hospital discharges due to asthma in 1998). According to the National Heart, Lung and Blood Institute, the direct costs associated with hospital care due to asthma were estimated at $5.5 billion in 2010. We believe that there remains an unmet medical need for a safe and effective treatment for acute exacerbations of asthma that could prevent some of these hospitalizations.</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Overview of MN-221 in Acute Exacerbations of Asthma</w:t>
      </w:r>
      <w:r>
        <w:rPr>
          <w:rFonts w:ascii="Arial" w:cs="Arial" w:eastAsia="Arial" w:hAnsi="Arial"/>
          <w:sz w:val="17"/>
          <w:szCs w:val="17"/>
          <w:color w:val="auto"/>
        </w:rPr>
        <w:t>. MN-221 is a novel, highly selective ß</w:t>
      </w:r>
      <w:r>
        <w:rPr>
          <w:rFonts w:ascii="Arial" w:cs="Arial" w:eastAsia="Arial" w:hAnsi="Arial"/>
          <w:sz w:val="21"/>
          <w:szCs w:val="21"/>
          <w:color w:val="auto"/>
          <w:vertAlign w:val="sub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-adrenergic receptor agonist being developed for the</w:t>
      </w:r>
    </w:p>
    <w:p>
      <w:pPr>
        <w:spacing w:after="0" w:line="5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 xml:space="preserve">treatment of acute exacerbations of asthma. We licensed MN-221 from Kissei Pharmaceutical in February 2004. Preclinical studies conducted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showed MN-221 to be highly selective for the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In these studies, the ß</w:t>
      </w:r>
      <w:r>
        <w:rPr>
          <w:rFonts w:ascii="Arial" w:cs="Arial" w:eastAsia="Arial" w:hAnsi="Arial"/>
          <w:sz w:val="21"/>
          <w:szCs w:val="21"/>
          <w:color w:val="auto"/>
          <w:vertAlign w:val="subscript"/>
        </w:rPr>
        <w:t>1</w:t>
      </w:r>
      <w:r>
        <w:rPr>
          <w:rFonts w:ascii="Arial" w:cs="Arial" w:eastAsia="Arial" w:hAnsi="Arial"/>
          <w:sz w:val="17"/>
          <w:szCs w:val="17"/>
          <w:color w:val="auto"/>
        </w:rPr>
        <w:t xml:space="preserve"> -adrenergic receptor stimulating activity of MN-221 was less than that of other ß </w:t>
      </w:r>
      <w:r>
        <w:rPr>
          <w:rFonts w:ascii="Arial" w:cs="Arial" w:eastAsia="Arial" w:hAnsi="Arial"/>
          <w:sz w:val="21"/>
          <w:szCs w:val="21"/>
          <w:color w:val="auto"/>
          <w:vertAlign w:val="subscript"/>
        </w:rPr>
        <w:t>2</w:t>
      </w:r>
      <w:r>
        <w:rPr>
          <w:rFonts w:ascii="Arial" w:cs="Arial" w:eastAsia="Arial" w:hAnsi="Arial"/>
          <w:sz w:val="17"/>
          <w:szCs w:val="17"/>
          <w:color w:val="auto"/>
        </w:rPr>
        <w:t xml:space="preserve">-adrenergic receptor agonists in isolated rat atrium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cardiac function tests in rats, dogs and sheep, thereby suggesting that the stimulating action of older, less selective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agonists on the heart via ß</w:t>
      </w:r>
      <w:r>
        <w:rPr>
          <w:rFonts w:ascii="Arial" w:cs="Arial" w:eastAsia="Arial" w:hAnsi="Arial"/>
          <w:sz w:val="21"/>
          <w:szCs w:val="21"/>
          <w:color w:val="auto"/>
          <w:vertAlign w:val="subscript"/>
        </w:rPr>
        <w:t>1</w:t>
      </w:r>
      <w:r>
        <w:rPr>
          <w:rFonts w:ascii="Arial" w:cs="Arial" w:eastAsia="Arial" w:hAnsi="Arial"/>
          <w:sz w:val="17"/>
          <w:szCs w:val="17"/>
          <w:color w:val="auto"/>
        </w:rPr>
        <w:t xml:space="preserve"> -adrenergic receptors may be reduced with MN-221 due to its greater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 adrenergic receptor selectivity.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also suggested that MN-221 may act as only a partial ß</w:t>
      </w:r>
      <w:r>
        <w:rPr>
          <w:rFonts w:ascii="Arial" w:cs="Arial" w:eastAsia="Arial" w:hAnsi="Arial"/>
          <w:sz w:val="21"/>
          <w:szCs w:val="21"/>
          <w:color w:val="auto"/>
          <w:vertAlign w:val="subscript"/>
        </w:rPr>
        <w:t>1</w:t>
      </w:r>
      <w:r>
        <w:rPr>
          <w:rFonts w:ascii="Arial" w:cs="Arial" w:eastAsia="Arial" w:hAnsi="Arial"/>
          <w:sz w:val="17"/>
          <w:szCs w:val="17"/>
          <w:color w:val="auto"/>
        </w:rPr>
        <w:t xml:space="preserve"> -adrenergic receptor agonist in cardiac tissue, while acting as a full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in lung tissue. In addition, a preclinical drug interaction study in dogs completed during 2008 demonstrated that, while each of albuterol and MN-221 induced an increase in heart rate independently, the addition of MN-221 by intravenous administration in combination with inhaled albuterol did not add to the heart rate increase associated with inhaled albuterol alone, which further suggests that MN-221 acts as a partial agonist at ß</w:t>
      </w:r>
      <w:r>
        <w:rPr>
          <w:rFonts w:ascii="Arial" w:cs="Arial" w:eastAsia="Arial" w:hAnsi="Arial"/>
          <w:sz w:val="21"/>
          <w:szCs w:val="21"/>
          <w:color w:val="auto"/>
          <w:vertAlign w:val="subscript"/>
        </w:rPr>
        <w:t>1</w:t>
      </w:r>
      <w:r>
        <w:rPr>
          <w:rFonts w:ascii="Arial" w:cs="Arial" w:eastAsia="Arial" w:hAnsi="Arial"/>
          <w:sz w:val="17"/>
          <w:szCs w:val="17"/>
          <w:color w:val="auto"/>
        </w:rPr>
        <w:t xml:space="preserve"> - adrenergic receptors. We believe that this improved receptor binding and functional selectivity may result in fewer cardiovascular side effects than are commonly observed with other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agonists used to treat this condition. We have developed and studied an intravenous formulation of MN-221 appropriate for hospital use.</w:t>
      </w:r>
    </w:p>
    <w:p>
      <w:pPr>
        <w:spacing w:after="0" w:line="143" w:lineRule="exact"/>
        <w:rPr>
          <w:sz w:val="20"/>
          <w:szCs w:val="20"/>
          <w:color w:val="auto"/>
        </w:rPr>
      </w:pPr>
    </w:p>
    <w:p>
      <w:pPr>
        <w:ind w:firstLine="456"/>
        <w:spacing w:after="0" w:line="263"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We completed a randomized, double-blind, placebo-controlled, dose escalation, multi-center Phase II clinical trial of MN-221 in 23 stable</w:t>
      </w:r>
      <w:r>
        <w:rPr>
          <w:rFonts w:ascii="Arial" w:cs="Arial" w:eastAsia="Arial" w:hAnsi="Arial"/>
          <w:sz w:val="16"/>
          <w:szCs w:val="16"/>
          <w:i w:val="1"/>
          <w:iCs w:val="1"/>
          <w:color w:val="auto"/>
        </w:rPr>
        <w:t xml:space="preserve"> </w:t>
      </w:r>
      <w:r>
        <w:rPr>
          <w:rFonts w:ascii="Arial" w:cs="Arial" w:eastAsia="Arial" w:hAnsi="Arial"/>
          <w:sz w:val="16"/>
          <w:szCs w:val="16"/>
          <w:color w:val="auto"/>
        </w:rPr>
        <w:t>mild-to-moderate asthmatics, in August 2007. At each dose level in the escalation, patients were randomized to receive either a 15-minute intravenous infusion of MN-221 or placebo. This clinical trial achieved statistical significance in its primary endpoint of mean change in forced expiratory volume in one second, or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 from baseline to measurement at 15 minutes (the end of the infusion) at doses of 10, 16, 30 and 60 micrograms per minute of MN-221 (p-value less than or equal to 0.0006) compared to placebo. MN-221 produced a significant linear, dose-related increase in mean change in post-infusion FEV</w:t>
      </w:r>
      <w:r>
        <w:rPr>
          <w:rFonts w:ascii="Arial" w:cs="Arial" w:eastAsia="Arial" w:hAnsi="Arial"/>
          <w:sz w:val="20"/>
          <w:szCs w:val="20"/>
          <w:color w:val="auto"/>
          <w:vertAlign w:val="subscript"/>
        </w:rPr>
        <w:t>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from baseline (p-value less than or equal to 0.0001) following a 15-minute intravenous infusion of MN-221. Significant improvements in mean change in post-infusion (15 minute)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from baseline were observed at doses of 10, 16, 30 and 60 micrograms per minute (p-value less than or equal to 0.0006) and at the dose of 3.5 micrograms per minute (p-value=0.0106) compared to placebo. In the protocol correct population for this clinical trial, which consisted of 21 patients, the dose-related increases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were maintained for four hours (p-value=0.0393) and at eight hours (p-value=0.0424) following the 15-minute infusion of MN-</w:t>
      </w:r>
    </w:p>
    <w:p>
      <w:pPr>
        <w:spacing w:after="0" w:line="1" w:lineRule="exact"/>
        <w:rPr>
          <w:sz w:val="20"/>
          <w:szCs w:val="20"/>
          <w:color w:val="auto"/>
        </w:rPr>
      </w:pPr>
    </w:p>
    <w:p>
      <w:pPr>
        <w:ind w:right="100" w:firstLine="8"/>
        <w:spacing w:after="0" w:line="265" w:lineRule="auto"/>
        <w:tabs>
          <w:tab w:leader="none" w:pos="3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MN-221 was well tolerated in this Phase II clinical trial, with only the expected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pharmacology noted in some patients (</w:t>
      </w:r>
      <w:r>
        <w:rPr>
          <w:rFonts w:ascii="Arial" w:cs="Arial" w:eastAsia="Arial" w:hAnsi="Arial"/>
          <w:sz w:val="16"/>
          <w:szCs w:val="16"/>
          <w:i w:val="1"/>
          <w:iCs w:val="1"/>
          <w:color w:val="auto"/>
        </w:rPr>
        <w:t>e.g.</w:t>
      </w:r>
      <w:r>
        <w:rPr>
          <w:rFonts w:ascii="Arial" w:cs="Arial" w:eastAsia="Arial" w:hAnsi="Arial"/>
          <w:sz w:val="16"/>
          <w:szCs w:val="16"/>
          <w:color w:val="auto"/>
        </w:rPr>
        <w:t>, fall in serum potassium, elevation in plasma glucose, mild headache and mild tremors). There were no clinically significant cardiovascular, electrocardiogram, or ECG, or vital sign changes observed at any dose tested. In addition, no serious adverse effects were observed in this clinical trial.</w:t>
      </w:r>
    </w:p>
    <w:p>
      <w:pPr>
        <w:spacing w:after="0" w:line="123" w:lineRule="exact"/>
        <w:rPr>
          <w:sz w:val="20"/>
          <w:szCs w:val="20"/>
          <w:color w:val="auto"/>
        </w:rPr>
      </w:pPr>
    </w:p>
    <w:p>
      <w:pPr>
        <w:ind w:right="60" w:firstLine="456"/>
        <w:spacing w:after="0" w:line="249" w:lineRule="auto"/>
        <w:rPr>
          <w:sz w:val="20"/>
          <w:szCs w:val="20"/>
          <w:color w:val="auto"/>
        </w:rPr>
      </w:pPr>
      <w:r>
        <w:rPr>
          <w:rFonts w:ascii="Arial" w:cs="Arial" w:eastAsia="Arial" w:hAnsi="Arial"/>
          <w:sz w:val="17"/>
          <w:szCs w:val="17"/>
          <w:color w:val="auto"/>
        </w:rPr>
        <w:t>We completed a randomized, open-label, placebo-controlled Phase II clinical trial to evaluate the safety and efficacy of MN-221 in patients with moderate to severe, but stable asthma, which involved 17 patients in two dose cohorts, in September 2008. In one dosing cohort, each patient received MN-221 at a dose of 1,125 micrograms or placebo over one hour by a continuous intravenous infusion. In the other dosing cohort, each patient received MN-221 at a dose of 1,080 micrograms or placebo over two hours by a continuous intravenous infusion. Both infusion rates of MN-221 produced a marked and clinically significant improvement in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results were expressed as “percent predicted” based on standard reference equations accounting for an individual’s race, gender, age and height. At the end of the one-hour infusion,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increased by 17.5 percent predicted for MN-221 compared to an increase of three percent predicted for placebo. At the end of the two-hour infusion,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increased by an average of 12.1 percent predicted for MN-221 compared to an increase of 1.4 percent predicted for placebo. In accordance with the study protocol, no inferential statistical testing was performed. MN-221 was well tolerated by the patients who received either infusion rate of MN-221. There were no clinically significant safety concerns noted among adverse events, ECG data, vital sign data or laboratory assessments collected throughout this clinical trial.</w:t>
      </w:r>
    </w:p>
    <w:p>
      <w:pPr>
        <w:spacing w:after="0" w:line="13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7"/>
          <w:szCs w:val="17"/>
          <w:color w:val="auto"/>
        </w:rPr>
        <w:t>We completed a randomized, modified single-blind, placebo-controlled, dose escalation Phase II clinical trial to evaluate MN-221 in patients with severe, acute exacerbations of asthma in emergency departments, which included 29 patients (13 treated with standard care only and 16 treated with MN-221 plus standard care) at planned escalating doses of 240 to 1,080 micrograms, in April 2009. All patients received standardized care consisting of inhaled albuterol, ipratropium and oral steroid treatment. No safety concerns with adding MN-221 to standardized care were identified following review of ECG laboratory and adverse experience data. The hospitalization rate among patients treated with standardized care only was 46 percent (six of 13), which was the anticipated rate, compared to a hospitalization rate of 25 percent (four of 16) among patients receiving MN-221 plus standardized care. Improvement in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values generally appeared to be greater for patients receiving MN-221 in addition to standardized treatment. As specified in the protocol for this clinical trial, no inferential statistics (</w:t>
      </w:r>
      <w:r>
        <w:rPr>
          <w:rFonts w:ascii="Arial" w:cs="Arial" w:eastAsia="Arial" w:hAnsi="Arial"/>
          <w:sz w:val="17"/>
          <w:szCs w:val="17"/>
          <w:i w:val="1"/>
          <w:iCs w:val="1"/>
          <w:color w:val="auto"/>
        </w:rPr>
        <w:t>e.g.</w:t>
      </w:r>
      <w:r>
        <w:rPr>
          <w:rFonts w:ascii="Arial" w:cs="Arial" w:eastAsia="Arial" w:hAnsi="Arial"/>
          <w:sz w:val="17"/>
          <w:szCs w:val="17"/>
          <w:color w:val="auto"/>
        </w:rPr>
        <w:t>, p-values) were calculated for this study.</w:t>
      </w:r>
    </w:p>
    <w:p>
      <w:pPr>
        <w:spacing w:after="0" w:line="127"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i w:val="1"/>
          <w:iCs w:val="1"/>
          <w:color w:val="auto"/>
        </w:rPr>
        <w:t>Development Plans</w:t>
      </w:r>
      <w:r>
        <w:rPr>
          <w:rFonts w:ascii="Arial" w:cs="Arial" w:eastAsia="Arial" w:hAnsi="Arial"/>
          <w:sz w:val="16"/>
          <w:szCs w:val="16"/>
          <w:color w:val="auto"/>
        </w:rPr>
        <w:t>. In January 2009, we initiated a randomized, double-blind, placebo-controlled Phase II clinical trial designed to evaluate the safety and</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MN-221 in patients with severe, acute exacerbations of asthma in emergency departments. We are utilizing clinical sites primarily in North America (including a majority of the clinical sites that participated in the smaller Phase II clinical trial concluded in April 2009) to enroll approximately 200 patients in this clinical trial, which is designed to compare standardized care to standardized care plus MN-221 at a dose of 1,200 micrograms administered over one hour. Once a patient has received the initial standardized care treatment regimen, the patient will be assessed for response to that treatment. If the patient’s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is less than or equal to 50 percent of predicted and the patient meets all other study entry criteria, the patient will be randomized to receive either MN-221 or placebo. Patients enrolled in the clinical trial will continue to receive standardized care as needed. The primary efficacy endpoint will be improvement in FEV</w:t>
      </w:r>
      <w:r>
        <w:rPr>
          <w:rFonts w:ascii="Arial" w:cs="Arial" w:eastAsia="Arial" w:hAnsi="Arial"/>
          <w:sz w:val="20"/>
          <w:szCs w:val="20"/>
          <w:color w:val="auto"/>
          <w:vertAlign w:val="subscript"/>
        </w:rPr>
        <w:t>1</w:t>
      </w:r>
      <w:r>
        <w:rPr>
          <w:rFonts w:ascii="Arial" w:cs="Arial" w:eastAsia="Arial" w:hAnsi="Arial"/>
          <w:sz w:val="16"/>
          <w:szCs w:val="16"/>
          <w:color w:val="auto"/>
        </w:rPr>
        <w: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successful in completing this Phase II clinical trial in the second half of 2011, we anticipate requesting an End-of-Phase II meeting with the FDA.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we are successful in entering into a strategic collaboration or raising additional capital, we would subsequently initiate our planned Phase III program.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Chronic Obstructive Pulmonary Disease Exacerbations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A COPD exacerbation is a sustained worsening of the patient’s condition, from the stable state and beyond</w:t>
      </w:r>
      <w:r>
        <w:rPr>
          <w:rFonts w:ascii="Arial" w:cs="Arial" w:eastAsia="Arial" w:hAnsi="Arial"/>
          <w:sz w:val="16"/>
          <w:szCs w:val="16"/>
          <w:i w:val="1"/>
          <w:iCs w:val="1"/>
          <w:color w:val="auto"/>
        </w:rPr>
        <w:t xml:space="preserve"> </w:t>
      </w:r>
      <w:r>
        <w:rPr>
          <w:rFonts w:ascii="Arial" w:cs="Arial" w:eastAsia="Arial" w:hAnsi="Arial"/>
          <w:sz w:val="16"/>
          <w:szCs w:val="16"/>
          <w:color w:val="auto"/>
        </w:rPr>
        <w:t>normal day-to-day variations, that is acute in onset and necessitates a change in regular medication in a patient with underlying COPD. Exacerbations are associated with a significant increase in mortality, hospitalization and healthcare utilization. According to data from the National Heart, Lung, and Blood Institute, an estimated 12.1 million adults had a diagnosis of COPD in the United States in the year 2001 and about 24 million adults have evidence of impaired lung function indicating that COPD is under diagnosed. According to data from the National Heart, Lung, and Blood Institute, in the year 2000, there were 119,000 deaths, 726,000 hospitalizations, and 1.5 million hospital emergency department visits due to COPD in the United States. The age-adjusted death rate for COPD increased more than 30 percent since 1980, according to a 2010 report on COPD from the American Lung Association, which used data from the Centers for Disease Control and Prevention. In 2002, according to the National Heart, Lung, and Blood Institute, direct costs for COPD were $18.0 billion and indirect costs were $14.1 billion in the United States. In 2010, according to the American Lung Association, the direct costs for COPD were approximately $29.5 billion and indirect costs were approximately $20.4 billion in the United States. We believe there remains an unmet medical need for a safe and effective treatment for COPD exacerbations that could prevent some of these hospitalizations.</w:t>
      </w:r>
    </w:p>
    <w:p>
      <w:pPr>
        <w:spacing w:after="0" w:line="11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Overview of MN-221 in COPD Exacerbations</w:t>
      </w:r>
      <w:r>
        <w:rPr>
          <w:rFonts w:ascii="Arial" w:cs="Arial" w:eastAsia="Arial" w:hAnsi="Arial"/>
          <w:sz w:val="16"/>
          <w:szCs w:val="16"/>
          <w:color w:val="auto"/>
        </w:rPr>
        <w:t>. In July 2009, we announced our plan to evaluate MN-221 for the treatment of COPD exacerbations. Inhaled</w:t>
      </w:r>
      <w:r>
        <w:rPr>
          <w:rFonts w:ascii="Arial" w:cs="Arial" w:eastAsia="Arial" w:hAnsi="Arial"/>
          <w:sz w:val="16"/>
          <w:szCs w:val="16"/>
          <w:i w:val="1"/>
          <w:iCs w:val="1"/>
          <w:color w:val="auto"/>
        </w:rPr>
        <w:t xml:space="preserve"> </w:t>
      </w:r>
      <w:r>
        <w:rPr>
          <w:rFonts w:ascii="Arial" w:cs="Arial" w:eastAsia="Arial" w:hAnsi="Arial"/>
          <w:sz w:val="16"/>
          <w:szCs w:val="16"/>
          <w:color w:val="auto"/>
        </w:rPr>
        <w:t>ß2-adrenergic receptor agonists, which are the current standard of care, are often inadequate to control the symptoms of COPD exacerbations. We believe that MN-221 may offer an immediate intravenous delivery for this life-threatening condition for patients who cannot get the full benefit from treatment with inhaled ß2-adrenergic receptor agonists due to severe bronchoconstriction. In addition, we believe that MN-221 may offer the potential for fewer cardiovascular side effects than older ß2-adrenergic receptor agonists due to its greater selectivity for the ß2-adrenergic receptor. This could be very significant due to the relative older age population seen in COPD patients who tend to have more underlying heart disease.</w:t>
      </w:r>
    </w:p>
    <w:p>
      <w:pPr>
        <w:spacing w:after="0" w:line="107" w:lineRule="exact"/>
        <w:rPr>
          <w:sz w:val="20"/>
          <w:szCs w:val="20"/>
          <w:color w:val="auto"/>
        </w:rPr>
      </w:pPr>
    </w:p>
    <w:p>
      <w:pPr>
        <w:ind w:right="60" w:firstLine="456"/>
        <w:spacing w:after="0" w:line="278"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We completed a randomized, double-blind, placebo-controlled Phase Ib study involving 48 moderate-to-severe COPD patients who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 one hour intravenous infusion of MN-221 at three different escalating dose levels (300 micrograms, 600 micrograms, or 1200 micrograms) or placebo in the first quarter of 2010. In March 2010, based on preliminary findings, we announced that all doses of MN-221 produced a clinically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(L) as compared to the baseline and placebo. At the end of the one hour infusion,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(L) increased as compared to baseline by an average of 21.5 percent (p=0.0025) for the 1200 micrograms dose, 16.2 percent (p=0.020) for the 600 micrograms dose, and 9.2 percent (p=NS) for the 300 micrograms dose compared to a decrease of 4.0 percent for the placebo. MN-221 at doses of 600 micrograms and 1200 micrograms appeared to have an effect for at least six hours as compared to placebo. MN-221 was well tolerated by all patients who received infusions of MN-221.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Development Plans</w:t>
      </w:r>
      <w:r>
        <w:rPr>
          <w:rFonts w:ascii="Arial" w:cs="Arial" w:eastAsia="Arial" w:hAnsi="Arial"/>
          <w:sz w:val="18"/>
          <w:szCs w:val="18"/>
          <w:color w:val="auto"/>
        </w:rPr>
        <w:t>. We are now considering the next steps for the COPD development program.</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Ibudilast (MN-166/AV411): AV411 for Neuropathic Pain and Drug Addiction</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AV411 portfolio, which includes the Phase II-staged lead drug compound and proprietary analogs, represents novel, first-in-class, non-opioid drugs for the treatment of several large pain and drug addiction indications. AV411 is a first-in-class, orally bioavailable small molecule, a glial attenuator that suppresses pro-inflammatory cytokines IL-1ß, TNF-a, and IL-6, and may upregulate the anti-inflammatory cytokine IL-10. It has additionally been shown to be a toll-like receptor 4 (TLR4) functional antagonist that may contribute to its attenuation of neuroinflammation. While considered a New Molecular Entity, or NME, in the United States and Europe, it involves redirection of an approved drug, ibudilast, which was first approved in Japan more than 20 years ago. Ibudilast has been prescribed to over one million patients for a different indication and has a good post-marketing safety profile as reported in nearly 15,000 patients studied at the prescribed doses.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Based on our research, we have filed for patents protecting multiple uses of AV411 in neurological conditions, as well as for patents on AV411 analogs which we believe have the potential to be effective second generation molecules. As NMEs, AV411 and its analogs would be entitled to five years of marketing exclusivity from first approval in the U.S. and up to 10 years of exclusivity in the European Union.</w:t>
      </w:r>
    </w:p>
    <w:p>
      <w:pPr>
        <w:spacing w:after="0" w:line="12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i w:val="1"/>
          <w:iCs w:val="1"/>
          <w:color w:val="auto"/>
        </w:rPr>
        <w:t xml:space="preserve">Neuropathic pain: </w:t>
      </w:r>
      <w:r>
        <w:rPr>
          <w:rFonts w:ascii="Arial" w:cs="Arial" w:eastAsia="Arial" w:hAnsi="Arial"/>
          <w:sz w:val="18"/>
          <w:szCs w:val="18"/>
          <w:color w:val="auto"/>
        </w:rPr>
        <w:t>Glial activation in the brain and spinal cord contribute to the establishment and amplification of the chronic pain state.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Avigen’s program investigating glial attenuation as a novel approach to the treatment of neuropathic pain, Avigen conceived and demonstrated that AV411 was efficacious in preclinical models of neuropathic pain and may be effective in a wide range of neuropathic pain syndromes including neuropathy, post-herpetic neuralgia, HIV neuropathy, radiculopathy, spinal cord injury and chemotherapy-induced neuropathy. While ibudilast was initially developed as a non-selective phosphodiesterase (PDE) inhibitor for the treatment of bronchial asthma, its efficacy in some neuropathic pain models appears to be independent of this activity and yet still linked to glial attenuation.</w:t>
      </w:r>
    </w:p>
    <w:p>
      <w:pPr>
        <w:spacing w:after="0" w:line="1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AV411 has advanced through multiple Phase I and IIa clinical trials in both healthy volunteers and patients for neuropathic pain, inclusive of a Phase Ib/IIa clinical trial in diabetic neuropathic pain. The program, under current FDA standards, is able to enter Phase II development for neuropathic pain in the United States based on completed Avigen preclinical and clinical development.</w:t>
      </w:r>
    </w:p>
    <w:p>
      <w:pPr>
        <w:spacing w:after="0" w:line="12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Opioid withdrawal: </w:t>
      </w:r>
      <w:r>
        <w:rPr>
          <w:rFonts w:ascii="Arial" w:cs="Arial" w:eastAsia="Arial" w:hAnsi="Arial"/>
          <w:sz w:val="16"/>
          <w:szCs w:val="16"/>
          <w:color w:val="auto"/>
        </w:rPr>
        <w:t>AV411 completed a Phase Ib/IIa clinical trial in opioid withdrawal and analgesia, or OWA, funded by NIDA and conducted at</w:t>
      </w:r>
      <w:r>
        <w:rPr>
          <w:rFonts w:ascii="Arial" w:cs="Arial" w:eastAsia="Arial" w:hAnsi="Arial"/>
          <w:sz w:val="16"/>
          <w:szCs w:val="16"/>
          <w:i w:val="1"/>
          <w:iCs w:val="1"/>
          <w:color w:val="auto"/>
        </w:rPr>
        <w:t xml:space="preserve"> </w:t>
      </w:r>
      <w:r>
        <w:rPr>
          <w:rFonts w:ascii="Arial" w:cs="Arial" w:eastAsia="Arial" w:hAnsi="Arial"/>
          <w:sz w:val="16"/>
          <w:szCs w:val="16"/>
          <w:color w:val="auto"/>
        </w:rPr>
        <w:t>Columbia University by leading specialists in the study and treatment of substance abuse. AV411 and analogs have been shown in preclinical models of opioid (morphine or oxycodone) withdrawal to significantly reduce withdrawal symptoms. Moreover, AV411 attenuates both behavioral and neurochemical markers of opioid reward. AV411 and analogs are differentiated from other drug candidates in clinical trials that may demonstrate similar effects, in that AV411 and analogs are not narcotics and do not, themselves, provide reward or “reinforcement” in behavioral models of dependence. Thus, while current therapies involve substitution of one opioid for another (e.g. methadone for heroin), AV411 represents a novel, non-opioid, approach for the treatment of opioid withdrawal and dependence. Results from the recently-completed OWA trial indicated dose-related attenuation of the opioid withdrawal syndrome (p&lt;0.05 for 80 mg/d treatment arm relative to placebo control on the Subjective Opioid Withdrawal Scale (SOWS) endpoint) and enhanced opioid analgesia (p&lt;0.05 for the McGill Pain Questionnaire endpoint for the 80 mg/d treatment arm vs placebo control). Other measures of withdrawal (Clinicians Opioid Withdrawal Scale) or analgesia (quantitative time endpoints for cold pressor test) were not significantly attenuated.</w:t>
      </w:r>
    </w:p>
    <w:p>
      <w:pPr>
        <w:spacing w:after="0" w:line="10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Methamphetamine addiction: </w:t>
      </w:r>
      <w:r>
        <w:rPr>
          <w:rFonts w:ascii="Arial" w:cs="Arial" w:eastAsia="Arial" w:hAnsi="Arial"/>
          <w:sz w:val="16"/>
          <w:szCs w:val="16"/>
          <w:color w:val="auto"/>
        </w:rPr>
        <w:t>In collaborative studies with NIDA, AV411 has demonstrated utility in methamphetamine relapse in animals which translated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 NIDA-funded exploratory Phase Ib methamphetamine interaction clinical trial with investigators at the University of California – Los Angeles.</w:t>
      </w:r>
    </w:p>
    <w:p>
      <w:pPr>
        <w:spacing w:after="0" w:line="7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We are not planning to undertake any further significant clinical development of AV411 until such time that we are successful in</w:t>
      </w:r>
      <w:r>
        <w:rPr>
          <w:rFonts w:ascii="Arial" w:cs="Arial" w:eastAsia="Arial" w:hAnsi="Arial"/>
          <w:sz w:val="18"/>
          <w:szCs w:val="18"/>
          <w:i w:val="1"/>
          <w:iCs w:val="1"/>
          <w:color w:val="auto"/>
        </w:rPr>
        <w:t xml:space="preserve"> </w:t>
      </w:r>
      <w:r>
        <w:rPr>
          <w:rFonts w:ascii="Arial" w:cs="Arial" w:eastAsia="Arial" w:hAnsi="Arial"/>
          <w:sz w:val="18"/>
          <w:szCs w:val="18"/>
          <w:color w:val="auto"/>
        </w:rPr>
        <w:t>entering into a strategic collaboration to support further clinical development of our combined MN-166/AV411 ibudilast-based programs. We are actively pursuing potential partners for such purpose.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Ibudilast (MN-166/AV411): MN-166 for Multiple Sclerosis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MS is an inflammatory disease of the CNS in which the body’s immune system attacks the protective sheath</w:t>
      </w:r>
      <w:r>
        <w:rPr>
          <w:rFonts w:ascii="Arial" w:cs="Arial" w:eastAsia="Arial" w:hAnsi="Arial"/>
          <w:sz w:val="16"/>
          <w:szCs w:val="16"/>
          <w:i w:val="1"/>
          <w:iCs w:val="1"/>
          <w:color w:val="auto"/>
        </w:rPr>
        <w:t xml:space="preserve"> </w:t>
      </w:r>
      <w:r>
        <w:rPr>
          <w:rFonts w:ascii="Arial" w:cs="Arial" w:eastAsia="Arial" w:hAnsi="Arial"/>
          <w:sz w:val="16"/>
          <w:szCs w:val="16"/>
          <w:color w:val="auto"/>
        </w:rPr>
        <w:t>surrounding nerve fibers. According to the National Multiple Sclerosis Society, MS affects approximately 400,000 people in the United States and approximately 2.5 million people worldwide. In addition, according to the National Multiple Sclerosis Society, approximately 200 people are diagnosed with MS in the United States each week. The most obvious effect of MS is its destruction of nerve fibers leading to the loss of muscle control. However, MS also affects multiple CNS functions. Currently, there is no known cure for the disease. According to the National Multiple Sclerosis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Society, relapsing-remitting MS, or RRMS, is the most common type of the disease, and 85 percent of people with MS are initially diagnosed with RRMS. Secondary-Progressive MS (SPMS) follows an initial period of RRMS. According to sales data included in the most recent annual reports of the leading MS drug companies, including Biogen Idec Inc., Merck Serono S.A., Teva Pharmaceuticals Industries Ltd. and Bayer Schering Pharma AG, worldwide sales of drugs to treat MS exceeded $11.0 billion in 2010.</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aim of treatment is to relieve symptoms of acute attacks by reducing the frequency of relapses and limiting the disabling effects of relapses and to minimize disability caused by disease progression. Steroids are used in treating MS to decrease the severity and shorten the duration of the attacks, but they do not change the course of the disease. Corticosteroid use is normally limited to the short-term treatment of MS, perhaps over a period of one to three weeks, as it generally is believed that the side effects and safety risks of long-term corticosteroid therapy outweigh clinical benefits in extended MS treatment. More recently, immunosuppressive agents and techniques have been introduced for the treatment of MS. However, these treatments are only partially effective and certain side effects may preclude their widespread use. These treatments may slow the course of disease progression and mitigate its effects temporarily, but additional drugs are often required to address the various CNS dysfunctions caused by the disease. We believe drugs for the treatment of MS that can be taken with less discomfort, particularly those that can be taken orally, with efficacy equal or better than the available treatments for MS would have widespread appeal.</w:t>
      </w:r>
    </w:p>
    <w:p>
      <w:pPr>
        <w:spacing w:after="0" w:line="10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i w:val="1"/>
          <w:iCs w:val="1"/>
          <w:color w:val="auto"/>
        </w:rPr>
        <w:t>Overview of MN-166</w:t>
      </w:r>
      <w:r>
        <w:rPr>
          <w:rFonts w:ascii="Arial" w:cs="Arial" w:eastAsia="Arial" w:hAnsi="Arial"/>
          <w:sz w:val="18"/>
          <w:szCs w:val="18"/>
          <w:color w:val="auto"/>
        </w:rPr>
        <w:t>. We licensed MN-166 from Kyorin Pharmaceutical in October 2004. MN-166 has been marketed in Japan and Korea since 1989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treat cerebrovascular disorders and bronchial asthma. In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MN-166 inhibited leukotriene activity, phosphodiesterases and nitric oxide synthase, all of which are inflammatory mechanisms known to be involved in MS. These studies also suggested that MN-166 may suppress the production of pro-inflammatory cytokines (IL-1ß, TNF-a and enhance the production of the anti-inflammatory cytokines (IL-4, IL-10). Based on the potential mechanisms of action of MN-166, its clinical safety history in Japan, the results of pilot studies conducted by Kyorin Pharmaceutical in MS patients and the issuance of a U.S. patent covering the method of using MN-166 to treat the disease, we decided to pursue development of MN-166 as a novel, oral agent for the treatment of MS.</w:t>
      </w:r>
    </w:p>
    <w:p>
      <w:pPr>
        <w:spacing w:after="0" w:line="13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Based on its anti-inflammatory activity and safety profile, MN-166 was evaluated for potential activity in MS in two pilot clinical trials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by academic investigators in Japan. In one open-label pilot clinical trial, the investigators studied the effects of MN-166 on relapse rates in six MS patients who had a mean of four relapses per year. Following 12 to 20 months of treatment with MN-166, the average relapse rate was reduced. Over this time frame, there was no significant change in the mean Expanded Disability Status Score, or EDSS, a measure of MS drug efficacy and disease progression. No side effects of MN-166 were reported in this clinical trial. In a second pilot trial involving 12 MS patients receiving MN-166 for four weeks, MN-166 tended to normalize the levels of several chemical mediators of inflammation, including TNF-a and interferon gamma.</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completed a two-year Phase II multi-center, randomized, double-blind, placebo-controlled clinical trial of MN-166 for the treatment of patients with relapsing MS in April 2008. This clinical trial involved 297 patients with relapsing MS in several countries in Eastern Europe. Patients received either 30 mg of MN-166 per day, 60 mg of MN-166 per day or a placebo.</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second year of the study, all patients received active drugs. Patients who received 30 or 60 mg of MN-166 per day during the first year of the study remained on the assigned dose for the second 12 months of the study; patients who received placebo during the first 12 months of the study were randomized to receive either 30 or 60 mg of MN-166 per day (double-blind maintained) during the second 12 months of the study. Clinical and radiological outcomes were evaluated. MN-166 treatment resulted in positive findings on three independent measures indicative of a potential disease-progression modifying effect. First, sustained disability progression was significantly less likely (by approximately 50 percent) in those patients receiving MN-166 at either 30 or 60 mg per day for 24 months than in those patients receiving the drug for 12 months (p=0.026). Sustained disability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progression was measured as a greater than or equal to 1.0 point increase from baseline in the EDSS score for four consecutive months. Second, the significant reduction in brain volume loss (p=0.035), as measured by cranial MRI scans, observed after 12 months in patients treated with 60 mg per day of MN-166 compared to placebo was again demonstrated in year two of the study. Brain volume loss was significantly less (p=0.030) in patients receiving 60 mg per day of MN-166 for 24 months compared to the other treatment groups. Third, MN-166 treatment at 60 mg per day significantly reduced the relative risk for conversion of new inflammatory lesions identified at month two to PBHs eight months later at month ten by 37 percent (p=0.011); such lesions that remain unchanged for eight months are considered PBHs as compared to transient inflammatory lesions that are more closely associated with relapses. MN-166 treatment at 30 mg per day resulted in a trend toward reducing evolution to PBH (p=0.074). MN-166 was well tolerated at all doses over the two years of this clinical trial, with the most common adverse events possibly related to MN-166 involving mild, transient gastrointestinal disturbances and depression. Of the 297 patients enrolled in this clinical trial, 245 patients completed the full two years of treatment. In September 2008, data from this completed two-year clinical trial was presented at the World Congress for Treatment and Research in MS.</w:t>
      </w:r>
    </w:p>
    <w:p>
      <w:pPr>
        <w:spacing w:after="0" w:line="10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Development Plans. </w:t>
      </w:r>
      <w:r>
        <w:rPr>
          <w:rFonts w:ascii="Arial" w:cs="Arial" w:eastAsia="Arial" w:hAnsi="Arial"/>
          <w:sz w:val="16"/>
          <w:szCs w:val="16"/>
          <w:color w:val="auto"/>
        </w:rPr>
        <w:t>At present, with the acquisition of AV411 in December 2009, we are not planning to undertake any further significant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MN-166 until such time that we are successful in entering into a strategic collaboration to support further clinical development of our combined MN-166/AV411 ibudilast-based programs. We are actively pursuing potential partners for such purpose.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intend to limit development activities on the balance of our ten product candidates. For each of these product candidates, we plan to conduct development activities only to the extent that we deem any further activities necessary to maintain our license rights or maximize its value, while pursuing a variety of initiatives to monetize such product candidate on appropriate terms. The status of the development program for each of these non-prioritized product candidates is described below.</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Asthma</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Asthma is a chronic inflammatory disease of the airways in which symptom control is the key to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management. Alleviation of acute asthmatic symptoms and blocking of late phase inflammation are both important to asthma therapy. According to the CDC and the Global Initiative for Asthma, there are approximately 24.6 million asthma patients in the United States and over 300 million asthma patients worldwide.</w:t>
      </w:r>
    </w:p>
    <w:p>
      <w:pPr>
        <w:spacing w:after="0" w:line="13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According to the most recent annual reports of the leading asthma drug companies, GlaxoSmithKline plc, Merck &amp; Co., Inc., AstraZeneca plc and Roche Holding Ltd., worldwide sales of asthma therapeutics increased to over $22 billion in 2010. Leading treatments currently include inhaled corticosteroids, bronchodilators and leukotriene antagonists. Worldwide sales of the Flovent</w:t>
      </w:r>
      <w:r>
        <w:rPr>
          <w:rFonts w:ascii="Arial" w:cs="Arial" w:eastAsia="Arial" w:hAnsi="Arial"/>
          <w:sz w:val="10"/>
          <w:szCs w:val="10"/>
          <w:color w:val="auto"/>
        </w:rPr>
        <w:t>®</w:t>
      </w:r>
      <w:r>
        <w:rPr>
          <w:rFonts w:ascii="Arial" w:cs="Arial" w:eastAsia="Arial" w:hAnsi="Arial"/>
          <w:sz w:val="16"/>
          <w:szCs w:val="16"/>
          <w:color w:val="auto"/>
        </w:rPr>
        <w:t xml:space="preserve"> and Pulmicort</w:t>
      </w:r>
      <w:r>
        <w:rPr>
          <w:rFonts w:ascii="Arial" w:cs="Arial" w:eastAsia="Arial" w:hAnsi="Arial"/>
          <w:sz w:val="10"/>
          <w:szCs w:val="10"/>
          <w:color w:val="auto"/>
        </w:rPr>
        <w:t>®</w:t>
      </w:r>
      <w:r>
        <w:rPr>
          <w:rFonts w:ascii="Arial" w:cs="Arial" w:eastAsia="Arial" w:hAnsi="Arial"/>
          <w:sz w:val="16"/>
          <w:szCs w:val="16"/>
          <w:color w:val="auto"/>
        </w:rPr>
        <w:t xml:space="preserve"> inhaled corticosteroids were over $2.1 billion in 2010 according to the annual reports of GlaxoSmithKline plc and AstraZeneca plc. Inhaled steroids, such as Flovent</w:t>
      </w:r>
      <w:r>
        <w:rPr>
          <w:rFonts w:ascii="Arial" w:cs="Arial" w:eastAsia="Arial" w:hAnsi="Arial"/>
          <w:sz w:val="10"/>
          <w:szCs w:val="10"/>
          <w:color w:val="auto"/>
        </w:rPr>
        <w:t>®</w:t>
      </w:r>
      <w:r>
        <w:rPr>
          <w:rFonts w:ascii="Arial" w:cs="Arial" w:eastAsia="Arial" w:hAnsi="Arial"/>
          <w:sz w:val="16"/>
          <w:szCs w:val="16"/>
          <w:color w:val="auto"/>
        </w:rPr>
        <w:t xml:space="preserve"> (fluticasone) and Vanceril</w:t>
      </w:r>
      <w:r>
        <w:rPr>
          <w:rFonts w:ascii="Arial" w:cs="Arial" w:eastAsia="Arial" w:hAnsi="Arial"/>
          <w:sz w:val="10"/>
          <w:szCs w:val="10"/>
          <w:color w:val="auto"/>
        </w:rPr>
        <w:t>®</w:t>
      </w:r>
      <w:r>
        <w:rPr>
          <w:rFonts w:ascii="Arial" w:cs="Arial" w:eastAsia="Arial" w:hAnsi="Arial"/>
          <w:sz w:val="16"/>
          <w:szCs w:val="16"/>
          <w:color w:val="auto"/>
        </w:rPr>
        <w:t xml:space="preserve"> (beclomethasone), are more broadly effective in blocking late phase inflammation, but their general side effects require careful monitoring. Leukotriene antagonists, such as Singulair</w:t>
      </w:r>
      <w:r>
        <w:rPr>
          <w:rFonts w:ascii="Arial" w:cs="Arial" w:eastAsia="Arial" w:hAnsi="Arial"/>
          <w:sz w:val="10"/>
          <w:szCs w:val="10"/>
          <w:color w:val="auto"/>
        </w:rPr>
        <w:t>®</w:t>
      </w:r>
      <w:r>
        <w:rPr>
          <w:rFonts w:ascii="Arial" w:cs="Arial" w:eastAsia="Arial" w:hAnsi="Arial"/>
          <w:sz w:val="16"/>
          <w:szCs w:val="16"/>
          <w:color w:val="auto"/>
        </w:rPr>
        <w:t xml:space="preserve"> (montelukast) or Accolate</w:t>
      </w:r>
      <w:r>
        <w:rPr>
          <w:rFonts w:ascii="Arial" w:cs="Arial" w:eastAsia="Arial" w:hAnsi="Arial"/>
          <w:sz w:val="10"/>
          <w:szCs w:val="10"/>
          <w:color w:val="auto"/>
        </w:rPr>
        <w:t>®</w:t>
      </w:r>
      <w:r>
        <w:rPr>
          <w:rFonts w:ascii="Arial" w:cs="Arial" w:eastAsia="Arial" w:hAnsi="Arial"/>
          <w:sz w:val="16"/>
          <w:szCs w:val="16"/>
          <w:color w:val="auto"/>
        </w:rPr>
        <w:t xml:space="preserve"> (zafirlukast), became available as a new asthma therapy in the late 1990s. These drugs block the actions of leukotrienes, which are pro-inflammatory chemical mediators, and the subsequent inflammation caused by eosinophil migration to the lungs. According to Merck &amp; Co., Inc.’s 2010 Annual Report, worldwide sales of Singulair</w:t>
      </w:r>
      <w:r>
        <w:rPr>
          <w:rFonts w:ascii="Arial" w:cs="Arial" w:eastAsia="Arial" w:hAnsi="Arial"/>
          <w:sz w:val="10"/>
          <w:szCs w:val="10"/>
          <w:color w:val="auto"/>
        </w:rPr>
        <w:t>®</w:t>
      </w:r>
      <w:r>
        <w:rPr>
          <w:rFonts w:ascii="Arial" w:cs="Arial" w:eastAsia="Arial" w:hAnsi="Arial"/>
          <w:sz w:val="16"/>
          <w:szCs w:val="16"/>
          <w:color w:val="auto"/>
        </w:rPr>
        <w:t>, a leading leukotriene antagonist, were $5.0 billion in 2010.</w:t>
      </w:r>
    </w:p>
    <w:p>
      <w:pPr>
        <w:spacing w:after="0" w:line="10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Overview of MN-001 in Asthma</w:t>
      </w:r>
      <w:r>
        <w:rPr>
          <w:rFonts w:ascii="Arial" w:cs="Arial" w:eastAsia="Arial" w:hAnsi="Arial"/>
          <w:sz w:val="16"/>
          <w:szCs w:val="16"/>
          <w:color w:val="auto"/>
        </w:rPr>
        <w:t>. MN-001 is a novel, orally bioavailable compound being developed for the treatment of bronchial asthma. We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MN-001 from Kyorin Pharmaceutical in March 2002.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conducted by Kyorin Pharmaceutical and us, MN-001 combined the positive attributes of the leukotriene antagonists and inhaled steroids, while maintaining an acceptable safety profile.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preclinical pharmacology studies, MN-001 inhibited airway hyper-reactivity through a reduction of airway inflammation</w:t>
      </w:r>
      <w:r>
        <w:rPr>
          <w:rFonts w:ascii="Arial" w:cs="Arial" w:eastAsia="Arial" w:hAnsi="Arial"/>
          <w:sz w:val="16"/>
          <w:szCs w:val="16"/>
          <w:i w:val="1"/>
          <w:iCs w:val="1"/>
          <w:color w:val="auto"/>
        </w:rPr>
        <w:t>. In vitro</w:t>
      </w:r>
      <w:r>
        <w:rPr>
          <w:rFonts w:ascii="Arial" w:cs="Arial" w:eastAsia="Arial" w:hAnsi="Arial"/>
          <w:sz w:val="16"/>
          <w:szCs w:val="16"/>
          <w:color w:val="auto"/>
        </w:rPr>
        <w:t xml:space="preserve"> studies and animal studies also suggested that MN-001 may affect many of the downstream mechanisms activated by mast cell degranulation, which is the release of chemicals that cause inflammation. MN-001 also demonstrated that it is a potent inhibitor of pro-inflammatory enzymes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 5-lipoxygenase and phosphodiesterase 4), as it prevented migration of inflammatory cells to the lungs of rodents in these studies. In addition, in guinea pig asthma models, MN-001 was more selective than steroids in affecting cells involved in the inflammatory process and not those involved in cellular immunity.</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Clinical Results</w:t>
      </w:r>
      <w:r>
        <w:rPr>
          <w:rFonts w:ascii="Arial" w:cs="Arial" w:eastAsia="Arial" w:hAnsi="Arial"/>
          <w:sz w:val="18"/>
          <w:szCs w:val="18"/>
          <w:color w:val="auto"/>
        </w:rPr>
        <w:t>. MN-001 has proven to be well tolerated in early clinical testing. Treatment-related adverse effects, primarily consisting of gastrointestinal</w:t>
      </w:r>
      <w:r>
        <w:rPr>
          <w:rFonts w:ascii="Arial" w:cs="Arial" w:eastAsia="Arial" w:hAnsi="Arial"/>
          <w:sz w:val="18"/>
          <w:szCs w:val="18"/>
          <w:i w:val="1"/>
          <w:iCs w:val="1"/>
          <w:color w:val="auto"/>
        </w:rPr>
        <w:t xml:space="preserve"> </w:t>
      </w:r>
      <w:r>
        <w:rPr>
          <w:rFonts w:ascii="Arial" w:cs="Arial" w:eastAsia="Arial" w:hAnsi="Arial"/>
          <w:sz w:val="18"/>
          <w:szCs w:val="18"/>
          <w:color w:val="auto"/>
        </w:rPr>
        <w:t>discomfort such as diarrhea, loose stools, nausea and upper abdominal pain, were mild, transient and reversible. These adverse effects were consistent with findings in preclinical studies.</w:t>
      </w:r>
    </w:p>
    <w:p>
      <w:pPr>
        <w:spacing w:after="0" w:line="127"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We conducted a randomized, double-blind, placebo-controlled, multi-center Phase II clinical trial in patients with mild-to-moderate asthma, which was completed in the fourth quarter of 2005. In this clinical trial, 147 patients were randomly assigned to receive placebo or MN-001 tablets in one of three oral dosing regimens for four weeks. The primary endpoint of the trial was achieved with a statistically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after four weeks of treatment with 500 mg of MN-001 at three times daily dosage, or TID, compared to placebo (p-value=0.021; intent-to-treat, observed cases). A similar trend was observed for the 750 mg two times daily dosage, or BID, of MN-001 (p-value=0.058). Positive trends in secondary outcome measures were also observed in the 500 mg TID treatment group, including serial spirometry, morning and evening peak flow rates, and provocative concentration causing a 20 percent fall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 or PC20, values in a methacholine challenge test, each of which is a common measure of respiratory function. MN-001 was well tolerated in this clinical trial with 89 percent of patients completing four weeks of treatment. There was no apparent difference between placebo and any of the active treatment groups in adverse events leading to discontinuation or in adverse events attributable to treatment.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IC is a chronic disease of the bladder characterized by urinary frequency and urgency, nighttime urination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pelvic and bladder pain. It is widely believed that IC is due to an altered or defective bladder lining and an increased number of activated bladder mast cells, which are specialized cells that release biochemicals and cause inflammation. According to the National Kidney and Urologic Diseases Information Clearinghouse, which is a division of the National Institutes of Health, an estimated 1.3 million patients suffer from IC in the United States, and more than one million of them are women. We believe that IC is currently underdiagnosed and that the market for drugs that treat IC will likely expand with the introduction of effective new treatments.</w:t>
      </w:r>
    </w:p>
    <w:p>
      <w:pPr>
        <w:spacing w:after="0" w:line="13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Overview of MN-001 in Interstitial Cystitis</w:t>
      </w:r>
      <w:r>
        <w:rPr>
          <w:rFonts w:ascii="Arial" w:cs="Arial" w:eastAsia="Arial" w:hAnsi="Arial"/>
          <w:sz w:val="18"/>
          <w:szCs w:val="18"/>
          <w:color w:val="auto"/>
        </w:rPr>
        <w:t>. MN-001 is a novel, orally bioavailable, anti-inflammatory compound being developed for the treatment of IC.</w:t>
      </w:r>
      <w:r>
        <w:rPr>
          <w:rFonts w:ascii="Arial" w:cs="Arial" w:eastAsia="Arial" w:hAnsi="Arial"/>
          <w:sz w:val="18"/>
          <w:szCs w:val="18"/>
          <w:i w:val="1"/>
          <w:iCs w:val="1"/>
          <w:color w:val="auto"/>
        </w:rPr>
        <w:t xml:space="preserve"> </w:t>
      </w:r>
      <w:r>
        <w:rPr>
          <w:rFonts w:ascii="Arial" w:cs="Arial" w:eastAsia="Arial" w:hAnsi="Arial"/>
          <w:sz w:val="18"/>
          <w:szCs w:val="18"/>
          <w:color w:val="auto"/>
        </w:rPr>
        <w:t>Data that we collected in connection with the development of MN-001 for bronchial asthma and data collected by Kyorin Pharmaceutical provided us with a strong scientific rationale for evaluating MN-001 as an oral treatment for IC. MN-001 has been shown to block a number of the inflammatory mechanisms activated by mast cell degranulation that are important in the pathogenesis of inflammatory disorders, including IC and asthma (</w:t>
      </w:r>
      <w:r>
        <w:rPr>
          <w:rFonts w:ascii="Arial" w:cs="Arial" w:eastAsia="Arial" w:hAnsi="Arial"/>
          <w:sz w:val="18"/>
          <w:szCs w:val="18"/>
          <w:i w:val="1"/>
          <w:iCs w:val="1"/>
          <w:color w:val="auto"/>
        </w:rPr>
        <w:t>e.g.</w:t>
      </w:r>
      <w:r>
        <w:rPr>
          <w:rFonts w:ascii="Arial" w:cs="Arial" w:eastAsia="Arial" w:hAnsi="Arial"/>
          <w:sz w:val="18"/>
          <w:szCs w:val="18"/>
          <w:color w:val="auto"/>
        </w:rPr>
        <w:t>, leukotriene receptor antagonism and inhibition of phosphodiesterases III and IV, 5-lipoxygenase, phospholipase C and thromboxane A2). In addition, MN-001 produced anti-inflammatory effects in a variety of rodent models of IC and asthma; in these models, MN-001 reduced bladder hyper-reactivity much in the same way that it reduced airway hyper-reactivity in the lung.</w:t>
      </w:r>
    </w:p>
    <w:p>
      <w:pPr>
        <w:spacing w:after="0" w:line="13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Clinical Results</w:t>
      </w:r>
      <w:r>
        <w:rPr>
          <w:rFonts w:ascii="Arial" w:cs="Arial" w:eastAsia="Arial" w:hAnsi="Arial"/>
          <w:sz w:val="16"/>
          <w:szCs w:val="16"/>
          <w:color w:val="auto"/>
        </w:rPr>
        <w:t>. We conducted a randomized, double-blind, placebo-controlled multi-center Phase II clinical trial in patients with moderate-to-severe IC,</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completed in the first quarter of 2007. This clinical trial involved 305 patients at 37 clinical sites in the United States. Results from this clinical trial indicated that, while well-tolerated, MN-001 did not show a statistically significant clinical benefit compared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placebo on the primary endpoint (to be much or very much improved overall on a patient-rated global response assessment) at the doses tested in this clinical trial (500 mg once or twice a day for eight weeks). Results from this clinical trial also indicated that IC patients were more than twice as likely to respond on 500 mg of MN-001 administered twice a day compared to placebo (25 percent compared to 12 percent, p-value=0.04) after four weeks of treatment. This difference, however, was not observed at eight weeks due to continued improvement among placebo-treated patients. The response rate of patients treated with 500 mg of MN-001 once a day did not significantly differ from placebo at either four or eight weeks.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The American Cancer Society estimates that more than 1.5 million Americans were diagnosed with cancer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2010, of which more than 750,000 patients were diagnosed with lung, prostate, colon, rectum or breast solid tumor cancers. The American Cancer Society also estimates that approximately 569,000 patients were ultimately to die from cancer in 2010. According to IMS Health, the global market for oncology products exceeded $48.0 billion in 2008.</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Tumor blood vessels are a promising target for cancer therapy. Compounds that act to deprive tumors of their blood supply fall into two classes: angiogenesis inhibitors and vascular disrupting agents, or VDAs. Angiogenesis inhibitors block the formation of new blood vessels formed in response to tumor growth, whereas VDAs disrupt blood flow through existing tumor blood vessels. We believe that VDAs have a potential advantage over angiogenesis inhibitors because VDAs work on existing tumor blood vessels and can kill hundreds of cancer cells that depend on that blood supply with even a brief interruption in blood flow, rather than simply slowing tumor growth by blocking new blood vessel formation.</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Overview of MN-029</w:t>
      </w:r>
      <w:r>
        <w:rPr>
          <w:rFonts w:ascii="Arial" w:cs="Arial" w:eastAsia="Arial" w:hAnsi="Arial"/>
          <w:sz w:val="16"/>
          <w:szCs w:val="16"/>
          <w:color w:val="auto"/>
        </w:rPr>
        <w:t>. MN-029 is a novel, small molecule VDA being developed for the treatment of solid tumors. We licensed MN-029 from Angiogene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Pharmaceuticals in June 2002. Several preclinical pharmacology studies conducted by Angiogene Pharmaceuticals and us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or DCE-MRI.</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Clinical Results. </w:t>
      </w:r>
      <w:r>
        <w:rPr>
          <w:rFonts w:ascii="Arial" w:cs="Arial" w:eastAsia="Arial" w:hAnsi="Arial"/>
          <w:sz w:val="18"/>
          <w:szCs w:val="18"/>
          <w:color w:val="auto"/>
        </w:rPr>
        <w:t>To date, we have conducted two Phase I clinical trials of MN-029 for the treatment of solid tumors,which completed in 2006 and 2007,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first Phase I clinical trial, MN-029 was administered as an intravenous infusion once every three weeks. Results from this clinical trial showed that MN-029 was well tolerated at doses that reduced tumor blood flow. A maximum tolerated dose of 180 mg/m</w:t>
      </w:r>
      <w:r>
        <w:rPr>
          <w:rFonts w:ascii="Arial" w:cs="Arial" w:eastAsia="Arial" w:hAnsi="Arial"/>
          <w:sz w:val="10"/>
          <w:szCs w:val="10"/>
          <w:color w:val="auto"/>
        </w:rPr>
        <w:t>2</w:t>
      </w:r>
      <w:r>
        <w:rPr>
          <w:rFonts w:ascii="Arial" w:cs="Arial" w:eastAsia="Arial" w:hAnsi="Arial"/>
          <w:sz w:val="16"/>
          <w:szCs w:val="16"/>
          <w:color w:val="auto"/>
        </w:rPr>
        <w:t xml:space="preserve"> per dose was established in this clinical trial. The most common side effects of MN-029 were characteristic of other VDAs and included nausea, vomiting, fatigue and diarrhea. Nine of 34 patients with advanced solid tumors for whom no standard therapy was available had stable disease after three cycles of treatment. Six patients had prolonged (greater than six months) stable disease. Although no patients showed objective responses based on Response Evaluation Criteria in Solid Tumors, or RECIST criteria, which is tumor length on computed tomography, or CT, or MRI scans, semi-automated measurements of tumor volumes from CT scans showed a measureable reduction in tumor burden in the subject with the largest reduction in tumor blood flow (Ktrans -40 percent). Tumor blood flow reduction assessed by dynamic contrast-enhanced magnetic resonance imaging, or DCE-MRI, was recorded at doses greater than or equal to 120 mg/m</w:t>
      </w:r>
      <w:r>
        <w:rPr>
          <w:rFonts w:ascii="Arial" w:cs="Arial" w:eastAsia="Arial" w:hAnsi="Arial"/>
          <w:sz w:val="10"/>
          <w:szCs w:val="10"/>
          <w:color w:val="auto"/>
        </w:rPr>
        <w:t>2</w:t>
      </w:r>
      <w:r>
        <w:rPr>
          <w:rFonts w:ascii="Arial" w:cs="Arial" w:eastAsia="Arial" w:hAnsi="Arial"/>
          <w:sz w:val="16"/>
          <w:szCs w:val="16"/>
          <w:color w:val="auto"/>
        </w:rPr>
        <w:t xml:space="preserve"> .</w:t>
      </w:r>
    </w:p>
    <w:p>
      <w:pPr>
        <w:spacing w:after="0" w:line="10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the second Phase I clinical trial, MN-029 was administered as an intravenous infusion every seven days (days 1, 8, 15) followed by a 13-day recovery period (one cycle). Results from this clinical trial showed that MN-029 was well tolerated. The maximum dose was limited to 180 mg/m</w:t>
      </w:r>
      <w:r>
        <w:rPr>
          <w:rFonts w:ascii="Arial" w:cs="Arial" w:eastAsia="Arial" w:hAnsi="Arial"/>
          <w:sz w:val="11"/>
          <w:szCs w:val="11"/>
          <w:color w:val="auto"/>
        </w:rPr>
        <w:t>2</w:t>
      </w:r>
      <w:r>
        <w:rPr>
          <w:rFonts w:ascii="Arial" w:cs="Arial" w:eastAsia="Arial" w:hAnsi="Arial"/>
          <w:sz w:val="18"/>
          <w:szCs w:val="18"/>
          <w:color w:val="auto"/>
        </w:rPr>
        <w:t xml:space="preserve"> per dose based on the results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98" w:lineRule="auto"/>
        <w:rPr>
          <w:sz w:val="20"/>
          <w:szCs w:val="20"/>
          <w:color w:val="auto"/>
        </w:rPr>
      </w:pPr>
      <w:r>
        <w:rPr>
          <w:rFonts w:ascii="Arial" w:cs="Arial" w:eastAsia="Arial" w:hAnsi="Arial"/>
          <w:sz w:val="16"/>
          <w:szCs w:val="16"/>
          <w:color w:val="auto"/>
        </w:rPr>
        <w:t>other Phase I trial that employed a less aggressive dosing schedule. The most common side effects of MN-029 in this clinical trial included nausea, vomiting, arthralgia and headache. Eleven of 20 patients with advanced solid tumors for whom no standard therapy was available had stable disease after two cycles of treatment. Four subjects continued on extended cycles of MN-029 treatment. Based on RECIST criteria, one patient with metastatic pancreatic cancer had an overall partial response with a duration of 74 days. Seven patients had stable disease with a median duration of 83 days.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MN-305 for Generalized Anxiety Disorder/Insomnia</w:t>
      </w:r>
    </w:p>
    <w:p>
      <w:pPr>
        <w:spacing w:after="0" w:line="158" w:lineRule="exact"/>
        <w:rPr>
          <w:sz w:val="20"/>
          <w:szCs w:val="20"/>
          <w:color w:val="auto"/>
        </w:rPr>
      </w:pPr>
    </w:p>
    <w:p>
      <w:pPr>
        <w:ind w:right="300" w:firstLine="456"/>
        <w:spacing w:after="0" w:line="289"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The essential characteristic of Generalized Anxiety Disorder is excessive, uncontrollable worry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everyday events. This constant worry affects daily functioning and can cause severe physical symptoms. Generalized Anxiety Disorder can occur with other anxiety disorders, depressive disorders or substance abuse. Generalized Anxiety Disorder is often difficult to diagnose because it is not triggered by a specific object or situation. The intensity, duration and frequency of the worry are disproportionate to the issue. As a result, Generalized Anxiety Disorder tends to interfere with the patient’s performance of tasks and ability to concentrate. According to the National Institute of Mental Health, anxiety disorders affect approximately 40 million American adults, of whom approximately 6.8 million suffer from Generalized Anxiety Disorder. Anxiety disorders are the most prevalent of neuropsychiatric conditions, yet are generally considered to be under-diagnosed and therefore undertreated. Therefore, we believe that there is a significant opportunity for the introduction of new anxiety reducing drugs.</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variety of pharmacologic agents are used to manage patients with anxiety disorders. Benzodiazepines have been the mainstay of the treatment of acute anxiety since the late 1960s. However, their efficacy as a treatment has been limited by problems faced in chronic use due to their sedative effects. In the late 1980s, buspirone was introduced and widely used even though it takes effect slowly. Buspirone was well tolerated and relatively safe. During the late 1990s, newer anti-depressants, notably the specific serotonin reuptake inhibitors, or SSRIs, were increasingly used to treat anxiety as well. While effective, the use of SSRIs may result in a variety of undesirable side effects, including agitation and sexual dysfunction. Also, SSRIs may take weeks to exert their beneficial effects.</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7"/>
          <w:szCs w:val="17"/>
          <w:i w:val="1"/>
          <w:iCs w:val="1"/>
          <w:color w:val="auto"/>
        </w:rPr>
        <w:t>Overview of MN-305 in Generalized Anxiety Disorder/Insomnia</w:t>
      </w:r>
      <w:r>
        <w:rPr>
          <w:rFonts w:ascii="Arial" w:cs="Arial" w:eastAsia="Arial" w:hAnsi="Arial"/>
          <w:sz w:val="17"/>
          <w:szCs w:val="17"/>
          <w:color w:val="auto"/>
        </w:rPr>
        <w:t>. MN-305 is a serotonin receptor agonist with high affinity and selectivity for the serotonin</w:t>
      </w:r>
      <w:r>
        <w:rPr>
          <w:rFonts w:ascii="Arial" w:cs="Arial" w:eastAsia="Arial" w:hAnsi="Arial"/>
          <w:sz w:val="17"/>
          <w:szCs w:val="17"/>
          <w:i w:val="1"/>
          <w:iCs w:val="1"/>
          <w:color w:val="auto"/>
        </w:rPr>
        <w:t xml:space="preserve"> </w:t>
      </w:r>
      <w:r>
        <w:rPr>
          <w:rFonts w:ascii="Arial" w:cs="Arial" w:eastAsia="Arial" w:hAnsi="Arial"/>
          <w:sz w:val="17"/>
          <w:szCs w:val="17"/>
          <w:color w:val="auto"/>
        </w:rPr>
        <w:t>5-HT</w:t>
      </w:r>
      <w:r>
        <w:rPr>
          <w:rFonts w:ascii="Arial" w:cs="Arial" w:eastAsia="Arial" w:hAnsi="Arial"/>
          <w:sz w:val="21"/>
          <w:szCs w:val="21"/>
          <w:color w:val="auto"/>
          <w:vertAlign w:val="subscript"/>
        </w:rPr>
        <w:t>1A</w:t>
      </w:r>
      <w:r>
        <w:rPr>
          <w:rFonts w:ascii="Arial" w:cs="Arial" w:eastAsia="Arial" w:hAnsi="Arial"/>
          <w:sz w:val="17"/>
          <w:szCs w:val="17"/>
          <w:color w:val="auto"/>
        </w:rPr>
        <w:t xml:space="preserve"> receptor subtype. Drugs that act through this mechanism, such as buspirone, have been proven to be clinically effective in treating Generalized Anxiety Disorder. We licensed MN-305 from Mitsubishi Pharma Corporation, now Mitsubishi Tanabe Pharma Corporation, in April 2004. MN-305 has been shown to be more potent than buspirone and to exhibit anti-anxiety efficacy in a wide range of preclinical rodent models. For example, in a social interaction test, MN-305 prolonged the duration of social interaction in rats. Preclinical and clinical studies conducted by Mitsubishi Tanabe Pharma Corporation and us also suggest that MN-305 may have a more rapid onset of action than buspirone.</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Preliminary evidence of anti-anxiety efficacy was provided by a six-week, open-label, fixed-flexible dose Phase II clinical trial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by Mitsubishi Tanabe Pharma Corporation in Japan in 61 patients with neurotic disorders. The neurotic disorders included Generalized Anxiety Disorder, panic disorder, agoraphobia, mixed anxiety and depressive disorder and dysthymia. MN-305 was well tolerated, with headaches being the most common side effect in this clinical trial. At the end of the clinical trial, the mean Hamilton Rating Scale for Anxiety score, or HAM-A score, which is a scale used to measure the intensity of anxiety symptoms, was reduced compared to the pre-treatment value. Similarly, a majority of the patients were rated “Moderately Improved” or better following treatment with MN-305. In addition, MN-305 was well tolerated in several clinical trials conducted by Mitsubishi Tanabe Pharma Corporation in healthy volunteers and patients with anxiety disorders and Major Depressive Disorder. These studies did not evaluate the reduction of anxiety symptoms in patients that were not treated with MN-305.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IND for MN-305 was transferred to us from Mitsubishi Tanabe Pharma Corporation, which enabled us to conduct a Phase II randomized, double-blind, placebo-controlled clinical trial in 416 patients with Generalized Anxiety Disorder , which was completed in the second quarter of 2006. The results revealed trends for improvement in all efficacy outcome measures. Statistically significant improvements in the total HAM-A score and in anxious mood, which is item 1 of the HAM-A score and was a secondary endpoint in this clinical trial, were observed through eight weeks of treatment. However, statistical significance on change from baseline of the total HAM-A score after ten weeks of treatment, which was the primary outcome measure of this clinical trial, was not achieved. MN-305 was well tolerated at all doses in this clinical trial, and we believe the findings were sufficiently positive to warrant further clinical evaluation of this product candidate.</w:t>
      </w:r>
    </w:p>
    <w:p>
      <w:pPr>
        <w:spacing w:after="0" w:line="13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analyzed the results from our Phase II clinical trial of MN-305 in Generalized Anxiety Disorder and performed in-depth analyses of subgroups that showed statistically significant improvement in certain aspects of the HAM-A score (</w:t>
      </w:r>
      <w:r>
        <w:rPr>
          <w:rFonts w:ascii="Arial" w:cs="Arial" w:eastAsia="Arial" w:hAnsi="Arial"/>
          <w:sz w:val="16"/>
          <w:szCs w:val="16"/>
          <w:i w:val="1"/>
          <w:iCs w:val="1"/>
          <w:color w:val="auto"/>
        </w:rPr>
        <w:t>e.g.</w:t>
      </w:r>
      <w:r>
        <w:rPr>
          <w:rFonts w:ascii="Arial" w:cs="Arial" w:eastAsia="Arial" w:hAnsi="Arial"/>
          <w:sz w:val="16"/>
          <w:szCs w:val="16"/>
          <w:color w:val="auto"/>
        </w:rPr>
        <w:t>, insomnia). Based on these analyses, we initiated a Phase II proof-of-concept clinical trial of MN-305 for the treatment of insomnia in the first quarter of 2007 to assess the effects of three dosages of MN-305 (1 mg, 3 mg and 6 mg) and placebo, all administered orally approximately 60 minutes before bedtime. This clinical trial, which involved 74 subjects at ten study centers in the United States, was completed in the fourth quarter of 2007. This clinical trial failed to achieve statistical significance in its primary endpoint of reducing Wake (time) After Sleep Onset, or WASO. MN-305 was well tolerated in this clinical trial with no clinically significant adverse events observed at any dose tested, and there was no evidence of any decrements in psychomotor performance, as assessed in digit symbol substitution and symbol copying tests, in patients treated with MN-305. Based upon the results of this clinical trial, we decided to terminate the evaluation of MN-305 for the treatment of insomnia.</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Indication Overview and Market Opportunity. </w:t>
      </w:r>
      <w:r>
        <w:rPr>
          <w:rFonts w:ascii="Arial" w:cs="Arial" w:eastAsia="Arial" w:hAnsi="Arial"/>
          <w:sz w:val="18"/>
          <w:szCs w:val="18"/>
          <w:color w:val="auto"/>
        </w:rPr>
        <w:t>Preterm labor is caused by the onset of uterine contractions before term. According to a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publication in Obstetrics &amp; Gynecology, preterm labor is the leading cause of neonatal mortality and a substantial portion of all birth-related short and long-term morbidity. Successful inhibition of premature birth is known to reduce the risk of complications. Despite extensive research into preterm labor during the past several decades, the rate of premature births has not decreased. According to the National Vital Statistics Reports issued by the U.S. Department of Health and Human Services, or DHHS, there were 4.3 million births in the United States in 2007. The 2007 preterm birth rate was 12.7 percent. The DHHS estimates that the costs associated with preterm births are over $26 billion annually. According to the World Health Organization, six percent to seven percent of all births in Europe occur before term.</w:t>
      </w:r>
    </w:p>
    <w:p>
      <w:pPr>
        <w:spacing w:after="0" w:line="71" w:lineRule="exact"/>
        <w:rPr>
          <w:sz w:val="20"/>
          <w:szCs w:val="20"/>
          <w:color w:val="auto"/>
        </w:rPr>
      </w:pPr>
    </w:p>
    <w:p>
      <w:pPr>
        <w:ind w:right="140" w:firstLine="456"/>
        <w:spacing w:after="0" w:line="232" w:lineRule="auto"/>
        <w:rPr>
          <w:sz w:val="20"/>
          <w:szCs w:val="20"/>
          <w:color w:val="auto"/>
        </w:rPr>
      </w:pPr>
      <w:r>
        <w:rPr>
          <w:rFonts w:ascii="Arial" w:cs="Arial" w:eastAsia="Arial" w:hAnsi="Arial"/>
          <w:sz w:val="18"/>
          <w:szCs w:val="18"/>
          <w:color w:val="auto"/>
        </w:rPr>
        <w:t>Currently, therapy for preterm labor remains targeted at uterine contractions.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agonists are generally used as first-line treatments for premature labor. The only FDA-approved treatment for preterm labor is ritodrine, a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agonist. However, ritodrine has not been available for sale in the U.S. market since 1999. The more widely used treatment for preterm labor is another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agonist, terbutaline; however, this drug is not approved by the FDA for preterm labor. Atosiban, an oxytocin antagonist, is available in Europe, but was denied regulatory approval in the United States. The usefulness of these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 adrenergic receptor agonists is often limited by the adverse reactions they produce, which include cardiovascular side effects such as heart palpitations. As a result, we believe that there is a need for treatments with better safety and tolerability profiles that are effective in reducing the premature birth rate and/or providing for longer gestation.</w:t>
      </w:r>
    </w:p>
    <w:p>
      <w:pPr>
        <w:spacing w:after="0" w:line="14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On March 3, 2011, we executed a joint venture agreement with Zhejiang Medicine Co., Ltd. and Beijing Make-Friend Medicine Technology Co., Ltd., which provides for the establishment of a joint venture company to develop and commercialize MN-221 in China. See “Recent Developments.”</w:t>
      </w:r>
    </w:p>
    <w:p>
      <w:pPr>
        <w:spacing w:after="0" w:line="9" w:lineRule="exact"/>
        <w:rPr>
          <w:sz w:val="20"/>
          <w:szCs w:val="20"/>
          <w:color w:val="auto"/>
        </w:rPr>
      </w:pPr>
    </w:p>
    <w:p>
      <w:pPr>
        <w:jc w:val="both"/>
        <w:ind w:right="20" w:firstLine="456"/>
        <w:spacing w:after="0" w:line="242" w:lineRule="auto"/>
        <w:rPr>
          <w:sz w:val="20"/>
          <w:szCs w:val="20"/>
          <w:color w:val="auto"/>
        </w:rPr>
      </w:pPr>
      <w:r>
        <w:rPr>
          <w:rFonts w:ascii="Arial" w:cs="Arial" w:eastAsia="Arial" w:hAnsi="Arial"/>
          <w:sz w:val="18"/>
          <w:szCs w:val="18"/>
          <w:i w:val="1"/>
          <w:iCs w:val="1"/>
          <w:color w:val="auto"/>
        </w:rPr>
        <w:t>Overview of MN-221 in Preterm Labor</w:t>
      </w:r>
      <w:r>
        <w:rPr>
          <w:rFonts w:ascii="Arial" w:cs="Arial" w:eastAsia="Arial" w:hAnsi="Arial"/>
          <w:sz w:val="18"/>
          <w:szCs w:val="18"/>
          <w:color w:val="auto"/>
        </w:rPr>
        <w:t>. MN-221 is highly-selective ß</w:t>
      </w:r>
      <w:r>
        <w:rPr>
          <w:rFonts w:ascii="Arial" w:cs="Arial" w:eastAsia="Arial" w:hAnsi="Arial"/>
          <w:sz w:val="22"/>
          <w:szCs w:val="22"/>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-adrenergic receptor agonist being developed for the treatment of preterm labor.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licensed MN-221 from Kissei Pharmaceutical in February 2004. Preclinical testing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showed MN-221 to be more selective for the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than other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agonists currently used to treat preterm labor. Moreover,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also suggested that MN-221 may act as only a partial ß</w:t>
      </w:r>
      <w:r>
        <w:rPr>
          <w:rFonts w:ascii="Arial" w:cs="Arial" w:eastAsia="Arial" w:hAnsi="Arial"/>
          <w:sz w:val="21"/>
          <w:szCs w:val="21"/>
          <w:color w:val="auto"/>
          <w:vertAlign w:val="subscript"/>
        </w:rPr>
        <w:t>1</w:t>
      </w:r>
      <w:r>
        <w:rPr>
          <w:rFonts w:ascii="Arial" w:cs="Arial" w:eastAsia="Arial" w:hAnsi="Arial"/>
          <w:sz w:val="17"/>
          <w:szCs w:val="17"/>
          <w:color w:val="auto"/>
        </w:rPr>
        <w:t xml:space="preserve"> -adrenergic receptor agonist in cardiac tissue, while acting as a full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in the uterus. This improved receptor binding and functional selectivity may result in fewer cardiovascular side effects than are commonly observed with other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agonists used to treat this condition. In preclinical pharmacology studies in pregnant rats and sheep conducted by Kissei Pharmaceutical, MN-221 reduced the number of spontaneous or drug-induced uterine contractions. Furthermore, in these studies, MN-221 delayed both normal and preterm labor in rats and caused a marked increase in the bodyweight of rat pups as a result of prevention of premature birth. In rat and sheep studies which compared MN-221 to ritodrine and/or terbutaline, the potency of MN-221 was greater than those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agonists.</w:t>
      </w:r>
    </w:p>
    <w:p>
      <w:pPr>
        <w:spacing w:after="0" w:line="13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To date, pharmacokinetic and safety data has been generated from human experience with MN-221 through Phase I clinical studies in</w:t>
      </w:r>
      <w:r>
        <w:rPr>
          <w:rFonts w:ascii="Arial" w:cs="Arial" w:eastAsia="Arial" w:hAnsi="Arial"/>
          <w:sz w:val="16"/>
          <w:szCs w:val="16"/>
          <w:i w:val="1"/>
          <w:iCs w:val="1"/>
          <w:color w:val="auto"/>
        </w:rPr>
        <w:t xml:space="preserve"> </w:t>
      </w:r>
      <w:r>
        <w:rPr>
          <w:rFonts w:ascii="Arial" w:cs="Arial" w:eastAsia="Arial" w:hAnsi="Arial"/>
          <w:sz w:val="16"/>
          <w:szCs w:val="16"/>
          <w:color w:val="auto"/>
        </w:rPr>
        <w:t>healthy male and non-pregnant female volunteers conducted by Kissei Pharmaceutical in Japan and the United Kingdom and a Phase I clinical trial in the United States conducted by us. A total of 244 healthy subjects received intravenous infusions of either MN-221 or a placebo. MN-221 was generally well tolerated. A pilot double-blind, placebo-controlled Phase II clinical trial of MN-221 was completed in 2004 by Kissei Pharmaceutical in seven women in preterm labor in the United Kingdom. A trend towards a reduction in the number of uterine contractions was observed in MN-221-treated women and, as a result, only limited conclusions could be drawn from this clinical trial. No serious adverse events related to MN-221 were observed in this clinical trial.</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initiated a Phase I clinical trial in healthy pregnant women in the third quarter of 2006. Ten healthy, pregnant volunteers who were not in labor participated in this clinical trial, which was completed in the second quarter of 2007. The volunteers received a single-dose intravenous infusion regimen of MN-221, consisting of two consecutive rounds of a 15-minute priming and a 105-minute maintenance infusion to deliver 294 micrograms of MN-221 over four hours. The primary objectives of this clinical trial were to determine the pharmacokinetics, safety and tolerability of this infusion regimen of MN-221 in pregnant women. No significant safety concerns with MN-221 were identified in this clinical trial.</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Indication Overview and Market Opportunity. </w:t>
      </w:r>
      <w:r>
        <w:rPr>
          <w:rFonts w:ascii="Arial" w:cs="Arial" w:eastAsia="Arial" w:hAnsi="Arial"/>
          <w:sz w:val="18"/>
          <w:szCs w:val="18"/>
          <w:color w:val="auto"/>
        </w:rPr>
        <w:t>Urinary incontinence occurs when normal regulation of bladder function is lost. According to the DHHS,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over 13 million adults in the United States suffering from urinary incontinence.</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market for drugs to treat urinary incontinence is expected to grow substantially as more patients seek treatment and as newer drugs are introduced to the market. According to GlobalData, the global market for urinary incontinence was $2.5 billion in 2009 and is projected to grow to $3.4 billion by 2017. The current marketplace is dominated by anti-cholinergic drugs that are modestly effective and produce treatment-limiting side effects such as dry mouth. According to Pfizer Inc.’s 2009 annual report, sales of its Detrol</w:t>
      </w:r>
      <w:r>
        <w:rPr>
          <w:rFonts w:ascii="Arial" w:cs="Arial" w:eastAsia="Arial" w:hAnsi="Arial"/>
          <w:sz w:val="10"/>
          <w:szCs w:val="10"/>
          <w:color w:val="auto"/>
        </w:rPr>
        <w:t>®</w:t>
      </w:r>
      <w:r>
        <w:rPr>
          <w:rFonts w:ascii="Arial" w:cs="Arial" w:eastAsia="Arial" w:hAnsi="Arial"/>
          <w:sz w:val="16"/>
          <w:szCs w:val="16"/>
          <w:color w:val="auto"/>
        </w:rPr>
        <w:t xml:space="preserve"> were approximately $1.2 billion in 2009.</w:t>
      </w:r>
    </w:p>
    <w:p>
      <w:pPr>
        <w:spacing w:after="0" w:line="3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Overview of MN-246 in Urinary Incontinence</w:t>
      </w:r>
      <w:r>
        <w:rPr>
          <w:rFonts w:ascii="Arial" w:cs="Arial" w:eastAsia="Arial" w:hAnsi="Arial"/>
          <w:sz w:val="17"/>
          <w:szCs w:val="17"/>
          <w:color w:val="auto"/>
        </w:rPr>
        <w:t>. MN-246 is a novel ß</w:t>
      </w:r>
      <w:r>
        <w:rPr>
          <w:rFonts w:ascii="Arial" w:cs="Arial" w:eastAsia="Arial" w:hAnsi="Arial"/>
          <w:sz w:val="21"/>
          <w:szCs w:val="21"/>
          <w:color w:val="auto"/>
          <w:vertAlign w:val="subscript"/>
        </w:rPr>
        <w:t>3</w:t>
      </w:r>
      <w:r>
        <w:rPr>
          <w:rFonts w:ascii="Arial" w:cs="Arial" w:eastAsia="Arial" w:hAnsi="Arial"/>
          <w:sz w:val="17"/>
          <w:szCs w:val="17"/>
          <w:i w:val="1"/>
          <w:iCs w:val="1"/>
          <w:color w:val="auto"/>
        </w:rPr>
        <w:t xml:space="preserve"> </w:t>
      </w:r>
      <w:r>
        <w:rPr>
          <w:rFonts w:ascii="Arial" w:cs="Arial" w:eastAsia="Arial" w:hAnsi="Arial"/>
          <w:sz w:val="17"/>
          <w:szCs w:val="17"/>
          <w:color w:val="auto"/>
        </w:rPr>
        <w:t>-adrenergic receptor agonist being developed for the treatment of urinary incontinence.</w:t>
      </w:r>
      <w:r>
        <w:rPr>
          <w:rFonts w:ascii="Arial" w:cs="Arial" w:eastAsia="Arial" w:hAnsi="Arial"/>
          <w:sz w:val="17"/>
          <w:szCs w:val="17"/>
          <w:i w:val="1"/>
          <w:iCs w:val="1"/>
          <w:color w:val="auto"/>
        </w:rPr>
        <w:t xml:space="preserve"> </w:t>
      </w:r>
      <w:r>
        <w:rPr>
          <w:rFonts w:ascii="Arial" w:cs="Arial" w:eastAsia="Arial" w:hAnsi="Arial"/>
          <w:sz w:val="17"/>
          <w:szCs w:val="17"/>
          <w:color w:val="auto"/>
        </w:rPr>
        <w:t>We licensed MN-246 from Mitsubishi Pharma Corporation, now Mitsubishi Tanabe Pharma Corporation, in December 2004. We believe that MN-246 represents a new approach to treating urinary incontinence and may have advantages over existing therapies, including potential improvements in efficacy through increases in bladder volume with decreases in involuntary bladder contractions and the absence of anti-cholinergic side effects, such as dry mouth. In preclinical studies in rats conducted by Mitsubishi Tanabe Pharma Corporation, MN-246 was more potent and active than oxybutynin and propiverine in increasing bladder volume. In addition, the studies showed that MN-246 produced little or no increase in residual urine volume and no anti-cholinergic side effects in rats. MN-246 also increased bladder volume in preclinical studies conducted on dogs and monkeys.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Clinical Results</w:t>
      </w:r>
      <w:r>
        <w:rPr>
          <w:rFonts w:ascii="Arial" w:cs="Arial" w:eastAsia="Arial" w:hAnsi="Arial"/>
          <w:sz w:val="16"/>
          <w:szCs w:val="16"/>
          <w:color w:val="auto"/>
        </w:rPr>
        <w:t>. We completed a double-blind, randomized, placebo-controlled, single escalating dose Phase I clinical trial of MN-246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urinary incontinence in healthy volunteers to evaluate the safety, tolerability and pharmacokinetics of MN-246 in the fourth quarter of 2006. We also conducted a Phase I food effects study in healthy volunteers, which was completed in the first quarter of 2007. MN-246 was tolerated in both clinical trials.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Despite advances in the treatment of cardiovascular disease, or CVD, more than 616,000 people died of</w:t>
      </w:r>
      <w:r>
        <w:rPr>
          <w:rFonts w:ascii="Arial" w:cs="Arial" w:eastAsia="Arial" w:hAnsi="Arial"/>
          <w:sz w:val="18"/>
          <w:szCs w:val="18"/>
          <w:i w:val="1"/>
          <w:iCs w:val="1"/>
          <w:color w:val="auto"/>
        </w:rPr>
        <w:t xml:space="preserve"> </w:t>
      </w:r>
      <w:r>
        <w:rPr>
          <w:rFonts w:ascii="Arial" w:cs="Arial" w:eastAsia="Arial" w:hAnsi="Arial"/>
          <w:sz w:val="18"/>
          <w:szCs w:val="18"/>
          <w:color w:val="auto"/>
        </w:rPr>
        <w:t>heart disease in 2007, according to the CDC’s National Vital Statistics Reports. Heart disease causes approximately 25% of deaths in the United States. According to the American Heart Association, there are 80 million individuals in the United States that currently live with some form of CVD, which can include high blood pressure, coronary heart disease, stroke, angina (chest pain), myocardial infarction (heart attack) and congenital heart defects. According to Datamonitor, worldwide sales of antithrombotic drugs are forecasted to reach approximately $22 billion in 2017. We believe that there remains an unmet medical need for safe and effective treatments for thrombotic conditions, including acute coronary syndrome, myocardial infarction, peripheral arterial disease and percutaneous coronary interventions.</w:t>
      </w:r>
    </w:p>
    <w:p>
      <w:pPr>
        <w:spacing w:after="0" w:line="13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According to the CDC, CVD remains the leading cause of death in the United States for both men and women. Given the high mortality and morbidity rates associated with CVD. We believe there is an urgent need for more targeted therapies that can intervene in known molecular pathways and minimize damage to the heart and related tissues.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Overview of MN-447 and MN-462 in Thrombotic Disorders</w:t>
      </w:r>
      <w:r>
        <w:rPr>
          <w:rFonts w:ascii="Arial" w:cs="Arial" w:eastAsia="Arial" w:hAnsi="Arial"/>
          <w:sz w:val="18"/>
          <w:szCs w:val="18"/>
          <w:color w:val="auto"/>
        </w:rPr>
        <w:t>. MN-447 and MN-462 are novel, small molecule antithrombic agents being developed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various thrombotic disorders. We licensed MN-447 and MN-462 from Meiji Seika Kaisha in November 2006.</w:t>
      </w:r>
    </w:p>
    <w:p>
      <w:pPr>
        <w:spacing w:after="0" w:line="55" w:lineRule="exact"/>
        <w:rPr>
          <w:sz w:val="20"/>
          <w:szCs w:val="20"/>
          <w:color w:val="auto"/>
        </w:rPr>
      </w:pPr>
    </w:p>
    <w:p>
      <w:pPr>
        <w:ind w:right="20" w:firstLine="456"/>
        <w:spacing w:after="0" w:line="280" w:lineRule="auto"/>
        <w:rPr>
          <w:sz w:val="20"/>
          <w:szCs w:val="20"/>
          <w:color w:val="auto"/>
        </w:rPr>
      </w:pPr>
      <w:r>
        <w:rPr>
          <w:rFonts w:ascii="Arial" w:cs="Arial" w:eastAsia="Arial" w:hAnsi="Arial"/>
          <w:sz w:val="16"/>
          <w:szCs w:val="16"/>
          <w:color w:val="auto"/>
        </w:rPr>
        <w:t>MN-447 is a cardioprotective, anti-platelet agent that acts as a dual antagonist of glycoprotein, or GP, IIbIIIa and integrin alpha-v-beta-3, or a</w:t>
      </w:r>
      <w:r>
        <w:rPr>
          <w:rFonts w:ascii="Arial" w:cs="Arial" w:eastAsia="Arial" w:hAnsi="Arial"/>
          <w:sz w:val="20"/>
          <w:szCs w:val="20"/>
          <w:color w:val="auto"/>
          <w:vertAlign w:val="subscript"/>
        </w:rPr>
        <w:t>v</w:t>
      </w:r>
      <w:r>
        <w:rPr>
          <w:rFonts w:ascii="Arial" w:cs="Arial" w:eastAsia="Arial" w:hAnsi="Arial"/>
          <w:sz w:val="16"/>
          <w:szCs w:val="16"/>
          <w:color w:val="auto"/>
        </w:rPr>
        <w:t xml:space="preserve"> ß</w:t>
      </w:r>
      <w:r>
        <w:rPr>
          <w:rFonts w:ascii="Arial" w:cs="Arial" w:eastAsia="Arial" w:hAnsi="Arial"/>
          <w:sz w:val="20"/>
          <w:szCs w:val="20"/>
          <w:color w:val="auto"/>
          <w:vertAlign w:val="subscript"/>
        </w:rPr>
        <w:t>3</w:t>
      </w:r>
      <w:r>
        <w:rPr>
          <w:rFonts w:ascii="Arial" w:cs="Arial" w:eastAsia="Arial" w:hAnsi="Arial"/>
          <w:sz w:val="16"/>
          <w:szCs w:val="16"/>
          <w:color w:val="auto"/>
        </w:rPr>
        <w:t xml:space="preserve"> , receptors that play key roles in blood clot formation and various cell behaviors and functions such as leukocyte adhesion. Preclinical studies have demonstrated that MN-447 acts downstream by inhibiting the final common pathway of platelet aggregation—the cross-linking of platelets via fibrinogen bridges to GP IIbIIIa receptors. Inhibition of integrin a</w:t>
      </w:r>
      <w:r>
        <w:rPr>
          <w:rFonts w:ascii="Arial" w:cs="Arial" w:eastAsia="Arial" w:hAnsi="Arial"/>
          <w:sz w:val="20"/>
          <w:szCs w:val="20"/>
          <w:color w:val="auto"/>
          <w:vertAlign w:val="subscript"/>
        </w:rPr>
        <w:t>v</w:t>
      </w:r>
      <w:r>
        <w:rPr>
          <w:rFonts w:ascii="Arial" w:cs="Arial" w:eastAsia="Arial" w:hAnsi="Arial"/>
          <w:sz w:val="16"/>
          <w:szCs w:val="16"/>
          <w:color w:val="auto"/>
        </w:rPr>
        <w:t xml:space="preserve"> ß</w:t>
      </w:r>
      <w:r>
        <w:rPr>
          <w:rFonts w:ascii="Arial" w:cs="Arial" w:eastAsia="Arial" w:hAnsi="Arial"/>
          <w:sz w:val="20"/>
          <w:szCs w:val="20"/>
          <w:color w:val="auto"/>
          <w:vertAlign w:val="subscript"/>
        </w:rPr>
        <w:t>3</w:t>
      </w:r>
      <w:r>
        <w:rPr>
          <w:rFonts w:ascii="Arial" w:cs="Arial" w:eastAsia="Arial" w:hAnsi="Arial"/>
          <w:sz w:val="16"/>
          <w:szCs w:val="16"/>
          <w:color w:val="auto"/>
        </w:rPr>
        <w:t xml:space="preserve"> receptors has been linked to an inhibition of leukocyte adhesion to endothelium (the layer of cells lining blood vessels), reduction of hyperplasia (abnormal cellular proliferation) and lumen stenosis (blood vessel constriction) in response to vascular injury. In animal models of myocardial infarction and unstable angina, the dual inhibitory activity of MN-447 produced superior cardioprotective efficacy, such as reduction in infarct size after reperfusion (restoration of blood flow) compared to inhibition of the GP IIbIIIa receptor alone, and showed a low risk of bleeding.</w:t>
      </w:r>
    </w:p>
    <w:p>
      <w:pPr>
        <w:spacing w:after="0" w:line="11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MN-462 is a selective inhibitor of a key enzyme in the intrinsic antifibrinolytic mechanism, plasma carboxypeptidase B, or CPB, and also called activated thrombin-activatable fibrinolysis inhibitor, or TAFIa, which inhibits physiological fibrinolysis, or the lysis or dissolving of blood clots. By enhancing intrinsic fibrinolysis through plasma CPB inhibition, MN-462 has the potential to reduce and prevent thrombus or blood clot formation, as well as dissolve formed thrombus. In preclinical studies, MN-462 demonstrated significant fibrinolytic-enhancing and anti-thrombotic activities as monotherapy in several thrombosis models, as well as activities when used as an adjunct to fibrinolytics such as tissue plasminogen activator, or t-PA. The effect of MN-462 in enhancing the intrinsic fibrinolytic process was also observed to result in a low risk of bleeding.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currently have no marketing and sales capabilities and we expect to rely on a strategic partner to complete late stage product development and successfully commercialize our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rely on third parties to manufacture bulk active pharmaceutical ingredients, or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Pursuant to the terms of our license agreement with Kissei Pharmaceutical for MN-221, Kissei Pharmaceutical has the exclusive right to manufacture the commercial supply of the API for MN-221. We continue to negotiate with Kissei Pharmaceutical for the commercial supply of the API for MN-221. If we enter into a supply agreement with Kissei Pharmaceutical, we will purchase from Kissei Pharmaceutical all API that we require for the commercial supply of MN-221, if such product candidate is approved for commercial sale by the FDA or other regulatory authorities.</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March 2009, we entered into an agreement with Hospira Worldwide, Inc., or Hospira, for the completion of pre-commercialization manufacturing development activities and the manufacture of commercial supplies of finished product for MN-221 utilizing Hospira’s proprietary ADD-Vantage drug delivery system, if such product candidate is approved for commercial sale by the FDA or other regulatory authorities. Pursuant to the terms of the agreement with Hospira, Hospira will receive development fees from us upon completion of specified development activities, which we will expense as the costs are incurred. We are also obligated under the agreement to purchase a minimum number of units each year following regulatory approval, which number is based on our forecasts submitted to Hospira on a rolling basis. In addition to the agreement with Hospira, we anticipate entering into a commercial supply agreement with a contract manufacturer for finished product of MN-221 in standard vials. However, at present, we do not have any agreements established regarding the commercial supply of MN-221 in standard vials or for the API or finished product of any of our product candidates.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our inception in September 2000, we have entered into eight license agreements which cover our current product candidates. In general, we seek to procure patent protection for our anticipated products, or obtain such protection from the relevant patents owned by our licensors. To date, we have obtained licensed rights under 14 issued U.S. patents and 10 pending U.S. patent applications. We also have obtained licensed rights to over 185 issued and pending foreign patents and applications corresponding to these U.S. patents and patent applications. In addition to these licensed rights, we hold seven issued U.S. patents and one U.S. patent application relating to MN-001 and its metabolite, MN-002. These patents and pending patent applications contain claims directed to compositions, polymorphs, methods of use and/or methods of manufacture.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February 25, 2004, we entered into an exclusive license agreement with Kissei Pharmaceutical for the development and commercialization of MN-221. Kissei Pharmaceutical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one U.S. patent application and certain corresponding patents and patent applications in foreign countries and is sublicensable upon receipt of the written consent of Kissei Pharmaceutical. The U.S. patent for MN-221 has composition of matter and method of use claims.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U.S. composition of matter patent underlying the license issued on October 17, 2000 and is set to expire no earlier than February 18, 2017. Corresponding composition of matter patents in various other countries are set to expire no earlier than February 18, 2017. Under the terms of the agreement, we granted to Kissei Pharmaceutical a royalty-free, non-exclusive right and license to use our know-how and patents relating to MN-221 to develop products incorporating the MN-221 compound outside of our territory. Kissei Pharmaceutical also has the right to co-promote licensed products in our territory on terms to be agreed upon by the parties and the exclusive right to manufacture and supply us with the API that we require for clinical development of MN-221 and commercial sale of any approved product.</w:t>
      </w:r>
    </w:p>
    <w:p>
      <w:pPr>
        <w:spacing w:after="0" w:line="1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Pharmaceutical during the development phase and 180 days’ prior written notice to Kissei Pharmaceutical during the commercialization phase.</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Pharmaceutical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Kissei Pharmaceutical $1.0 million to date, and we are obligated to make payments of up to $17.0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October 22, 2004, we entered into an exclusive license agreement with Kyorin Pharmaceutical for the development and commercialization of MN-166. Kyorin Pharmaceutical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MN-166 is not covered by a composition of matter patent. The U.S. method of use patent for MN-166 in MS underlying the license is set to expire on August 10, 2018. Corresponding method of use patents in several other countries are set to expire no earlier than August 10, 2018. Under the terms of the agreement, we granted to Kyorin Pharmaceutical an exclusive, royalty-free, sublicensable license to use the preclinical, clinical and regulatory databases to develop ophthalmic products incorporating the MN-166 compound anywhere in the world and non-ophthalmic products incorporating the MN-166 compound outside of our territory.</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Pharmaceutical or, in the event that a third party claims that MN-166 infringes upon such third party’s intellectual property rights, with 30 days’ written notice.</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$700,000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also filed a patent application directed to the use of MN-166 for the treatment of progressive neurodegenerative diseases in the United States and are pursuing counterparts of this patent application in certain foreign jurisdictions.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the acquisition of Avigen, we own, co-own or hold licenses to three issued U.S. patents and eight pending U.S. patent applications, one of which was granted on March 29, 2011, as well as corresponding pending non-U.S. patent applications. The three patents were issued in 2009 in the United States (7,534,806-Use of Ibudilast for the Treatment of Neuropathic Pain Syndromes; 7,585,875-Substituted pyrazolo-pyridine compounds and their methods of use; and 7,622,256-Method for selecting compounds that modulate macrophage migration inhibitory factor- induced expression of ICAM-1 and/or VCAM-1) and will expire in 2025, 2027, and 2027, respectively. The patent applications are primarily related to Avigen’s development portfolio of small molecule-based products and are currently directed to methods of treating various indications using AV411 and analogs.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14, 2002, we entered into an exclusive license agreement with Kyorin Pharmaceutical for the development and commercialization of MN-001. We obtained an exclusive, worldwide (excluding Japan, China, South Korea and Taiwan) sublicenseable license to the patent rights and know-how related to MN-001 and its active metabolite, MN-002, disclosed and included in, or covered by, these patents, in all indications, except for ophthalmic solution formulations. This license includes an exclusive, sublicensable license under one U.S. patent and certain corresponding patents and patent applications in foreign countries. The U.S. composition of matter patent for MN-001 underlying the license expired on February 23, 2009, and the U.S. composition of matter patent for MN-002 underlying the license is set to expire on December 30, 2011. Certain annuities were not paid in a timely manner with respect to certain foreign patents licensed under MN-002, resulting in the lapse of patents in certain countries. In such jurisdictions, we intend to rely upon the applicable period of post-approval exclusivity, in addition to any patents that may issue from our own patent applications. Under the terms of the agreement, we granted to Kyorin Pharmaceutical an exclusive, royalty-free, sublicenseable license to use the preclinical, clinical and regulatory databases to develop ophthalmic products incorporating the MN-001 compound anywhere in the world and non-ophthalmic products incorporating the MN-001 compound outside of our territory.</w:t>
      </w:r>
    </w:p>
    <w:p>
      <w:pPr>
        <w:spacing w:after="0" w:line="10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$4.0 million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filed, and the U.S. Patent and Trademark Office issued, seven U.S. patents covering certain compositions, uses and manufacturing processes associated with MN-001. Patent applications corresponding to these U.S. patents were filed in certain foreign countries.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June 19, 2002, we entered into an exclusive license agreement with Angiogene Pharmaceuticals for the development and commercialization of the ANG-600 series of compounds. Angiogene Pharmaceuticals is a privately held, British drug discovery company. We obtained an exclusive, worldwide, sublicenseable license to the patent rights and know-how related to the ANG-600 series of compounds disclosed in and included or covered by these patents for all indications. MN-029 is one of the ANG-600 series compounds covered by this license. This license includes an exclusive, sublicensable license under three U.S. patents, two U.S. patent applications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The U.S. patent covering methods of treating solid cancer tumors by administering MN-029, which issued on July 25, 2006, is set to expire on January 14, 2020.</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 Pharmaceuticals.</w:t>
      </w:r>
    </w:p>
    <w:p>
      <w:pPr>
        <w:spacing w:after="0" w:line="118" w:lineRule="exact"/>
        <w:rPr>
          <w:sz w:val="20"/>
          <w:szCs w:val="20"/>
          <w:color w:val="auto"/>
        </w:rPr>
      </w:pPr>
    </w:p>
    <w:p>
      <w:pPr>
        <w:ind w:right="1160" w:firstLine="456"/>
        <w:spacing w:after="0" w:line="370" w:lineRule="auto"/>
        <w:rPr>
          <w:sz w:val="20"/>
          <w:szCs w:val="20"/>
          <w:color w:val="auto"/>
        </w:rPr>
      </w:pPr>
      <w:r>
        <w:rPr>
          <w:rFonts w:ascii="Arial" w:cs="Arial" w:eastAsia="Arial" w:hAnsi="Arial"/>
          <w:sz w:val="15"/>
          <w:szCs w:val="15"/>
          <w:color w:val="auto"/>
        </w:rPr>
        <w:t>The term of this agreement is determined on a country-by-country basis and extends until the earlier of the expiration of the last Angiogene Pharmaceuticals patent (or equivalent) under license which has a valid claim to expire or 15 years from the date of first commercial sale.</w:t>
      </w:r>
    </w:p>
    <w:p>
      <w:pPr>
        <w:spacing w:after="0" w:line="49"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Under the license agreement, we have paid Angiogene Pharmaceuticals $1.4 million to date and are obligated to make payments of up to $16.5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April 27, 2004, we entered into an exclusive license agreement with Mitsubishi Pharma Corporation, the predecessor to Mitsubishi Tanabe Pharma Corporation, for the development and commercialization of MN-305. Mitsubishi Tanabe Pharma Corporation is a fully integrated Japanese pharmaceutical company and is listed on the First Section of the Tokyo Stock Exchange. We obtained an exclusive, worldwide (excluding Japan, Singapore, Brunei, Thailand, Malaysia, Indonesia, the Philippines, Vietnam, Bangladesh, Pakistan, South Korea, China and Taiwan), sublicenseable license to the patent rights and know-how related to MN-305 and its active metabolite disclosed and included or covered by these patents for all indications. The license is sublicensable upon receipt of the written consent of Mitsubishi Tanabe Pharma Corporation. This license includes an exclusive, sublicensable license under five U.S. patents and certain corresponding patents and patent applications in foreign countries. The U.S. composition of matter patent for MN-305, which issued on December 1, 1992, expired on March 14, 2011. Patent applications corresponding to this U.S. patent were filed in certain foreign countries, and these foreign counterparts expired on or before March 14, 2011. The U.S. patent covering the use of MN-305 to treat anxiety, which issued on August 10, 1993, expired on March 14, 2011.</w:t>
      </w:r>
    </w:p>
    <w:p>
      <w:pPr>
        <w:spacing w:after="0" w:line="10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Under the terms of the agreement, we granted to Mitsubishi Tanabe Pharma Corporation a license to use our know-how and patents relating to MN-305 to develop products incorporating the MN-305 compound outside of our territory. Mitsubishi Tanabe Pharma Corporation also has the right to co-promote licensed products in our territory on terms to be agreed upon by the parties.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if, in our reasonable opinion,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safety, patient tolerability, efficacy, profile or commercial viability of MN-305 does not justify continued development with 90 days’ written notice to Mitsubishi Tanabe Pharma Corporation or, in the event that a third party claims that the licensed intellectual property related to MN-305 infringes such third party’s intellectual property rights, with 30 days’ written notice.</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Under the license agreement, we have paid Mitsubishi Tanabe Pharma Corporation $1.0 million to date, and we are obligated to make payments of up to $18.8 million based on the achievement of certain clinical, regulatory and sales milestones. We are also obligated to pay a royalty on net sales of the licensed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8, 2004, we entered into an exclusive license agreement with Mitsubishi Pharma Corporation, the predecessor to Mitsubishi Tanabe Pharma Corporation, for the development and commercialization of MN-246. We obtained an exclusive, worldwide (excluding Japan, Singapore, Brunei, Thailand, Malaysia, Indonesia, the Philippines, Vietnam, Bangladesh, Pakistan, South Korea, China and Taiwan), sublicenseable license to the intellectual property surrounding MN-246, its derivatives and any other compounds disclosed or claimed in the licensed Mitsubishi Tanabe Pharma Corporation patent assets. The license is sublicensable upon receipt of the written consent of Mitsubishi Tanabe Pharma Corporation and includes an exclusive license under one U.S. patent and certain corresponding patents and patent applications in foreign countries. The U.S. patent covering MN-246 and methods of making and using MN-246, which issued on May 30, 2000, is set to expire on October 24, 2016. Patent applications corresponding to this U.S. patent were filed in certain foreign countries, and these foreign counterparts are set to expire no earlier than October 24, 2016.</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issued U.S. patent covers generic phenylethanolamines encompassed by a given chemical formula, including MN-246, processes for the production of such phenylethanolamines, a pharmaceutical composition of such phenylethanolamines and methods of use for such phenylethanolamines for the treatment of a variety of human or animal ailments, including accelerated or spasmodic gastrointestinal motility, dysuria, pollakisuria, urinary incontinence, obesity and diabetes. This U.S. patent is set to expire on October 24, 2016. Foreign counterparts have been filed or patented in other countries and are also set to expire no earlier than October 24, 2016. Under the terms of the agreement, we granted to Mitsubishi Tanabe Pharma Corporation a license to use our know-how and patents relating to MN-246 to develop products incorporating the MN-246 compound outside of our territory. Mitsubishi Tanabe Pharma Corporation also has the right to co-promote licensed products in our territory on terms to be agreed upon by the parties.</w:t>
      </w:r>
    </w:p>
    <w:p>
      <w:pPr>
        <w:spacing w:after="0" w:line="10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MN-246 does not justify continued development with 90 days’ written notice to Mitsubishi Tanabe Pharma Corporation or in the event that a third party claims that the licensed intellectual property related to MN-246 infringes such third party’s intellectual property rights with 30 days’ written notice.</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the license agreement, we have paid Mitsubishi Tanabe Pharma Corporation $750,000 to date, and we are obligated to make payments of up to $14.5 million based on the achievement of certain clinical, regulatory and sales milestones. We are also obligated to pay a royalty on net sales of the licensed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MN-447. Meiji Seika Kaisha is a fully integrated Japanese pharmaceutical company and is listed on the First Section of the Tokyo Stock Exchange. We obtained an exclusive, worldwide (excluding Japan, Bangladesh, Brunei, Cambodia, People’s Republic of China, Indonesia, Laos, Malaysia, Myanmar, the Philippines, Singapore, South Korea, Taiwan, Thailand and Vietnam), sublicensable license from Meiji Seika Kaisha for MN-447 (and any other compound claimed or covered by U.S. patent 6,420,558) for any human use. This license includes an exclusive sublicensable license under one U.S. patent and certain corresponding patents and patent applications in foreign countries. The U.S. patent covering MN-447 and methods of treating an integrin avß3-mediated disease, platelet thrombosis, aggregation and related disorders, which issued on July 16, 2002, is set to expire on April 9, 2019. Patent applications corresponding to this U.S. patent were filed in certain foreign countries. Under the terms of the license, we granted a license to Meiji Seika Kaisha to use our know-how and patents relating to MN-447 to develop products incorporating the MN-447 compound outside of our territory.</w:t>
      </w:r>
    </w:p>
    <w:p>
      <w:pPr>
        <w:spacing w:after="0" w:line="10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MN-447 does not justify continued development. Meiji Seika Kaisha also has the right to terminate the agreement in the event that we cease development of MN-447 for a period of one year or longer.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MN-462</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MN-462. We obtained an exclusive, worldwide (excluding Japan, Bangladesh, Brunei, Cambodia, People’s Republic of China, Indonesia, Laos, Malaysia, Myanmar, the Philippines, Singapore, South Korea, Taiwan, Thailand and Vietnam), sublicenseable license from Meiji Seika Kaisha for MN-462 (and any other compound claimed or covered by U.S. patent 6,576,627) for any human use. This license includes an exclusive sublicensable license under two U.S. patents and certain corresponding patents and patent applications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filed in certain foreign countries. Under the terms of the license, we granted a license to Meiji Seika Kaisha to use our know-how and patents relating to MN-462 to develop products incorporating the MN-462 compound outside of our territory.</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license agreement may be terminated by either party following an uncured breach of any material provision of the agreement by the other party upon 90 days’ written notice or the inability or delay in performing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MN-462 does not justify continued development. Meiji Seika Kaisha also has the right to terminate the agreement in the event that we cease development of MN-462 for a period of one year or longer.</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this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licenses and have not received any material claims by third parties of infringement by us of such parties’ intellectual property rights.</w:t>
      </w:r>
    </w:p>
    <w:p>
      <w:pPr>
        <w:spacing w:after="0" w:line="11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to treat MS and the method of using AV411 to treat neuropathic pain, but we do not have any composition of matter patent claims for MN-166 or AV411. As a result, unrelated third parties may develop products with the same API as MN-166 so long as such parties do not infringe our method of use patent, other patents we have exclusive rights to through our licensor or any patents we may obtain for MN-166 or AV411.</w:t>
      </w:r>
    </w:p>
    <w:p>
      <w:pPr>
        <w:spacing w:after="0" w:line="10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addition, if we develop certain products that are not covered by any patents, we will be dependent on obtaining market exclusivity under the data exclusivity provisions of Hatch-Waxman Act for such products. If we are unable to obtain strong proprietary rights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Our MN-221 product candidate is being developed for the treatment of acute exacerbations of asthma in the emergency room setting. The current standard of care for acute exacerbations of asthma is inhaled albuterol (a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 inhaled ipratropium (an anticholinergic) and oral or injected corticosteroids. In addition, subcutaneously administered terbutaline (a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 is sometimes used to treat this condition, particularly in pediatric patients. Certain oral anti-inflammatory asthma drugs are being investigated in an intravenous form for the treatment of acute exacerbations of asthma. On March 3, 2011, Palatin Technologies, Inc. announced that the FDA has cleared Palatin’s request to begin a Phase IIA proof-of-concept human trial under an IND using a subcutaneously administered formulation of PL-3994, an NPR-A agonist compound, in development for treatment of acute exacerbations of asthma. The press release states that Palatin does not intend to initiate either the proof-of-concept human trial or preclinical inhalation toxicity studies unless and until an agreement is reached with a development and marketing partner or Palatin receives funding to support the proof-of-concept Phase IIA human trial or preclinical inhalation toxicity studies from a third party, such as grant funding from an agency of the federal government.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Chronic Obstructive Pulmonary Disease Exacerbations</w:t>
      </w:r>
    </w:p>
    <w:p>
      <w:pPr>
        <w:spacing w:after="0" w:line="158"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MN-221 product candidate is also being developed for the treatment of COPD exacerbations. The standard of care for COPD exacerbations is similar to that of acute exacerbations of asthma in that inhaled bronchodilators and anticholinergics are administered; however, antibiotics are also administered and parenteral terbutaline is excluded because of the exclusively adult patient population. A greater percentage of patients diagnosed with COPD exacerbations are hospitalized than patients diagnosed with asthma exacerbations, and such patients continue the same treatment paradigm as in the emergency department.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MN-166 product candidate has been in development for the treatment of MS. Current treatments for MS include the beta interferons, such as Biogen Idec Inc.’s Avonex</w:t>
      </w:r>
      <w:r>
        <w:rPr>
          <w:rFonts w:ascii="Arial" w:cs="Arial" w:eastAsia="Arial" w:hAnsi="Arial"/>
          <w:sz w:val="11"/>
          <w:szCs w:val="11"/>
          <w:color w:val="auto"/>
        </w:rPr>
        <w:t>®</w:t>
      </w:r>
      <w:r>
        <w:rPr>
          <w:rFonts w:ascii="Arial" w:cs="Arial" w:eastAsia="Arial" w:hAnsi="Arial"/>
          <w:sz w:val="18"/>
          <w:szCs w:val="18"/>
          <w:color w:val="auto"/>
        </w:rPr>
        <w:t xml:space="preserve"> (beta interferon), Teva Pharmaceutical Industries Ltd.’s and Sanofi-Aventis’ Copaxone</w:t>
      </w:r>
      <w:r>
        <w:rPr>
          <w:rFonts w:ascii="Arial" w:cs="Arial" w:eastAsia="Arial" w:hAnsi="Arial"/>
          <w:sz w:val="11"/>
          <w:szCs w:val="11"/>
          <w:color w:val="auto"/>
        </w:rPr>
        <w:t>®</w:t>
      </w:r>
      <w:r>
        <w:rPr>
          <w:rFonts w:ascii="Arial" w:cs="Arial" w:eastAsia="Arial" w:hAnsi="Arial"/>
          <w:sz w:val="18"/>
          <w:szCs w:val="18"/>
          <w:color w:val="auto"/>
        </w:rPr>
        <w:t xml:space="preserve"> (glatiramer acetate), Merck Serono’s and Pfizer Inc.’s Rebif</w:t>
      </w:r>
      <w:r>
        <w:rPr>
          <w:rFonts w:ascii="Arial" w:cs="Arial" w:eastAsia="Arial" w:hAnsi="Arial"/>
          <w:sz w:val="11"/>
          <w:szCs w:val="11"/>
          <w:color w:val="auto"/>
        </w:rPr>
        <w: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(beta interferon), Bayer Schering Pharma AG’s Betaseron/Betaferon</w:t>
      </w:r>
      <w:r>
        <w:rPr>
          <w:rFonts w:ascii="Arial" w:cs="Arial" w:eastAsia="Arial" w:hAnsi="Arial"/>
          <w:sz w:val="10"/>
          <w:szCs w:val="10"/>
          <w:color w:val="auto"/>
        </w:rPr>
        <w:t>®</w:t>
      </w:r>
      <w:r>
        <w:rPr>
          <w:rFonts w:ascii="Arial" w:cs="Arial" w:eastAsia="Arial" w:hAnsi="Arial"/>
          <w:sz w:val="16"/>
          <w:szCs w:val="16"/>
          <w:color w:val="auto"/>
        </w:rPr>
        <w:t xml:space="preserve"> and Biogen Idec Inc.’s Tysabri</w:t>
      </w:r>
      <w:r>
        <w:rPr>
          <w:rFonts w:ascii="Arial" w:cs="Arial" w:eastAsia="Arial" w:hAnsi="Arial"/>
          <w:sz w:val="10"/>
          <w:szCs w:val="10"/>
          <w:color w:val="auto"/>
        </w:rPr>
        <w:t>®</w:t>
      </w:r>
      <w:r>
        <w:rPr>
          <w:rFonts w:ascii="Arial" w:cs="Arial" w:eastAsia="Arial" w:hAnsi="Arial"/>
          <w:sz w:val="16"/>
          <w:szCs w:val="16"/>
          <w:color w:val="auto"/>
        </w:rPr>
        <w:t xml:space="preserve"> (natalizumab), all of which are administered by injection. Of the many new agents in development for MS, only a few, such as Sanofi-Aventis’ teriflunomide, Novartis AG’s fingolimod/FTY720, Teva Pharmaceutical Industries Ltd.’s laquinimod and Biogen Idec Inc.’s BG-12, are intended for oral administration like MN-166.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AV411 for Other Central Nervous System Disorders</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AV411 product candidate has been in development for treatment of neuropathic pain and opioid withdrawal and methamphetamine addiction. Current treatments for neuropathic pain include anti-epileptics such as Pfizer Inc.’s Neurontin</w:t>
      </w:r>
      <w:r>
        <w:rPr>
          <w:rFonts w:ascii="Arial" w:cs="Arial" w:eastAsia="Arial" w:hAnsi="Arial"/>
          <w:sz w:val="11"/>
          <w:szCs w:val="11"/>
          <w:color w:val="auto"/>
        </w:rPr>
        <w:t>®</w:t>
      </w:r>
      <w:r>
        <w:rPr>
          <w:rFonts w:ascii="Arial" w:cs="Arial" w:eastAsia="Arial" w:hAnsi="Arial"/>
          <w:sz w:val="18"/>
          <w:szCs w:val="18"/>
          <w:color w:val="auto"/>
        </w:rPr>
        <w:t xml:space="preserve"> (gabapentin) and Lyrica</w:t>
      </w:r>
      <w:r>
        <w:rPr>
          <w:rFonts w:ascii="Arial" w:cs="Arial" w:eastAsia="Arial" w:hAnsi="Arial"/>
          <w:sz w:val="11"/>
          <w:szCs w:val="11"/>
          <w:color w:val="auto"/>
        </w:rPr>
        <w:t>®</w:t>
      </w:r>
      <w:r>
        <w:rPr>
          <w:rFonts w:ascii="Arial" w:cs="Arial" w:eastAsia="Arial" w:hAnsi="Arial"/>
          <w:sz w:val="18"/>
          <w:szCs w:val="18"/>
          <w:color w:val="auto"/>
        </w:rPr>
        <w:t xml:space="preserve"> (pregabalin), and antidepressants, including Eli Lilly &amp; Co.’s Cymbalta</w:t>
      </w:r>
      <w:r>
        <w:rPr>
          <w:rFonts w:ascii="Arial" w:cs="Arial" w:eastAsia="Arial" w:hAnsi="Arial"/>
          <w:sz w:val="11"/>
          <w:szCs w:val="11"/>
          <w:color w:val="auto"/>
        </w:rPr>
        <w:t>®</w:t>
      </w:r>
      <w:r>
        <w:rPr>
          <w:rFonts w:ascii="Arial" w:cs="Arial" w:eastAsia="Arial" w:hAnsi="Arial"/>
          <w:sz w:val="18"/>
          <w:szCs w:val="18"/>
          <w:color w:val="auto"/>
        </w:rPr>
        <w:t xml:space="preserve"> (duloxetine). We are aware of additional compounds for chronic neuropathic pain that are currently in development at numerous companies including Bayer Schering Pharma AG , GlaxoSmithKline plc, Merck &amp; Co., Inc., Novartis AG, Pfizer Inc., Cognetix, Inc., GW Pharmaceuticals plc, Indevus Pharmaceuticals, Inc., Nastech Pharmaceutical Company Inc., Avanir Pharmaceuticals, Solace Pharmaceuticals, Pain Therapeutics, Inc., and XenoPort, Inc.</w:t>
      </w:r>
    </w:p>
    <w:p>
      <w:pPr>
        <w:spacing w:after="0" w:line="13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Current treatments for withdrawal symptoms include narcotics such as generic methadone and Reckitt Benckiser Pharmaceuticals, Inc.’s Suboxone</w:t>
      </w:r>
      <w:r>
        <w:rPr>
          <w:rFonts w:ascii="Arial" w:cs="Arial" w:eastAsia="Arial" w:hAnsi="Arial"/>
          <w:sz w:val="11"/>
          <w:szCs w:val="11"/>
          <w:color w:val="auto"/>
        </w:rPr>
        <w:t>®</w:t>
      </w:r>
      <w:r>
        <w:rPr>
          <w:rFonts w:ascii="Arial" w:cs="Arial" w:eastAsia="Arial" w:hAnsi="Arial"/>
          <w:sz w:val="18"/>
          <w:szCs w:val="18"/>
          <w:color w:val="auto"/>
        </w:rPr>
        <w:t xml:space="preserve"> (buprenorphine) and Subutex</w:t>
      </w:r>
      <w:r>
        <w:rPr>
          <w:rFonts w:ascii="Arial" w:cs="Arial" w:eastAsia="Arial" w:hAnsi="Arial"/>
          <w:sz w:val="11"/>
          <w:szCs w:val="11"/>
          <w:color w:val="auto"/>
        </w:rPr>
        <w:t>®</w:t>
      </w:r>
      <w:r>
        <w:rPr>
          <w:rFonts w:ascii="Arial" w:cs="Arial" w:eastAsia="Arial" w:hAnsi="Arial"/>
          <w:sz w:val="18"/>
          <w:szCs w:val="18"/>
          <w:color w:val="auto"/>
        </w:rPr>
        <w:t xml:space="preserve"> (buprenorphine + the narcotic antagonist naloxone). Limited non-narcotic drug candidates for withdrawal symptoms exist. Britannia Pharmaceuticals Limited’s BritLofex</w:t>
      </w:r>
      <w:r>
        <w:rPr>
          <w:rFonts w:ascii="Arial" w:cs="Arial" w:eastAsia="Arial" w:hAnsi="Arial"/>
          <w:sz w:val="11"/>
          <w:szCs w:val="11"/>
          <w:color w:val="auto"/>
        </w:rPr>
        <w:t>®</w:t>
      </w:r>
      <w:r>
        <w:rPr>
          <w:rFonts w:ascii="Arial" w:cs="Arial" w:eastAsia="Arial" w:hAnsi="Arial"/>
          <w:sz w:val="18"/>
          <w:szCs w:val="18"/>
          <w:color w:val="auto"/>
        </w:rPr>
        <w:t xml:space="preserve"> (Lofexidine), licensed for development in U.S. clinical trials to US WorldMeds LLC, is an alpha adrenoceptor agonist like clonidine which may have somewhat less orthostatic hypotension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Bronchial Asthma</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MN-001 product candidate has been in development for the treatment of bronchial asthma. There are two currently marketed leukotriene inhibitors, Merck &amp; Co. Inc.’s Singulair</w:t>
      </w:r>
      <w:r>
        <w:rPr>
          <w:rFonts w:ascii="Arial" w:cs="Arial" w:eastAsia="Arial" w:hAnsi="Arial"/>
          <w:sz w:val="11"/>
          <w:szCs w:val="11"/>
          <w:color w:val="auto"/>
        </w:rPr>
        <w:t>®</w:t>
      </w:r>
      <w:r>
        <w:rPr>
          <w:rFonts w:ascii="Arial" w:cs="Arial" w:eastAsia="Arial" w:hAnsi="Arial"/>
          <w:sz w:val="18"/>
          <w:szCs w:val="18"/>
          <w:color w:val="auto"/>
        </w:rPr>
        <w:t xml:space="preserve"> (montelukast) and AstraZeneca PLC’s Accolate</w:t>
      </w:r>
      <w:r>
        <w:rPr>
          <w:rFonts w:ascii="Arial" w:cs="Arial" w:eastAsia="Arial" w:hAnsi="Arial"/>
          <w:sz w:val="11"/>
          <w:szCs w:val="11"/>
          <w:color w:val="auto"/>
        </w:rPr>
        <w:t>®</w:t>
      </w:r>
      <w:r>
        <w:rPr>
          <w:rFonts w:ascii="Arial" w:cs="Arial" w:eastAsia="Arial" w:hAnsi="Arial"/>
          <w:sz w:val="18"/>
          <w:szCs w:val="18"/>
          <w:color w:val="auto"/>
        </w:rPr>
        <w:t xml:space="preserve"> (zafirlukast). There are also several products in clinical development to treat bronchial asthma, including Mitsubishi Tanabe Pharma Corporation’s MCC 847 (masilukast), which is another leukotriene inhibitor currently in Phase III clinical testing in Japan.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MN-001 product candidate has been in development for the treatment of IC. There are two currently marketed products, Teva Pharmaceuticals Industries Ltd.’s Elmiron</w:t>
      </w:r>
      <w:r>
        <w:rPr>
          <w:rFonts w:ascii="Arial" w:cs="Arial" w:eastAsia="Arial" w:hAnsi="Arial"/>
          <w:sz w:val="11"/>
          <w:szCs w:val="11"/>
          <w:color w:val="auto"/>
        </w:rPr>
        <w:t>®</w:t>
      </w:r>
      <w:r>
        <w:rPr>
          <w:rFonts w:ascii="Arial" w:cs="Arial" w:eastAsia="Arial" w:hAnsi="Arial"/>
          <w:sz w:val="18"/>
          <w:szCs w:val="18"/>
          <w:color w:val="auto"/>
        </w:rPr>
        <w:t xml:space="preserve"> and Bioniche Pharma Group Limited’s RIMSO-50</w:t>
      </w:r>
      <w:r>
        <w:rPr>
          <w:rFonts w:ascii="Arial" w:cs="Arial" w:eastAsia="Arial" w:hAnsi="Arial"/>
          <w:sz w:val="11"/>
          <w:szCs w:val="11"/>
          <w:color w:val="auto"/>
        </w:rPr>
        <w:t>®</w:t>
      </w:r>
      <w:r>
        <w:rPr>
          <w:rFonts w:ascii="Arial" w:cs="Arial" w:eastAsia="Arial" w:hAnsi="Arial"/>
          <w:sz w:val="18"/>
          <w:szCs w:val="18"/>
          <w:color w:val="auto"/>
        </w:rPr>
        <w:t>. There is also a product in clinical development to treat IC, Taiho Pharmaceutical Co., Ltd.’s IPD-1151 (suplatast tosilate), which is currently in Phase III clinical testing in Japan. In addition, Urigen Pharmaceuticals, Inc.’s URG-101 for the treatment of painful bladder syndrome/interstitial cystitis is in Phase II clinical testing.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MN-029 product candidate has been in development for the treatment of solid tumors. There are a number of compounds in clinical development with a mechanism similar to MN-029, including Oxigene Inc.’s ZBRESTAT™ (fosbretabulin) and Sanofi-Aventis’ AVE 8062, which are in Phase III clinical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 for General Anxiety Disorder</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MN-305 product candidate has been in development for the treatment of General Anxiety Disorder. There are a number of approved products to treat Generalized Anxiety Disorder, including Eli Lilly and Company’s Cymbalta</w:t>
      </w:r>
      <w:r>
        <w:rPr>
          <w:rFonts w:ascii="Arial" w:cs="Arial" w:eastAsia="Arial" w:hAnsi="Arial"/>
          <w:sz w:val="11"/>
          <w:szCs w:val="11"/>
          <w:color w:val="auto"/>
        </w:rPr>
        <w:t>®</w:t>
      </w:r>
      <w:r>
        <w:rPr>
          <w:rFonts w:ascii="Arial" w:cs="Arial" w:eastAsia="Arial" w:hAnsi="Arial"/>
          <w:sz w:val="18"/>
          <w:szCs w:val="18"/>
          <w:color w:val="auto"/>
        </w:rPr>
        <w:t xml:space="preserve"> (duloxetine).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MN-221 product candidate has been in development for the treatment of preterm labor. There are a number of oxytocin antagonists undergoing clinical evaluation, including GlaxoSmithKline plc’s GSK221149, which is currently in Phase II clinical testing.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firstLine="456"/>
        <w:spacing w:after="0" w:line="261" w:lineRule="auto"/>
        <w:rPr>
          <w:sz w:val="20"/>
          <w:szCs w:val="20"/>
          <w:color w:val="auto"/>
        </w:rPr>
      </w:pPr>
      <w:r>
        <w:rPr>
          <w:rFonts w:ascii="Arial" w:cs="Arial" w:eastAsia="Arial" w:hAnsi="Arial"/>
          <w:sz w:val="17"/>
          <w:szCs w:val="17"/>
          <w:color w:val="auto"/>
        </w:rPr>
        <w:t>Our MN-246 product candidate has been in development for the treatment of urinary incontinence. There are a number of compounds in various stages of clinical development to treat urinary incontinence. Pfizer Inc.’s Detrol</w:t>
      </w:r>
      <w:r>
        <w:rPr>
          <w:rFonts w:ascii="Arial" w:cs="Arial" w:eastAsia="Arial" w:hAnsi="Arial"/>
          <w:sz w:val="11"/>
          <w:szCs w:val="11"/>
          <w:color w:val="auto"/>
        </w:rPr>
        <w:t>®</w:t>
      </w:r>
      <w:r>
        <w:rPr>
          <w:rFonts w:ascii="Arial" w:cs="Arial" w:eastAsia="Arial" w:hAnsi="Arial"/>
          <w:sz w:val="17"/>
          <w:szCs w:val="17"/>
          <w:color w:val="auto"/>
        </w:rPr>
        <w:t xml:space="preserve"> (tolterodine tartrate) is a market leader, and other marketed drugs were introduced in the first quarter of 2005, including Astellas Pharma Inc.’s VESIcare</w:t>
      </w:r>
      <w:r>
        <w:rPr>
          <w:rFonts w:ascii="Arial" w:cs="Arial" w:eastAsia="Arial" w:hAnsi="Arial"/>
          <w:sz w:val="11"/>
          <w:szCs w:val="11"/>
          <w:color w:val="auto"/>
        </w:rPr>
        <w:t>®</w:t>
      </w:r>
      <w:r>
        <w:rPr>
          <w:rFonts w:ascii="Arial" w:cs="Arial" w:eastAsia="Arial" w:hAnsi="Arial"/>
          <w:sz w:val="17"/>
          <w:szCs w:val="17"/>
          <w:color w:val="auto"/>
        </w:rPr>
        <w:t xml:space="preserve"> (solifenacin succinate) and Novartis AG’s Enablex</w:t>
      </w:r>
      <w:r>
        <w:rPr>
          <w:rFonts w:ascii="Arial" w:cs="Arial" w:eastAsia="Arial" w:hAnsi="Arial"/>
          <w:sz w:val="11"/>
          <w:szCs w:val="11"/>
          <w:color w:val="auto"/>
        </w:rPr>
        <w:t>®</w:t>
      </w:r>
      <w:r>
        <w:rPr>
          <w:rFonts w:ascii="Arial" w:cs="Arial" w:eastAsia="Arial" w:hAnsi="Arial"/>
          <w:sz w:val="17"/>
          <w:szCs w:val="17"/>
          <w:color w:val="auto"/>
        </w:rPr>
        <w:t xml:space="preserve"> (darifenacin), both of which are anti-cholinergic agents. Ono Pharmaceutical Co., Ltd. and Kyorin Pharmaceutical have received approval for Staybla</w:t>
      </w:r>
      <w:r>
        <w:rPr>
          <w:rFonts w:ascii="Arial" w:cs="Arial" w:eastAsia="Arial" w:hAnsi="Arial"/>
          <w:sz w:val="11"/>
          <w:szCs w:val="11"/>
          <w:color w:val="auto"/>
        </w:rPr>
        <w:t>®</w:t>
      </w:r>
      <w:r>
        <w:rPr>
          <w:rFonts w:ascii="Arial" w:cs="Arial" w:eastAsia="Arial" w:hAnsi="Arial"/>
          <w:sz w:val="17"/>
          <w:szCs w:val="17"/>
          <w:color w:val="auto"/>
        </w:rPr>
        <w:t xml:space="preserve"> (muscarinic antagonist). Schwarz Pharma AG’s Toviaz</w:t>
      </w:r>
      <w:r>
        <w:rPr>
          <w:rFonts w:ascii="Arial" w:cs="Arial" w:eastAsia="Arial" w:hAnsi="Arial"/>
          <w:sz w:val="11"/>
          <w:szCs w:val="11"/>
          <w:color w:val="auto"/>
        </w:rPr>
        <w:t>®</w:t>
      </w:r>
      <w:r>
        <w:rPr>
          <w:rFonts w:ascii="Arial" w:cs="Arial" w:eastAsia="Arial" w:hAnsi="Arial"/>
          <w:sz w:val="17"/>
          <w:szCs w:val="17"/>
          <w:color w:val="auto"/>
        </w:rPr>
        <w:t xml:space="preserve"> (fesoterodine fumarate), another anti-cholinergic, has also recently been approved. Kissei Pharmaceutical, Astellas Pharma Inc. and GlaxoSmithKline plc also have ß</w:t>
      </w:r>
      <w:r>
        <w:rPr>
          <w:rFonts w:ascii="Arial" w:cs="Arial" w:eastAsia="Arial" w:hAnsi="Arial"/>
          <w:sz w:val="21"/>
          <w:szCs w:val="21"/>
          <w:color w:val="auto"/>
          <w:vertAlign w:val="subscript"/>
        </w:rPr>
        <w:t>3</w:t>
      </w:r>
      <w:r>
        <w:rPr>
          <w:rFonts w:ascii="Arial" w:cs="Arial" w:eastAsia="Arial" w:hAnsi="Arial"/>
          <w:sz w:val="17"/>
          <w:szCs w:val="17"/>
          <w:color w:val="auto"/>
        </w:rPr>
        <w:t xml:space="preserve"> -adrenergic receptor agonists for the treatment of this indication.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MN-447 and MN-462 product candidates have been in development for the treatment of thrombotic disorders. Both product candidates are currently in preclinical development; therefore, we have not identified the particular thrombotic disorders that we intend to target upon reaching the clinical development stage for these product candidates. Consequently, we cannot accurately evaluate the competition we will face. Currently, the market leaders for anti-thrombotic drugs are Bristol-Myers Squibb Company’s and Sanofi-Aventis’ Plavix</w:t>
      </w:r>
      <w:r>
        <w:rPr>
          <w:rFonts w:ascii="Arial" w:cs="Arial" w:eastAsia="Arial" w:hAnsi="Arial"/>
          <w:sz w:val="10"/>
          <w:szCs w:val="10"/>
          <w:color w:val="auto"/>
        </w:rPr>
        <w:t>®</w:t>
      </w:r>
      <w:r>
        <w:rPr>
          <w:rFonts w:ascii="Arial" w:cs="Arial" w:eastAsia="Arial" w:hAnsi="Arial"/>
          <w:sz w:val="16"/>
          <w:szCs w:val="16"/>
          <w:color w:val="auto"/>
        </w:rPr>
        <w:t xml:space="preserve"> (clopidogrel) and Sanofi-Aventis’ Lovenox</w:t>
      </w:r>
      <w:r>
        <w:rPr>
          <w:rFonts w:ascii="Arial" w:cs="Arial" w:eastAsia="Arial" w:hAnsi="Arial"/>
          <w:sz w:val="10"/>
          <w:szCs w:val="10"/>
          <w:color w:val="auto"/>
        </w:rPr>
        <w:t>®</w:t>
      </w:r>
      <w:r>
        <w:rPr>
          <w:rFonts w:ascii="Arial" w:cs="Arial" w:eastAsia="Arial" w:hAnsi="Arial"/>
          <w:sz w:val="16"/>
          <w:szCs w:val="16"/>
          <w:color w:val="auto"/>
        </w:rPr>
        <w:t xml:space="preserve"> (enoxaparin).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the United States, drugs and drug testing are regulated by the FDA under the Federal Food, Drug and Cosmetic Act, as well as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authorities. All of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02"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human clinical trials may begin in the United States;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NDA accompanied by a substantial user fee;</w:t>
      </w:r>
    </w:p>
    <w:p>
      <w:pPr>
        <w:spacing w:after="0" w:line="103" w:lineRule="exact"/>
        <w:rPr>
          <w:rFonts w:ascii="Arial" w:cs="Arial" w:eastAsia="Arial" w:hAnsi="Arial"/>
          <w:sz w:val="18"/>
          <w:szCs w:val="18"/>
          <w:color w:val="auto"/>
        </w:rPr>
      </w:pPr>
    </w:p>
    <w:p>
      <w:pPr>
        <w:ind w:left="780" w:right="320" w:hanging="326"/>
        <w:spacing w:after="0" w:line="325"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development of manufacturing processes which conform to FDA-mandated commercial good manufacturing practices, or cGMPs, and satisfactory completion of FDA inspections to assess cGMP compliance and clinical investigator compliance with good clinical practices; and</w:t>
      </w:r>
    </w:p>
    <w:p>
      <w:pPr>
        <w:spacing w:after="0" w:line="1"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such approvals. The FDA may not act quickly or favorably in reviewing our applications, and we may encounter significant difficulties and costs in our efforts to obtain FDA approvals that could delay or preclude us from marketing our products.</w:t>
      </w:r>
    </w:p>
    <w:p>
      <w:pPr>
        <w:spacing w:after="0" w:line="13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 animal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 days after its</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products. Moreover, positive results in preclinical tests or prior human studies do not necessarily predict positive results in subsequent clinical trials.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58" w:lineRule="exact"/>
        <w:rPr>
          <w:sz w:val="20"/>
          <w:szCs w:val="20"/>
          <w:color w:val="auto"/>
        </w:rPr>
      </w:pPr>
    </w:p>
    <w:p>
      <w:pPr>
        <w:ind w:left="780" w:right="7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I: The drug is initially introduced into a small number of human subjects or patients and tested for safety, dosage tolerance, absorption, distribution, excretion and metabolism.</w:t>
      </w:r>
    </w:p>
    <w:p>
      <w:pPr>
        <w:spacing w:after="0" w:line="37"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II: The drug is introduced into a limited patient population to assess the efficacy of the drug in specific, targeted indications, assess dosage tolerance and optimal dosage, and identify possible adverse effects and safety risks.</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III: The drug is introduced into an expanded patient population at geographically dispersed clinical trial sites to further evaluate clinical efficacy and safety.</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Prior to initiation of each clinical trial, an independent Institutional Review Board, or IRB, for each medical site proposing to conduct the clinical trials must review and approve the study protocol and study subjects must provide informed consent for participation in the study.</w:t>
      </w:r>
    </w:p>
    <w:p>
      <w:pPr>
        <w:spacing w:after="0" w:line="7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cannot be certain that we will successfully complete Phase I, II or III testing of our drug candidates within any specific time period, if at all. Clinical trials must be conducted in accordance with the FDA’s good clinical practices requirements. The FDA may order the partial, temporary or permanent discontinuation of a clinical trial at any time or impose other sanctions if it believes that the clinical trial is not being conducted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w:t>
      </w:r>
    </w:p>
    <w:p>
      <w:pPr>
        <w:spacing w:after="0" w:line="7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The NDA Process. </w:t>
      </w:r>
      <w:r>
        <w:rPr>
          <w:rFonts w:ascii="Arial" w:cs="Arial" w:eastAsia="Arial" w:hAnsi="Arial"/>
          <w:sz w:val="18"/>
          <w:szCs w:val="18"/>
          <w:color w:val="auto"/>
        </w:rPr>
        <w:t>If clinical trials are successful, the next step in the drug regulatory approval process is the preparation and submission to the FDA of a</w:t>
      </w:r>
      <w:r>
        <w:rPr>
          <w:rFonts w:ascii="Arial" w:cs="Arial" w:eastAsia="Arial" w:hAnsi="Arial"/>
          <w:sz w:val="18"/>
          <w:szCs w:val="18"/>
          <w:i w:val="1"/>
          <w:iCs w:val="1"/>
          <w:color w:val="auto"/>
        </w:rPr>
        <w:t xml:space="preserve"> </w:t>
      </w:r>
      <w:r>
        <w:rPr>
          <w:rFonts w:ascii="Arial" w:cs="Arial" w:eastAsia="Arial" w:hAnsi="Arial"/>
          <w:sz w:val="18"/>
          <w:szCs w:val="18"/>
          <w:color w:val="auto"/>
        </w:rPr>
        <w:t>NDA. The NDA is the vehicle through which drug sponsors formally propose that the FDA approve a new pharmaceutical product for marketing and sale in the United States. The NDA must contain a description of the manufacturing process and quality control methods, as well as results of preclinical tests, toxicology studies, clinical trials and proposed labeling, among other things. A substantial user fee must also be paid with the submission of the NDA, unless an exemption applies.</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Upon submission of the NDA, the FDA will make a threshold determination as to whether the application is sufficiently complete to permit review and, if not, will issue a refuse to file letter. If the submission is accepted for filing, the FDA begins an in-depth review of the NDA and will attempt to review and take action on the application in accordance with performance goals established in connection with the user fee laws. Among the conditions for a NDA approval is the requirement that the prospective manufacturer’s quality control and manufacturing procedures conform on an ongoing basis with cGMPs.</w:t>
      </w:r>
    </w:p>
    <w:p>
      <w:pPr>
        <w:spacing w:after="0" w:line="9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If the FDA’s evaluations of the NDA and the clinical and manufacturing procedures and facilities cGMPs are favorable, the FDA may issue either an approval letter or a complete response letter, which contains guidance on the conditions that must be met in order to secure approval of the NDA. If and when those conditions have been met to the FDA’s satisfaction, the FDA will issue an approval letter, authorizing commercial marketing of the drug for certain indications. The FDA may also grant approval with requirements to complete post-marketing studies, referred to as Phase IV clinical trials, or restrictive product labeling, or may impose other restrictions on marketing or distribution, such as the adoption of a Risk Evaluation and Mitigation Strategy, or REMS. The FDA may deny or delay approval of applications that do not meet applicable regulatory criteria or if the FDA determines that the clinical data do not adequately establish the safety and efficacy of the drug.</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The Hatch-Waxman Act</w:t>
      </w:r>
      <w:r>
        <w:rPr>
          <w:rFonts w:ascii="Arial" w:cs="Arial" w:eastAsia="Arial" w:hAnsi="Arial"/>
          <w:sz w:val="16"/>
          <w:szCs w:val="16"/>
          <w:color w:val="auto"/>
        </w:rPr>
        <w:t>. Under the Hatch-Waxman Act, certain newly approved drugs and indications benefit from a statutory period of non-patent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also provides three years of marketing exclusivity for the approval of new and supplemental NDAs for, among other things, new indications, dosages or strengths of an existing drug, if new clinical investigations that were conducted or sponsored by the applicant are essential to the approval of the application. Pediatric exclusivity of six months may also be available if agreement is reached with the FDA and qualifying studies of product candidates in pediatric populations are conducted.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Manufacturing and Other Regulatory Requirements. </w:t>
      </w:r>
      <w:r>
        <w:rPr>
          <w:rFonts w:ascii="Arial" w:cs="Arial" w:eastAsia="Arial" w:hAnsi="Arial"/>
          <w:sz w:val="16"/>
          <w:szCs w:val="16"/>
          <w:color w:val="auto"/>
        </w:rPr>
        <w:t>Both before and after approval, we and our third-party manufacturers must comply with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For example, if we seek to make certain changes to an approved product, such as promoting or labeling a product for a new indication, manufacturing changes or additional labeling claims, we will need FDA review and approval. Advertising and other promotional materials must comply with FDA requirements and established requirements applicable to drug samples. In addition, we may not label or promote the product for an indication that has not been approved by the FDA. Securing FDA approval for new indications or product enhancements and, in some cases, for new labeling claims, is generally a time-consuming and expensive process that may require us to conduct clinical trials under the FDA’s IND regulations. Even if such studies are conducted, the FDA may not approve any change in a timely fashion, or at all. In addition, adverse experiences associated with use of the products must be reported to the FDA, and FDA rules govern how we can label, advertise or otherwise commercialize our products.</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NDA holders and manufacturers of approved products will be subject to continual review and periodic inspections by the FDA and other authorities, where applicable, and must comply with ongoing requirements,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including the FDA’s cGMP requirements. Manufacturers must provide certain safety and efficacy information and make certain other required reports. To comply with cGMP requirements, manufacturers must continue to spend time, money and effort to meet requirements relating to personnel, facilities, equipment, production and process, labeling and packaging, quality control, record-keeping and other requirements. The FDA periodically inspects drug manufacturing facilities to evaluate compliance with cGMP requirements. Product approvals may 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FDA restrictions on marketing of pharmaceutical products, several other state and federal laws have been applied to restrict certain sales and marketing practices in the pharmaceutical industry in recent years. These laws include licensing requirements, compliance program requirements, annual certificates and disclosures, anti-kickback statutes and false claims statutes. The federal Anti-Kickback Statute, prohibits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have a false claim paid. Several pharmaceutical and other health care companies have been prosecuted under these laws for allegedly promoting their products for off-label uses, which in turn led to claims being submitted to and paid by the Medicare and Medicaid programs. The majority of states also have statutes or regulations similar to the Anti-Kickback Statue and false claims laws, which apply to items and services reimbursed under Medicaid and other state programs, or, in several states, apply regardless of the payor.</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Regulatory Approval</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In addition, regulatory approval of prices is required in most countries other than the United States. We face the risk that the resulting prices would be insufficient to generate an acceptable return to us or our collaborators.</w:t>
      </w:r>
    </w:p>
    <w:p>
      <w:pPr>
        <w:spacing w:after="0" w:line="9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Under European Union regulatory systems, marketing authorizations may be submitted either under a centralized or decentralized procedure. The centralized procedure is currently mandatory for products developed by means of a biotechnological process and optional for new active substances and other “innovative medicinal 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9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We have assembled an experienced and cohesive management and support team, with core competencies in general management, clinical development, regulatory affairs and corporate development. As of March 29, 2011, we had 18 full-time employees, following a reduction in force, or RIF, to down-size the company to save costs. We believe even after the RIF that our relations with our employees are good, and we have no history of work stoppages.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Letter of Intent</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3, 2011, we executed a joint venture agreement with Zhejiang Medicine Co., Ltd. and Beijing Make-Friend Medicine Technology Co., Ltd., which provides for the establishment of a joint venture company to develop and commercialize MN-221 in China. The agreement provides that the business scope of the joint venture company will be to in-license authorized drug candidates from us, manage and operate a facility to manufacture such drug candidates for the Chinese market and promote, distribute and sell such drug candidates in the Chinese market. The joint venture company will also be responsible for conducting all clinical trials necessary to gain regulatory approval in China. The joint venture company will initially conduct the activities described above with respect to MN-221; however other drug candidates may be brought within the scope if the parties to the agreement unanimously agree. We will contribute 4,290,000 RMB in cash for a 30% interest in the joint venture. Our responsibilities relate to granting rights to MN-221 in China to the joint venture, while the other parties are responsible for providing funding for the joint venture’s activities. We will receive a license fee payment equal to our capital contribution for the license to MN-221. Any amendment requires the written agreement of all three parties thereto.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Avigen Management Transition Plan</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March 11, 2011, a designated representative from Avigen notified us of the termination of the Avigen Management Transition Plan, or the Avigen MTP, with the final distribution to occur on or about March 31, 2011. In connection with the termination of the Avigen MTP and pursuant to the related contingent payment rights agreement, the remaining funds were distributed to AST and AST was instructed to distribute the funds to the Avigen shareholders on a pro rata basis (approximately $0.02 per share) based on the shares of Avigen common stock held immediately prior to the effective time of the merger.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Firm Commitment Underwritten Public Offering</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On March 24, 2011, the underwriter exercised 50,666 units of its 412,500 unit overallotment. On March 29, 2011, we received net proceeds of approximately $7.9 million, after underwriter discount and underwriter expenses and no warrants exercised.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Oxford Loan Update</w:t>
      </w:r>
    </w:p>
    <w:p>
      <w:pPr>
        <w:spacing w:after="0" w:line="15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anticipation of not achieving either of the affirmative covenants required under our loan agreement with Oxford Finance Corporation, or Oxford, by March 31, 2011, we negotiated with Oxford the repayment of the loan in full on April 1, 2011, wherein Oxford agreed to waive the early payment penalty of approximately $437,000.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were originally incorporated in the State of Delaware in September 2000. Our principal executive offices are located at 4350 La Jolla Village Drive, Suite 950, San Diego, CA 92122. Our telephone number is (858) 373 – 1500. Our website is </w:t>
      </w:r>
      <w:r>
        <w:rPr>
          <w:rFonts w:ascii="Arial" w:cs="Arial" w:eastAsia="Arial" w:hAnsi="Arial"/>
          <w:sz w:val="18"/>
          <w:szCs w:val="18"/>
          <w:u w:val="single" w:color="auto"/>
          <w:color w:val="auto"/>
        </w:rPr>
        <w:t>www.medicinova.com</w:t>
      </w:r>
      <w:r>
        <w:rPr>
          <w:rFonts w:ascii="Arial" w:cs="Arial" w:eastAsia="Arial" w:hAnsi="Arial"/>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of Form 10K.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8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year ended December 31, 2010, we had a net loss of $20.2 million and our accumulated deficit was approximately $267.5 million. If we are successful in securing a strategic collaboration or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99"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If we have taxable income in the future, utilization of the net operating losses, or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7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our existing cash and cash equivalents at December 31, 2010, together with the $7.9 million of net proceeds from our public offering which closed on March 29, 2011, will be sufficient to fund our operating requirements and debt repayment obligations for at least the next 12 months. We have based our cash estimates on our anticipated repayment of the Oxford loan on April 1, 2011, pursuant to an executed pay-off letter between us and Oxford dated March 31, 2011, and our assumptions related to when our ongoing clinical trial for MN-221 will be completed.</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These assumptions may prove to be wrong, and we could spend our available financial resources before we complete the clinical trial. Our future capital requirements will also depend on many factors, including:</w:t>
      </w:r>
    </w:p>
    <w:p>
      <w:pPr>
        <w:spacing w:after="0" w:line="11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it may acquire;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primarily related to MN-221 for the treatment of acute exacerbations of asthma and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consumed substantial amounts of capital since our inception. From our inception to December 31, 2010, we had an accumulated deficit of $267.5 million. Our cash and cash equivalents were approximately $28.3 million at December 31, 2010.</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will continue to require us to incur substantial research and development expenses and we do not expect to be able to fund these expenses solely from upfront cash or milestones from collaborations or strategic alliances. As such we may be required to raise capital from one or more sources in the near term to continue our operations at or close to the levels currently conducted. We believe that without raising additional capital soon from accessible sources of financings, we will not otherwise have adequate funding to complete the development of MN-221 including pivotal clinical trials or the commercialization of any products we successfully develop. Our business plan assumes that we will use approximately $15.2 million of our existing cash resources to fund repayment of our loan from Oxford on April 1, 2011 pursuant to an executed pay-off letter dated March 31, 2011. We also have assumed that all of our restricted cash will be used to pay our convertible notes that mature on June 18, 2011, although one or more holders may elect to convert some or all of the convertible notes to common stock at a conversion rate of $6.80 per share prior to the maturity date. There is no guarantee that adequate funds will be available when needed from additional debt or equity financing, arrangements with partners, or from other sources, or on terms attractive to us. The inability to obtain sufficient additional funds when needed to fund our operations would require us to significantly delay, scale back, or eliminate some or all of our clinical or regulatory activities, further reduce general and administrative expenses and have a substantial negative effect on our results of operations and financial condition.</w:t>
      </w:r>
    </w:p>
    <w:p>
      <w:pPr>
        <w:spacing w:after="0" w:line="11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ibudilast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fund any further significant clinical development of MN-166/AV411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clinical development programs for MN-221 and MN-166/AV411 may not lead to commercial products for a number of reasons, including our clinical trials’ failure to demonstrate to the FDA’s satisfaction that these product candidates are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10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7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have obtained Clinical Trial Authorizations, or CTAs, for the ongoing Phase II clinical trial for MN-221 in Canada, Australia and New Zealand. Through the acquisition of Avigen, we have assumed responsibility for AV411 clinical trials including one active IND for neuropathic pain and cross-reference and drug product support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of the NIDA-funded opioid withdrawal investigator-initiated IND with Columbia University drug addiction clinical researchers. In the third quarter of 2010, a NIDA-funded investigator-initiated IND with University of California Los Angeles was given approval by the FDA to proceed with an initial trial of our neurological drug candidate, ibudilast (MN-166/AV411), as a potential new pharmacotherapy for methamphetamine addiction. The study will be led by established clinical research investigators in the treatment of drug addiction.</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158"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26"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through the third quarter of 2010 we continued to experience an overall slower than anticipated enrollment of patients for our ongoing Phase II clinical trial evaluating the safety and efficacy of MN-221 in patients with severe, acute exacerbations of asthma for various reasons such as the length of time required to stay in the emergency room, or ER, during the treatment period. Our enrollment rates have improved since September 30, 2010, we believe, due in part to changes to the protocol that shortened the length of time the patient needed to stay in the ER and that gave the ER physician control over the standard-of-care that was given to the patient during the treatment period. However, there is no assurance that we will complete enrollment in the second half of 2011.</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7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81" w:lineRule="exact"/>
        <w:rPr>
          <w:sz w:val="20"/>
          <w:szCs w:val="20"/>
          <w:color w:val="auto"/>
        </w:rPr>
      </w:pPr>
    </w:p>
    <w:p>
      <w:pPr>
        <w:ind w:left="780" w:right="80" w:hanging="326"/>
        <w:spacing w:after="0" w:line="306"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2"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45"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20" w:hanging="326"/>
        <w:spacing w:after="0" w:line="332"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9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0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companies also may prove to be significant competitors, particularly through proprietary research discoveries and collaboration arrangements with large pharmaceutical and established biotechnology companies.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9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and the acquisition of AV411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127"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does not have sufficient resources or decides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9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02"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Our loan and security agreement with Oxford requires principal repayment on March 31, 2011 if we do not achieve certain affirmative covenants, and the agreement requires us to pledge substantial assets and also contains various covenants that may restrict our business and financing activities.</w:t>
      </w:r>
    </w:p>
    <w:p>
      <w:pPr>
        <w:spacing w:after="0" w:line="4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10, 2010, we entered into the Loan Agreement with Oxford governing the terms of our $15 million senior secured credit facility. We were required to pay interest on borrowings on a monthly basis through and including February 1, 2011. Beginning March 1, 2011 through maturity of the loan, we are required to make payments of outstanding principal and interest in 30 equal monthly installments. The Loan Agreement also requires that on or before March 31, 2011 we must have either (i) entered into a collaboration, joint venture or partnership with a non-affiliate providing for up-front cash proceeds to us (with such proceeds received on or before March 31, 2011) of not less than $15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positive-end of Phase II meeting with the FDA and obtained the approval of the board of directors to proceed to Phase III with MN-221. We do not anticipate achieving either of these affirmative covenants by March 31, 2011. However, Oxford has agreed to waive early payment penalties of approximately $437,000 if we repay the loan in full on April 1, 2011.</w:t>
      </w:r>
    </w:p>
    <w:p>
      <w:pPr>
        <w:spacing w:after="0" w:line="10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Loan Agreement is secured by a first priority security interest in substantially all of our assets, other than intellectual property. If we fail to repay the loan when it matures, the lender could initiate foreclosure proceedings against our pledged assets. Any foreclosure proceedings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9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0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both before and after regulatory approval, we, our partners and our product candidates are subject to numerous FDA requirements, including requirements related to testing, manufacturing, quality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0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3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To date, we have entered into an agreement with Hospira Worldwide, Inc. for the development and supply of finished product of MN-221 for the treatment of acute exacerbations of asthma utilizing Hospira’s proprietary ADD-Vantage drug delivery system that we intend to use in clinical trials and the commercial market if MN-221 receives regulatory approval.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commercial supply agreements could result in interruption of supply and lost or delayed revenues, which would adversely affect our business.</w:t>
      </w:r>
    </w:p>
    <w:p>
      <w:pPr>
        <w:spacing w:after="0" w:line="15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3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0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10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72"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0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continuing health care reform in the U.S. will control or significantly influence the purchase of medical services and products, and may result in inadequate coverage of and reimbursement for our products. Many third-party payors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payors, including government payors, are instituting could have a material adverse effect on our ability to operate profitably.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127"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spacing w:after="0" w:line="4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upon (i) consent of the parties, (ii) cause or other material breach of the agreement, (iii) death or permanent disability and (iv) three months’ written notice. Following termination of employment, these individuals may engage in other businesses that may compete with us.</w:t>
      </w:r>
    </w:p>
    <w:p>
      <w:pPr>
        <w:spacing w:after="0" w:line="10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0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President signed into law the Patient Protection and Affordable Care Act, which imposes numerous provisions over a four-year period. We have begun to assess the impact of this Act, but, at this early stage the likely impact cannot be ascertained with any degree of certainty.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8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93"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March 29, 2011, we had 18 full-time employees, following a reduction in force which took place in January 2011, wherein we down-sized the company to save costs. If we are successful in securing a strategic collaboration or raising additional capital, our management, personnel, systems and facilities currently in place may not be adequate to support the company’s needs.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102"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right="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37"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Sarbanes-Oxley Act requires that we maintain effective internal controls for financial reporting and disclosure controls and procedures. Our listing obligations under the Jasdaq Market (formerly the Hercules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Market until its closure in 2010) of the Osaka Securities Exchange, or OSE,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registered public accounting firm on our report regarding internal control over financial reporting for the year ended December 31, 2010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identified a material weakness in our internal control over financial reporting, and any failure to effectively remediate the material weakness identified as of September 30, 2010 could result in material misstatements in our financial statements.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interim or annual financial statements will not be prevented or detected on a timely basis. In the course of carrying out the required quarterly evaluation and preparing the financial statements as of September 30, 2010, management identified control overrides and policy deviations by one of our senior executive officers. The following deficiencies in internal control over financial reporting, which collectively represented a material weakness in our internal control over financial reporting, were reported by management to our Audit Committee:</w:t>
      </w:r>
    </w:p>
    <w:p>
      <w:pPr>
        <w:spacing w:after="0" w:line="102" w:lineRule="exact"/>
        <w:rPr>
          <w:sz w:val="20"/>
          <w:szCs w:val="20"/>
          <w:color w:val="auto"/>
        </w:rPr>
      </w:pPr>
    </w:p>
    <w:p>
      <w:pPr>
        <w:ind w:left="780" w:right="6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senior executive officer lacked a sufficient control awareness related to compliance with our Code of Conduct, contract review and approval policies, and certain human resources policies and procedures for employee terminations.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design adequate human resources policies and procedures related to ensuring compliance with our Code of Conduct.</w:t>
      </w:r>
    </w:p>
    <w:p>
      <w:pPr>
        <w:spacing w:after="0" w:line="1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management team is committed to achieving and maintaining a strong control environment and an overall tone within the organization that empowers all employees to act with the highest standards of ethical conduct. In addition, management remains committed to the process of developing and implementing improved corporate governance and compliance initiatives. Our Board and management team implemented the following remediation plan to address the material weakness and enhance our internal controls:</w:t>
      </w:r>
    </w:p>
    <w:p>
      <w:pPr>
        <w:spacing w:after="0" w:line="130" w:lineRule="exact"/>
        <w:rPr>
          <w:sz w:val="20"/>
          <w:szCs w:val="20"/>
          <w:color w:val="auto"/>
        </w:rPr>
      </w:pPr>
    </w:p>
    <w:p>
      <w:pPr>
        <w:ind w:left="780" w:right="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revised our contract review and approval policy to require the signature of two executive officers, one of whom must be the Chief Financial Officer or his designee;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Board assigned additional responsibility to the Compensation Committee, including requirements that the Compensation Committee approve</w:t>
      </w:r>
    </w:p>
    <w:p>
      <w:pPr>
        <w:spacing w:after="0" w:line="38" w:lineRule="exact"/>
        <w:rPr>
          <w:rFonts w:ascii="Arial" w:cs="Arial" w:eastAsia="Arial" w:hAnsi="Arial"/>
          <w:sz w:val="16"/>
          <w:szCs w:val="16"/>
          <w:color w:val="auto"/>
        </w:rPr>
      </w:pPr>
    </w:p>
    <w:p>
      <w:pPr>
        <w:ind w:left="780" w:right="180"/>
        <w:spacing w:after="0" w:line="255" w:lineRule="auto"/>
        <w:rPr>
          <w:rFonts w:ascii="Arial" w:cs="Arial" w:eastAsia="Arial" w:hAnsi="Arial"/>
          <w:sz w:val="16"/>
          <w:szCs w:val="16"/>
          <w:color w:val="auto"/>
        </w:rPr>
      </w:pPr>
      <w:r>
        <w:rPr>
          <w:rFonts w:ascii="Arial" w:cs="Arial" w:eastAsia="Arial" w:hAnsi="Arial"/>
          <w:sz w:val="18"/>
          <w:szCs w:val="18"/>
          <w:color w:val="auto"/>
        </w:rPr>
        <w:t>(1) any salary increases/adjustments greater than 10%, (2) any promotion or hiring into any position at the level of Vice President or above, (3) the salary of any individual promoted or hired for any position at the level of Vice President or above and (4) the granting to any employee of benefits or other perquisites not generally available to all employees;</w:t>
      </w:r>
    </w:p>
    <w:p>
      <w:pPr>
        <w:spacing w:after="0" w:line="49" w:lineRule="exact"/>
        <w:rPr>
          <w:rFonts w:ascii="Arial" w:cs="Arial" w:eastAsia="Arial" w:hAnsi="Arial"/>
          <w:sz w:val="16"/>
          <w:szCs w:val="16"/>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Board changed the reporting lines of our Vice President of Clinical Development and our Manager of Human Resources and Administration; and</w:t>
      </w:r>
    </w:p>
    <w:p>
      <w:pPr>
        <w:spacing w:after="0" w:line="126" w:lineRule="exact"/>
        <w:rPr>
          <w:rFonts w:ascii="Arial" w:cs="Arial" w:eastAsia="Arial" w:hAnsi="Arial"/>
          <w:sz w:val="16"/>
          <w:szCs w:val="16"/>
          <w:color w:val="auto"/>
        </w:rPr>
      </w:pPr>
    </w:p>
    <w:p>
      <w:pPr>
        <w:ind w:left="780" w:right="8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Due to the appearance of a possible conflict of interest, the Board granted a waiver under our Code of Conduct to a senior executive officer and one of our other employees with respect to any joint real estate and banking transactions to which they are party as of November 13,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In addition, subsequent to September 30, 2010, our Board formed a Strategic and Operational Review Committee comprised of certain members of our Board and our senior management team that has been tasked with reviewing all key strategic and operational matters. Our Board and our senior management team may engage additional third-party specialists to further review and identify any other enhancements to our internal controls that may help prevent future significant deficiencies and/or material weaknesses.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tested our remediation plan with the assistance of a third party and we have conducted an evaluation of the effectiveness of our internal control over financial reporting as of December 31, 2010. The framework on which such evaluation was based is contained in the report entitled “Internal Control – Integrated Framework” issued by the Committee of Sponsoring Organizations of the Treadway Commission (the “COSO Report”). Based on our evaluation under the criteria set forth in the COSO Report, our management concluded our internal control over financial reporting was effective as of December 31, 2010. Our registered public accounting firm has issued an audit report on the effectiveness of our internal control over financial reporting as of December 31, 2010 wherein they opine on the effectiveness of our internal control over financial reporting as of December 31, 2010.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significant deficiencies or additional material weaknesses in our internal control are discovered or occur in the future, we may fail to meet our future reporting obligations on a timely basis, our consolidated financial statements may contain material misstatements, we could be required to restate our prior period financial results, our operating results may be harmed, we may be subject to class action litigation and, our common stock could be delisted from Nasdaq and the Jasdaq Market of the OSE.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ibudilast.</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ibudilast development programs. Following completion of the Phase II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ibudilast-based development program. We cannot assure you that we will be able to secure such a strategic collaboration or otherwise further advance, or recognize value from, a combined MN-166/AV411 clinical development program.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72"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45"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There is significant litigation in our industry regarding patent and other intellectual property rights. While we are not currently subject to any pending intellectual property litigation, and are not aware of any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13" w:lineRule="exact"/>
        <w:rPr>
          <w:sz w:val="20"/>
          <w:szCs w:val="20"/>
          <w:color w:val="auto"/>
        </w:rPr>
      </w:pPr>
    </w:p>
    <w:p>
      <w:pPr>
        <w:ind w:left="780" w:right="4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Jasdaq Market of the Osaka Securities Exchange in Japan, trading volume in our securities has been light and an active trading market may not develop for our common stock. In December 2010, our average trading volume was approximately 1,700 shares per day on the Nasdaq Global Market and approximately 25,000 shares per day on the Jasdaq Market.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December 31, 2010,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99" w:lineRule="exact"/>
        <w:rPr>
          <w:sz w:val="20"/>
          <w:szCs w:val="20"/>
          <w:color w:val="auto"/>
        </w:rPr>
      </w:pPr>
    </w:p>
    <w:p>
      <w:pPr>
        <w:ind w:left="780" w:right="52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initiation, termination, or reduction in the scope of any collaboration arrangements or any disputes or developments regarding such collaborations;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w:t>
      </w:r>
    </w:p>
    <w:p>
      <w:pPr>
        <w:spacing w:after="0" w:line="295" w:lineRule="auto"/>
        <w:rPr>
          <w:sz w:val="20"/>
          <w:szCs w:val="20"/>
          <w:color w:val="auto"/>
        </w:rPr>
      </w:pPr>
      <w:r>
        <w:rPr>
          <w:rFonts w:ascii="Arial" w:cs="Arial" w:eastAsia="Arial" w:hAnsi="Arial"/>
          <w:sz w:val="16"/>
          <w:szCs w:val="16"/>
          <w:color w:val="auto"/>
        </w:rPr>
        <w:t>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and the existence of our stockholder rights plan may make an acquisition of us more complicated and the removal and replacement of our directors and management more difficult.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49" w:lineRule="exact"/>
        <w:rPr>
          <w:sz w:val="20"/>
          <w:szCs w:val="20"/>
          <w:color w:val="auto"/>
        </w:rPr>
      </w:pPr>
    </w:p>
    <w:p>
      <w:pPr>
        <w:ind w:left="780" w:right="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we adopted a stockholder rights plan in November 2006, pursuant to which each share of our common stock includes an attached preferred stock purchase right, that is designed to impede takeover transactions that are not supported by our board of directors.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lease approximately 12,699 square feet of office space at our headquarters in San Diego, California under a lease that expires in August 2011.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 In addition to our headquarters, we also lease approximately 1,726 square feet of office space in Tokyo, Japan under a lease that expires in May 2011. Currently, we do not have plans to renew our San Diego lease agreement. We are considering month-to-month lease options, as well as reducing the size of our facility space and/or utilizing “virtual” offices.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 2011, we received a legal letter from a former employee who had been terminated in January 2011 pursuant to our planned reduction-in-force to save costs. The legal letter did not assert a claim outright; however, there were allegations made in the legal letter that could threaten litigation against us. We have engaged legal counsel in connection with the possibility of a lawsuit given this legal letter and the fact that this former employee’s separation agreement has expired. No accrual has been made for this threatened lawsuit in our financial statement as of December 31, 2010. In the event of a lawsuit, we intend to defend ourselves.</w:t>
      </w:r>
    </w:p>
    <w:p>
      <w:pPr>
        <w:spacing w:after="0" w:line="129"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may be a party to lawsuits in the normal course of business. Litigation and governmental investigations can be expensive and disruptive to normal business operations. Moreover, the results of legal proceedings are difficult to predict. Significant judgments or settlements in connection with legal proceedings may have a material adverse effect on our business, financial condition and results of operations. We are not a party to any material legal proceedings.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common stock is traded on the Jasdaq Market under the symbol “4875” and on the Nasdaq Global Market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60" w:type="dxa"/>
            <w:vAlign w:val="bottom"/>
            <w:gridSpan w:val="2"/>
          </w:tcPr>
          <w:p>
            <w:pPr>
              <w:ind w:left="440"/>
              <w:spacing w:after="0"/>
              <w:rPr>
                <w:sz w:val="20"/>
                <w:szCs w:val="20"/>
                <w:color w:val="auto"/>
              </w:rPr>
            </w:pPr>
            <w:r>
              <w:rPr>
                <w:rFonts w:ascii="Arial" w:cs="Arial" w:eastAsia="Arial" w:hAnsi="Arial"/>
                <w:sz w:val="18"/>
                <w:szCs w:val="18"/>
                <w:color w:val="auto"/>
                <w:w w:val="91"/>
              </w:rPr>
              <w:t>The following table sets forth the high and low sale prices per share of our common stock as reported on the Nasdaq Global Market.</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340" w:type="dxa"/>
            <w:vAlign w:val="bottom"/>
            <w:gridSpan w:val="4"/>
          </w:tcPr>
          <w:p>
            <w:pPr>
              <w:ind w:left="280"/>
              <w:spacing w:after="0"/>
              <w:rPr>
                <w:sz w:val="20"/>
                <w:szCs w:val="20"/>
                <w:color w:val="auto"/>
              </w:rPr>
            </w:pPr>
            <w:r>
              <w:rPr>
                <w:rFonts w:ascii="Arial" w:cs="Arial" w:eastAsia="Arial" w:hAnsi="Arial"/>
                <w:sz w:val="18"/>
                <w:szCs w:val="18"/>
                <w:b w:val="1"/>
                <w:bCs w:val="1"/>
                <w:color w:val="auto"/>
              </w:rPr>
              <w:t>Common</w:t>
            </w: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340" w:type="dxa"/>
            <w:vAlign w:val="bottom"/>
            <w:gridSpan w:val="4"/>
          </w:tcPr>
          <w:p>
            <w:pPr>
              <w:ind w:left="200"/>
              <w:spacing w:after="0"/>
              <w:rPr>
                <w:sz w:val="20"/>
                <w:szCs w:val="20"/>
                <w:color w:val="auto"/>
              </w:rPr>
            </w:pPr>
            <w:r>
              <w:rPr>
                <w:rFonts w:ascii="Arial" w:cs="Arial" w:eastAsia="Arial" w:hAnsi="Arial"/>
                <w:sz w:val="18"/>
                <w:szCs w:val="18"/>
                <w:b w:val="1"/>
                <w:bCs w:val="1"/>
                <w:color w:val="auto"/>
              </w:rPr>
              <w:t>Stock Price</w:t>
            </w: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High</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Low</w:t>
            </w:r>
          </w:p>
        </w:tc>
        <w:tc>
          <w:tcPr>
            <w:tcW w:w="100" w:type="dxa"/>
            <w:vAlign w:val="bottom"/>
          </w:tcPr>
          <w:p>
            <w:pPr>
              <w:spacing w:after="0"/>
              <w:rPr>
                <w:sz w:val="18"/>
                <w:szCs w:val="18"/>
                <w:color w:val="auto"/>
              </w:rPr>
            </w:pPr>
          </w:p>
        </w:tc>
      </w:tr>
      <w:tr>
        <w:trPr>
          <w:trHeight w:val="209"/>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2009</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$3.20</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$1.43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spacing w:after="0"/>
              <w:rPr>
                <w:sz w:val="20"/>
                <w:szCs w:val="20"/>
                <w:color w:val="auto"/>
              </w:rPr>
            </w:pPr>
            <w:r>
              <w:rPr>
                <w:rFonts w:ascii="Arial" w:cs="Arial" w:eastAsia="Arial" w:hAnsi="Arial"/>
                <w:sz w:val="18"/>
                <w:szCs w:val="18"/>
                <w:color w:val="auto"/>
                <w:w w:val="84"/>
              </w:rPr>
              <w:t>$4.25</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$7.76</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$4.00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spacing w:after="0"/>
              <w:rPr>
                <w:sz w:val="20"/>
                <w:szCs w:val="20"/>
                <w:color w:val="auto"/>
              </w:rPr>
            </w:pPr>
            <w:r>
              <w:rPr>
                <w:rFonts w:ascii="Arial" w:cs="Arial" w:eastAsia="Arial" w:hAnsi="Arial"/>
                <w:sz w:val="18"/>
                <w:szCs w:val="18"/>
                <w:color w:val="auto"/>
                <w:w w:val="84"/>
              </w:rPr>
              <w:t>$8.44</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$5.60</w:t>
            </w:r>
          </w:p>
        </w:tc>
        <w:tc>
          <w:tcPr>
            <w:tcW w:w="100" w:type="dxa"/>
            <w:vAlign w:val="bottom"/>
          </w:tcPr>
          <w:p>
            <w:pPr>
              <w:spacing w:after="0"/>
              <w:rPr>
                <w:sz w:val="19"/>
                <w:szCs w:val="19"/>
                <w:color w:val="auto"/>
              </w:rPr>
            </w:pPr>
          </w:p>
        </w:tc>
      </w:tr>
      <w:tr>
        <w:trPr>
          <w:trHeight w:val="425"/>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2010</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$9.00</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$6.09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spacing w:after="0"/>
              <w:rPr>
                <w:sz w:val="20"/>
                <w:szCs w:val="20"/>
                <w:color w:val="auto"/>
              </w:rPr>
            </w:pPr>
            <w:r>
              <w:rPr>
                <w:rFonts w:ascii="Arial" w:cs="Arial" w:eastAsia="Arial" w:hAnsi="Arial"/>
                <w:sz w:val="18"/>
                <w:szCs w:val="18"/>
                <w:color w:val="auto"/>
                <w:w w:val="84"/>
              </w:rPr>
              <w:t>$7.51</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$4.75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$6.40</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$4.44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spacing w:after="0"/>
              <w:rPr>
                <w:sz w:val="20"/>
                <w:szCs w:val="20"/>
                <w:color w:val="auto"/>
              </w:rPr>
            </w:pPr>
            <w:r>
              <w:rPr>
                <w:rFonts w:ascii="Arial" w:cs="Arial" w:eastAsia="Arial" w:hAnsi="Arial"/>
                <w:sz w:val="18"/>
                <w:szCs w:val="18"/>
                <w:color w:val="auto"/>
                <w:w w:val="84"/>
              </w:rPr>
              <w:t>$5.95</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$4.51</w:t>
            </w:r>
          </w:p>
        </w:tc>
        <w:tc>
          <w:tcPr>
            <w:tcW w:w="100" w:type="dxa"/>
            <w:vAlign w:val="bottom"/>
          </w:tcPr>
          <w:p>
            <w:pPr>
              <w:spacing w:after="0"/>
              <w:rPr>
                <w:sz w:val="19"/>
                <w:szCs w:val="19"/>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29, 2011, there were approximately 7,000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never declared or paid any cash dividends on our capital stock, and we do not anticipate paying any cash dividends in the foreseeable future. We expect to retain our future earnings, if any, to fund the growth and development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Net proceeds received, after estimated underwriting discount and underwriter expenses, and assuming the warrants are not exercised, was approximately $7.9 million. The offering closed on March 29, 2011. We intend to use $4.5 million of such net proceeds to fund development work for MN-221 and $500,000 of such net proceeds for other research and development on MN-166/AV411. We may also use a portion of the net proceeds to acquire or invest in complementary businesses, technologies, product candidates or other intellectual property, although we have no present commitments or agreements to do so.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February 8, 2005, which is the date our common stock first began trading on the Hercules Market of the Osaka Securities Exchange, to two indices: the Hercules Total Index and the Hercules Standard Index., through December 31, 2009. The graph assumes an initial investment of $100 on February 8, 2005,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64135</wp:posOffset>
            </wp:positionV>
            <wp:extent cx="5196840" cy="3319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9684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2/8/2005</w:t>
            </w:r>
          </w:p>
        </w:tc>
        <w:tc>
          <w:tcPr>
            <w:tcW w:w="6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12/30/2005</w:t>
            </w:r>
          </w:p>
        </w:tc>
        <w:tc>
          <w:tcPr>
            <w:tcW w:w="6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12/29/2006</w:t>
            </w:r>
          </w:p>
        </w:tc>
        <w:tc>
          <w:tcPr>
            <w:tcW w:w="600" w:type="dxa"/>
            <w:vAlign w:val="bottom"/>
          </w:tcPr>
          <w:p>
            <w:pPr>
              <w:spacing w:after="0"/>
              <w:rPr>
                <w:sz w:val="19"/>
                <w:szCs w:val="19"/>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12/28/2007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12/30/2008</w:t>
            </w:r>
          </w:p>
        </w:tc>
        <w:tc>
          <w:tcPr>
            <w:tcW w:w="6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12/30/2009</w:t>
            </w:r>
          </w:p>
        </w:tc>
        <w:tc>
          <w:tcPr>
            <w:tcW w:w="100" w:type="dxa"/>
            <w:vAlign w:val="bottom"/>
          </w:tcPr>
          <w:p>
            <w:pPr>
              <w:spacing w:after="0"/>
              <w:rPr>
                <w:sz w:val="19"/>
                <w:szCs w:val="19"/>
                <w:color w:val="auto"/>
              </w:rPr>
            </w:pPr>
          </w:p>
        </w:tc>
      </w:tr>
      <w:tr>
        <w:trPr>
          <w:trHeight w:val="211"/>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1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Hercules Total Index</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Hercules Standard Index</w:t>
            </w:r>
          </w:p>
        </w:tc>
        <w:tc>
          <w:tcPr>
            <w:tcW w:w="1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right="420" w:hanging="212"/>
        <w:spacing w:after="0" w:line="268"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Due to the closure of the Hercules Market of the Osaka Securities Exchange and the inability to retrieve our stock’s performance from the Hercules Market in 2010, the following graph illustrates a comparison of the total cumulative stockholder return on our common stock since January 1, 2010, to the Jasdaq Market (total index). The graph assumes an initial investment of $100 on January 1, 2010,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64135</wp:posOffset>
            </wp:positionV>
            <wp:extent cx="5196840" cy="3310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9684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3/31/2010</w:t>
            </w:r>
          </w:p>
        </w:tc>
        <w:tc>
          <w:tcPr>
            <w:tcW w:w="7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6/30/2010</w:t>
            </w:r>
          </w:p>
        </w:tc>
        <w:tc>
          <w:tcPr>
            <w:tcW w:w="80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9/30/2010</w:t>
            </w:r>
          </w:p>
        </w:tc>
        <w:tc>
          <w:tcPr>
            <w:tcW w:w="8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12/30/2010</w:t>
            </w:r>
          </w:p>
        </w:tc>
        <w:tc>
          <w:tcPr>
            <w:tcW w:w="100" w:type="dxa"/>
            <w:vAlign w:val="bottom"/>
          </w:tcPr>
          <w:p>
            <w:pPr>
              <w:spacing w:after="0"/>
              <w:rPr>
                <w:sz w:val="19"/>
                <w:szCs w:val="19"/>
                <w:color w:val="auto"/>
              </w:rPr>
            </w:pP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1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Jasdaq Total Index</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96</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20" w:right="420" w:hanging="212"/>
        <w:spacing w:after="0" w:line="268"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graph illustrates a comparison of the total cumulative stockholder return on our common stock since December 7, 2006 which is the date our common stock first began trading on the Nasdaq Global Market, to two indices: the NASDAQ Composite Index and the NASDAQ Biotechnology Index. The graph assumes an initial investment of $100 on December 7, 2006,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226175" cy="3387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617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right="420" w:hanging="212"/>
        <w:spacing w:after="0" w:line="268"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12/7/2006</w:t>
            </w:r>
          </w:p>
        </w:tc>
        <w:tc>
          <w:tcPr>
            <w:tcW w:w="720" w:type="dxa"/>
            <w:vAlign w:val="bottom"/>
          </w:tcPr>
          <w:p>
            <w:pPr>
              <w:spacing w:after="0"/>
              <w:rPr>
                <w:sz w:val="19"/>
                <w:szCs w:val="19"/>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12/31/2007</w:t>
            </w:r>
          </w:p>
        </w:tc>
        <w:tc>
          <w:tcPr>
            <w:tcW w:w="72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12/31/2008</w:t>
            </w:r>
          </w:p>
        </w:tc>
        <w:tc>
          <w:tcPr>
            <w:tcW w:w="7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12/31/2009</w:t>
            </w:r>
          </w:p>
        </w:tc>
        <w:tc>
          <w:tcPr>
            <w:tcW w:w="7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12/31/2010</w:t>
            </w:r>
          </w:p>
        </w:tc>
        <w:tc>
          <w:tcPr>
            <w:tcW w:w="100" w:type="dxa"/>
            <w:vAlign w:val="bottom"/>
          </w:tcPr>
          <w:p>
            <w:pPr>
              <w:spacing w:after="0"/>
              <w:rPr>
                <w:sz w:val="19"/>
                <w:szCs w:val="19"/>
                <w:color w:val="auto"/>
              </w:rPr>
            </w:pPr>
          </w:p>
        </w:tc>
      </w:tr>
      <w:tr>
        <w:trPr>
          <w:trHeight w:val="211"/>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13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NASDAQ Biotechnologies Index</w:t>
            </w:r>
          </w:p>
        </w:tc>
        <w:tc>
          <w:tcPr>
            <w:tcW w:w="13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101</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102</w:t>
            </w: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3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r>
      <w:tr>
        <w:trPr>
          <w:trHeight w:val="363"/>
        </w:trPr>
        <w:tc>
          <w:tcPr>
            <w:tcW w:w="3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10"/>
            <w:vMerge w:val="restart"/>
          </w:tcPr>
          <w:p>
            <w:pPr>
              <w:jc w:val="right"/>
              <w:ind w:right="102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10"/>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4"/>
              </w:rPr>
              <w:t>2000 (inception)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3"/>
              </w:rPr>
              <w:t>to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9,624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41,942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252,714</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(17,883)</w:t>
            </w:r>
          </w:p>
        </w:tc>
        <w:tc>
          <w:tcPr>
            <w:tcW w:w="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(21,239)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(22,601)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(53,494)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(41,678)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charge)/gain, net 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and ARS put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(1,768)</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(20,187)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(35,690)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(236,175)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Accretion to redemption value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7"/>
              </w:rPr>
              <w:t>redeemable convertible preferred stock</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Deemed dividend resulting from beneficial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on Series C redeemable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preferred stock</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(31,264)</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w w:val="92"/>
              </w:rPr>
              <w:t>Net loss applicable to common stockholders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gridSpan w:val="2"/>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(20,187)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(20,369)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(21,925)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(48,903)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(35,690)</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(267,538)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w w:val="97"/>
              </w:rPr>
              <w:t>Shares used to compute basic and diluted</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net loss per share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12,410,576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12,105,835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12,072,027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11,752,139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10,130,920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As of December 31,</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28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11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6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cash equivalents and current investment securities</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  28,252</w:t>
            </w:r>
          </w:p>
        </w:tc>
        <w:tc>
          <w:tcPr>
            <w:tcW w:w="3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  43,497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19,297</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70,635</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$ 104,051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ARS put—current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2,557</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Restricted cash, investment and letter of credit- current</w:t>
            </w:r>
          </w:p>
        </w:tc>
        <w:tc>
          <w:tcPr>
            <w:tcW w:w="740" w:type="dxa"/>
            <w:vAlign w:val="bottom"/>
          </w:tcPr>
          <w:p>
            <w:pPr>
              <w:jc w:val="right"/>
              <w:spacing w:after="0"/>
              <w:rPr>
                <w:sz w:val="20"/>
                <w:szCs w:val="20"/>
                <w:color w:val="auto"/>
              </w:rPr>
            </w:pPr>
            <w:r>
              <w:rPr>
                <w:rFonts w:ascii="Arial" w:cs="Arial" w:eastAsia="Arial" w:hAnsi="Arial"/>
                <w:sz w:val="18"/>
                <w:szCs w:val="18"/>
                <w:color w:val="auto"/>
              </w:rPr>
              <w:t>29,313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17,836</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100,102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Restricted cash, investment and letter of credit- long-term</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31,223</w:t>
            </w:r>
          </w:p>
        </w:tc>
        <w:tc>
          <w:tcPr>
            <w:tcW w:w="4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Investment-long-term</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24,047</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ARS put—long-term</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5,793</w:t>
            </w:r>
          </w:p>
        </w:tc>
        <w:tc>
          <w:tcPr>
            <w:tcW w:w="60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94,327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111,591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740" w:type="dxa"/>
            <w:vAlign w:val="bottom"/>
          </w:tcPr>
          <w:p>
            <w:pPr>
              <w:jc w:val="right"/>
              <w:spacing w:after="0"/>
              <w:rPr>
                <w:sz w:val="20"/>
                <w:szCs w:val="20"/>
                <w:color w:val="auto"/>
              </w:rPr>
            </w:pPr>
            <w:r>
              <w:rPr>
                <w:rFonts w:ascii="Arial" w:cs="Arial" w:eastAsia="Arial" w:hAnsi="Arial"/>
                <w:sz w:val="18"/>
                <w:szCs w:val="18"/>
                <w:color w:val="auto"/>
              </w:rPr>
              <w:t>4,952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ARS loan payable</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17,605</w:t>
            </w:r>
          </w:p>
        </w:tc>
        <w:tc>
          <w:tcPr>
            <w:tcW w:w="4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29,258</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(267,538)</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(247,351)</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(226,982)</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(205,057)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(156,154)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48,045</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66,608</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100,981</w:t>
            </w:r>
          </w:p>
        </w:tc>
      </w:tr>
      <w:tr>
        <w:trPr>
          <w:trHeight w:val="363"/>
        </w:trPr>
        <w:tc>
          <w:tcPr>
            <w:tcW w:w="528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5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99"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are a development stage company. We have incurred significant net losses since our inception. At December 31, 2010, from inception, our accumulated deficit was approximately $267.5 million, including $48.3 million of non-cash stock-based compensation charges related to employee stock-based compensation and founders’ warrants. We expect to incur substantial net losses for the next several years as we continue to develop certain of our existing product development programs, primarily MN-221 for the treatment of acute exacerbations of asthma and COPD exacerbations, and over the long-term if we are successful in expanding our research and development programs and acquiring or in-licensing products, technologies or businesses that are complementary to our own.</w:t>
      </w:r>
    </w:p>
    <w:p>
      <w:pPr>
        <w:spacing w:after="0" w:line="8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product development programs which have been in clinical development for the treatment of acute exacerbations of asthma, diabetic neuropathic pain, opioid addiction, MS, bronchial asthma, IC, solid tumor cancers, Generalized Anxiety Disorders/insomnia, preterm labor and urinary incontinence, and two product development programs which have been in preclinical development for the treatment of thrombotic disorders. In addition, we have expanded our development program for MN-221 for the treatment of COPD exacerbations.</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2009 we acquired Avigen, a biopharmaceutical company that focused on identifying and developing differentiated products to treat patients with serious disorders, whose potential product candidate is AV411, a microphage migration inhibitor and a glial attenuator, for CNS disorders, such as neuropathic pain, and opioid addiction and withdrawal and methamphetamine addiction. Avigen’s AV411 and our MN-166 are both ibudilast, an orally available, small molecule therapeutic. To date, we continue to integrate the two ibudilast-based product development programs and pursue discussions with potential partners to secure a strategic collaboration to advance clinical development of the combined development programs.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18, 2009, Absolute Merger, Inc., a wholly-owned subsidiary of ours, merged with and into Avigen, with Avigen continuing as the surviving entity and wholly-owned subsidiary of ours. Under the terms of the merger, we issued $29.4 million in secured convertible notes that mature on June 18, 2011, the 18-month anniversary of the closing of the merger. Holders of these convertible notes may convert their notes into our common stock at an initial conversion price of $6.80 per share. At the maturity of the convertible notes, the remaining holders would be paid out the same per share amount as the Avigen shareholders that elected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receive cash at the merger closing, plus accrued interest. As part of the merger consideration, the former Avigen shareholders were also entitled to receive approximately $0.04 per share, which was paid in two increments in 2010, and rights under contingent payment rights issued as part of the merger consideration. The amount to be paid in the two installments was net of a reconciliation of Avigen expenses and a letter of credit after expiry. Under the first and second installments paid out, we paid $140,119 and $73,449, respectively, to Avigen shareholders who elected payment in cash and we issued an additional principal amount of $685,917 and $359,551, respectively, in convertible notes to Avigen shareholders who elected payment in convertible notes in lieu of a cash payment.</w:t>
      </w:r>
    </w:p>
    <w:p>
      <w:pPr>
        <w:spacing w:after="0" w:line="8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result of the Avigen transaction, our consolidated financial statements include Avigen’s operations after the completion of the acquisition. We accounted for the Avigen merger using the acquisition method of accounting. The acquisition method of accounting for acquired businesses requires, among other things, that most assets acquired and liabilities assumed be recognized at their fair values as of the acquisition date and that the fair value of acquired in-process research and development, or IPR&amp;D, be recorded on the balance sheet. Also, transaction costs are expensed as incurred. As a result of the Avigen transaction we recorded $4.8 million of IPR&amp;D related to Avigen’s AV411 asset and we originally recorded $9.1 million of goodwill related to the excess purchase price over the assigned values of the net assets acquired. With the reconciliation of expenses performed and the remaining amount of the letter of credit known upon expiry, goodwill was adjusted by approximately $0.5 million to $9.6 million to reflect the increase in liabilities assumed. The goodwill was primarily a result of the conversion feature related to the convertible notes issued pursuant to the merger agreement. Our annual test date for IPR&amp;D and goodwill impairment is December 31. We operate as one reporting segment and, during the year ended December 31, 2010 through the date of this report, there were no triggering events, market conditions (such as a drop in our stock price by more than 50%) or other factors (such as adverse clinical trial results) that would indicate possible or actual impairment of IPR&amp;D or goodwill.</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At the closing of the Avigen merger, we and American Stock Transfer &amp; Trust Company, LLC, as trustee, entered into an indenture. Under the terms of a separate trust agreement, or Trust Agreement, $29.4 million, which represents the First Payment Consideration less $6.0 million paid out to Avigen shareholders who elected cash payment and the initial principal amount of the convertible notes, or Convertible Notes, was deposited with a trust agent for the benefit of the holders and us (the amount of such deposit together with interest accrued and capitalized thereon, the Property). Provided no event of default has occurred and is continuing, we will be able to direct the investment and reinvestment of the Property in certain approved investment options, including certain money market funds. At the maturity of the Convertible Notes on June 18, 2011, the 18-month anniversary of the closing of the merger, we plan to use the Property to pay the principal amount of, and accrued interest on, the Convertible Notes.</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Convertible Notes are our secured obligations, and the indenture does not limit other indebtedness of ours, secured or unsecured. The indenture contains limited covenants, including a requirement that we deliver to holders of the Convertible Notes quarterly statements setting forth the principal amount of the Convertible Notes at the close of the fiscal quarter as well as information regarding the amount of interest capitalized to such Convertible Notes during the fiscal quarter.</w:t>
      </w:r>
    </w:p>
    <w:p>
      <w:pPr>
        <w:spacing w:after="0" w:line="13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Any fractional shares (after aggregating all Convertible Notes being converted by a holder on such date) will be rounded down and we will deliver cash out of the separate trust for the current market value of the fractional share. The indenture includes customary anti-dilution adjustments and events of default.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Payment Rights</w:t>
      </w:r>
    </w:p>
    <w:p>
      <w:pPr>
        <w:spacing w:after="0" w:line="15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At the closing of the Avigen merger, we, Avigen and American Stock Transfer &amp; Trust Company, LLC, as rights agent, entered into a Contingent Payment Rights Agreement, or CPR Agreement. The CPR Agreement sets forth the rights that former Avigen stockholders have with respect to each CPR held after the closing of the merger. The CPR Agreement provides for the payment of the following amounts on a pro rata basis:</w:t>
      </w:r>
    </w:p>
    <w:p>
      <w:pPr>
        <w:spacing w:after="0" w:line="93" w:lineRule="exact"/>
        <w:rPr>
          <w:sz w:val="20"/>
          <w:szCs w:val="20"/>
          <w:color w:val="auto"/>
        </w:rPr>
      </w:pPr>
    </w:p>
    <w:p>
      <w:pPr>
        <w:ind w:left="780" w:right="16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first milestone payment under Avigen’s agreement with Genzyme, or the Genzyme Agreement, is received before August 18, 2011, $6,000,000 or such lesser cash amount paid by Genzyme;</w:t>
      </w:r>
    </w:p>
    <w:p>
      <w:pPr>
        <w:spacing w:after="0" w:line="37" w:lineRule="exact"/>
        <w:rPr>
          <w:rFonts w:ascii="Arial" w:cs="Arial" w:eastAsia="Arial" w:hAnsi="Arial"/>
          <w:sz w:val="18"/>
          <w:szCs w:val="18"/>
          <w:color w:val="auto"/>
        </w:rPr>
      </w:pPr>
    </w:p>
    <w:p>
      <w:pPr>
        <w:ind w:left="780" w:right="60" w:hanging="326"/>
        <w:spacing w:after="0" w:line="325"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first milestone payment has not occurred and the Parkinson’s Product, as defined in the Genzyme Agreement, is sold or otherwise disposed of by us before August 18, 2011, 50 percent of the net proceeds of such sale or disposition received before August 18, 2011; and</w:t>
      </w:r>
    </w:p>
    <w:p>
      <w:pPr>
        <w:spacing w:after="0" w:line="1" w:lineRule="exact"/>
        <w:rPr>
          <w:rFonts w:ascii="Arial" w:cs="Arial" w:eastAsia="Arial" w:hAnsi="Arial"/>
          <w:sz w:val="16"/>
          <w:szCs w:val="16"/>
          <w:color w:val="auto"/>
        </w:rPr>
      </w:pPr>
    </w:p>
    <w:p>
      <w:pPr>
        <w:jc w:val="both"/>
        <w:ind w:left="780" w:right="140" w:hanging="326"/>
        <w:spacing w:after="0" w:line="25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trust established pursuant to the Avigen MTP is terminated, the amount remaining in such trust upon termination (less any payments required to be made under Avigen’s Management Transition Plan Trust Agreement), such amount currently estimated at $624,000. As of December 31, 2010, the Avigen MTP has not been terminated.</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All payments will be made on a pro rata basis. In each case, the payments will be net of any related taxes and out-of-pocket costs, damages, fines, penalties and expenses incurred by us. The contingent payment rights are not transferable, except in limited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recognized no revenues for each of the years in the three-year period ended December 31,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yearly budget estimates have not differed significantly from the actual costs incurred.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42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5"/>
              </w:rPr>
              <w:t>Year ended December 31,</w:t>
            </w:r>
          </w:p>
        </w:tc>
      </w:tr>
      <w:tr>
        <w:trPr>
          <w:trHeight w:val="210"/>
        </w:trPr>
        <w:tc>
          <w:tcPr>
            <w:tcW w:w="54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760" w:type="dxa"/>
            <w:vAlign w:val="bottom"/>
          </w:tcPr>
          <w:p>
            <w:pPr>
              <w:spacing w:after="0"/>
              <w:rPr>
                <w:sz w:val="18"/>
                <w:szCs w:val="18"/>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Disease/Indication</w:t>
            </w:r>
          </w:p>
        </w:tc>
        <w:tc>
          <w:tcPr>
            <w:tcW w:w="55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2010</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9"/>
              </w:rPr>
              <w:t>2009</w:t>
            </w: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r>
      <w:tr>
        <w:trPr>
          <w:trHeight w:val="210"/>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76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Acute exacerbations of asthma and COPD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MN-166/AV411</w:t>
            </w:r>
          </w:p>
        </w:tc>
        <w:tc>
          <w:tcPr>
            <w:tcW w:w="7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Multiple sclerosis/other CNS disorders</w:t>
            </w:r>
          </w:p>
        </w:tc>
        <w:tc>
          <w:tcPr>
            <w:tcW w:w="500" w:type="dxa"/>
            <w:vAlign w:val="bottom"/>
          </w:tcPr>
          <w:p>
            <w:pPr>
              <w:jc w:val="right"/>
              <w:spacing w:after="0"/>
              <w:rPr>
                <w:sz w:val="20"/>
                <w:szCs w:val="20"/>
                <w:color w:val="auto"/>
              </w:rPr>
            </w:pPr>
            <w:r>
              <w:rPr>
                <w:rFonts w:ascii="Arial" w:cs="Arial" w:eastAsia="Arial" w:hAnsi="Arial"/>
                <w:sz w:val="18"/>
                <w:szCs w:val="18"/>
                <w:color w:val="auto"/>
              </w:rPr>
              <w:t>885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3,363</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76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MN-001</w:t>
            </w:r>
          </w:p>
        </w:tc>
        <w:tc>
          <w:tcPr>
            <w:tcW w:w="7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76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MN-305</w:t>
            </w:r>
          </w:p>
        </w:tc>
        <w:tc>
          <w:tcPr>
            <w:tcW w:w="7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Generalized Anxiety Disorder/Insomnia</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76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MN-246</w:t>
            </w:r>
          </w:p>
        </w:tc>
        <w:tc>
          <w:tcPr>
            <w:tcW w:w="7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76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MN-462</w:t>
            </w:r>
          </w:p>
        </w:tc>
        <w:tc>
          <w:tcPr>
            <w:tcW w:w="7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gridSpan w:val="5"/>
          </w:tcPr>
          <w:p>
            <w:pPr>
              <w:spacing w:after="0"/>
              <w:rPr>
                <w:sz w:val="20"/>
                <w:szCs w:val="20"/>
                <w:color w:val="auto"/>
              </w:rPr>
            </w:pPr>
            <w:r>
              <w:rPr>
                <w:rFonts w:ascii="Arial" w:cs="Arial" w:eastAsia="Arial" w:hAnsi="Arial"/>
                <w:sz w:val="18"/>
                <w:szCs w:val="18"/>
                <w:color w:val="auto"/>
              </w:rPr>
              <w:t>Total research and development</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$ 9,711</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10,873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13,828</w:t>
            </w:r>
          </w:p>
        </w:tc>
      </w:tr>
      <w:tr>
        <w:trPr>
          <w:trHeight w:val="20"/>
        </w:trPr>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In the third quarter of 2009, we determined to expand the product development program for MN-221 to evaluate MN-221 for the treatment of COPD exacerbations. In the second quarter of 2008, we completed the Phase II clinical trial of MN-166 ibudilast for the treatment of MS and in December 2009, through the Avigen acquisition, we acquired AV411 ibudilast for the treatment of other CNS disorders (neuropathic pain, opioid addiction and withdrawal and methamphetamine addiction). To date, we continue to work on combining the two ibudilast-based development programs and we are pursuing discussions with potential partners to secure a strategic collaboration. As such, we do not plan to undertake any further significant clinical development of MN-166/AV411 until such time that we secure a strategic collaboration to advance the combined ibudilast-based development program. We anticipate that our research and development expenses will increase with respect to MN-221 over the next few quarters as we strive to complete the current clinical trial, MN-221 CL-007 in the second half of 2011. In addition, with respect to MN-166/AV411, in future periods, we will limit expenditures on this product candidate to those development activities deemed necessary, if any, to maximize its value for purposes of securing a partner for clinical development.</w:t>
      </w:r>
    </w:p>
    <w:p>
      <w:pPr>
        <w:spacing w:after="0" w:line="11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intend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 These eight non-prioritized product development programs consist of the following:</w:t>
      </w:r>
    </w:p>
    <w:p>
      <w:pPr>
        <w:spacing w:after="0" w:line="99" w:lineRule="exact"/>
        <w:rPr>
          <w:sz w:val="20"/>
          <w:szCs w:val="20"/>
          <w:color w:val="auto"/>
        </w:rPr>
      </w:pPr>
    </w:p>
    <w:p>
      <w:pPr>
        <w:ind w:left="780" w:right="200" w:hanging="326"/>
        <w:spacing w:after="0" w:line="325"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MN-001 for the treatment of IC, for which we completed a Phase II clinical trial in the first quarter of 2007;</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325"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 clinical trial for the treatment of Generalized Anxiety Disorder in the second quarter of 2006 and a Phase II clinical trial for the treatment of insomnia in the fourth quarter of 2007;</w:t>
      </w:r>
    </w:p>
    <w:p>
      <w:pPr>
        <w:spacing w:after="0" w:line="1"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0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May 10, 2010, we entered into a loan and security agreement, or the Loan Agreement, with Oxford, under which we borrowed $15.0 million. The financing is used to satisfy working capital needs, including the continued clinical development of MN-221.</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 percent. The effective interest rate on the loan was 18.14 percent when taking into consideration the deferred interest payment, the relative fair value of the warrants issued in connection with the loan and the fees associated with procuring the loan. Pursuant to the Loan Agreement, we also issued to Oxford a warrant to acquire up to 198,020 shares of our common stock, par value $0.001 per share, at an exercise price of $6.06 per share. Based on a Black Scholes model, the relative fair value of the warrant was approximately $859,000.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paid Oxford a facility fee of $150,000 and we paid outside third parties fees of approximately $180,000. We will also pay Oxford a deferred interest payment equal to $450,000, payable on September 30, 2011, provided that a pro rata portion of such deferred interest payment shall be paid upon any prepayment of the loan. In addition, if we prepay all or a portion of the loan prior to maturity, we will pay Oxford a prepayment penalty of three percent of the total amount prepaid if the prepayment occurs prior to May 10, 2011, two percent of the total amount prepaid if the prepayment occurs between May 11, 2011 and May 10, 2012 and one percent of the total amount prepaid if the prepayment occurs on or after May 10, 2012.</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accounted for the interest on the long-term debt under the effective interest method wherein we treated the debt issuance costs paid directly to Oxford and the fair value of the warrants issued to Oxford as a discount on the debt (or a contra liability) and we treated the debt issuance costs paid to third parties as an asset. The related amortization of the debt discount is recorded as interest expense and the amortization of the debt issuance costs paid to third parties is recorded as other expense in our consolidated statement of operations.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158"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Loan Agreement requires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 end-of-Phase II meeting with the FDA and obtained the approval of the board of directors to proceed to Phase III with MN-221.</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anticipate achieving either of these affirmative covenants by March 31, 2011 and Oxford has agreed to waive early payment penalties of approximately $437,000 if we repay the loan in full on April 1, 2011. See Notes to Consolidated Financial Statements—Note 12, Subsequent Events, for further information on the Oxford loan.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investment securities had consisted of auction rate securities, or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insurance notes and portfolios of securities (primarily commercial paper).</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August 2008, UBS, the brokerage firm through which we purchased the majority of our investment securities, all of which were ARS entered into a settlement with the SEC, the New York Attorney General and other state agencies. Under the settlement, we received the right to sell to UBS the ARS held in accounts with UBS at par value at any time during the period beginning June 30, 2010 and ending July 2, 2012. The right to sell the ARS back to UBS is considered an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We measured the UBS ARS on a Level 3 basis, as defined by ASC 820, using a discounted cash flow valuation model, employing liquidity discounts and assumptions made regarding interest rate and maturity.</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elected to measure the ARS Put under the fair value option of ASC 825, authoritative guidance on financial instruments (formerly SFAS No. 159), to mitigate the volatility in reported earnings due to the linkage of certain of our ARS and the ARS Put. Under ASC 825, any subsequent increase or decrease in the fair value of the ARS Put would be recorded as either a gain or an impairment charge, respectively, in our consolidated statement of operations. The fair value of the ARS Put was also determined by a discounted cash flow valuation model with assumptions being made related to interest rate, maturity and liquidity.</w:t>
      </w:r>
    </w:p>
    <w:p>
      <w:pPr>
        <w:spacing w:after="0" w:line="8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December 31, 2008, we designated our investment securities portfolio as trading investment securities; therefore, any additional increase or decrease in the fair value of our investment securities is recorded as either a gain or an impairment charge, respectively, in our consolidated statement of operations.</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exercised our ARS Put on June 30, 2010. Upon settlement of the ARS Put in July 2010, the UBS ARS were redeemed at par value by UBS and the associated ARS Loan was repaid, which resulted in a net gain of approximately $138,000 being recorded in our consolidated statement of operations related to the redemption of the UBS ARS and ARS Put. Therefore, as of December 31, 2010, we no longer held any investment securities originally purchased by UBS and we no longer held the ARS Put.</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third quarter of 2010, we reclassified our long-term investment securities to current investment securities because we no longer had the intent to hold these securities for more than a year. In addition, the fair market value of these investment securities were no longer determined on a Level 3 basis based on a discounted cash flow model employing liquidity discounts, but rather on a Level 2 basis, as defined by ASC 820, based on indicative liquidation quotes in an inactive market. During the twelve months ended December 31, 2010, we recorded impairment charges of $923,000 on these investment securities to write them down to fair market value based on the indicative quotes received from third party brokers. All impairment charges were recorded in our consolidated statement of operations in the current year.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no longer held any investment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Loss/(Gain)</w:t>
      </w:r>
    </w:p>
    <w:p>
      <w:pPr>
        <w:spacing w:after="0" w:line="15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To date, we have conducted most of our clinical trials in the United States. However, the Phase II clinical trial for MN-166 for the treatment of MS that was completed in 2008 was conducted in Eastern Europe and the ongoing Phase II clinical trial in MN-221 for the treatment of acute exacerbations of asthma has a small number of clinical sites located in Canada, Australia and New Zealand in which certain of the invoices are denominated in the Canadian dollar, the Australian dollar and the New Zealand dollar, respectively. In addition, we have certain investor relation invoices denominated in Japanese Yen and we have certain manufacturing invoices denominated in British Pounds. At this time, we have not established a hedging program to mitigate our foreign exchange exposure. Foreign exchange gain/loss is based on the difference between the exchange rate at the settlement date and the exchange rate at the balance sheet date.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consists of accretion related to the convertible notes and the amortization of debt issuance costs paid to third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 expense consists of interest charged on our ARS Loan, interest charged on our long-term debt based on the effective interest method and amortization of debt discount.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ARS.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at the date of the consolidated financial statements, as well as the revenues and expenses during the reporting periods. We evaluate our estimates and judgments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significant accounting policies are more fully described in Note 1 to our consolidated financial statements included elsewhere in this Annual Report on Form 10-K. Our most critical accounting estimates include our recognition of research and development expenses, which impacts operating expenses and accrued liabilities, and stock-based compensation, which impacts operating expenses. We review our estimates, judgments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grant options to purchase our common stock to our employees and directors under our Amended and Restated 2004 Stock Incentive Plan. Additionally, we have outstanding stock options that were granted under our 2000 General Stock Incentive Plan. The benefits provided under both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Valuation of our stock option grants require us to estimate certain variables, such as estimated volatility and expected life. If any of our estimations change, such changes could have a significant impact on the stock-based compensation amount we recognize.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firstLine="456"/>
        <w:spacing w:after="0" w:line="422" w:lineRule="auto"/>
        <w:rPr>
          <w:sz w:val="20"/>
          <w:szCs w:val="20"/>
          <w:color w:val="auto"/>
        </w:rPr>
      </w:pPr>
      <w:r>
        <w:rPr>
          <w:rFonts w:ascii="Arial" w:cs="Arial" w:eastAsia="Arial" w:hAnsi="Arial"/>
          <w:sz w:val="18"/>
          <w:szCs w:val="18"/>
          <w:color w:val="auto"/>
        </w:rPr>
        <w:t xml:space="preserve">Stock option compensation expense is recognized on a straight-line basis over the vesting period of the underlying option, generally four years. </w:t>
      </w:r>
      <w:r>
        <w:rPr>
          <w:rFonts w:ascii="Arial" w:cs="Arial" w:eastAsia="Arial" w:hAnsi="Arial"/>
          <w:sz w:val="18"/>
          <w:szCs w:val="18"/>
          <w:b w:val="1"/>
          <w:bCs w:val="1"/>
          <w:i w:val="1"/>
          <w:iCs w:val="1"/>
          <w:color w:val="auto"/>
        </w:rPr>
        <w:t>Business Combinations</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consolidated financial statements include an acquired business’ operations after the completion of the acquisition. We account for acquired businesses using the acquisition method of accounting. The acquisition method of accounting for acquired businesses requires, among other things, that most assets acquired and liabilities assumed be recognized at their fair values as of the acquisition date and that the fair value of acquired in-process research and development, or IPR&amp;D, be recorded on the balance sheet. Also, transaction costs are expensed as incurred. Any excess of the purchase price over the assigned values of the net assets acquired is recorded as goodwill. See Notes to Consolidated Financial Statements—Note 2. Avigen Transaction for further information on IPR&amp;D and goodwill.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measure certain assets and liabilities at fair value, either upon initial measurement or for subsequent accounting or reporting. We use fair value extensively in the initial measurement of net assets acquired in a business combination and when accounting for and reporting on investment securities and certain financial instruments or assets. We estimate fair value using an exit price approach, which requires, among other things, that we determine the price that would be received to sell an asset or paid to transfer a liability in an orderly market of market participants, considering the highest and best use of assets and, for liabilities, assuming the risk of non-performance will be the same before and after the transfer. Many, but not all, of our financial instruments are carried at fair value. In addition, as required under accounting rules for business combinations, the assets acquired and liabilities assumed from Avigen on December 18, 2009 have been recorded at their estimated fair values as of the acquisition date. For additional information on the valuation approach to determine fair value, including a description of the inputs used, see Long Lived Assets below and Notes to Consolidated Financial Statements—Note 2. Avigen Transaction</w:t>
      </w:r>
      <w:r>
        <w:rPr>
          <w:rFonts w:ascii="Arial" w:cs="Arial" w:eastAsia="Arial" w:hAnsi="Arial"/>
          <w:sz w:val="16"/>
          <w:szCs w:val="16"/>
          <w:i w:val="1"/>
          <w:iCs w:val="1"/>
          <w:color w:val="auto"/>
        </w:rPr>
        <w:t>.</w:t>
      </w:r>
      <w:r>
        <w:rPr>
          <w:rFonts w:ascii="Arial" w:cs="Arial" w:eastAsia="Arial" w:hAnsi="Arial"/>
          <w:sz w:val="16"/>
          <w:szCs w:val="16"/>
          <w:color w:val="auto"/>
        </w:rPr>
        <w:t xml:space="preserve"> Also, for information on fair value for our financial instruments, see Notes to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Note 3. Fair Value Measurements—Other Than Intangibles and Goodwill.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Impairment of Long-Lived Assets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review long-lived assets, including property and equipment, and other intangible assets, for impairment whenever events or changes in business circumstances indicate that the carrying amount of the assets may not be fully recoverable and we perform impairment testing for goodwill and IPR&amp;D annually. When it is determined that impairment has occurred, a charge to operations will be recorded. Impairment on property and equipment or other intangible assets, if any, is assessed using discounted cash flows. Impairment on goodwill is assessed on our overall market capitalization, as we operate under one reporting segment. Impairment on IPR&amp;D is assessed on a fair value cost approach.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Adopted</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October 2009, the Financial Accounting Standards Board, or FASB, ratified Accounting Standards Update, or ASU, No. 2010-13, which eliminates the residual method of allocation and the requirement to use the relative selling price method when allocating revenue in a multiple deliverable arrangement. When applying the relative selling price method, the selling price for each deliverable shall be determined using vendor specific objective evidence of selling price, if it exists, otherwise third-party evidence of selling price. If neither vendor specific objective evidence nor third-party evidence of selling price exists for a deliverable, companies shall use its best estimate of the selling price for that deliverable when applying the relative selling price method. ASU 2010-13 shall be effective in fiscal years beginning on or after June 15, 2010, with earlier application permitted. Companies may elect to adopt this guidance prospectively for all revenue arrangements entered into or materially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modified after the date of adoption, or retrospectively for all periods presented. The adoption of this accounting standard did not have a material effect on our consolidated results of operations or financial condition.</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March 2010, the FASB issued ASU No. 2010-11, “Derivatives and Hedging (Topic 815): Scope Exception Related to Embedded Credit Derivatives”. The FASB believes this ASU clarifies the type of embedded credit derivative that is exempt from embedded derivative bifurcation requirements. Specifically, only one form of embedded credit derivative qualifies for the exemption—one that is related only to the subordination of one financial instrument to another. As a result, entities that have contracts containing an embedded credit derivative feature in a form other than such subordination may need to separately account for the embedded credit derivative feature. The amendments in the ASU are effective for each reporting entity at the beginning of its first fiscal quarter beginning after June 15, 2010. The adoption of this accounting standard did not have a material effect on our consolidated results of operations or financial condition.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April 2010, FASB issued ASU No. 2010-12, which indicates that the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We have performed an initial review of the two acts and do not believe that either will have a material impact on our consolidated results of operations or financial condition. Our belief is based on the fact that: (i) we are a development stage biopharmaceutical whose lead drug candidates are in Phase II of development and we have no other revenue generating products; therefore the pharmaceutical industry fee should not be applicable to us, nor would we be impacted by the drug subsidy changes; (ii) we have less than 25 employees so the fee for health plans will have minimal impact to our operating expenses; (iii) we do not have “high-cost” coverage health plans, nor do we offer retiree medical benefits; thus, the fees and the changes related to these would not impact our operating expenses; and (iv) with regard to the limit on tax-deductible employee compensation, this should not impact our tax position as we are currently a net loss company and will continue to be a net loss company in the foreseeable future. The health care reforms also provide for a “new investment tax credit for qualified therapeutic discovery,” for which we submitted an application on July 16, 2010. In October 2010, we were notified that our application for a grant payment under the investment tax credit for qualified therapeutic discovery was not approved by the Department of Health and Human Services.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The adoption of this standard will not have a material effect on our consolidated results of operations or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December 2010, the FASB issued ASU No. 2010-027, Fees Paid to the Federal Government by Pharmaceutical Manufacturers which provides guidance concerning the recognition and classification of the new annual fee payable by branded prescription drug manufacturers and importers on branded prescription drugs which was mandated under the health care reform legislation enacted in the U.S. in March 2010. Under this new accounting standard, the annual fee would be presented as a component of operating expenses and recognized over the calendar year such fees are payable using a straight-line method of allocation unless another method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—better allocates the fee over the calendar year. This ASU is effective for calendar years beginning on or after December 31, 2010, when the fee initially becomes effective. The adoption of this accounting standard will not have an impact on our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 Material Weakness Remediation</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2010, management believes that the material weakness in our internal control over financial reporting that was included in Item 4 of our Form 10-Q for the quarter ended September 30, 2010 has been effectively remediated. Prior to the quarter ended December 31, 2010, the remediation measures as described below were implemented.</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taken appropriate actions to remediate the material weakness related to the identified control overrides and policy deviations by one of our senior executive officers, which, collectively, represented a material weakness in our internal control over financial reporting. Our remediation plan included disclosing the granting of a waiver under our code of conduct to a senior executive and another employee due to the appearance of a possible conflict of interest, re-aligning certain reporting structures, updating our contract review and approval policy to require one signatory to be our Chief Financial Officer, strengthening certain human resource policies by amending our compensation committee charter and creating a strategic and oversight committee comprised of certain board members and the senior management team to review key issues.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2010 and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years ended December 31, 2010 or December 31,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Research and development expenses for the year ended December 31, 2010 were $9.7 million, a decrease of $1.2 million compared to $10.9 million for the year ended December 31, 2009. This decrease in research and development expenses was due to a decrease of $1.1 million in spending on our prioritized asset MN-221 for the treatment of acute exacerbations of asthma, primarily due to the completion of the clinical trial evaluating MN-221 at planned escalating doses in patients with severe acute exacerbations of asthma treated in emergency departments in 2009, a decrease of $0.3 million primarily in unallocated R&amp;D expenses due to a reduction in personnel costs and a reduction in intellectual property legal costs related to the overall review of our patent portfolio, offset by an increase in spending of $0.2 million primarily to complete the clinical trial, principally funded by the National Institute in Drug Addiction, in our other prioritized asset MN-166/AV411 ibudilast for the treatment of opioid withdrawal.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General and administrative expenses were $8.2 million for the year ended December 31, 2010, a decrease of $2.2 million compared to $10.4 million for the year ended December 31, 2009. This decrease in general and administrative expenses was the result of a $1.6 million decrease in professional fees incurred due to the completion of the Avigen transaction in 2009, a decrease of $0.7 million due to the absence of bonus accruals in 2010 for company management, offset by an increase of $0.1 million in other expenses.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Charge/Gain, net, on Investment Securities and ARS Put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impairment charge on investment securities for the year ended December 31, 2010 was $785,000, as compared to a net gain on investment securities of $310,000 for year ended December 31, 2009. The net impairment charge in 2010 was a result of writing down the fair market value of our investment securities still held to liquidation value as we planned to sell investment securities in fourth quarter of 2010, offset by the gain recorded on the redemption of the UBS ARS and ARS Put. In 2009, all investment securities had been valued based on a discounted cash flow model employing liquidity discounts, which resulted in a net gain.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Loss/Gain</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Foreign exchange gain for the year ended December 31, 2010 was $4,000, as compared to a foreign exchange loss of $14,000 for the year ended December 31, 2009. The foreign exchange gain in was a result of the revaluation of Japanese yen-denominated liabilities, whereas in 2009 the revaluation of the euro-denominated liability resulted in a foreign exchange loss.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Other expense for the year ended December 31, 2010 was $181,000, as compared to $0 for the year ended December 31, 2009. Other expense relates to accretion on the convertible notes and amortization of debt issuance costs paid to third parties. We did not have long-term debt in 2009.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Interest expense for the year ended December 31, 2010 was $1.8 million, as compared to $242,000 for the year ended December 31, 2009. The increase in interest expense was due to the interest charged on the long-term debt using the effective interest method, offset by a decrease in the amount of interest charged on the ARS Loan as the ARS Loan was repaid in July 2010. In 2009 interest expense was only comprised of interest charged on the ARS Loan.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income for the year ended December 31, 2010 was $439,000, as compared to $823,000 for the year ended December 31, 2009. The decrease is due to a decrease in interest income due to a lower yield earned on invested balances as we converted higher yielding investment securities into cash, which were invested in money market funds to preserve liquidity and principal.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2009 and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year ended December 31, 2009 or December 31,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Research and development expenses for the year ended December 31, 2009 were $10.9 million, a decrease of $2.9 million compared to $13.8 million for the year ended December 31, 2008. This decrease in research and development expenses primarily resulted from the following:</w:t>
      </w:r>
    </w:p>
    <w:p>
      <w:pPr>
        <w:spacing w:after="0" w:line="72" w:lineRule="exact"/>
        <w:rPr>
          <w:sz w:val="20"/>
          <w:szCs w:val="20"/>
          <w:color w:val="auto"/>
        </w:rPr>
      </w:pPr>
    </w:p>
    <w:p>
      <w:pPr>
        <w:ind w:left="5620" w:right="1960" w:hanging="5166"/>
        <w:spacing w:after="0" w:line="550" w:lineRule="auto"/>
        <w:tabs>
          <w:tab w:leader="none" w:pos="7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$2.7 million due to the completion of the two year Phase II clinical trial for MN-166 for the treatment of MS; 75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4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of $0.9 million related primarily to the completion of clinical trials for MN-029 for the treatment of solid tumors and other non-prioritized assets;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of $1.2 million in research and development personnel costs not tracked to a specific development program,</w:t>
      </w:r>
    </w:p>
    <w:p>
      <w:pPr>
        <w:spacing w:after="0" w:line="1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which decrease was offset primarily by a net increase of $1.9 million related to the conduct of Phase II clinical trials for MN-221 for the treatment of acute exacerbations of asthma and COPD.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General and administrative expenses were $10.4 million for the year ended December 31, 2009, an increase of $1.6 million compared to $8.8 million for the year ended December 31, 2008. The $1.6 million increase was primarily related to expenses in connection with the Avigen transaction, including expenses related to legal fees to review and draft the merger agreement and related registration statement, accounting fees related to review of and consent for the registration statement, the cost of the fairness opinion, and printing and mailing costs related to the special shareholders’ meeting needed to approve the Avigen transaction.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Gain/Impairment Charge on Investment Securities and ARS Put</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year-ended December 31, 2009, we recorded a net gain of $0.3 million on our investment securities and ARS Put, as compared to a net impairment charge of $1.3 million for the year-ended December 31, 2008. The net gain in 2009 on our investment securities and ARS Put is primarily due to a change in assumed maturity in our discounted cash flow valuation analysis. In 2009 we utilized a five year assumed maturity on our ARS subject to UBS settlement, as opposed to a seven year assumed maturity in 2008. The change in assumed maturity was based on the outlook for the ARS market.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Foreign exchange loss was $14,000 for the year ended December 31, 2009, a decrease of $74,000 compared $88,000 for the year ended December 31, 2008. The decrease in foreign exchange loss was due to less weakening of the U.S. dollar against the euro and the settlement of the foreign currency denominated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income, net consisted of interest income earned on our cash and investment balances and totaled $581,000 for the year ended December 31, 2009, a decrease of $1.4 million compared to $2.0 million for the year ended December 31, 2008. The decrease was primarily due to a decrease in interest earned on most of our cash and investment balances due to lower interest rates as a result of the continued economic downturn. In addition, during the year ended December 31, 2009, $235,000 of interest expense was recorded on the ARS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incurred losses of $20,187,308, $20,368,890 and $21,924,929 for the years ended December 31, 2010, 2009, and 2008 respectively. We have an accumulated deficit of $267,538,407 as of December 31, 2010. Additionally, we have used net cash of $17,698,079, $17,014,162 and $21,118,380 to fund our operating activities for the years ended December 31, 2010, 2009, and 2008,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To date these operating losses have been funded primarily through the private placement of our equity securities, the public sale of our common stock, long-term debt, the conversion of convertible notes to our common stock and the exercise of founders’ warrants, net of treasury stock repurchases.</w:t>
      </w:r>
    </w:p>
    <w:p>
      <w:pPr>
        <w:spacing w:after="0" w:line="2"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During 2010, we expanded our Phase II clinical trial (MN-221-CL-007) activities while simultaneously pursuing available financing sources to support operations. We have had, and continue to have, an ongoing need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 raise additional cash from outside sources to fund our operations. If we are to be successful, we must raise outside capital in the future. If we cannot do so, we will be required to further reduce our research, development, and administrative operations, including reductions of our employee base, in order to offset the lack of available funding.</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development stage company, we have consumed substantial amounts of capital since our inception. We do not have any material commitments for capital expenditures, however, we have an ongoing 200 patient Phase II clinical trial (MN-221-CL-007) for which we expect to complete enrollment in the third quarter of 2011. Our clinical studies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If we do not receive complete and accurate information from the CRO or third parties on a timely basis or correctly estimate the outcome of contract negotiations, activity levels and the enrollment rate, this could potentially impact R&amp;D expense and cash payments in subsequent periods.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had, and continue to have, an ongoing need to raise additional cash from outside sources to fund our operations. We are pursuing financing opportunities in both the private and public debt and equity markets as well as through strategic corporate partnerships. We have an established history of raising capital through equity and debt, and we are currently involved in discussions with multiple parties. In March 2011, we raised approximately $8.3 million in gross proceeds (approximately $7.9 million, net of underwriting discount and underwriter expenses) from a firm underwritten public offering in which we offered 2,750,000 units, with each unit consisting of one share of common stock and a warrant to purchase one share of common stock. The purchase price for each unit was $3.00 and each warrant has an exercise price of $3.56 per share. In addition, in March 2011, the underwriter exercised 50,666 units of its 412,500 unit overallotment. As of March 31, 2011, our cash and cash equivalents, along with the proceeds from our recent offering, are our principal sources of liquidity. Our business will continue to require us to incur substantial research and development expenses and our business plan assumes that we will use approximately $15.2 million of our cash resources to fund repayment of our loan from Oxford on April 1, 2011, as agreed upon by Oxford and us in an executed pay-off letter dated March 31, 2011. We also have assumed that all of our restricted cash will be used to pay our convertible notes that mature on June 18, 2011, although one or more holders may elect to convert some or all of the convertible notes to common stock at a conversion rate of $6.80 per share prior to the maturity date.</w:t>
      </w:r>
    </w:p>
    <w:p>
      <w:pPr>
        <w:spacing w:after="0" w:line="11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believe our current liquidity position will be sufficient to fund our operations for at least the next 12 months. We expect to utilize our cash and cash equivalents to fund our operations, including research and development of our product development candidates and for clinical trials. Additionally, we believe that without additional sources of financing, we do not currently have adequate funding to complete the research and development and clinical trials required to bring our future products to market; therefore, we will require significant additional funding. If we are unsuccessful in our efforts to raise additional funds, we will be required to significantly reduce or curtail our future research and development activities and other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Cash and Contractual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our scheduled long-term contractual obligations that may affect our future liquidity as of December 31, 2010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8"/>
                <w:szCs w:val="18"/>
                <w:b w:val="1"/>
                <w:bCs w:val="1"/>
                <w:color w:val="auto"/>
              </w:rPr>
              <w:t>Payment Due By Period</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Contractual Obligations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w w:val="84"/>
              </w:rPr>
              <w:t>Less than 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72"/>
              <w:spacing w:after="0" w:line="197" w:lineRule="exact"/>
              <w:rPr>
                <w:sz w:val="20"/>
                <w:szCs w:val="20"/>
                <w:color w:val="auto"/>
              </w:rPr>
            </w:pPr>
            <w:r>
              <w:rPr>
                <w:rFonts w:ascii="Arial" w:cs="Arial" w:eastAsia="Arial" w:hAnsi="Arial"/>
                <w:sz w:val="18"/>
                <w:szCs w:val="18"/>
                <w:b w:val="1"/>
                <w:bCs w:val="1"/>
                <w:color w:val="auto"/>
              </w:rPr>
              <w:t>1-3</w:t>
            </w:r>
          </w:p>
        </w:tc>
        <w:tc>
          <w:tcPr>
            <w:tcW w:w="580" w:type="dxa"/>
            <w:vAlign w:val="bottom"/>
          </w:tcPr>
          <w:p>
            <w:pPr>
              <w:spacing w:after="0"/>
              <w:rPr>
                <w:sz w:val="17"/>
                <w:szCs w:val="17"/>
                <w:color w:val="auto"/>
              </w:rPr>
            </w:pPr>
          </w:p>
        </w:tc>
        <w:tc>
          <w:tcPr>
            <w:tcW w:w="420" w:type="dxa"/>
            <w:vAlign w:val="bottom"/>
          </w:tcPr>
          <w:p>
            <w:pPr>
              <w:jc w:val="right"/>
              <w:ind w:right="12"/>
              <w:spacing w:after="0" w:line="197" w:lineRule="exact"/>
              <w:rPr>
                <w:sz w:val="20"/>
                <w:szCs w:val="20"/>
                <w:color w:val="auto"/>
              </w:rPr>
            </w:pPr>
            <w:r>
              <w:rPr>
                <w:rFonts w:ascii="Arial" w:cs="Arial" w:eastAsia="Arial" w:hAnsi="Arial"/>
                <w:sz w:val="18"/>
                <w:szCs w:val="18"/>
                <w:b w:val="1"/>
                <w:bCs w:val="1"/>
                <w:color w:val="auto"/>
              </w:rPr>
              <w:t>3-5</w:t>
            </w:r>
          </w:p>
        </w:tc>
        <w:tc>
          <w:tcPr>
            <w:tcW w:w="580" w:type="dxa"/>
            <w:vAlign w:val="bottom"/>
          </w:tcPr>
          <w:p>
            <w:pPr>
              <w:spacing w:after="0"/>
              <w:rPr>
                <w:sz w:val="17"/>
                <w:szCs w:val="17"/>
                <w:color w:val="auto"/>
              </w:rPr>
            </w:pPr>
          </w:p>
        </w:tc>
        <w:tc>
          <w:tcPr>
            <w:tcW w:w="92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w w:val="89"/>
              </w:rPr>
              <w:t>More than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3"/>
              </w:rPr>
              <w:t>Total</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Year</w:t>
            </w:r>
          </w:p>
        </w:tc>
        <w:tc>
          <w:tcPr>
            <w:tcW w:w="5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Years</w:t>
            </w:r>
          </w:p>
        </w:tc>
        <w:tc>
          <w:tcPr>
            <w:tcW w:w="5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Years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License obligations(1)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due 2011(2)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28,626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Notes Payable due 2013(3)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18,394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11,748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Escrow Agreement(2)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Total(4)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47,547</w:t>
            </w: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35,777</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11,770</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the license agreements for our product candidates, we may be required to make future payments based upon the occurrence of certain milestones related to clinical development, regulatory or commercial events. We will also be required to pay royalties on any net sales of the licensed products, if any are approved by the FDA or foreign regulatory authorities for commercial sale. These milestone payments and royalty payments under our license agreements are not included in the table above because we cannot determine when, or if, the related milestones will be achieved or the events triggering the commencement of payment obligations will occur at present.</w:t>
      </w:r>
    </w:p>
    <w:p>
      <w:pPr>
        <w:spacing w:after="0" w:line="48" w:lineRule="exact"/>
        <w:rPr>
          <w:rFonts w:ascii="Arial" w:cs="Arial" w:eastAsia="Arial" w:hAnsi="Arial"/>
          <w:sz w:val="18"/>
          <w:szCs w:val="18"/>
          <w:color w:val="auto"/>
        </w:rPr>
      </w:pPr>
    </w:p>
    <w:p>
      <w:pPr>
        <w:ind w:left="460" w:right="120" w:hanging="452"/>
        <w:spacing w:after="0" w:line="253"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were initially recorded at fair value which is less than face value due to a lack of marketability discount employed in the binomial option pricing model we used to value these contractual obligations. The carrying values of these contractual obligations have been adjusted to reflect payments, interest, conversions into common stock and accretion, accordingly.</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contractual obligations are based on the stated amortization schedule, assuming no event of default.</w:t>
      </w:r>
    </w:p>
    <w:p>
      <w:pPr>
        <w:spacing w:after="0" w:line="9" w:lineRule="exact"/>
        <w:rPr>
          <w:rFonts w:ascii="Arial" w:cs="Arial" w:eastAsia="Arial" w:hAnsi="Arial"/>
          <w:sz w:val="18"/>
          <w:szCs w:val="18"/>
          <w:color w:val="auto"/>
        </w:rPr>
      </w:pPr>
    </w:p>
    <w:p>
      <w:pPr>
        <w:ind w:left="460" w:right="60" w:hanging="452"/>
        <w:spacing w:after="0" w:line="30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perform data collection and analysis and other services in connection with our product development programs. Our payment obligations under these agreements depend upon the progress of our product development programs. Therefore, we are unable at this time to estimate with certainty the future costs we will incur under these agreements.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December 31, 2010,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investment securities. As of December 31, 2010, we had no investment securities.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(if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9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Cash and cash equivalents as of December 31, 2010 were $28.3 million and were primarily invested in money market interest bearing accounts and money market funds. A hypothetical 10% adverse change in the average interest rate on our money market cash investments and short-term investments would have had no material effect on net income for the year ended December 31, 2010.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audited the accompanying consolidated balance sheets of MediciNova, Inc. and subsidiaries (a development stage company) (the Company) as of December 31, 2010 and 2009, and the related consolidated statements of operations, stockholders’ equity and comprehensive loss, and cash flows for each of the years in the two-year period ended December 31, 2010 and for the period from September 26, 2000 (inception) through December 31, 2010. These consolidated financial statements are the responsibility of the Company’s management. Our responsibility is to express an opinion on these consolidated financial statements based on our audits. The cumulative statements of operations and cash flows for the period from September 26, 2000 (inception) through December 31, 2008 and the statements of stockholders’ equity for the period from September 26, 2000 (inception) to December 31, 2000 and for each of the years in the eight-year period ended December 31, 2008 were audited by other auditors whose report has been furnished to us, and our opinion insofar as it relates to the amounts included for the period September 26, 2000 through December 31, 2008 is based solely on the report of the other auditors.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our opinion, based on our audit and the report of other auditors, the consolidated financial statements referred to above present fairly, in all material respects, the financial position of MediciNova, Inc. and subsidiaries (a development stage company) as of December 31, 2010 and 2009, and the results of their operations and their cash flows for each of the years in the two-year period ended December 31, 2010 and for the period from September 26, 2000 (inception) through December 31, 2010, in conformity with U.S. generally accepted accounting principles.</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 and our report dated March 31, 2011 expressed an unqualified opinion on the effectiveness of the Company’s internal control over financial reporting.</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statements of operations, and cash flows of MediciNova, Inc. (a development stage company) for the year ended December 31, 2008 and for the period from September 26, 2000 (inception) through December 31, 2008 (not included herein), and the statements of stockholders’ equity for the period from September 26, 2000 (inception to December 31, 2000 and for each of the eight years in the period ended December 31, 2008.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05" w:lineRule="exact"/>
        <w:rPr>
          <w:sz w:val="20"/>
          <w:szCs w:val="20"/>
          <w:color w:val="auto"/>
        </w:rPr>
      </w:pPr>
    </w:p>
    <w:p>
      <w:pPr>
        <w:ind w:right="280" w:firstLine="456"/>
        <w:spacing w:after="0" w:line="303"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results of MediciNova, Inc.’s (a development stage company) consolidated operations and its cash flows for the year ended December 31, 2008, and the period from September 26, 2000 (inception) through December 31, 2008 (not included herein), and the consolidated statements of stockholders’ equity for the period from September 26, 2000</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(inception) to December 31, 2000 and each of the eight years in the period ended December 31, 2008, in conformity with U.S. generally accepted accounting principles.</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6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28,252,204</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Investment securities-current (Note 3)</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24,254,987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ARS put—current (Note 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Restricted cash (Notes 1 and 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28,688,892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investment (Notes 1 and 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Restricted letter of credit (Notes 1 and 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58,343,997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46,923,224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(Notes 1 and 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Goodwill (Notes 1 and 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9,600,241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9,142,205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(Notes 1 and 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Restricted investment (Notes 1 and 2)</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Restricted letter of credit (Notes 1 and 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(Note 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 (Note 4)</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72,934,169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94,326,907</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5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1,099,625</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ARS loan payable (Note 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Management transition plan liability (Note 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623,751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4,951,610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Convertible notes (Notes 1, 2 and 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28,626,296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Escrow holdback (Notes 1 and 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1,133,273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36,790,204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Management transition plan liability (Note 2)</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(Note 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debt, less current portion (Notes 3 and 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9,483,605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(Notes 1, 2 and 8)</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29,258,137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48,229,809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54,313,433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Preferred stock, $0.01 par value; 500,000 shares authorized at December 31, 2010 and December 31, 2009;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 shares outstanding at December 31, 2010 and December 31, 2009</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5"/>
              </w:rPr>
              <w:t>Common stock, $0.001 par value; 30,000,000 shares authorized at December 31, 2010 and December 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2009; 12,482,867 and 12,172,510 shares issued at December 31, 2010 and December 31, 2009,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respectively, and 12,439,132 and 12,122,217 shares outstanding at December 31, 2010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December 31, 2009, respectively</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12,484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293,483,920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288,652,712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(55,702)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Treasury stock, at cost; 43,735 shares at December 31, 2010 and 50,293 shares at December 31, 2009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(1,197,935)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(267,538,407)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(247,351,099)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24,704,360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40,013,474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72,934,169</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94,326,907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CONSOLIDATED STATEMENTS OF OPERATIONS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7"/>
            <w:vMerge w:val="restart"/>
          </w:tcPr>
          <w:p>
            <w:pPr>
              <w:jc w:val="right"/>
              <w:ind w:right="12"/>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87"/>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9,710,977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10,873,169</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13,827,651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154,256,844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8,171,811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10,366,291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8,773,695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97,198,809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17,882,788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21,239,460</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22,601,346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252,714,074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(17,882,788)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(21,239,460)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(22,601,346)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(251,155,847)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(Impairment charge)/gain, net on investment securities and ARS put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(785,478)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310,250</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(1,259,984)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(13,622)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(180,507)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(1,768,354)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(242,371)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438,542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823,320</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2,038,219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19,058,076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(20,187,308)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(20,368,890)</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(21,924,829)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(236,175,285)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to redemption value of redeemable convertible preferred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2"/>
              </w:rPr>
              <w:t>Deemed dividend resulting from beneficial conversion feature on Series 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(20,187,308)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(20,368,890)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(21,924,829)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(267,538,407)</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12,410,576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12,105,835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12,072,027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80" w:type="dxa"/>
            <w:vAlign w:val="bottom"/>
            <w:gridSpan w:val="5"/>
          </w:tcPr>
          <w:p>
            <w:pPr>
              <w:jc w:val="right"/>
              <w:ind w:right="400"/>
              <w:spacing w:after="0" w:line="149" w:lineRule="exact"/>
              <w:rPr>
                <w:sz w:val="20"/>
                <w:szCs w:val="20"/>
                <w:color w:val="auto"/>
              </w:rPr>
            </w:pPr>
            <w:r>
              <w:rPr>
                <w:rFonts w:ascii="Arial" w:cs="Arial" w:eastAsia="Arial" w:hAnsi="Arial"/>
                <w:sz w:val="14"/>
                <w:szCs w:val="14"/>
                <w:b w:val="1"/>
                <w:bCs w:val="1"/>
                <w:color w:val="auto"/>
              </w:rPr>
              <w:t>preferred stock</w:t>
            </w:r>
          </w:p>
        </w:tc>
        <w:tc>
          <w:tcPr>
            <w:tcW w:w="110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4"/>
              </w:rPr>
              <w:t>Common stock</w:t>
            </w:r>
          </w:p>
        </w:tc>
        <w:tc>
          <w:tcPr>
            <w:tcW w:w="2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restart"/>
          </w:tcPr>
          <w:p>
            <w:pPr>
              <w:jc w:val="right"/>
              <w:ind w:right="360"/>
              <w:spacing w:after="0" w:line="136"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
                <w:szCs w:val="2"/>
                <w:color w:val="auto"/>
              </w:rPr>
            </w:pPr>
          </w:p>
        </w:tc>
        <w:tc>
          <w:tcPr>
            <w:tcW w:w="940" w:type="dxa"/>
            <w:vAlign w:val="bottom"/>
            <w:gridSpan w:val="2"/>
            <w:vMerge w:val="restart"/>
          </w:tcPr>
          <w:p>
            <w:pPr>
              <w:jc w:val="right"/>
              <w:ind w:right="380"/>
              <w:spacing w:after="0" w:line="136" w:lineRule="exact"/>
              <w:rPr>
                <w:sz w:val="20"/>
                <w:szCs w:val="20"/>
                <w:color w:val="auto"/>
              </w:rPr>
            </w:pPr>
            <w:r>
              <w:rPr>
                <w:rFonts w:ascii="Arial" w:cs="Arial" w:eastAsia="Arial" w:hAnsi="Arial"/>
                <w:sz w:val="14"/>
                <w:szCs w:val="14"/>
                <w:b w:val="1"/>
                <w:bCs w:val="1"/>
                <w:color w:val="auto"/>
                <w:w w:val="93"/>
              </w:rPr>
              <w:t>Deferred</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200" w:type="dxa"/>
            <w:vAlign w:val="bottom"/>
            <w:vMerge w:val="restart"/>
          </w:tcPr>
          <w:p>
            <w:pPr>
              <w:spacing w:after="0"/>
              <w:rPr>
                <w:sz w:val="2"/>
                <w:szCs w:val="2"/>
                <w:color w:val="auto"/>
              </w:rPr>
            </w:pPr>
          </w:p>
        </w:tc>
        <w:tc>
          <w:tcPr>
            <w:tcW w:w="540" w:type="dxa"/>
            <w:vAlign w:val="bottom"/>
            <w:gridSpan w:val="2"/>
            <w:vMerge w:val="restart"/>
          </w:tcPr>
          <w:p>
            <w:pPr>
              <w:ind w:left="20"/>
              <w:spacing w:after="0" w:line="136" w:lineRule="exact"/>
              <w:rPr>
                <w:sz w:val="20"/>
                <w:szCs w:val="20"/>
                <w:color w:val="auto"/>
              </w:rPr>
            </w:pPr>
            <w:r>
              <w:rPr>
                <w:rFonts w:ascii="Arial" w:cs="Arial" w:eastAsia="Arial" w:hAnsi="Arial"/>
                <w:sz w:val="14"/>
                <w:szCs w:val="14"/>
                <w:b w:val="1"/>
                <w:bCs w:val="1"/>
                <w:color w:val="auto"/>
                <w:w w:val="84"/>
              </w:rPr>
              <w:t>Treasury</w:t>
            </w:r>
          </w:p>
        </w:tc>
        <w:tc>
          <w:tcPr>
            <w:tcW w:w="260" w:type="dxa"/>
            <w:vAlign w:val="bottom"/>
            <w:vMerge w:val="restart"/>
          </w:tcPr>
          <w:p>
            <w:pPr>
              <w:spacing w:after="0"/>
              <w:rPr>
                <w:sz w:val="2"/>
                <w:szCs w:val="2"/>
                <w:color w:val="auto"/>
              </w:rPr>
            </w:pPr>
          </w:p>
        </w:tc>
        <w:tc>
          <w:tcPr>
            <w:tcW w:w="82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78"/>
              </w:rPr>
              <w:t>development</w:t>
            </w:r>
          </w:p>
        </w:tc>
        <w:tc>
          <w:tcPr>
            <w:tcW w:w="80" w:type="dxa"/>
            <w:vAlign w:val="bottom"/>
            <w:vMerge w:val="restart"/>
          </w:tcPr>
          <w:p>
            <w:pPr>
              <w:spacing w:after="0"/>
              <w:rPr>
                <w:sz w:val="2"/>
                <w:szCs w:val="2"/>
                <w:color w:val="auto"/>
              </w:rPr>
            </w:pPr>
          </w:p>
        </w:tc>
        <w:tc>
          <w:tcPr>
            <w:tcW w:w="860" w:type="dxa"/>
            <w:vAlign w:val="bottom"/>
            <w:gridSpan w:val="3"/>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680" w:type="dxa"/>
            <w:vAlign w:val="bottom"/>
          </w:tcPr>
          <w:p>
            <w:pPr>
              <w:jc w:val="center"/>
              <w:ind w:right="112"/>
              <w:spacing w:after="0"/>
              <w:rPr>
                <w:sz w:val="20"/>
                <w:szCs w:val="20"/>
                <w:color w:val="auto"/>
              </w:rPr>
            </w:pPr>
            <w:r>
              <w:rPr>
                <w:rFonts w:ascii="Arial" w:cs="Arial" w:eastAsia="Arial" w:hAnsi="Arial"/>
                <w:sz w:val="14"/>
                <w:szCs w:val="14"/>
                <w:b w:val="1"/>
                <w:bCs w:val="1"/>
                <w:color w:val="auto"/>
                <w:w w:val="78"/>
              </w:rPr>
              <w:t>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6"/>
              </w:rPr>
              <w:t>Issuance of common stock for cash to founders at</w:t>
            </w: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$1.00 per share in September</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3"/>
              </w:rPr>
              <w:t>50,000</w:t>
            </w:r>
          </w:p>
        </w:tc>
        <w:tc>
          <w:tcPr>
            <w:tcW w:w="36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w:t>
            </w:r>
          </w:p>
        </w:tc>
        <w:tc>
          <w:tcPr>
            <w:tcW w:w="2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49,950</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w w:val="95"/>
              </w:rPr>
              <w:t>Issuance of Series A convertible preferred stock at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200"/>
              <w:spacing w:after="0" w:line="159" w:lineRule="exact"/>
              <w:rPr>
                <w:sz w:val="20"/>
                <w:szCs w:val="20"/>
                <w:color w:val="auto"/>
              </w:rPr>
            </w:pPr>
            <w:r>
              <w:rPr>
                <w:rFonts w:ascii="Arial" w:cs="Arial" w:eastAsia="Arial" w:hAnsi="Arial"/>
                <w:sz w:val="14"/>
                <w:szCs w:val="14"/>
                <w:color w:val="auto"/>
              </w:rPr>
              <w:t>$10 per share in October</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5,000</w:t>
            </w:r>
          </w:p>
        </w:tc>
        <w:tc>
          <w:tcPr>
            <w:tcW w:w="4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ind w:left="1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4,995,000</w:t>
            </w:r>
          </w:p>
        </w:tc>
        <w:tc>
          <w:tcPr>
            <w:tcW w:w="12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(201,325)</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2000</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5,000</w:t>
            </w:r>
          </w:p>
        </w:tc>
        <w:tc>
          <w:tcPr>
            <w:tcW w:w="420" w:type="dxa"/>
            <w:vAlign w:val="bottom"/>
          </w:tcPr>
          <w:p>
            <w:pPr>
              <w:ind w:left="40"/>
              <w:spacing w:after="0" w:line="155" w:lineRule="exact"/>
              <w:rPr>
                <w:sz w:val="20"/>
                <w:szCs w:val="20"/>
                <w:color w:val="auto"/>
              </w:rPr>
            </w:pPr>
            <w:r>
              <w:rPr>
                <w:rFonts w:ascii="Arial" w:cs="Arial" w:eastAsia="Arial" w:hAnsi="Arial"/>
                <w:sz w:val="14"/>
                <w:szCs w:val="14"/>
                <w:color w:val="auto"/>
                <w:w w:val="83"/>
              </w:rPr>
              <w:t>50,000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26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5,044,950</w:t>
            </w:r>
          </w:p>
        </w:tc>
        <w:tc>
          <w:tcPr>
            <w:tcW w:w="120" w:type="dxa"/>
            <w:vAlign w:val="bottom"/>
          </w:tcPr>
          <w:p>
            <w:pPr>
              <w:spacing w:after="0"/>
              <w:rPr>
                <w:sz w:val="13"/>
                <w:szCs w:val="13"/>
                <w:color w:val="auto"/>
              </w:rPr>
            </w:pP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(201,325)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4,848,675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Issuance of Series A convertible preferred stock at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$10 per share in August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5,000</w:t>
            </w:r>
          </w:p>
        </w:tc>
        <w:tc>
          <w:tcPr>
            <w:tcW w:w="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4,995,000</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(1,794,734)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(1,794,734)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10,000</w:t>
            </w:r>
          </w:p>
        </w:tc>
        <w:tc>
          <w:tcPr>
            <w:tcW w:w="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50,000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10,039,950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(1,996,059)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8,053,941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(6,931,476)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(6,931,476)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10,000</w:t>
            </w:r>
          </w:p>
        </w:tc>
        <w:tc>
          <w:tcPr>
            <w:tcW w:w="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50,000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10,039,950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(8,927,535)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1,122,465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w w:val="95"/>
              </w:rPr>
              <w:t>Issuance of Series B convertible preferred stock at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$100 per share, net of issuance costs of</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200"/>
              <w:spacing w:after="0" w:line="159" w:lineRule="exact"/>
              <w:rPr>
                <w:sz w:val="20"/>
                <w:szCs w:val="20"/>
                <w:color w:val="auto"/>
              </w:rPr>
            </w:pPr>
            <w:r>
              <w:rPr>
                <w:rFonts w:ascii="Arial" w:cs="Arial" w:eastAsia="Arial" w:hAnsi="Arial"/>
                <w:sz w:val="14"/>
                <w:szCs w:val="14"/>
                <w:color w:val="auto"/>
                <w:w w:val="93"/>
              </w:rPr>
              <w:t>$1,093,453, in March, April, May and December</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107,500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1,075</w:t>
            </w:r>
          </w:p>
        </w:tc>
        <w:tc>
          <w:tcPr>
            <w:tcW w:w="4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ind w:left="1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9,655,472</w:t>
            </w:r>
          </w:p>
        </w:tc>
        <w:tc>
          <w:tcPr>
            <w:tcW w:w="12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(6,209,130)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(6,209,130)</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2003</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1,107,500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3"/>
              </w:rPr>
              <w:t>11,075</w:t>
            </w:r>
          </w:p>
        </w:tc>
        <w:tc>
          <w:tcPr>
            <w:tcW w:w="420" w:type="dxa"/>
            <w:vAlign w:val="bottom"/>
          </w:tcPr>
          <w:p>
            <w:pPr>
              <w:ind w:left="40"/>
              <w:spacing w:after="0" w:line="155" w:lineRule="exact"/>
              <w:rPr>
                <w:sz w:val="20"/>
                <w:szCs w:val="20"/>
                <w:color w:val="auto"/>
              </w:rPr>
            </w:pPr>
            <w:r>
              <w:rPr>
                <w:rFonts w:ascii="Arial" w:cs="Arial" w:eastAsia="Arial" w:hAnsi="Arial"/>
                <w:sz w:val="14"/>
                <w:szCs w:val="14"/>
                <w:color w:val="auto"/>
                <w:w w:val="83"/>
              </w:rPr>
              <w:t>50,000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26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4"/>
              </w:rPr>
              <w:t>19,695,422</w:t>
            </w:r>
          </w:p>
        </w:tc>
        <w:tc>
          <w:tcPr>
            <w:tcW w:w="120" w:type="dxa"/>
            <w:vAlign w:val="bottom"/>
          </w:tcPr>
          <w:p>
            <w:pPr>
              <w:spacing w:after="0"/>
              <w:rPr>
                <w:sz w:val="13"/>
                <w:szCs w:val="13"/>
                <w:color w:val="auto"/>
              </w:rPr>
            </w:pP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8"/>
              </w:rPr>
              <w:t>(15,136,665)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4,569,882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Issuance of Series B convertible preferred stock at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$100 per share, net of issuance costs of</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$1,208,896, in January, February, March, April</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May</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183,650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1,837</w:t>
            </w:r>
          </w:p>
        </w:tc>
        <w:tc>
          <w:tcPr>
            <w:tcW w:w="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94"/>
              </w:rPr>
              <w:t>17,154,267</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4"/>
              </w:rPr>
              <w:t>17,156,104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rPr>
              <w:t>Stock-based compensation related to founders’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200"/>
              <w:spacing w:after="0" w:line="159" w:lineRule="exact"/>
              <w:rPr>
                <w:sz w:val="20"/>
                <w:szCs w:val="20"/>
                <w:color w:val="auto"/>
              </w:rPr>
            </w:pPr>
            <w:r>
              <w:rPr>
                <w:rFonts w:ascii="Arial" w:cs="Arial" w:eastAsia="Arial" w:hAnsi="Arial"/>
                <w:sz w:val="14"/>
                <w:szCs w:val="14"/>
                <w:color w:val="auto"/>
              </w:rPr>
              <w:t>warrants</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ind w:left="1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4"/>
              </w:rPr>
              <w:t>34,069,916</w:t>
            </w:r>
          </w:p>
        </w:tc>
        <w:tc>
          <w:tcPr>
            <w:tcW w:w="12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employee stock-based compensation</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1,419,300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(1,419,300)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Amortization of deferred employee stock-based</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224,579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Deemed dividend resulting from beneficial</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feature on Series C redeemable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94"/>
              </w:rPr>
              <w:t>31,264,677</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8"/>
              </w:rPr>
              <w:t>(31,264,677)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rPr>
              <w:t>Accretion to redemption value of redeemable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ind w:left="1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(78,756)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(48,272,603)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(48,272,603)</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2004</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1,291,150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w w:val="83"/>
              </w:rPr>
              <w:t>12,912</w:t>
            </w:r>
          </w:p>
        </w:tc>
        <w:tc>
          <w:tcPr>
            <w:tcW w:w="420" w:type="dxa"/>
            <w:vAlign w:val="bottom"/>
          </w:tcPr>
          <w:p>
            <w:pPr>
              <w:ind w:left="40"/>
              <w:spacing w:after="0"/>
              <w:rPr>
                <w:sz w:val="20"/>
                <w:szCs w:val="20"/>
                <w:color w:val="auto"/>
              </w:rPr>
            </w:pPr>
            <w:r>
              <w:rPr>
                <w:rFonts w:ascii="Arial" w:cs="Arial" w:eastAsia="Arial" w:hAnsi="Arial"/>
                <w:sz w:val="14"/>
                <w:szCs w:val="14"/>
                <w:color w:val="auto"/>
                <w:w w:val="83"/>
              </w:rPr>
              <w:t>50,000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103,603,582</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(1,194,721)</w:t>
            </w:r>
          </w:p>
        </w:tc>
        <w:tc>
          <w:tcPr>
            <w:tcW w:w="1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(94,752,701)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7,669,122</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40" w:type="dxa"/>
            <w:vAlign w:val="bottom"/>
            <w:gridSpan w:val="4"/>
          </w:tcPr>
          <w:p>
            <w:pPr>
              <w:ind w:left="300"/>
              <w:spacing w:after="0"/>
              <w:rPr>
                <w:sz w:val="20"/>
                <w:szCs w:val="20"/>
                <w:color w:val="auto"/>
              </w:rPr>
            </w:pPr>
            <w:r>
              <w:rPr>
                <w:rFonts w:ascii="Arial" w:cs="Arial" w:eastAsia="Arial" w:hAnsi="Arial"/>
                <w:sz w:val="14"/>
                <w:szCs w:val="14"/>
                <w:b w:val="1"/>
                <w:bCs w:val="1"/>
                <w:color w:val="auto"/>
              </w:rPr>
              <w:t>Convertible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preferred stock</w:t>
            </w: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6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91"/>
              </w:rPr>
              <w:t>paid-in</w:t>
            </w:r>
          </w:p>
        </w:tc>
        <w:tc>
          <w:tcPr>
            <w:tcW w:w="1000" w:type="dxa"/>
            <w:vAlign w:val="bottom"/>
            <w:gridSpan w:val="2"/>
            <w:vMerge w:val="restart"/>
          </w:tcPr>
          <w:p>
            <w:pPr>
              <w:jc w:val="right"/>
              <w:ind w:right="320"/>
              <w:spacing w:after="0" w:line="136" w:lineRule="exact"/>
              <w:rPr>
                <w:sz w:val="20"/>
                <w:szCs w:val="20"/>
                <w:color w:val="auto"/>
              </w:rPr>
            </w:pPr>
            <w:r>
              <w:rPr>
                <w:rFonts w:ascii="Arial" w:cs="Arial" w:eastAsia="Arial" w:hAnsi="Arial"/>
                <w:sz w:val="14"/>
                <w:szCs w:val="14"/>
                <w:b w:val="1"/>
                <w:bCs w:val="1"/>
                <w:color w:val="auto"/>
              </w:rPr>
              <w:t>Deferred</w:t>
            </w:r>
          </w:p>
        </w:tc>
        <w:tc>
          <w:tcPr>
            <w:tcW w:w="104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rPr>
              <w:t>Treasury</w:t>
            </w:r>
          </w:p>
        </w:tc>
        <w:tc>
          <w:tcPr>
            <w:tcW w:w="9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1"/>
              </w:rPr>
              <w:t>loss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8"/>
              </w:rPr>
              <w:t>Issuance of common stock in initial public offering at</w:t>
            </w: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$38.80 per share in February</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3,000,000</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w:t>
            </w:r>
          </w:p>
        </w:tc>
        <w:tc>
          <w:tcPr>
            <w:tcW w:w="10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104,483,895</w:t>
            </w:r>
          </w:p>
        </w:tc>
        <w:tc>
          <w:tcPr>
            <w:tcW w:w="10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7"/>
              </w:rPr>
              <w:t>104,486,895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w w:val="90"/>
              </w:rPr>
              <w:t>Issuance of common stock upon partial exercise of over-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 at $38.80 per share in March</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157,300</w:t>
            </w:r>
          </w:p>
        </w:tc>
        <w:tc>
          <w:tcPr>
            <w:tcW w:w="16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157</w:t>
            </w:r>
          </w:p>
        </w:tc>
        <w:tc>
          <w:tcPr>
            <w:tcW w:w="10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5,557,616</w:t>
            </w: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5,557,773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Issuance costs for registration statement filed on behalf of</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stockholders</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(165,476)</w:t>
            </w:r>
          </w:p>
        </w:tc>
        <w:tc>
          <w:tcPr>
            <w:tcW w:w="10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(165,476)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w w:val="95"/>
              </w:rPr>
              <w:t>Conversion of redeemable convertible preferred stock</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200"/>
              <w:spacing w:after="0" w:line="159" w:lineRule="exact"/>
              <w:rPr>
                <w:sz w:val="20"/>
                <w:szCs w:val="20"/>
                <w:color w:val="auto"/>
              </w:rPr>
            </w:pPr>
            <w:r>
              <w:rPr>
                <w:rFonts w:ascii="Arial" w:cs="Arial" w:eastAsia="Arial" w:hAnsi="Arial"/>
                <w:sz w:val="14"/>
                <w:szCs w:val="14"/>
                <w:color w:val="auto"/>
              </w:rPr>
              <w:t>into common stock in February</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2,766,785</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2,767</w:t>
            </w:r>
          </w:p>
        </w:tc>
        <w:tc>
          <w:tcPr>
            <w:tcW w:w="10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43,499,998</w:t>
            </w: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43,502,765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Conversion of convertible preferred stock into common</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in February</w:t>
            </w:r>
          </w:p>
        </w:tc>
        <w:tc>
          <w:tcPr>
            <w:tcW w:w="8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(1,291,150)</w:t>
            </w:r>
          </w:p>
        </w:tc>
        <w:tc>
          <w:tcPr>
            <w:tcW w:w="6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(12,912)</w:t>
            </w:r>
          </w:p>
        </w:tc>
        <w:tc>
          <w:tcPr>
            <w:tcW w:w="7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3,911,500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3,911</w:t>
            </w:r>
          </w:p>
        </w:tc>
        <w:tc>
          <w:tcPr>
            <w:tcW w:w="10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9,001</w:t>
            </w:r>
          </w:p>
        </w:tc>
        <w:tc>
          <w:tcPr>
            <w:tcW w:w="10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w w:val="97"/>
              </w:rPr>
              <w:t>Stock-based compensation related to acceleration of</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option vesting upon employee termination and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200"/>
              <w:spacing w:after="0" w:line="159" w:lineRule="exact"/>
              <w:rPr>
                <w:sz w:val="20"/>
                <w:szCs w:val="20"/>
                <w:color w:val="auto"/>
              </w:rPr>
            </w:pPr>
            <w:r>
              <w:rPr>
                <w:rFonts w:ascii="Arial" w:cs="Arial" w:eastAsia="Arial" w:hAnsi="Arial"/>
                <w:sz w:val="14"/>
                <w:szCs w:val="14"/>
                <w:color w:val="auto"/>
              </w:rPr>
              <w:t>subsequent reissuance of a fully vested option</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127,875</w:t>
            </w: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127,875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net of cancelations</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311,282</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311,282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w w:val="95"/>
              </w:rPr>
              <w:t>Cancelation of stock options issued to employees and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200"/>
              <w:spacing w:after="0" w:line="159" w:lineRule="exact"/>
              <w:rPr>
                <w:sz w:val="20"/>
                <w:szCs w:val="20"/>
                <w:color w:val="auto"/>
              </w:rPr>
            </w:pPr>
            <w:r>
              <w:rPr>
                <w:rFonts w:ascii="Arial" w:cs="Arial" w:eastAsia="Arial" w:hAnsi="Arial"/>
                <w:sz w:val="14"/>
                <w:szCs w:val="14"/>
                <w:color w:val="auto"/>
              </w:rPr>
              <w:t>related deferred compensation</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(84,000)</w:t>
            </w: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84,000</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Accretion to redemption value of redeemable convertible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(19,689)</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rPr>
              <w:t>Purchase of treasury stock at $11.10 per share in</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200"/>
              <w:spacing w:after="0" w:line="159" w:lineRule="exact"/>
              <w:rPr>
                <w:sz w:val="20"/>
                <w:szCs w:val="20"/>
                <w:color w:val="auto"/>
              </w:rPr>
            </w:pPr>
            <w:r>
              <w:rPr>
                <w:rFonts w:ascii="Arial" w:cs="Arial" w:eastAsia="Arial" w:hAnsi="Arial"/>
                <w:sz w:val="14"/>
                <w:szCs w:val="14"/>
                <w:color w:val="auto"/>
              </w:rPr>
              <w:t>December</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(55,445)</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(25,692,135)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(25,692,135)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(25,707,323)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9,885,585</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7"/>
              </w:rPr>
              <w:t>257,032,491</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(799,439)</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(55,445)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(120,464,525)</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135,707,779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2"/>
                <w:szCs w:val="12"/>
                <w:color w:val="auto"/>
              </w:rPr>
            </w:pPr>
          </w:p>
        </w:tc>
        <w:tc>
          <w:tcPr>
            <w:tcW w:w="1280" w:type="dxa"/>
            <w:vAlign w:val="bottom"/>
            <w:gridSpan w:val="3"/>
          </w:tcPr>
          <w:p>
            <w:pPr>
              <w:jc w:val="right"/>
              <w:ind w:right="132"/>
              <w:spacing w:after="0" w:line="149"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8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91"/>
              </w:rPr>
              <w:t>paid-in</w:t>
            </w:r>
          </w:p>
        </w:tc>
        <w:tc>
          <w:tcPr>
            <w:tcW w:w="980" w:type="dxa"/>
            <w:vAlign w:val="bottom"/>
            <w:gridSpan w:val="2"/>
            <w:vMerge w:val="restart"/>
          </w:tcPr>
          <w:p>
            <w:pPr>
              <w:ind w:left="160"/>
              <w:spacing w:after="0" w:line="136" w:lineRule="exact"/>
              <w:rPr>
                <w:sz w:val="20"/>
                <w:szCs w:val="20"/>
                <w:color w:val="auto"/>
              </w:rPr>
            </w:pPr>
            <w:r>
              <w:rPr>
                <w:rFonts w:ascii="Arial" w:cs="Arial" w:eastAsia="Arial" w:hAnsi="Arial"/>
                <w:sz w:val="14"/>
                <w:szCs w:val="14"/>
                <w:b w:val="1"/>
                <w:bCs w:val="1"/>
                <w:color w:val="auto"/>
              </w:rPr>
              <w:t>Deferred</w:t>
            </w:r>
          </w:p>
        </w:tc>
        <w:tc>
          <w:tcPr>
            <w:tcW w:w="10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0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capital</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Compensation</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3"/>
              </w:rPr>
              <w:t>Cashless warrant exercises of 260,000 in February, April</w:t>
            </w: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August</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260,000</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260</w:t>
            </w:r>
          </w:p>
        </w:tc>
        <w:tc>
          <w:tcPr>
            <w:tcW w:w="104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(260)</w:t>
            </w:r>
          </w:p>
        </w:tc>
        <w:tc>
          <w:tcPr>
            <w:tcW w:w="9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w w:val="90"/>
              </w:rPr>
              <w:t>Warrant exercises of 275,000 shares at $1.00 per share in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ind w:left="200"/>
              <w:spacing w:after="0" w:line="159" w:lineRule="exact"/>
              <w:rPr>
                <w:sz w:val="20"/>
                <w:szCs w:val="20"/>
                <w:color w:val="auto"/>
              </w:rPr>
            </w:pPr>
            <w:r>
              <w:rPr>
                <w:rFonts w:ascii="Arial" w:cs="Arial" w:eastAsia="Arial" w:hAnsi="Arial"/>
                <w:sz w:val="14"/>
                <w:szCs w:val="14"/>
                <w:color w:val="auto"/>
              </w:rPr>
              <w:t>March and 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275,000</w:t>
            </w:r>
          </w:p>
        </w:tc>
        <w:tc>
          <w:tcPr>
            <w:tcW w:w="16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275</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274,725</w:t>
            </w:r>
          </w:p>
        </w:tc>
        <w:tc>
          <w:tcPr>
            <w:tcW w:w="160" w:type="dxa"/>
            <w:vAlign w:val="bottom"/>
          </w:tcPr>
          <w:p>
            <w:pPr>
              <w:spacing w:after="0"/>
              <w:rPr>
                <w:sz w:val="13"/>
                <w:szCs w:val="13"/>
                <w:color w:val="auto"/>
              </w:rPr>
            </w:pPr>
          </w:p>
        </w:tc>
        <w:tc>
          <w:tcPr>
            <w:tcW w:w="9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Write off balance of deferred employee stock-based</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as of 12/31/05</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(799,439)</w:t>
            </w: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799,439</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w w:val="95"/>
              </w:rPr>
              <w:t>Option exercises of 1,400 shares at $10.00 per share in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ind w:left="200"/>
              <w:spacing w:after="0" w:line="159" w:lineRule="exact"/>
              <w:rPr>
                <w:sz w:val="20"/>
                <w:szCs w:val="20"/>
                <w:color w:val="auto"/>
              </w:rPr>
            </w:pPr>
            <w:r>
              <w:rPr>
                <w:rFonts w:ascii="Arial" w:cs="Arial" w:eastAsia="Arial" w:hAnsi="Arial"/>
                <w:sz w:val="14"/>
                <w:szCs w:val="14"/>
                <w:color w:val="auto"/>
              </w:rPr>
              <w:t>May and 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1,400</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13,998</w:t>
            </w:r>
          </w:p>
        </w:tc>
        <w:tc>
          <w:tcPr>
            <w:tcW w:w="160" w:type="dxa"/>
            <w:vAlign w:val="bottom"/>
          </w:tcPr>
          <w:p>
            <w:pPr>
              <w:spacing w:after="0"/>
              <w:rPr>
                <w:sz w:val="13"/>
                <w:szCs w:val="13"/>
                <w:color w:val="auto"/>
              </w:rPr>
            </w:pPr>
          </w:p>
        </w:tc>
        <w:tc>
          <w:tcPr>
            <w:tcW w:w="9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2,090,182</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2,090,182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w w:val="90"/>
              </w:rPr>
              <w:t>Purchase of treasury stock from $10.30—$13.10 per share</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w w:val="94"/>
              </w:rPr>
              <w:t>in February, March, May, June, July, September and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ind w:left="200"/>
              <w:spacing w:after="0" w:line="159" w:lineRule="exact"/>
              <w:rPr>
                <w:sz w:val="20"/>
                <w:szCs w:val="20"/>
                <w:color w:val="auto"/>
              </w:rPr>
            </w:pPr>
            <w:r>
              <w:rPr>
                <w:rFonts w:ascii="Arial" w:cs="Arial" w:eastAsia="Arial" w:hAnsi="Arial"/>
                <w:sz w:val="14"/>
                <w:szCs w:val="14"/>
                <w:color w:val="auto"/>
              </w:rPr>
              <w:t>October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2"/>
              </w:rPr>
              <w:t>(1,382,425)</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(1,382,425)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(35,689,611)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(35,689,611)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(34,017)</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(34,017)</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(35,723,628)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10,421,985</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10,422</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258,611,697</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(49,205)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(1,437,870)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(156,154,136)</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100,980,908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w w:val="97"/>
              </w:rPr>
              <w:t>Cashless warrant exercises of 650,047 in January and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ind w:left="200"/>
              <w:spacing w:after="0" w:line="159" w:lineRule="exact"/>
              <w:rPr>
                <w:sz w:val="20"/>
                <w:szCs w:val="20"/>
                <w:color w:val="auto"/>
              </w:rPr>
            </w:pPr>
            <w:r>
              <w:rPr>
                <w:rFonts w:ascii="Arial" w:cs="Arial" w:eastAsia="Arial" w:hAnsi="Arial"/>
                <w:sz w:val="14"/>
                <w:szCs w:val="14"/>
                <w:color w:val="auto"/>
              </w:rPr>
              <w:t>September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650,047</w:t>
            </w:r>
          </w:p>
        </w:tc>
        <w:tc>
          <w:tcPr>
            <w:tcW w:w="16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650</w:t>
            </w:r>
          </w:p>
        </w:tc>
        <w:tc>
          <w:tcPr>
            <w:tcW w:w="10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(650)</w:t>
            </w:r>
          </w:p>
        </w:tc>
        <w:tc>
          <w:tcPr>
            <w:tcW w:w="9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Issuance of common stock in a public offering at $12.00</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per share in February</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1,000,000</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10,638,600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10,639,600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3,939,416</w:t>
            </w:r>
          </w:p>
        </w:tc>
        <w:tc>
          <w:tcPr>
            <w:tcW w:w="16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3,939,416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Issuance of shares under an employee stock purchase plan</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at $6.72</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33,782</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(48,903,244)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(48,903,244)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(82,261)</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(48,985,505)</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2007</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gridSpan w:val="2"/>
            <w:vMerge w:val="continue"/>
          </w:tcPr>
          <w:p>
            <w:pPr>
              <w:spacing w:after="0"/>
              <w:rPr>
                <w:sz w:val="14"/>
                <w:szCs w:val="1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12,072,027</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12,072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273,189,063</w:t>
            </w:r>
          </w:p>
        </w:tc>
        <w:tc>
          <w:tcPr>
            <w:tcW w:w="16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(131,466)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(1,404,088)</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(205,057,380)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66,608,201</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 AND COMPREHENSIVE LOSS—(Continued)</w:t>
      </w:r>
    </w:p>
    <w:p>
      <w:pPr>
        <w:sectPr>
          <w:pgSz w:w="11900" w:h="16838" w:orient="portrait"/>
          <w:cols w:equalWidth="0" w:num="1">
            <w:col w:w="11420"/>
          </w:cols>
          <w:pgMar w:left="240" w:top="459" w:right="239" w:bottom="1440" w:gutter="0" w:footer="0" w:header="0"/>
        </w:sect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preferred stock</w:t>
            </w:r>
          </w:p>
        </w:tc>
        <w:tc>
          <w:tcPr>
            <w:tcW w:w="200" w:type="dxa"/>
            <w:vAlign w:val="bottom"/>
          </w:tcPr>
          <w:p>
            <w:pPr>
              <w:spacing w:after="0"/>
              <w:rPr>
                <w:sz w:val="14"/>
                <w:szCs w:val="14"/>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250"/>
        </w:trPr>
        <w:tc>
          <w:tcPr>
            <w:tcW w:w="2900" w:type="dxa"/>
            <w:vAlign w:val="bottom"/>
            <w:vMerge w:val="restart"/>
          </w:tcPr>
          <w:p>
            <w:pPr>
              <w:spacing w:after="0"/>
              <w:rPr>
                <w:sz w:val="20"/>
                <w:szCs w:val="20"/>
                <w:color w:val="auto"/>
              </w:rPr>
            </w:pPr>
            <w:r>
              <w:rPr>
                <w:rFonts w:ascii="Arial" w:cs="Arial" w:eastAsia="Arial" w:hAnsi="Arial"/>
                <w:sz w:val="14"/>
                <w:szCs w:val="14"/>
                <w:color w:val="auto"/>
              </w:rPr>
              <w:t>Employee stock-based compensation</w:t>
            </w: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2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31"/>
        </w:trPr>
        <w:tc>
          <w:tcPr>
            <w:tcW w:w="2900" w:type="dxa"/>
            <w:vAlign w:val="bottom"/>
            <w:vMerge w:val="continue"/>
          </w:tcPr>
          <w:p>
            <w:pPr>
              <w:spacing w:after="0"/>
              <w:rPr>
                <w:sz w:val="11"/>
                <w:szCs w:val="11"/>
                <w:color w:val="auto"/>
              </w:rPr>
            </w:pPr>
          </w:p>
        </w:tc>
        <w:tc>
          <w:tcPr>
            <w:tcW w:w="380" w:type="dxa"/>
            <w:vAlign w:val="bottom"/>
            <w:tcBorders>
              <w:top w:val="single" w:sz="8" w:color="auto"/>
            </w:tcBorders>
          </w:tcPr>
          <w:p>
            <w:pPr>
              <w:ind w:left="180"/>
              <w:spacing w:after="0" w:line="13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8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tcBorders>
              <w:top w:val="single" w:sz="8" w:color="auto"/>
            </w:tcBorders>
          </w:tcPr>
          <w:p>
            <w:pPr>
              <w:ind w:left="440"/>
              <w:spacing w:after="0" w:line="13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8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Issuance of shares under an employee stock</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20"/>
              <w:spacing w:after="0" w:line="149" w:lineRule="exact"/>
              <w:rPr>
                <w:sz w:val="20"/>
                <w:szCs w:val="20"/>
                <w:color w:val="auto"/>
              </w:rPr>
            </w:pPr>
            <w:r>
              <w:rPr>
                <w:rFonts w:ascii="Arial" w:cs="Arial" w:eastAsia="Arial" w:hAnsi="Arial"/>
                <w:sz w:val="14"/>
                <w:szCs w:val="14"/>
                <w:color w:val="auto"/>
              </w:rPr>
              <w:t>purchase plan at $2.33 average</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44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Arial" w:cs="Arial" w:eastAsia="Arial" w:hAnsi="Arial"/>
                <w:sz w:val="14"/>
                <w:szCs w:val="14"/>
                <w:color w:val="auto"/>
                <w:w w:val="92"/>
              </w:rPr>
              <w:t>Accumulated other comprehensive income</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900" w:type="dxa"/>
            <w:vAlign w:val="bottom"/>
          </w:tcPr>
          <w:p>
            <w:pPr>
              <w:spacing w:after="0" w:line="145" w:lineRule="exact"/>
              <w:rPr>
                <w:sz w:val="20"/>
                <w:szCs w:val="20"/>
                <w:color w:val="auto"/>
              </w:rPr>
            </w:pPr>
            <w:r>
              <w:rPr>
                <w:rFonts w:ascii="Arial" w:cs="Arial" w:eastAsia="Arial" w:hAnsi="Arial"/>
                <w:sz w:val="14"/>
                <w:szCs w:val="14"/>
                <w:color w:val="auto"/>
              </w:rPr>
              <w:t>Balance at December 31, 2008</w:t>
            </w:r>
          </w:p>
        </w:tc>
        <w:tc>
          <w:tcPr>
            <w:tcW w:w="380" w:type="dxa"/>
            <w:vAlign w:val="bottom"/>
          </w:tcPr>
          <w:p>
            <w:pPr>
              <w:ind w:left="1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5"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12,072,027</w:t>
            </w: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12,072</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100,483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Fair value of redemption feature of Avigen</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20"/>
              <w:spacing w:after="0" w:line="149" w:lineRule="exact"/>
              <w:rPr>
                <w:sz w:val="20"/>
                <w:szCs w:val="20"/>
                <w:color w:val="auto"/>
              </w:rPr>
            </w:pPr>
            <w:r>
              <w:rPr>
                <w:rFonts w:ascii="Arial" w:cs="Arial" w:eastAsia="Arial" w:hAnsi="Arial"/>
                <w:sz w:val="14"/>
                <w:szCs w:val="14"/>
                <w:color w:val="auto"/>
              </w:rPr>
              <w:t>purchase (Note 2)</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Issuance of shares under an employee stock</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20"/>
              <w:spacing w:after="0" w:line="149" w:lineRule="exact"/>
              <w:rPr>
                <w:sz w:val="20"/>
                <w:szCs w:val="20"/>
                <w:color w:val="auto"/>
              </w:rPr>
            </w:pPr>
            <w:r>
              <w:rPr>
                <w:rFonts w:ascii="Arial" w:cs="Arial" w:eastAsia="Arial" w:hAnsi="Arial"/>
                <w:sz w:val="14"/>
                <w:szCs w:val="14"/>
                <w:color w:val="auto"/>
              </w:rPr>
              <w:t>purchase plan at $2.21 average</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44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Arial" w:cs="Arial" w:eastAsia="Arial" w:hAnsi="Arial"/>
                <w:sz w:val="14"/>
                <w:szCs w:val="14"/>
                <w:color w:val="auto"/>
                <w:w w:val="99"/>
              </w:rPr>
              <w:t>Accumulated other comprehensive loss</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900" w:type="dxa"/>
            <w:vAlign w:val="bottom"/>
          </w:tcPr>
          <w:p>
            <w:pPr>
              <w:spacing w:after="0" w:line="145" w:lineRule="exact"/>
              <w:rPr>
                <w:sz w:val="20"/>
                <w:szCs w:val="20"/>
                <w:color w:val="auto"/>
              </w:rPr>
            </w:pPr>
            <w:r>
              <w:rPr>
                <w:rFonts w:ascii="Arial" w:cs="Arial" w:eastAsia="Arial" w:hAnsi="Arial"/>
                <w:sz w:val="14"/>
                <w:szCs w:val="14"/>
                <w:color w:val="auto"/>
              </w:rPr>
              <w:t>Balance at December 31, 2009</w:t>
            </w:r>
          </w:p>
        </w:tc>
        <w:tc>
          <w:tcPr>
            <w:tcW w:w="380" w:type="dxa"/>
            <w:vAlign w:val="bottom"/>
          </w:tcPr>
          <w:p>
            <w:pPr>
              <w:ind w:left="1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5"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12,172,510</w:t>
            </w: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12,170</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44,948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w w:val="92"/>
              </w:rPr>
              <w:t>Issuance of shares for Convertible Notes (Notes 2</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20"/>
              <w:spacing w:after="0" w:line="149" w:lineRule="exact"/>
              <w:rPr>
                <w:sz w:val="20"/>
                <w:szCs w:val="20"/>
                <w:color w:val="auto"/>
              </w:rPr>
            </w:pPr>
            <w:r>
              <w:rPr>
                <w:rFonts w:ascii="Arial" w:cs="Arial" w:eastAsia="Arial" w:hAnsi="Arial"/>
                <w:sz w:val="14"/>
                <w:szCs w:val="14"/>
                <w:color w:val="auto"/>
              </w:rPr>
              <w:t>and 9)</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265,409</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265</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w w:val="99"/>
              </w:rPr>
              <w:t>Fair value of warrant issued in conjunction with</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20"/>
              <w:spacing w:after="0" w:line="149" w:lineRule="exact"/>
              <w:rPr>
                <w:sz w:val="20"/>
                <w:szCs w:val="20"/>
                <w:color w:val="auto"/>
              </w:rPr>
            </w:pPr>
            <w:r>
              <w:rPr>
                <w:rFonts w:ascii="Arial" w:cs="Arial" w:eastAsia="Arial" w:hAnsi="Arial"/>
                <w:sz w:val="14"/>
                <w:szCs w:val="14"/>
                <w:color w:val="auto"/>
              </w:rPr>
              <w:t>Loan Agreement (Note 4)</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Issuance of shares under an employee stock</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20"/>
              <w:spacing w:after="0" w:line="149" w:lineRule="exact"/>
              <w:rPr>
                <w:sz w:val="20"/>
                <w:szCs w:val="20"/>
                <w:color w:val="auto"/>
              </w:rPr>
            </w:pPr>
            <w:r>
              <w:rPr>
                <w:rFonts w:ascii="Arial" w:cs="Arial" w:eastAsia="Arial" w:hAnsi="Arial"/>
                <w:sz w:val="14"/>
                <w:szCs w:val="14"/>
                <w:color w:val="auto"/>
              </w:rPr>
              <w:t>purchase plan at $6.56 average</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44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00" w:type="dxa"/>
            <w:vAlign w:val="bottom"/>
          </w:tcPr>
          <w:p>
            <w:pPr>
              <w:ind w:left="440"/>
              <w:spacing w:after="0" w:line="159" w:lineRule="exact"/>
              <w:rPr>
                <w:sz w:val="20"/>
                <w:szCs w:val="20"/>
                <w:color w:val="auto"/>
              </w:rPr>
            </w:pPr>
            <w:r>
              <w:rPr>
                <w:rFonts w:ascii="Arial" w:cs="Arial" w:eastAsia="Arial" w:hAnsi="Arial"/>
                <w:sz w:val="14"/>
                <w:szCs w:val="14"/>
                <w:color w:val="auto"/>
                <w:w w:val="92"/>
              </w:rPr>
              <w:t>Accumulated other comprehensive income</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8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Deferred</w:t>
            </w:r>
          </w:p>
        </w:tc>
        <w:tc>
          <w:tcPr>
            <w:tcW w:w="1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Treasury</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development</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161"/>
        </w:trPr>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840" w:type="dxa"/>
            <w:vAlign w:val="bottom"/>
          </w:tcPr>
          <w:p>
            <w:pPr>
              <w:spacing w:after="0"/>
              <w:rPr>
                <w:sz w:val="20"/>
                <w:szCs w:val="20"/>
                <w:color w:val="auto"/>
              </w:rPr>
            </w:pPr>
            <w:r>
              <w:rPr>
                <w:rFonts w:ascii="Arial" w:cs="Arial" w:eastAsia="Arial" w:hAnsi="Arial"/>
                <w:sz w:val="14"/>
                <w:szCs w:val="14"/>
                <w:b w:val="1"/>
                <w:bCs w:val="1"/>
                <w:color w:val="auto"/>
                <w:w w:val="84"/>
              </w:rPr>
              <w:t>Compensation</w:t>
            </w: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1"/>
              </w:rPr>
              <w:t>loss</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stage</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66"/>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3,172,712</w:t>
            </w:r>
          </w:p>
        </w:tc>
        <w:tc>
          <w:tcPr>
            <w:tcW w:w="200" w:type="dxa"/>
            <w:vAlign w:val="bottom"/>
          </w:tcPr>
          <w:p>
            <w:pPr>
              <w:spacing w:after="0"/>
              <w:rPr>
                <w:sz w:val="14"/>
                <w:szCs w:val="14"/>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3,172,712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86,726</w:t>
            </w:r>
          </w:p>
        </w:tc>
        <w:tc>
          <w:tcPr>
            <w:tcW w:w="200" w:type="dxa"/>
            <w:vAlign w:val="bottom"/>
          </w:tcPr>
          <w:p>
            <w:pPr>
              <w:spacing w:after="0"/>
              <w:rPr>
                <w:sz w:val="24"/>
                <w:szCs w:val="24"/>
                <w:color w:val="auto"/>
              </w:rPr>
            </w:pP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86,726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(21,924,829)</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(21,924,829)</w:t>
            </w:r>
          </w:p>
        </w:tc>
        <w:tc>
          <w:tcPr>
            <w:tcW w:w="0" w:type="dxa"/>
            <w:vAlign w:val="bottom"/>
          </w:tcPr>
          <w:p>
            <w:pPr>
              <w:spacing w:after="0"/>
              <w:rPr>
                <w:sz w:val="1"/>
                <w:szCs w:val="1"/>
                <w:color w:val="auto"/>
              </w:rPr>
            </w:pPr>
          </w:p>
        </w:tc>
      </w:tr>
      <w:tr>
        <w:trPr>
          <w:trHeight w:val="159"/>
        </w:trPr>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101,722</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101,722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tcPr>
          <w:p>
            <w:pPr>
              <w:ind w:left="6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tcPr>
          <w:p>
            <w:pPr>
              <w:ind w:left="66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6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(21,823,107)</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2"/>
              </w:rPr>
              <w:t>276,361,775</w:t>
            </w:r>
          </w:p>
        </w:tc>
        <w:tc>
          <w:tcPr>
            <w:tcW w:w="840" w:type="dxa"/>
            <w:vAlign w:val="bottom"/>
          </w:tcPr>
          <w:p>
            <w:pPr>
              <w:ind w:left="640"/>
              <w:spacing w:after="0" w:line="145"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rPr>
              <w:t>(29,744)</w:t>
            </w:r>
          </w:p>
        </w:tc>
        <w:tc>
          <w:tcPr>
            <w:tcW w:w="8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w w:val="94"/>
              </w:rPr>
              <w:t>(1,317,362)</w:t>
            </w:r>
          </w:p>
        </w:tc>
        <w:tc>
          <w:tcPr>
            <w:tcW w:w="10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w w:val="94"/>
              </w:rPr>
              <w:t>(226,982,209)</w:t>
            </w:r>
          </w:p>
        </w:tc>
        <w:tc>
          <w:tcPr>
            <w:tcW w:w="80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48,044,532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2,371,636</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2,371,636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406,259</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406,357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9,513,042</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9,513,042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81,967</w:t>
            </w:r>
          </w:p>
        </w:tc>
        <w:tc>
          <w:tcPr>
            <w:tcW w:w="200" w:type="dxa"/>
            <w:vAlign w:val="bottom"/>
          </w:tcPr>
          <w:p>
            <w:pPr>
              <w:spacing w:after="0"/>
              <w:rPr>
                <w:sz w:val="24"/>
                <w:szCs w:val="24"/>
                <w:color w:val="auto"/>
              </w:rPr>
            </w:pP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81,967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(20,368,890)</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(20,368,890)</w:t>
            </w:r>
          </w:p>
        </w:tc>
        <w:tc>
          <w:tcPr>
            <w:tcW w:w="0" w:type="dxa"/>
            <w:vAlign w:val="bottom"/>
          </w:tcPr>
          <w:p>
            <w:pPr>
              <w:spacing w:after="0"/>
              <w:rPr>
                <w:sz w:val="1"/>
                <w:szCs w:val="1"/>
                <w:color w:val="auto"/>
              </w:rPr>
            </w:pPr>
          </w:p>
        </w:tc>
      </w:tr>
      <w:tr>
        <w:trPr>
          <w:trHeight w:val="159"/>
        </w:trPr>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(35,170)</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(35,170)</w:t>
            </w:r>
          </w:p>
        </w:tc>
        <w:tc>
          <w:tcPr>
            <w:tcW w:w="0" w:type="dxa"/>
            <w:vAlign w:val="bottom"/>
          </w:tcPr>
          <w:p>
            <w:pPr>
              <w:spacing w:after="0"/>
              <w:rPr>
                <w:sz w:val="1"/>
                <w:szCs w:val="1"/>
                <w:color w:val="auto"/>
              </w:rPr>
            </w:pPr>
          </w:p>
        </w:tc>
      </w:tr>
      <w:tr>
        <w:trPr>
          <w:trHeight w:val="20"/>
        </w:trPr>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line="20" w:lineRule="exact"/>
              <w:rPr>
                <w:sz w:val="1"/>
                <w:szCs w:val="1"/>
                <w:color w:val="auto"/>
              </w:rPr>
            </w:pP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line="20" w:lineRule="exact"/>
              <w:rPr>
                <w:sz w:val="1"/>
                <w:szCs w:val="1"/>
                <w:color w:val="auto"/>
              </w:rPr>
            </w:pP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line="20" w:lineRule="exact"/>
              <w:rPr>
                <w:sz w:val="1"/>
                <w:szCs w:val="1"/>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line="20" w:lineRule="exact"/>
              <w:rPr>
                <w:sz w:val="1"/>
                <w:szCs w:val="1"/>
                <w:color w:val="auto"/>
              </w:rPr>
            </w:pPr>
          </w:p>
        </w:tc>
        <w:tc>
          <w:tcPr>
            <w:tcW w:w="80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(20,404,060)</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2"/>
              </w:rPr>
              <w:t>288,652,712</w:t>
            </w:r>
          </w:p>
        </w:tc>
        <w:tc>
          <w:tcPr>
            <w:tcW w:w="840" w:type="dxa"/>
            <w:vAlign w:val="bottom"/>
          </w:tcPr>
          <w:p>
            <w:pPr>
              <w:ind w:left="640"/>
              <w:spacing w:after="0" w:line="145"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rPr>
              <w:t>(64,914)</w:t>
            </w:r>
          </w:p>
        </w:tc>
        <w:tc>
          <w:tcPr>
            <w:tcW w:w="8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w w:val="94"/>
              </w:rPr>
              <w:t>(1,235,395)</w:t>
            </w:r>
          </w:p>
        </w:tc>
        <w:tc>
          <w:tcPr>
            <w:tcW w:w="10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w w:val="94"/>
              </w:rPr>
              <w:t>(247,351,099)</w:t>
            </w:r>
          </w:p>
        </w:tc>
        <w:tc>
          <w:tcPr>
            <w:tcW w:w="80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40,013,474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2,000,935</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166,550</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166,599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1,804,515</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1,804,780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859,208</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859,208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37,460</w:t>
            </w:r>
          </w:p>
        </w:tc>
        <w:tc>
          <w:tcPr>
            <w:tcW w:w="200" w:type="dxa"/>
            <w:vAlign w:val="bottom"/>
          </w:tcPr>
          <w:p>
            <w:pPr>
              <w:spacing w:after="0"/>
              <w:rPr>
                <w:sz w:val="24"/>
                <w:szCs w:val="24"/>
                <w:color w:val="auto"/>
              </w:rPr>
            </w:pP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37,460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(20,187,308)</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(20,187,308)</w:t>
            </w:r>
          </w:p>
        </w:tc>
        <w:tc>
          <w:tcPr>
            <w:tcW w:w="0" w:type="dxa"/>
            <w:vAlign w:val="bottom"/>
          </w:tcPr>
          <w:p>
            <w:pPr>
              <w:spacing w:after="0"/>
              <w:rPr>
                <w:sz w:val="1"/>
                <w:szCs w:val="1"/>
                <w:color w:val="auto"/>
              </w:rPr>
            </w:pPr>
          </w:p>
        </w:tc>
      </w:tr>
      <w:tr>
        <w:trPr>
          <w:trHeight w:val="159"/>
        </w:trPr>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9,212</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9,212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-2898140</wp:posOffset>
            </wp:positionV>
            <wp:extent cx="72466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-2614930</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-2426335</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-2203450</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-2014855</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-1731645</wp:posOffset>
            </wp:positionV>
            <wp:extent cx="724662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-1448435</wp:posOffset>
            </wp:positionV>
            <wp:extent cx="72466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-1242695</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-1036955</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-848360</wp:posOffset>
            </wp:positionV>
            <wp:extent cx="724662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-471170</wp:posOffset>
            </wp:positionV>
            <wp:extent cx="72466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2466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480" w:space="180"/>
            <w:col w:w="57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ind w:left="18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ind w:left="10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ind w:left="300"/>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line="13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ind w:left="600"/>
              <w:spacing w:after="0" w:line="13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(20,178,096)</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color w:val="auto"/>
              </w:rPr>
              <w:t>Balance at December 31, 2010</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38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12,482,867</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$ 12,484</w:t>
            </w:r>
          </w:p>
        </w:tc>
        <w:tc>
          <w:tcPr>
            <w:tcW w:w="1120" w:type="dxa"/>
            <w:vAlign w:val="bottom"/>
            <w:gridSpan w:val="3"/>
          </w:tcPr>
          <w:p>
            <w:pPr>
              <w:jc w:val="right"/>
              <w:ind w:right="20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293,483,920</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(55,702)</w:t>
            </w: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(1,197,935)</w:t>
            </w:r>
          </w:p>
        </w:tc>
        <w:tc>
          <w:tcPr>
            <w:tcW w:w="100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(267,538,407)</w:t>
            </w:r>
          </w:p>
        </w:tc>
        <w:tc>
          <w:tcPr>
            <w:tcW w:w="9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w w:val="98"/>
              </w:rPr>
              <w:t>$  24,704,360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7"/>
            <w:vMerge w:val="restart"/>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9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gridSpan w:val="7"/>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(20,187,308)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(20,368,890)</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(21,924,829)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(236,175,285)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Non-cash stock-based compensation</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2,000,935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2,371,636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3,172,712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48,308,533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108,257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219,202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305,018</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1,903,555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w w:val="94"/>
              </w:rPr>
              <w:t>Amortization of premium/discount on investment securities, convertible debt, debt discount and issuance costs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624,931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(691,706)</w:t>
            </w: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(1,851,489)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charge/(gain), net on investment securities and ARS Put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785,478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(310,250)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1,259,984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1,735,212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(Gain)/loss on disposal of assets</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(1,360)</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sublease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90,546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(114,383)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1,725,295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(742,154)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(327,352)</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890,854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(5,109,397)</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1,977,738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(798,205)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285,672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144,543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252,614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Restricted assets</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5,999</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(17,698,079)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(17,014,162)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(21,118,380)</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(184,539,381)</w:t>
            </w:r>
          </w:p>
        </w:tc>
        <w:tc>
          <w:tcPr>
            <w:tcW w:w="0" w:type="dxa"/>
            <w:vAlign w:val="bottom"/>
          </w:tcPr>
          <w:p>
            <w:pPr>
              <w:spacing w:after="0"/>
              <w:rPr>
                <w:sz w:val="1"/>
                <w:szCs w:val="1"/>
                <w:color w:val="auto"/>
              </w:rPr>
            </w:pPr>
          </w:p>
        </w:tc>
      </w:tr>
      <w:tr>
        <w:trPr>
          <w:trHeight w:val="156"/>
        </w:trPr>
        <w:tc>
          <w:tcPr>
            <w:tcW w:w="694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(458,036)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(2,371,749)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(2,000,000)</w:t>
            </w: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28,111,943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1,252,846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23,550,000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377,918,240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(18,559)</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256,845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9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 (used in) investing activities</w:t>
            </w:r>
          </w:p>
        </w:tc>
        <w:tc>
          <w:tcPr>
            <w:tcW w:w="1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27,635,348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(1,135,350)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21,550,000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(4,131,971)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166,599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406,357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121,463,522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80,216,971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17,605,485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17,605,485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ARS loan</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(17,605,485)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debt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14,670,000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14,670,000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1,804,780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1,804,780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37,460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86,726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(1,231,717)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 provided by financing activities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(926,646)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18,093,809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86,726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216,923,556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Net increase / (decrease) in cash and cash equivalents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9,010,623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(55,703)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518,346</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28,252,204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19,241,581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19,297,284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18,778,938</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28,252,204</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19,241,581</w:t>
            </w:r>
          </w:p>
        </w:tc>
        <w:tc>
          <w:tcPr>
            <w:tcW w:w="2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19,297,284</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28,252,204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non-cash operating and financing activities: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43,515,677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1,805,342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1,805,342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9,434</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24,528</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4"/>
                <w:szCs w:val="14"/>
                <w:color w:val="auto"/>
              </w:rPr>
              <w:t>Interest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vMerge w:val="continue"/>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1,163,053</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235,364</w:t>
            </w:r>
          </w:p>
        </w:tc>
        <w:tc>
          <w:tcPr>
            <w:tcW w:w="2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1,398,417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activities related to business acquisition: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Fair value of assets acquired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(458,036)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36,687,706</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36,229,670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Liabilities assumed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(1,008,687)</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(1,008,687)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(1,956,000)</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(1,956,000)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Fair value of total merger consideration (Note 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(42,865,224)</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(42,865,224)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incurred losses of $20,187,308, $20,368,890 and $21,924,929 for the years ended December 31, 2010, 2009, and 2008 respectively. We have an accumulated deficit of $267,538,407 as of December 31, 2010. Additionally, we have used net cash of $17,698,079, $17,014,162 and $21,118,380 to fund our operating activities for the years ended December 31, 2010, 2009, and 2008,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To date these operating losses have been funded primarily through the private placement of our equity securities, the public sale of our common stock, long-term debt, the conversion of convertible notes to our common stock and the exercise of founders’ warrants, net of treasury stock repurchases.</w:t>
      </w:r>
    </w:p>
    <w:p>
      <w:pPr>
        <w:spacing w:after="0" w:line="10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During 2010, we expanded our Phase II clinical trial (MN-221-CL-007) activities while simultaneously pursuing available financing sources to support operations. We have had, and continue to have, an ongoing need to raise additional cash from outside sources to fund our operations. If we are to be successful, we must raise outside capital in the future. If we cannot do so, we will be required to further reduce our research, development, and administrative operations, including reductions of our employee base, in order to offset the lack of available funding.</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a development stage company, we have consumed substantial amounts of capital since our inception. We do not have any material commitments for capital expenditures, however, we have an ongoing 200 patient Phase II clinical trial (MN-221-CL-007) for which we expect to complete enrollment in the third quarter of 2011. Our clinical studies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If we do not receive complete and accurate information from the CRO or third parties on a timely basis or correctly estimate the outcome of contract negotiations, activity levels and the enrollment rate, this could potentially impact R&amp;D expense and cash payments in subsequent periods.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had, and continue to have, an ongoing need to raise additional cash from outside sources to fund our operations. We are pursuing financing opportunities in both the private and public debt and equity markets as well as through strategic corporate partnerships. We have an established history of raising capital through equity and debt, and we are currently involved in discussions with multiple parties. In March 2011, we raised approximately $8.3 million in gross proceeds (approximately $7.9 million, net of underwriting discount and underwriter expenses and no exercise of warrants) from a firm underwritten public offering in which we offered 2,750,000 units, with each unit consisting of one share of common stock and a warrant to purchase one share of common stock. The purchase price for each unit was $3.00 and each warrant has an exercise price of $3.56 per share. In addition, in March 2011, the underwriter exercised 50,666 units of its 412,500 unit overallotment. As of March 31, 2011, our cash and cash equivalents, along with the proceeds from our recent offering, are our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principal sources of liquidity. Our business will continue to require us to incur substantial research and development expenses and our business plan assumes that we will use approximately $15.2 million of our cash resources to fund repayment of our loan from Oxford on April 1, 2011, as agreed upon by Oxford and us in an executed pay-off letter dated March 31, 2011. We also have assumed that all of our restricted cash will be used to pay our convertible notes that mature on June 18, 2011, although one or more holders may elect to convert some or all of the convertible notes to common stock at a conversion rate of $6.80 per share prior to the maturity date.</w:t>
      </w:r>
    </w:p>
    <w:p>
      <w:pPr>
        <w:spacing w:after="0" w:line="1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believe our current liquidity position will be sufficient to fund our operations for at least the next 12 months. We expect to utilize our cash and cash equivalents to fund our operations, including research and development of our product development candidates and for clinical trials. Additionally, we believe that without additional sources of financing, we do not currently have adequate funding to complete the research and development and clinical trials required to bring our future products to market; therefore, we will require significant additional funding. If we are unsuccessful in our efforts to raise additional funds, we will be required to significantly reduce or curtail our future research and development activities and other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primary activities since incorporation have been organizational activities, including recruiting personnel, establishing office facilities, conducting research and development, performing business and financial planning and raising capital. Accordingly, in connection with preparation of the consolidated financial statements we operate under one reporting segment and are considered to be in the development stage, under the authoritative guidance for development stage entities, Accounting Standards Codification, or ASC, 915.</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first quarter of 2005, we completed our initial public offering, or IPO, of 3,000,000 shares of common stock in Japan for proceeds of $104.5 million, net of underwriting discounts and commissions and offering costs. In December 2006, we were listed on the Nasdaq Global Market. Accordingly, we are a public company in both the United States and Japan, as our stock is traded on both the Nasdaq Global Market and the Jasdaq Market (formerly the Hercules Market) of the Osaka Securities Exchange until its closure in 2010).</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Avigen Transaction. </w:t>
      </w:r>
      <w:r>
        <w:rPr>
          <w:rFonts w:ascii="Arial" w:cs="Arial" w:eastAsia="Arial" w:hAnsi="Arial"/>
          <w:sz w:val="16"/>
          <w:szCs w:val="16"/>
          <w:color w:val="auto"/>
        </w:rPr>
        <w:t>On December 18, 2009, Absolute Merger, Inc., a wholly-owned subsidiary of ours, merged with and into Avigen, Inc., or Avigen, with</w:t>
      </w:r>
      <w:r>
        <w:rPr>
          <w:rFonts w:ascii="Arial" w:cs="Arial" w:eastAsia="Arial" w:hAnsi="Arial"/>
          <w:sz w:val="16"/>
          <w:szCs w:val="16"/>
          <w:i w:val="1"/>
          <w:iCs w:val="1"/>
          <w:color w:val="auto"/>
        </w:rPr>
        <w:t xml:space="preserve"> </w:t>
      </w:r>
      <w:r>
        <w:rPr>
          <w:rFonts w:ascii="Arial" w:cs="Arial" w:eastAsia="Arial" w:hAnsi="Arial"/>
          <w:sz w:val="16"/>
          <w:szCs w:val="16"/>
          <w:color w:val="auto"/>
        </w:rPr>
        <w:t>Avigen continuing as the surviving entity and wholly-owned subsidiary of ours, or the Merger. Under the terms of the merger agreement, Avigen shareholders, at their election, received an amount per share either in cash, convertible notes issued by us or a combination thereof, upon closing. Of the 29,852,115 shares of Avigen common stock outstanding, approximately 17% of Avigen shareholders elected to receive cash at closing in the amount of approximately $1.19 per share with an additional $0.04 per share paid in two increments during fiscal year 2010, while the remaining 83% received the corresponding value of additional convertible notes issued by us. See Notes to Consolidated Financial Statements—Note 2, Avigen Transaction, for additional information on the merger.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 We do not have any interests in any variable interest entities.</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our compounds for the European marketplace. MediciNova (Europe) Limited’s functional currency is the U.S. dollar, the reporting currency of its parent.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Merger (the “Merger”) with Avigen, Inc., or Avigen. See Notes to Consolidated Financial Statements—Note 2. Avigen Transaction, for more information regarding the merger.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amounts in the consolidated statements of operations for the year ended December 31, 2009 and the consolidated statement of cash flows for the year ended December 31, 2009 and the period from September 26, 2000 (inception) to December 31, 2010 have been reclassified to conform the presentation of interest expense, other expense and other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 under different assumptions or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consist of cash and other highly liquid investments with original maturities of three months or less from the date of purchase.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2010 consisted of money market funds.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15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investment securities consisted of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insurance notes and portfolios of securities (primarily commercial paper).</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August 2008, UBS, the brokerage firm through which we purchased the majority of our investment securities, all of which were auction rate securities, or ARS, entered into a settlement with the SEC, the New York Attorney General and other state agencies. Under the settlement, we received the right to sell to UBS the ARS held in accounts with UBS at par value at any time during the period beginning June 30, 2010 and ending July 2, 2012. The right to sell the ARS back to UBS is considered an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We measured the UBS ARS on a Level 3 basis, as defined by ASC 820, using a discounted cash flow valuation model, employing liquidity discounts and assumptions made regarding interest rate and maturity.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elected to measure the ARS Put under the fair value option of ASC 825, authoritative guidance on financial instruments, to mitigate the volatility in reported earnings due to the linkage of certain of our ARS and the ARS Put. Under ASC 825, any subsequent increase or decrease in the fair value of the ARS Put would be recorded as either a gain or an impairment charge, respectively, in our consolidated statement of operations. The fair value of the ARS Put was also determined by a discounted cash flow valuation model with assumptions being made related to interest rate, maturity and liquidity.</w:t>
      </w:r>
    </w:p>
    <w:p>
      <w:pPr>
        <w:spacing w:after="0" w:line="9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At December 31, 2008, we designated our investment securities portfolio as trading investment securities; therefore, any additional increase or decrease in the fair value of our investment securities is recorded as either a gain or an impairment charge, respectively, in our consolidated statement of operations.</w:t>
      </w:r>
    </w:p>
    <w:p>
      <w:pPr>
        <w:spacing w:after="0" w:line="7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exercised our ARS Put on June 30, 2010. Upon settlement of the ARS Put in July 2010, the UBS ARS were redeemed at par value by UBS and the associated ARS Loan was repaid, which resulted in a net gain of approximately $138,000, being recorded in our consolidated statement of operations related to the redemption of the UBS ARS and ARS Put.</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third quarter of 2010, we reclassified our long-term investment securities to current investment securities because we no longer had the intent to hold these securities for more than a year. In addition, the fair market value of these investment securities were no longer determined on a Level 3 basis based on a discounted cash flow model employing liquidity discounts, but rather on a Level 2 basis, as defined by ASC 820, based on indicative liquidation quotes in an inactive market. During the twelve months ended December 31, 2010, we recorded impairment charges of $923,000 on these investment securities to write them down to fair market value based on the indicative quotes received from third party brokers. All impairment charges were recorded in our consolidated statement of operations in the current year.</w:t>
      </w:r>
    </w:p>
    <w:p>
      <w:pPr>
        <w:spacing w:after="0" w:line="131" w:lineRule="exact"/>
        <w:rPr>
          <w:sz w:val="20"/>
          <w:szCs w:val="20"/>
          <w:color w:val="auto"/>
        </w:rPr>
      </w:pPr>
    </w:p>
    <w:p>
      <w:pPr>
        <w:ind w:right="400" w:firstLine="456"/>
        <w:spacing w:after="0" w:line="422" w:lineRule="auto"/>
        <w:rPr>
          <w:sz w:val="20"/>
          <w:szCs w:val="20"/>
          <w:color w:val="auto"/>
        </w:rPr>
      </w:pPr>
      <w:r>
        <w:rPr>
          <w:rFonts w:ascii="Arial" w:cs="Arial" w:eastAsia="Arial" w:hAnsi="Arial"/>
          <w:sz w:val="18"/>
          <w:szCs w:val="18"/>
          <w:color w:val="auto"/>
        </w:rPr>
        <w:t xml:space="preserve">As of December 31, 2010, we no longer held any investment securities other than those held in the money market funds classified as cash equivalents. </w:t>
      </w:r>
      <w:r>
        <w:rPr>
          <w:rFonts w:ascii="Arial" w:cs="Arial" w:eastAsia="Arial" w:hAnsi="Arial"/>
          <w:sz w:val="18"/>
          <w:szCs w:val="18"/>
          <w:b w:val="1"/>
          <w:bCs w:val="1"/>
          <w:i w:val="1"/>
          <w:iCs w:val="1"/>
          <w:color w:val="auto"/>
        </w:rPr>
        <w:t>Restricted Cash</w:t>
      </w:r>
    </w:p>
    <w:p>
      <w:pPr>
        <w:spacing w:after="0" w:line="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Restricted cash consists of cash held in a separate trust account, managed by a third-party, in connection with the Avigen transaction. Restricted cash is released to us upon conversion of convertible notes into shares of our common stock. (See Convertible Notes discussion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Restricted investment consists of cash held in an irrevocable grantor trust, or rabbi trust, which is intended to fund benefit obligations under the Avigen Management Transition Plan, or the Avigen MTP. These funds represent reserves for benefits eligible to terminated employees as defined by the MTP. Upon termination of the trust, the merger agreement provides that these funds be paid to the former Avigen stockholders on a pro rata basis—see Notes to Consolidated Financial Statements—Note 2. Avigen Transaction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Letter of Credit</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Restricted letter of credit consisted of cash provided as a credit guarantee and security for an irrevocable letter of credit related to the original lease of office space which expired November 30, 2010. The funds remaining after the letter of credit expired reverted to the escrow holdback account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the closing of the Merger, we and American Stock Transfer &amp; Trust Company, LLC, as trustee, entered into an indenture. Under the terms of a separate trust agreement, $29.4 million, which represents the initial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principal amount of the convertible notes, or Convertible Notes, or 83% of the First Payment Consideration, was deposited with a trust agent for the benefit of the holders and us (the amount of such deposit together with interest accrued and capitalized thereon, the Property). Provided no event of default has occurred and is continuing, we will be able to direct the investment and reinvestment of the Property in certain approved investment options, including certain money market funds. At the maturity of the Convertible Notes on June 18, 2011, the 18-month anniversary of the closing of the Merger, we plan to use the Property to pay the principal amount of, and accrued interest on, the remaining Convertible Notes. At acquisition date, we recorded the Convertible Notes in our consolidated balance sheet at fair value—see Notes to Consolidated Financial Statements—Note 2. Avigen Transaction for further information on the valuation of the Convertible Notes.</w:t>
      </w:r>
    </w:p>
    <w:p>
      <w:pPr>
        <w:spacing w:after="0" w:line="13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Any fractional shares (after aggregating all Convertible Notes being converted by a holder on such date) will be rounded down and we will deliver cash out of the separate trust for the current market value of the fractional share. The indenture includes customary anti-dilution adjustments and events of default.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Holdback</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the closing of the Merger, we and Avigen funded in cash and letter of credit $1,500,000 in a separate escrow account, or Second Payment Consideration, pursuant to an escrow agreement. The Second Payment Consideration is considered the “Escrow Holdback”. We (Avigen and us) had identified certain additional liabilities of approximately $400,000 prior to closing of the Merger. As such, in accordance with the procedures set forth in the escrow agreement, $400,000 was released from the escrow account in satisfaction of these additional liabilities. A reconciliation of expenses was performed around June 30, 2010 and the letter of credit expired in November 2010. As a result, the Second Payment Consideration of $0.04 per share was paid in two installments. At acquisition date, we recorded the Escrow Holdback in our consolidated balance sheet at fair value—see Notes to Consolidated Financial Statements—Note 2. Avigen Transaction for further information on the valuation of the Escrow Holdback.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Uncertainties</w:t>
      </w:r>
    </w:p>
    <w:p>
      <w:pPr>
        <w:spacing w:after="0" w:line="158"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We maintain cash balances at various financial institutions and such balances commonly exceed the $250,000 amount insured by the Federal Deposit Insurance Corporation. We also maintain money market funds at various financial institutions which are not federally insured. We have not experienced any losses in such accounts and management believes that we are not exposed to any significant credit risk with respect to such cash and cash equivalents.</w:t>
      </w:r>
    </w:p>
    <w:p>
      <w:pPr>
        <w:spacing w:after="0" w:line="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May 10, 2010, we entered into a loan and security agreement, or Loan Agreement, with Oxford Finance Corporation, or Oxford, under which we borrowed $15.0 million. We are required to pay interest on borrowings on a monthly basis through and including February 1, 2011. Beginning March 1, 2011 through maturity of the loan, we will be required to make payments of outstanding principal and interest in 30 equal monthly installments. The stated interest rate on the loan is 12.87 percent. See Note 4, Long-term Debt, for further information on the loan.</w:t>
      </w:r>
    </w:p>
    <w:p>
      <w:pPr>
        <w:spacing w:after="0" w:line="99"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We have sustained operating losses since inception and expect such losses to continue over the next several years. Management plans to continue financing our operations with equity issuances, debt arrangements or a combination thereof. We expect current working capital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sufficient to fund our operations inclusive of planned research and development activities, inclusive of debt repayment in the event of default, through at least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31, 2011. If adequate funds are not available, we will be required to delay, reduce the scope of or eliminate one or more of our research or development programs or implement another reduction in workforce.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consolidated financial statements include an acquired business’s operations after the completion of the acquisition. We account for acquired businesses using the acquisition method of accounting. The acquisition method of accounting requires, among other things, that assets acquired and liabilities assumed be recognized at their fair values as of the acquisition date and that the fair value of acquired in-process research and development, or IPR&amp;D, be recorded on the balance sheet. Also, transaction costs are expensed as incurred. Any excess of the purchase price over the assigned values of the net assets acquired is recorded as goodwill. In connection with the Avigen transaction we recorded, at fair value, IPR&amp;D and goodwill—See Notes to Consolidated Financial Statements—Note 2. Avigen Transaction for a more detailed discussion on IPR&amp;D and goodwill.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Financial instruments, including cash and cash equivalents, accounts payable and accrued liabilities, are carried at cost, which we believe approximates fair value given their short-term nature. The carrying amount of our ARS Loan also approximates its fair value due to the loan’s short-term nature. We are required to measure certain assets and liabilities at fair value, either upon initial measurement or for subsequent accounting or reporting. We use fair value in the initial measurement of net assets acquired in a business combination and when accounting for and reporting on investment securities and certain financial instruments or assets. We estimate fair value using an exit price approach, which requires, among other things, that we determine the price that would be received to sell an asset or paid to transfer a liability in an orderly market of market participants, considering the highest and best use of assets and, for liabilities, assuming the risk of non-performance will be the same before and after the transfer. Many, but not all, of our financial instruments are carried at fair value. In addition, as required under accounting rules for business combinations, most of the assets acquired and liabilities assumed from Avigen on December 18, 2009 have been recorded at their estimated fair values as of the acquisition date. For additional information on the valuation approach to determine fair value, including a description of the inputs used, see Long Lived Assets below and Notes to Consolidated Financial Statements—Note 2. Avigen Transaction. Also, for information on fair value for our financial instruments, see Notes to Consolidated Financial Statements</w:t>
      </w:r>
      <w:r>
        <w:rPr>
          <w:rFonts w:ascii="Arial" w:cs="Arial" w:eastAsia="Arial" w:hAnsi="Arial"/>
          <w:sz w:val="15"/>
          <w:szCs w:val="15"/>
          <w:i w:val="1"/>
          <w:iCs w:val="1"/>
          <w:color w:val="auto"/>
        </w:rPr>
        <w:t>—</w:t>
      </w:r>
      <w:r>
        <w:rPr>
          <w:rFonts w:ascii="Arial" w:cs="Arial" w:eastAsia="Arial" w:hAnsi="Arial"/>
          <w:sz w:val="15"/>
          <w:szCs w:val="15"/>
          <w:color w:val="auto"/>
        </w:rPr>
        <w:t>Note 3. Fair Value Measurements—Other Than Intangibles and Goodwill.</w:t>
      </w:r>
    </w:p>
    <w:p>
      <w:pPr>
        <w:spacing w:after="0" w:line="9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w w:val="85"/>
              </w:rPr>
              <w:t>As of December 31, 2010</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00" w:type="dxa"/>
            <w:vAlign w:val="bottom"/>
            <w:tcBorders>
              <w:bottom w:val="single" w:sz="8" w:color="auto"/>
            </w:tcBorders>
            <w:gridSpan w:val="7"/>
          </w:tcPr>
          <w:p>
            <w:pPr>
              <w:jc w:val="center"/>
              <w:ind w:left="252"/>
              <w:spacing w:after="0"/>
              <w:rPr>
                <w:sz w:val="20"/>
                <w:szCs w:val="20"/>
                <w:color w:val="auto"/>
              </w:rPr>
            </w:pPr>
            <w:r>
              <w:rPr>
                <w:rFonts w:ascii="Arial" w:cs="Arial" w:eastAsia="Arial" w:hAnsi="Arial"/>
                <w:sz w:val="18"/>
                <w:szCs w:val="18"/>
                <w:b w:val="1"/>
                <w:bCs w:val="1"/>
                <w:color w:val="auto"/>
                <w:w w:val="88"/>
              </w:rPr>
              <w:t>Fair Value Measurements Using</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Level 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Level 2</w:t>
            </w:r>
          </w:p>
        </w:tc>
        <w:tc>
          <w:tcPr>
            <w:tcW w:w="620" w:type="dxa"/>
            <w:vAlign w:val="bottom"/>
          </w:tcPr>
          <w:p>
            <w:pPr>
              <w:spacing w:after="0"/>
              <w:rPr>
                <w:sz w:val="18"/>
                <w:szCs w:val="18"/>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4"/>
              </w:rPr>
              <w:t>Level 3</w:t>
            </w:r>
          </w:p>
        </w:tc>
        <w:tc>
          <w:tcPr>
            <w:tcW w:w="10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0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28,252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  28,252</w:t>
            </w:r>
          </w:p>
        </w:tc>
        <w:tc>
          <w:tcPr>
            <w:tcW w:w="5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As of December 31, 2010, we no longer held any investment securities as they were either been redeemed or liquidated during the year. In addition, as of December 31, 2010, we no longer held the ARS Loan as it was repaid during the year.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As of December 31, 2009</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8"/>
          </w:tcPr>
          <w:p>
            <w:pPr>
              <w:jc w:val="center"/>
              <w:ind w:right="12"/>
              <w:spacing w:after="0"/>
              <w:rPr>
                <w:sz w:val="20"/>
                <w:szCs w:val="20"/>
                <w:color w:val="auto"/>
              </w:rPr>
            </w:pPr>
            <w:r>
              <w:rPr>
                <w:rFonts w:ascii="Arial" w:cs="Arial" w:eastAsia="Arial" w:hAnsi="Arial"/>
                <w:sz w:val="18"/>
                <w:szCs w:val="18"/>
                <w:b w:val="1"/>
                <w:bCs w:val="1"/>
                <w:color w:val="auto"/>
                <w:w w:val="88"/>
              </w:rPr>
              <w:t>Fair Value Measurements Using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Total</w:t>
            </w:r>
          </w:p>
        </w:tc>
        <w:tc>
          <w:tcPr>
            <w:tcW w:w="600" w:type="dxa"/>
            <w:vAlign w:val="bottom"/>
          </w:tcPr>
          <w:p>
            <w:pPr>
              <w:spacing w:after="0"/>
              <w:rPr>
                <w:sz w:val="18"/>
                <w:szCs w:val="18"/>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Level 1</w:t>
            </w:r>
          </w:p>
        </w:tc>
        <w:tc>
          <w:tcPr>
            <w:tcW w:w="620" w:type="dxa"/>
            <w:vAlign w:val="bottom"/>
          </w:tcPr>
          <w:p>
            <w:pPr>
              <w:spacing w:after="0"/>
              <w:rPr>
                <w:sz w:val="18"/>
                <w:szCs w:val="18"/>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Level 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19,242</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 (ARS)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ARS Put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Long-term investments: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 (ARS)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Total long-term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2,085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our ARS Loan as of December 31, 2009 approximates its fair value due to its short term nature.</w:t>
      </w:r>
    </w:p>
    <w:p>
      <w:pPr>
        <w:spacing w:after="0" w:line="15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non-recurring basis classified by the fair value measurements and disclosures valuation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8"/>
              </w:rPr>
              <w:t>As of December 31, 2010</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jc w:val="right"/>
              <w:ind w:right="332"/>
              <w:spacing w:after="0"/>
              <w:rPr>
                <w:sz w:val="20"/>
                <w:szCs w:val="20"/>
                <w:color w:val="auto"/>
              </w:rPr>
            </w:pPr>
            <w:r>
              <w:rPr>
                <w:rFonts w:ascii="Arial" w:cs="Arial" w:eastAsia="Arial" w:hAnsi="Arial"/>
                <w:sz w:val="18"/>
                <w:szCs w:val="18"/>
                <w:b w:val="1"/>
                <w:bCs w:val="1"/>
                <w:color w:val="auto"/>
                <w:w w:val="99"/>
              </w:rPr>
              <w:t>Fair Value Measurements Using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88"/>
              </w:rPr>
              <w:t>Total</w:t>
            </w: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Level 1</w:t>
            </w:r>
          </w:p>
        </w:tc>
        <w:tc>
          <w:tcPr>
            <w:tcW w:w="60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notes(1, 2)</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28,626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liability</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33,578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Long-term debt, less current portion(3)</w:t>
            </w:r>
          </w:p>
        </w:tc>
        <w:tc>
          <w:tcPr>
            <w:tcW w:w="1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9,484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liability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84"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fair value of the convertible notes and the related conversion feature was based on a binomial option pricing model, or BOPM. Assumptions used in the BOPM included the maturity date of the convertible notes, the time between nodes, volatility, face value of the convertible notes at the merger closing date and the risk-free rate. See Notes to Consolidated Financial Statements—Note 2, Avigen Transaction for further information on the BOPM.</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Although we recorded the convertible notes as a liability upon merger closing on December 18, 2009, following ASC 805, the fair value of the conversion feature was accounted for within equity and will not be re-measured during interim periods and subsequent settlements (conversions to our stock) will be accounted for in equity. See Note 2, Avigen Transaction, above for information on the activity impacting the convertible notes liability during the year ended December 31, 2010.</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value of the long-term debt- current portion and non-current portion- approximates fair value. See Notes to Consolidated Financial Statements —Note 4, Long-term Debt, below for further information regarding the valuation of the long-term debt.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8"/>
              </w:rPr>
              <w:t>As of December 31, 2009</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jc w:val="right"/>
              <w:ind w:right="332"/>
              <w:spacing w:after="0"/>
              <w:rPr>
                <w:sz w:val="20"/>
                <w:szCs w:val="20"/>
                <w:color w:val="auto"/>
              </w:rPr>
            </w:pPr>
            <w:r>
              <w:rPr>
                <w:rFonts w:ascii="Arial" w:cs="Arial" w:eastAsia="Arial" w:hAnsi="Arial"/>
                <w:sz w:val="18"/>
                <w:szCs w:val="18"/>
                <w:b w:val="1"/>
                <w:bCs w:val="1"/>
                <w:color w:val="auto"/>
                <w:w w:val="99"/>
              </w:rPr>
              <w:t>Fair Value Measurements Using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Level 1</w:t>
            </w:r>
          </w:p>
        </w:tc>
        <w:tc>
          <w:tcPr>
            <w:tcW w:w="60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Escrow holdback(1)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notes(1)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29,258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Total non-current liability</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29,258</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9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fair value of the convertible notes and escrow holdback and their related conversion feature was based on a BOPM. Assumptions used in the BOPM included the maturity date of the convertible notes and the escrow holdback, the time between nodes, volatility, face value of the convertible notes and the escrow holdback at the merger closing date and the risk-free rate. The maturity date utilized was 1.5 years based on the maturity of the notes in June 2011. As our projected period was 1.5 years we used the average of the one and two year U.S. Treasury bonds as of the closing date and we based volatility on the historical volatility of publicly-traded comparable companies to Avigen and our stock price volatility. See Notes to Consolidated Financial Statements— Note 2, Avigen Transaction for further information on the BOPM.</w:t>
      </w:r>
    </w:p>
    <w:p>
      <w:pPr>
        <w:spacing w:after="0" w:line="10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judgments made in determining an estimate of fair value can materially impact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Property and equipment, net, which consists of leasehold improvements, furniture and equipment and software, is stated at cost. Leasehold improvements, furniture and equipment, and software are depreciated using the straight-line method over the estimated useful lives of the related assets. The useful life for furniture, equipment (other than computers) and software is five years, computers is three years and leasehold improvements are amortized over the lesser of the useful life or the term of the lease. Our current lease expires in August 2011. We also lease office space in Tokyo, Japan under a lease that expires in May 2011. Furthermore, pursuant to our acquisition of Avigen we acquired a month-to-month lease for 4,000 square feet of office space in Alameda, California. We vacated the Alameda premises on March 8, 2010 and we were released from our month-to-month lease by the landlord.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Impairment of Long-Lived Assets</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review long-lived assets, including property and equipment, and other intangible assets, for impairment whenever events or changes in business circumstances indicate that the carrying amount of the assets may not be fully recoverable and we perform impairment testing for goodwill and IPR&amp;D at least annually. When it is determined that impairment has occurred, a charge to operations will be recorded. Impairment on property and equipment or other intangible assets, if any, is assessed using discounted cash flows. Impairment on goodwill is assessed on our overall market capitalization, as we operate as one reporting segment. Impairment on IPR&amp;D is assessed on a fair value cost approach.</w:t>
      </w:r>
    </w:p>
    <w:p>
      <w:pPr>
        <w:spacing w:after="0" w:line="1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fair value of intangible assets is determined on a level 3 basis in which significant unobservable inputs were utilized primarily using the “income approach,” which starts with a forecast of all the expected future net cash flows, some of which are more certain than others. Some of the more significant estimates and assumptions inherent in the intangible asset impairment estimation process include: the amount and timing of projected future cash flows; the discount rate selected to measure the risks inherent in the future cash flows; and the assessment of the asset’s life cycle and the competitive trends impacting the asset, including consideration of any technical,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legal, regulatory or economic barriers to entry, as well as expected changes in standards of practice for indications addressed by the asset.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recognized no revenues for each of the years in the three-year period ended December 31,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Effective January 1, 2007, we adopted the authoritative guidance on accounting for uncertainty in income taxes, which prescribes a comprehensive model for how we should recognize, measure, present and disclose in our financial statements for uncertain tax positions that we have taken or expect to take on a tax return. The cumulative effect of adopting the guidance on accounting for uncertainty in income taxes resulted in no adjustment to retained earnings as of January 1, 2007.</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since implementation of guidance on accounting for uncertainty in income taxes.</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are subject to taxation in the United States,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At December 31, 2010, income taxes relate to service income earned by our Japanese subsidiary, MediciNova Japan,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grant stock options to our employees, directors and consultants under the MediciNova, Inc. Amended and Restated 2004 Stock Incentive Plan (the “2004 Plan”), the successor to the MediciNova, Inc. 2000 General Stock Incentive Plan (the “2000 Plan”). No additional stock options have been or will be issued under the 2000 Plan subsequent to our IPO. Stock options issued to non-employees were recorded at their fair value as determined in accordance with the authoritative guidance for equity under ASC 505.</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exercise price of stock options granted during the years ended December 31, 2010, 2009 and 2008 were equal to market value on the date of grant. During the years ended December 31, 2010, 2009 and 2008, options to purchase 525,000, 521,373 and 615,540 shares of common stock, respectively, were granted and stock-based compensation expense for such stock options is reflected in operating results during fiscal years 2010, 2009 and 2008. The estimated fair value of each stock option award was determined on the date of grant using the Black-Scholes option valuation model with the following weighted-average assumptions for stock option grants:</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w:t>
            </w:r>
          </w:p>
        </w:tc>
        <w:tc>
          <w:tcPr>
            <w:tcW w:w="5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76.50%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70.00%</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460" w:type="dxa"/>
            <w:vAlign w:val="bottom"/>
          </w:tcPr>
          <w:p>
            <w:pPr>
              <w:jc w:val="right"/>
              <w:spacing w:after="0"/>
              <w:rPr>
                <w:sz w:val="20"/>
                <w:szCs w:val="20"/>
                <w:color w:val="auto"/>
              </w:rPr>
            </w:pPr>
            <w:r>
              <w:rPr>
                <w:rFonts w:ascii="Arial" w:cs="Arial" w:eastAsia="Arial" w:hAnsi="Arial"/>
                <w:sz w:val="18"/>
                <w:szCs w:val="18"/>
                <w:color w:val="auto"/>
              </w:rPr>
              <w:t>4.40</w:t>
            </w: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9"/>
                <w:szCs w:val="19"/>
                <w:color w:val="auto"/>
              </w:rPr>
            </w:pPr>
          </w:p>
        </w:tc>
      </w:tr>
    </w:tbl>
    <w:p>
      <w:pPr>
        <w:spacing w:after="0" w:line="13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employee stock options. The expected volatility is based on the historical volatility of our stock since listing on the Nasdaq Global Market in December 2006. We have not paid any dividends on our common stock since our inception, and we do not anticipate paying dividends on our common stock in the foreseeable future. The expected term of employee stock options is based on the simplified method for “plain vanilla options” as provided by the authoritative guidance on stock compensation, as we concluded that our historical stock option exercise experience does not provide a reasonable basis for us to estimate the expected term.</w:t>
      </w:r>
    </w:p>
    <w:p>
      <w:pPr>
        <w:spacing w:after="0" w:line="10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stock-based compensation expense recognized in the accompanying consolidated statement of operations for the years ended December 31, 2010, 2009 and 2008 was based on stock option awards ultimately expected to vest, such expense should be reduced for estimated forfeitures. The authoritative guidance for compensation under ASC 718 requires forfeitures to be estimated at the time of grant and revised, if necessary, in subsequent periods if actual forfeitures differ from those estimates. We have very few employees and our stock options vest monthly; therefore, we did not estimate any forfeitures during the year ended December 31, 2010, and we will adjust our stock-based compensation expense should any forfeitures occur. Our determination of fair value is affected by our stock price, as well as a number of assumptions that require judgment. The weighted-average fair value of each stock option granted during the years ended December 31, 2010, 2009 and 2008, estimated as of the grant date using the Black-Scholes option valuation model, was $4.02 per option, $1.53 per option and $2.37 per option,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2010, 2009 and 2008, stock-based compensation expense related to stock options was $2.0 million, $2.4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$3.2 million, respectively, and was recorded as a component of general and administrative expense ($1.6 million, $1.9 million and $1.8 million,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($0.4 million, $0.5 million and $1.4 million, respectively). During the years ended December 31, 2010 and 2009, there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44,948 and 100,483 stock options exercised, respectively, from which proceeds of $0.2 million and $0.4 million, respectively, were received. No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exercised during the year ended December 31, 2008.</w:t>
      </w:r>
    </w:p>
    <w:p>
      <w:pPr>
        <w:spacing w:after="0" w:line="1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2010, there was $2.0 million of unamortized compensation cost related to unvested stock option awards, which is expected to be recognized over a remaining weighted-average vesting period of 1.1 years, on a straight-line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authoritative guidance for comprehensive income under ASC 220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400" w:type="dxa"/>
            <w:vAlign w:val="bottom"/>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(64,914)</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(29,744)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(131,466)</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Currency translation</w:t>
            </w:r>
          </w:p>
        </w:tc>
        <w:tc>
          <w:tcPr>
            <w:tcW w:w="640" w:type="dxa"/>
            <w:vAlign w:val="bottom"/>
          </w:tcPr>
          <w:p>
            <w:pPr>
              <w:jc w:val="right"/>
              <w:spacing w:after="0"/>
              <w:rPr>
                <w:sz w:val="20"/>
                <w:szCs w:val="20"/>
                <w:color w:val="auto"/>
              </w:rPr>
            </w:pPr>
            <w:r>
              <w:rPr>
                <w:rFonts w:ascii="Arial" w:cs="Arial" w:eastAsia="Arial" w:hAnsi="Arial"/>
                <w:sz w:val="18"/>
                <w:szCs w:val="18"/>
                <w:color w:val="auto"/>
              </w:rPr>
              <w:t>9,212</w:t>
            </w:r>
          </w:p>
        </w:tc>
        <w:tc>
          <w:tcPr>
            <w:tcW w:w="18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(35,170)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101,722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8400" w:type="dxa"/>
            <w:vAlign w:val="bottom"/>
          </w:tcPr>
          <w:p>
            <w:pPr>
              <w:spacing w:after="0"/>
              <w:rPr>
                <w:sz w:val="20"/>
                <w:szCs w:val="20"/>
                <w:color w:val="auto"/>
              </w:rPr>
            </w:pPr>
            <w:r>
              <w:rPr>
                <w:rFonts w:ascii="Arial" w:cs="Arial" w:eastAsia="Arial" w:hAnsi="Arial"/>
                <w:sz w:val="18"/>
                <w:szCs w:val="18"/>
                <w:color w:val="auto"/>
              </w:rPr>
              <w:t>Ending Balance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(55,702)</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(64,914)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(29,744)</w:t>
            </w:r>
          </w:p>
        </w:tc>
      </w:tr>
    </w:tbl>
    <w:p>
      <w:pPr>
        <w:spacing w:after="0" w:line="142" w:lineRule="exact"/>
        <w:rPr>
          <w:sz w:val="20"/>
          <w:szCs w:val="20"/>
          <w:color w:val="auto"/>
        </w:rPr>
      </w:pPr>
    </w:p>
    <w:p>
      <w:pPr>
        <w:ind w:right="1880" w:firstLine="456"/>
        <w:spacing w:after="0" w:line="422" w:lineRule="auto"/>
        <w:rPr>
          <w:sz w:val="20"/>
          <w:szCs w:val="20"/>
          <w:color w:val="auto"/>
        </w:rPr>
      </w:pPr>
      <w:r>
        <w:rPr>
          <w:rFonts w:ascii="Arial" w:cs="Arial" w:eastAsia="Arial" w:hAnsi="Arial"/>
          <w:sz w:val="18"/>
          <w:szCs w:val="18"/>
          <w:color w:val="auto"/>
        </w:rPr>
        <w:t xml:space="preserve">As of December 31, 2010, 2009 and 2008, our comprehensive loss was $20,178,096, $20,404,060 and $21,823,107, respectively. </w:t>
      </w:r>
      <w:r>
        <w:rPr>
          <w:rFonts w:ascii="Arial" w:cs="Arial" w:eastAsia="Arial" w:hAnsi="Arial"/>
          <w:sz w:val="18"/>
          <w:szCs w:val="18"/>
          <w:b w:val="1"/>
          <w:bCs w:val="1"/>
          <w:i w:val="1"/>
          <w:iCs w:val="1"/>
          <w:color w:val="auto"/>
        </w:rPr>
        <w:t>Net Loss Per Share</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years ended December 31, 2010 and 2009, there were 182,400 and 4,547,300 potentially dilutive securities, respectively, excluded from determining diluted earnings per share because of their anti-dilutive effect, of which 4,330,300 potentially dilutive securities in 2009 were based on the assumption that all of the convertible notes issued pursuant to the Avigen merger were converted at the closing date. There were no potentially dilutive securities for the year ended December 31, 2008.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Adopted</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October 2009, the Financial Accounting Standards Board, or FASB, ratified Accounting Standards Update, or ASU, No. 2010-13, which eliminates the residual method of allocation and the requirement to use the relative selling price method when allocating revenue in a multiple deliverable arrangement. When applying the relative selling price method, the selling price for each deliverable shall be determined using vendor specific objective evidence of selling price, if it exists, otherwise third-party evidence of selling price. If neither vendor specific objective evidence nor third-party evidence of selling price exists for a deliverable, companies shall use its best estimate of the selling price for that deliverable when applying the relative selling price method. ASU 2010-13 shall be effective in fiscal years beginning on or after June 15, 2010, with earlier application permitted. Companies may elect to adopt this guidance prospectively for all revenue arrangements entered into or materially modified after the date of adoption, or retrospectively for all periods presented. The adoption of this accounting standard did not have a material effect on our consolidated results of operations or financial condition.</w:t>
      </w:r>
    </w:p>
    <w:p>
      <w:pPr>
        <w:spacing w:after="0" w:line="10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March 2010, the FASB issued ASU No. 2010-11, “Derivatives and Hedging (Topic 815): Scope Exception Related to Embedded Credit Derivatives”. The FASB believes this ASU clarifies the type of embedded credit derivative that is exempt from embedded derivative bifurcation requirements. Specifically, only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one form of embedded credit derivative qualifies for the exemption—one that is related only to the subordination of one financial instrument to another. As a result, entities that have contracts containing an embedded credit derivative feature in a form other than such subordination may need to separately account for the embedded credit derivative feature. The amendments in the ASU are effective for each reporting entity at the beginning of its first fiscal quarter beginning after June 15, 2010. The adoption of this accounting standard did not have a material effect on our consolidated results of operations or financial condition.</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April 2010, the FASB issued ASU No. 2010-12, which indicates that the Securities and Exchange Commission, or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We have performed an initial review of the two acts and do not believe that either will have a material impact on our consolidated results of operations or financial condition. Our belief is based on the fact that: (i) we are a development stage biopharmaceutical whose lead drug candidates are in Phase II of development and we have no other revenue generating products; therefore the pharmaceutical industry fee should not be applicable to us, nor would we be impacted by the drug subsidy changes; (ii) we have less than 25 employees so the fee for health plans will have minimal impact to our operating expenses; (iii) we do not have “high-cost” coverage health plans, nor do we offer retiree medical benefits; thus, the fees and the changes related to these would not impact our operating expenses; and (iv) with regard to the limit on tax-deductible employee compensation this should not impact our tax position as we are currently a net loss company and will continue to be a net loss company in the foreseeable future. The health care reforms also provide for a “new investment tax credit for qualified therapeutic discovery,” for which we submitted an application on July 16, 2010. In October 2010, we were notified that our application for a grant payment under the investment tax credit for qualified therapeutic discovery was not approved by the Department of Health and Human Services.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The adoption of this standard will not have a material effect on our consolidated results of operations or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5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In December 2010, the FASB issued ASU No. 2010-027, Fees Paid to the Federal Government by Pharmaceutical Manufacturers which provides guidance concerning the recognition and classification of the new annual fee payable by branded prescription drug manufacturers and importers on branded prescription drugs which was mandated under the health care reform legislation enacted in the U.S. in March 2010. Under this new accounting standard, the annual fee would be presented as a component of operating expenses and recognized over the calendar year such fees are payable using a straight-line method of allocation unless another method better allocates the fee over the calendar year. This ASU is effective for calendar years beginning on or after December 31, 2010, when the fee initially becomes effective. The adoption of this accounting standard will not have an impact on our financial position or results of operations.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Controls—Material Weakness Remediation</w:t>
      </w:r>
    </w:p>
    <w:p>
      <w:pPr>
        <w:spacing w:after="0" w:line="15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December 31, 2010, management believes that the material weakness in our internal control over financial reporting that was included in Item 4 of our Form 10-Q for the quarter ended September 30, 2010 has been effectively remediated. Prior to December 31, 2010, the remediation measures as described below were implemented.</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taken appropriate actions to remediate the material weakness related to the identified control overrides and policy deviations by one of our senior executive officers, which, collectively, represented a material weakness in our internal control over financial reporting. Our remediation plan included disclosing the granting of a waiver under our code of conduct to a senior executive and another employee due to the appearance of a possible conflict of interest, re-aligning certain reporting structures, updating our contract review and approval policy to require one signatory to be our Chief Financial Officer, strengthening certain human resource policies by amending our compensation committee charter and creating a strategic and oversight committee comprised of certain board members and the senior management team.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18, 2009 we acquired 100% of the outstanding shares of Avigen, a biopharmaceutical company that had focused on identifying and developing differentiated products to treat patients with serious disorders, whose potential product candidate is AV411, a glial attenuator and ibudilast small molecule therapeutic, for CNS disorders such as neuropathic pain, opioid withdrawal or methamphetamine addiction. The primary reasons for the Avigen acquisition were to combine the ibudilast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3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aggregate Merger consideration consisted of a First Payment Consideration of $35.4 million of which $3.0 million was funded in cash by us and $32.4 million was funded in cash by Avigen, and a reduced Second Payment Consideration of $1.1 million, subject to a reconciliation of expenses on or about June 30, 2010, of which $0.6 million was funded in cash by Avigen and $0.5 million is to be funded upon the expiry and release of the restricted letter of credit, which is recorded as such in our consolidated balance sheet, by the letter of credit’s beneficiary. The cash payments were deposited in a separate trust account and are considered restricted cash by us. Of the 29,852,115 shares of Avigen common stock outstanding at the closing date, approximately 17 percent of Avigen shareholders elected to receive cash. Thereby, the First Payment Consideration was reduced by the number of shareholders who elected to receive cash, or $6.0 million, resulting in $29.4 million of Convertible Notes at face value to be issued by us. The $1.1 million Second Payment Consideration (which is subject to a reconciliation of expenses) acts as an escrow holdback and is paid out in cash to the 17 percent of Avigen shareholders who elected cash and issued as additional Convertible Notes principal by us after the respective holdback period lapses on June 30, 2010 and November 30, 2010 for the restricted letter of credit. The Convertible Notes can be converted into shares of our common stock at a conversion price of $6.80 per share. At the date of closing, our closing stock price was $7.99, resulting in a beneficial conversion feature on the Convertible Notes issued pursuant to the First Payment Consideration and the Convertible Notes to be issued pursuant to the Second Payment Consideration. In addition to the First and Second Payment Considerations, the Merger agreement includes a Contingent Payment Rights Agreement, or CPR Agreement, between us, Avigen and American Stock Transfer &amp; Trust Company, LLC, as rights agent. The CPR Agreement sets forth the rights that former Avigen stockholders have with respect to each CPR held after the closing of the Merger. The CPR Agreement provides for the payment of the following amounts on a pro rata basis:</w:t>
      </w:r>
    </w:p>
    <w:p>
      <w:pPr>
        <w:spacing w:after="0" w:line="113" w:lineRule="exact"/>
        <w:rPr>
          <w:sz w:val="20"/>
          <w:szCs w:val="20"/>
          <w:color w:val="auto"/>
        </w:rPr>
      </w:pPr>
    </w:p>
    <w:p>
      <w:pPr>
        <w:ind w:left="780" w:right="1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first milestone payment under Avigen’s agreement with Genzyme, or the Genzyme Agreement, is received before August 18, 2011, $6,000,000 or such lesser cash amount paid by Genzyme;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325"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first milestone payment has not occurred and the Parkinson’s Product, as defined in the Genzyme Agreement, is sold or otherwise disposed of by us before August 18, 2011, 50 percent of the net proceeds of such sale or disposition received before August 18, 2011; and</w:t>
      </w:r>
    </w:p>
    <w:p>
      <w:pPr>
        <w:spacing w:after="0" w:line="1" w:lineRule="exact"/>
        <w:rPr>
          <w:rFonts w:ascii="Arial" w:cs="Arial" w:eastAsia="Arial" w:hAnsi="Arial"/>
          <w:sz w:val="16"/>
          <w:szCs w:val="16"/>
          <w:color w:val="auto"/>
        </w:rPr>
      </w:pPr>
    </w:p>
    <w:p>
      <w:pPr>
        <w:jc w:val="both"/>
        <w:ind w:left="780" w:right="60" w:hanging="326"/>
        <w:spacing w:after="0" w:line="25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trust established pursuant to the Avigen MTP, is terminated, the amount remaining in such trust upon termination (less any payments required to be made under Avigen’s Management Transition Plan Trust Agreement), such amount currently estimated at $624,000. As of December 31, 2010, the Avigen MTP had not been terminated.</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the first two contingent payment rights described above, we have not ascribed any value to them as we have deemed them not probable and we cannot determine when, or if, the related milestones will be achieved or the events triggering the commencement of payment obligations will occur. With respect to the contingent payment rights related to the Avigen MTP, as none of the assets will revert to us, we have recorded a restricted investment and a corresponding liability in our consolidated balance sheet.</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included Avigen’s business operations in our consolidated financial statements since the acquisition date and we have accounted for the Merger under the acquisition method of accounting. Included in our consolidated statement of operations is approximately $4,000 of operating expenses since the acquisition date of December 18, 2009. Acquisition method of accounting requires that assets acquired and liabilities assumed are recognized at their fair values as of the acquisition date, that the fair value of acquired in-process research and development, or IPR&amp;D is recorded on the balance sheet, all transaction costs are expensed as incurred and any excess of the purchase price over the assigned values of net assets acquired is recorded as goodwill. In addition, Avigen’s historical stockholder’s equity accounts were eliminated.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we expensed $1.8 million of transaction costs as they were incurred. The estimated fair value of the aggregate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 or the Purchase Price, was as follows (table in thousands):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First Payment Consideration (Convertible Notes issued by 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$ 29,258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Second Payment Consideration (Escrow Holdback)</w:t>
            </w: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paid by 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Conversion Feature related to First Payment Convertible Notes</w:t>
            </w:r>
          </w:p>
        </w:tc>
        <w:tc>
          <w:tcPr>
            <w:tcW w:w="640" w:type="dxa"/>
            <w:vAlign w:val="bottom"/>
          </w:tcPr>
          <w:p>
            <w:pPr>
              <w:jc w:val="right"/>
              <w:spacing w:after="0"/>
              <w:rPr>
                <w:sz w:val="20"/>
                <w:szCs w:val="20"/>
                <w:color w:val="auto"/>
              </w:rPr>
            </w:pPr>
            <w:r>
              <w:rPr>
                <w:rFonts w:ascii="Arial" w:cs="Arial" w:eastAsia="Arial" w:hAnsi="Arial"/>
                <w:sz w:val="18"/>
                <w:szCs w:val="18"/>
                <w:color w:val="auto"/>
              </w:rPr>
              <w:t>9,227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 related to Second Payment Convertible Notes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Total Purchase Price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$ 42,865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fair value of the First Payment Consideration and Second Payment Consideration and the related fair value of their respective beneficial conversion feature, was based on a BOPM. Assumptions used in the BOPM included the maturity date of the Convertible Notes, time between nodes, volatility, face value of the Convertible Notes at the closing date and the risk-free rate. The maturity date utilized was 1.5 years based on the maturity of the notes in June 2011. As our projected period was 1.5 years, we used the average of the one and two year U.S. Treasury bonds as of the closing date and we based volatility on the historical volatility of publicly-traded comparable companies to Avigen and our stock price volatility. To calculate the fair value of the Convertible Notes and their respective beneficial conversion feature under the BOPM we first had to generate a price tree, which is produced by working forward from the date of closing to the Convertible Notes maturity date. At each step it is assumed that the Convertible Notes will move up or down by a specific factor of volatility. In the second step of the BOPM we had to determine the option value at each final node, which is the intrinsic or exercise value. The intrinsic value is calculated by subtracting the conversion price, or $6.80 per share, from the expected stock price as determine in the aforementioned step. The third step of the BOPM was to calculate option value at each node, starting at the end node, working back to the first node of the price tree, where the result would be the value of the option, discounted by the risk-free rate. In the last step of the BOPM we determined the fair value of the Convertible Notes without the conversion feature. To calculate the value of the Convertible Notes without the conversion feature, we multiplied the expected payments from the Convertible Notes by a</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discount factor, that discount factor being one divided by one plus the discount rate raised to the power of time. We then applied to the result a lack of marketability discount for the conversion feature using a protective put model to account for the lower degree of liquidity which would detract from the face value of the Convertible Notes.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First Payment Consideration was recorded on our consolidated balance sheet as Convertible Notes at its fair value of $29.3 million. The $0.2 million difference between fair value and face value will be accreted to interest expense through the Convertible Note period. At acquisition-date, following ASC 805, the fair value of the conversion feature was accounted for within equity and will not be re-measured during interim periods and subsequent settlements (conversions to our stock) will be accounted for in equity.</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Second Payment Consideration was recorded on our consolidated balance sheet as an Escrow Holdback at its fair value of $1.1 million. At acquisition-date, although this contingent consideration was recorded as a liability following ASC 805, the fair value of the conversion feature was accounted for within equity and will not be re-measured during interim periods and subsequent settlements for those who elected Convertible Notes (conversions to our stock) will be accounted for in equity.</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Based on a third-party valuation, as of the date of closing, amounts of estimated fair value of assets acquired and liabilities assumed at the acquisition date were as follows (table in thousands):</w:t>
      </w:r>
    </w:p>
    <w:p>
      <w:pPr>
        <w:spacing w:after="0" w:line="12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30,046</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Restricted letter of credit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(1,956)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Avigen MTP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221"/>
        </w:trPr>
        <w:tc>
          <w:tcPr>
            <w:tcW w:w="7060" w:type="dxa"/>
            <w:vAlign w:val="bottom"/>
          </w:tcPr>
          <w:p>
            <w:pPr>
              <w:spacing w:after="0"/>
              <w:rPr>
                <w:sz w:val="20"/>
                <w:szCs w:val="20"/>
                <w:color w:val="auto"/>
              </w:rPr>
            </w:pPr>
            <w:r>
              <w:rPr>
                <w:rFonts w:ascii="Arial" w:cs="Arial" w:eastAsia="Arial" w:hAnsi="Arial"/>
                <w:sz w:val="18"/>
                <w:szCs w:val="18"/>
                <w:color w:val="auto"/>
              </w:rPr>
              <w:t>Identifiable net assets acquired and liabilities assumed</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33,723</w:t>
            </w:r>
          </w:p>
        </w:tc>
        <w:tc>
          <w:tcPr>
            <w:tcW w:w="120" w:type="dxa"/>
            <w:vAlign w:val="bottom"/>
          </w:tcPr>
          <w:p>
            <w:pPr>
              <w:spacing w:after="0"/>
              <w:rPr>
                <w:sz w:val="19"/>
                <w:szCs w:val="19"/>
                <w:color w:val="auto"/>
              </w:rPr>
            </w:pPr>
          </w:p>
        </w:tc>
      </w:tr>
      <w:tr>
        <w:trPr>
          <w:trHeight w:val="218"/>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20" w:type="dxa"/>
            <w:vAlign w:val="bottom"/>
            <w:shd w:val="clear" w:color="auto" w:fill="CCEEFF"/>
          </w:tcPr>
          <w:p>
            <w:pPr>
              <w:spacing w:after="0"/>
              <w:rPr>
                <w:sz w:val="18"/>
                <w:szCs w:val="18"/>
                <w:color w:val="auto"/>
              </w:rPr>
            </w:pP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42,865</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With the reconciliation of expenses performed in June 2010 and the expiry of the restricted letter of credit in November 2010, goodwill was adjusted by approximately $458,000 to $9,600,241 to reflect the shortfall in the escrow holdback. We deemed the overall change in goodwill amount inconsequential to the overall financial statements and we accounted for this change prospectively.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value of all assets acquired, except for identifiable intangible assets discussed below, and all liabilities assumed approximates fair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 Identifiable intangible assets acquired have been attributed as follows: (table in thousands):</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IPR&amp;D</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Genzyme Agreement</w:t>
            </w:r>
          </w:p>
        </w:tc>
        <w:tc>
          <w:tcPr>
            <w:tcW w:w="450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500" w:type="dxa"/>
            <w:vAlign w:val="bottom"/>
            <w:vMerge w:val="restart"/>
          </w:tcPr>
          <w:p>
            <w:pPr>
              <w:jc w:val="right"/>
              <w:ind w:right="3032"/>
              <w:spacing w:after="0"/>
              <w:rPr>
                <w:sz w:val="20"/>
                <w:szCs w:val="20"/>
                <w:color w:val="auto"/>
              </w:rPr>
            </w:pPr>
            <w:r>
              <w:rPr>
                <w:rFonts w:ascii="Arial" w:cs="Arial" w:eastAsia="Arial" w:hAnsi="Arial"/>
                <w:sz w:val="18"/>
                <w:szCs w:val="18"/>
                <w:color w:val="auto"/>
              </w:rPr>
              <w:t>103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IPR&amp;D</w:t>
      </w:r>
      <w:r>
        <w:rPr>
          <w:rFonts w:ascii="Arial" w:cs="Arial" w:eastAsia="Arial" w:hAnsi="Arial"/>
          <w:sz w:val="16"/>
          <w:szCs w:val="16"/>
          <w:color w:val="auto"/>
        </w:rPr>
        <w:t>. The fair value attributed to IPR&amp;D represents an estimate of fair value of in-process technology related to Avigen’s AV411 program, which at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closing date, had not received U.S. Food and Drug Administration, or FDA, approval for any indication. As such, pursuant to ASC 805, amortization of the IPR&amp;D will not occur until it reaches market feasibility. Although we plan to integrate the two ibudilast-based development programs (our MN-166 and the acquired AV411) and pursue discussions with potential partners to secure a strategic collaboration to advance clinical development of the combined development programs, the fair value for the AV411 IPR&amp;D was determined using the income approach, although the cost and market approaches were also reviewed. Under the income approach we used a multi-period excess earning method in which the forecast of all expected future cash flows was predicated on a collaboration partner structure in which revenue streams were generated in the short-term by milestone payments and royalty payments in the long-term. As several significant milestones need to be achieved prior to expected commercialization, a probability adjustment was applied to the forecasted revenue to account for the risk associated with being able to successfully commercialize. We also applied a discount rate on the overall valuation based on the industry composite weighted average cost of capital to account for the perceived risk of the technology with respect to successful commercialization, market acceptance and growth and profitability. To validate the reasonableness of the IPR&amp;D fair value under the income approach, we also valued the technology under the cost and market approaches. Under the cost approach we estimated the cost to recreate the technology’s preclinical and clinical data package, which this cost was considered a savings benefit by us and was part of our rationale for doing the Merger. Under the market approach we considered the formal and informal bids that Avigen received while it marketed its AV411 program for sale. After reviewing the results derived from all three approaches, we concluded that the income approach was a reasonable basis to fair value IPR&amp;D.</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Genzyme Agreement</w:t>
      </w:r>
      <w:r>
        <w:rPr>
          <w:rFonts w:ascii="Arial" w:cs="Arial" w:eastAsia="Arial" w:hAnsi="Arial"/>
          <w:sz w:val="18"/>
          <w:szCs w:val="18"/>
          <w:color w:val="auto"/>
        </w:rPr>
        <w:t>. In the event the first milestone is not reached and we can dispose of the respective Parkinson’s product or FDA approval is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respective Parkinson’s product, then, the Genzyme Agreement could potentially have value. At the date of closing, however, we are unable to estimate the likelihood that we will be able to sell or dispose of our rights under the Genzyme Agreement and we are unable to estimate the likelihood of the respective Parkinson’s product receiving FDA approval. Because we cannot determine the probability of selling or disposing of the Parkinson’s product and we are unable to determine the probability that the Parkinson’s product will receive FDA approval, we have not ascribed any value to this contingent asset at the acquisition date as its fair value cannot be reasonably estimated.</w:t>
      </w:r>
    </w:p>
    <w:p>
      <w:pPr>
        <w:spacing w:after="0" w:line="13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The authoritative guidance for business combinations requires that contingent consideration be recognized at acquisition-date fair value as part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consideration transferred. As such, as stated above, we included in the purchase price the fair value of the aggregate Merger consideration, which included both the Convertible Notes associated with the First and Second Payment Considerations, the cash paid by us and the beneficial conversion feature on the Convertible Notes. The goodwill is primarily a direct result of the fair value of the beneficial conversion feature of the Convertible Notes. We were willing to set the conversion price of the Convertible Notes issued and to be issued at $6.80 per share, which at acquisition-date was less than our closing stock price, as we viewed the Merger as a financing opportunity given the cash balance held by Avigen prior to the Merger. We also believe that the cost for a development stage company to raise $30 million in today’s economic environment exceeds the goodwill recorded on our books. Through December 31, 2010, we have raised approximately $1.8 million as a result of conversions into shares of our common stock.</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tested goodwill for impairment at December 31, 2010, utilizing a market based approach in which our total market capitalization was significantly higher than the corresponding value of net assets, including goodwill; thus, noting no impairment. We also tested IPR&amp;D for impairment at December 31, 2010, utilizing a cost approach in which the total cost to recreate the technology’s preclinical and clinical data package was significantly higher than our IPR&amp;D carrying value; thus, noting no impairment.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accompanying consolidated statement of operations for the year ended December 31, 2009, includes the operations of Avigen from the date of acquisition. Assuming the acquisition of Avigen had occurred January 1, 2009 and 2008, the pro forma unaudited condensed results of operations would have been as follows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Year Ending December 31,</w:t>
            </w:r>
          </w:p>
        </w:tc>
      </w:tr>
      <w:tr>
        <w:trPr>
          <w:trHeight w:val="211"/>
        </w:trPr>
        <w:tc>
          <w:tcPr>
            <w:tcW w:w="8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(31,917)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(50,191)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(29,978)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(47,024)</w:t>
            </w:r>
          </w:p>
        </w:tc>
      </w:t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(1.82)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r>
    </w:tbl>
    <w:p>
      <w:pPr>
        <w:spacing w:after="0" w:line="13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above proforma unaudited results of operations do not include proforma adjustments relating to costs of integration or post-integration cost reductions that may be incurred or realized by us in excess of actual amounts incurred or realized through December 31, 2009.</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December 31, 2009 acquisition related balances with their respective balances at December 31,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Value of Notes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Converted and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Fractional Share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Carrying</w:t>
            </w:r>
          </w:p>
        </w:tc>
        <w:tc>
          <w:tcPr>
            <w:tcW w:w="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Payout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Expense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Value at</w:t>
            </w:r>
          </w:p>
        </w:tc>
        <w:tc>
          <w:tcPr>
            <w:tcW w:w="60" w:type="dxa"/>
            <w:vAlign w:val="bottom"/>
          </w:tcPr>
          <w:p>
            <w:pPr>
              <w:spacing w:after="0"/>
              <w:rPr>
                <w:sz w:val="12"/>
                <w:szCs w:val="12"/>
                <w:color w:val="auto"/>
              </w:rPr>
            </w:pPr>
          </w:p>
        </w:tc>
        <w:tc>
          <w:tcPr>
            <w:tcW w:w="9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1/1/10-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Earned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(Accretion)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Activity</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Value at</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12/31/09</w:t>
            </w: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12/31/10(9)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1/1/10-12/31/10(10)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1/1/10-12/31/10(11)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1/1/10-12/31/10</w:t>
            </w: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12/31/10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Restricted cash(1)</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220"/>
              <w:spacing w:after="0" w:line="131"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00"/>
              <w:spacing w:after="0" w:line="131" w:lineRule="exact"/>
              <w:rPr>
                <w:sz w:val="20"/>
                <w:szCs w:val="20"/>
                <w:color w:val="auto"/>
              </w:rPr>
            </w:pPr>
            <w:r>
              <w:rPr>
                <w:rFonts w:ascii="Arial" w:cs="Arial" w:eastAsia="Arial" w:hAnsi="Arial"/>
                <w:sz w:val="14"/>
                <w:szCs w:val="14"/>
                <w:color w:val="auto"/>
              </w:rPr>
              <w:t>433,000(15);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(73,449)(15)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226,000(6)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30,045,965</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(1,805,487)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2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(140,119)(13)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28,688,892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Restricted investment(2)</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676,499</w:t>
            </w:r>
          </w:p>
        </w:tc>
        <w:tc>
          <w:tcPr>
            <w:tcW w:w="5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ind w:left="7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51</w:t>
            </w:r>
          </w:p>
        </w:tc>
        <w:tc>
          <w:tcPr>
            <w:tcW w:w="280" w:type="dxa"/>
            <w:vAlign w:val="bottom"/>
          </w:tcPr>
          <w:p>
            <w:pPr>
              <w:spacing w:after="0"/>
              <w:rPr>
                <w:sz w:val="12"/>
                <w:szCs w:val="12"/>
                <w:color w:val="auto"/>
              </w:rPr>
            </w:pPr>
          </w:p>
        </w:tc>
        <w:tc>
          <w:tcPr>
            <w:tcW w:w="3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240" w:type="dxa"/>
            <w:vAlign w:val="bottom"/>
            <w:gridSpan w:val="2"/>
          </w:tcPr>
          <w:p>
            <w:pPr>
              <w:ind w:left="76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(52,799)(12)</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623,751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60"/>
              <w:spacing w:after="0" w:line="143" w:lineRule="exact"/>
              <w:rPr>
                <w:sz w:val="20"/>
                <w:szCs w:val="20"/>
                <w:color w:val="auto"/>
              </w:rPr>
            </w:pPr>
            <w:r>
              <w:rPr>
                <w:rFonts w:ascii="Arial" w:cs="Arial" w:eastAsia="Arial" w:hAnsi="Arial"/>
                <w:sz w:val="14"/>
                <w:szCs w:val="14"/>
                <w:color w:val="auto"/>
              </w:rPr>
              <w:t>(433,000)(3)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Restricted letter of credit(3)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500,042</w:t>
            </w:r>
          </w:p>
        </w:tc>
        <w:tc>
          <w:tcPr>
            <w:tcW w:w="5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700"/>
              <w:spacing w:after="0" w:line="149" w:lineRule="exact"/>
              <w:rPr>
                <w:sz w:val="20"/>
                <w:szCs w:val="20"/>
                <w:color w:val="auto"/>
              </w:rPr>
            </w:pPr>
            <w:r>
              <w:rPr>
                <w:rFonts w:ascii="Arial" w:cs="Arial" w:eastAsia="Arial" w:hAnsi="Arial"/>
                <w:sz w:val="14"/>
                <w:szCs w:val="14"/>
                <w:color w:val="auto"/>
                <w:w w:val="76"/>
              </w:rPr>
              <w:t>495</w:t>
            </w:r>
          </w:p>
        </w:tc>
        <w:tc>
          <w:tcPr>
            <w:tcW w:w="280" w:type="dxa"/>
            <w:vAlign w:val="bottom"/>
          </w:tcPr>
          <w:p>
            <w:pPr>
              <w:spacing w:after="0"/>
              <w:rPr>
                <w:sz w:val="12"/>
                <w:szCs w:val="12"/>
                <w:color w:val="auto"/>
              </w:rPr>
            </w:pP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(67,490)(3)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IPR&amp;D(4)</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4,800,000</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ind w:left="74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ind w:left="70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ind w:left="76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Goodwill(5)</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232,036(15)</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9,142,205</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226,000 (6)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200,964(15)</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67,490(3)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Escrow holdback(6)</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140,119(13)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4"/>
              </w:rPr>
              <w:t>(1,094,045)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(488)</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685,913(14)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Management transition plan liability(2)</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(676,499)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ind w:left="7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(51)</w:t>
            </w:r>
          </w:p>
        </w:tc>
        <w:tc>
          <w:tcPr>
            <w:tcW w:w="3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240" w:type="dxa"/>
            <w:vAlign w:val="bottom"/>
            <w:gridSpan w:val="2"/>
          </w:tcPr>
          <w:p>
            <w:pPr>
              <w:ind w:left="76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52,799(12)</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(623,751)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tax liability(7)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80"/>
              <w:spacing w:after="0" w:line="143" w:lineRule="exact"/>
              <w:rPr>
                <w:sz w:val="20"/>
                <w:szCs w:val="20"/>
                <w:color w:val="auto"/>
              </w:rPr>
            </w:pPr>
            <w:r>
              <w:rPr>
                <w:rFonts w:ascii="Arial" w:cs="Arial" w:eastAsia="Arial" w:hAnsi="Arial"/>
                <w:sz w:val="14"/>
                <w:szCs w:val="14"/>
                <w:color w:val="auto"/>
                <w:w w:val="94"/>
              </w:rPr>
              <w:t>(1,956,000)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ind w:left="7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line="143"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76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8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94"/>
              </w:rPr>
              <w:t>(1,956,000)</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Convertible notes(8)</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gridSpan w:val="2"/>
          </w:tcPr>
          <w:p>
            <w:pPr>
              <w:ind w:left="220"/>
              <w:spacing w:after="0" w:line="132"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20"/>
              <w:spacing w:after="0" w:line="132" w:lineRule="exact"/>
              <w:rPr>
                <w:sz w:val="20"/>
                <w:szCs w:val="20"/>
                <w:color w:val="auto"/>
              </w:rPr>
            </w:pPr>
            <w:r>
              <w:rPr>
                <w:rFonts w:ascii="Arial" w:cs="Arial" w:eastAsia="Arial" w:hAnsi="Arial"/>
                <w:sz w:val="14"/>
                <w:szCs w:val="14"/>
                <w:color w:val="auto"/>
              </w:rPr>
              <w:t>(359,551)(15)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w w:val="85"/>
              </w:rPr>
              <w:t>(29,258,137)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tcPr>
          <w:p>
            <w:pPr>
              <w:ind w:left="400"/>
              <w:spacing w:after="0"/>
              <w:rPr>
                <w:sz w:val="20"/>
                <w:szCs w:val="20"/>
                <w:color w:val="auto"/>
              </w:rPr>
            </w:pPr>
            <w:r>
              <w:rPr>
                <w:rFonts w:ascii="Arial" w:cs="Arial" w:eastAsia="Arial" w:hAnsi="Arial"/>
                <w:sz w:val="14"/>
                <w:szCs w:val="14"/>
                <w:color w:val="auto"/>
                <w:w w:val="83"/>
              </w:rPr>
              <w:t>1,805,342</w:t>
            </w:r>
          </w:p>
        </w:tc>
        <w:tc>
          <w:tcPr>
            <w:tcW w:w="280" w:type="dxa"/>
            <w:vAlign w:val="bottom"/>
          </w:tcPr>
          <w:p>
            <w:pPr>
              <w:spacing w:after="0"/>
              <w:rPr>
                <w:sz w:val="15"/>
                <w:szCs w:val="15"/>
                <w:color w:val="auto"/>
              </w:rPr>
            </w:pPr>
          </w:p>
        </w:tc>
        <w:tc>
          <w:tcPr>
            <w:tcW w:w="4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(2,804)</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480"/>
              <w:spacing w:after="0"/>
              <w:rPr>
                <w:sz w:val="20"/>
                <w:szCs w:val="20"/>
                <w:color w:val="auto"/>
              </w:rPr>
            </w:pPr>
            <w:r>
              <w:rPr>
                <w:rFonts w:ascii="Arial" w:cs="Arial" w:eastAsia="Arial" w:hAnsi="Arial"/>
                <w:sz w:val="14"/>
                <w:szCs w:val="14"/>
                <w:color w:val="auto"/>
              </w:rPr>
              <w:t>(125,229)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color w:val="auto"/>
              </w:rPr>
              <w:t>(685,917)(14)</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(28,626,296)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53"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Restricted cash consists of cash held in a separate trust account, managed by a third-party, in connection with the $32.4 million of cash funded by Avigen and the $3.0 million of cash paid by us, or the First Payment Consideration, less the $6.0 million paid out to Avigen shareholders who elected a cash payout at the merger closing date and the Second Payment Consideration described in (6) below.</w:t>
      </w:r>
    </w:p>
    <w:p>
      <w:pPr>
        <w:ind w:left="460" w:right="18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Restricted investment consists of cash held in an irrevocable grantor trust, or rabbi trust, which is intended to fund benefit obligations under the Avigen MTP. These funds represent reserves for benefits eligible to terminated employees as defined by the Avigen MTP. Accordingly, we booked the associated Avigen MTP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liability. Upon termination of the trust, these funds are to be paid to the former Avigen stockholders on a pro rata basis.</w:t>
      </w:r>
    </w:p>
    <w:p>
      <w:pPr>
        <w:spacing w:after="0" w:line="15" w:lineRule="exact"/>
        <w:rPr>
          <w:sz w:val="20"/>
          <w:szCs w:val="20"/>
          <w:color w:val="auto"/>
        </w:rPr>
      </w:pPr>
    </w:p>
    <w:p>
      <w:pPr>
        <w:ind w:left="460" w:right="8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Restricted letter of credit consists of cash provided as a credit guarantee and security for an irrevocable letter of credit related to Avigen’s original lease of office space which expired November 30, 2010. The $67,490 reduction related to the beneficiary’s draw on the letter of credit in satisfaction of certain property damage. The $433,000 reduction relates to the remaining funds reverting to the restricted cash account described in (1) above. The $47 remaining in the account related to December interest which posted after the bulk of the funds were transferred to the escrow holdback account. These funds were transferred to the restricted cash account in January 2011.</w:t>
      </w:r>
    </w:p>
    <w:p>
      <w:pPr>
        <w:spacing w:after="0" w:line="3"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In-process research and development, or IPR&amp;D, represents an estimate of fair value of in-process technology related to Avigen’s AV411 program, which at the merger closing date, had not received FDA approval for any indication. As such, pursuant to ASC 805, amortization of the IPR&amp;D will not occur until it reaches market feasibility. The annual test date for IPR&amp;D impairment is December 31. During year ended December 31, 2010 and through the date of this report, there were no triggering events, market conditions or other factors that would indicate possible or actual impairment of IPR&amp;D.</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included in the purchase price of Avigen the fair value of the aggregate merger consideration, which included both the convertible notes associated with the First Payment Consideration described in (1) above and the Second Payment Consideration described in (6) below, the $3.0 million cash paid by us and the conversion feature on the convertible notes. As such, we originally recorded $9.1 million of goodwill related to the excess purchase price over the assigned values of the net assets acquired. See Second Payment Consideration reconciliation discussion, described in (6) below, for the $226,000 increase in goodwill and see (15) below for the additional $232,036 increase in goodwill. The goodwill was primarily a direct result of the fair value of the conversion feature of the convertible notes. The annual test date for goodwill impairment is December 31. During the year ended December 31, 2010 and through the date of this report, there were no triggering events, market conditions or other factors that would indicate possible or actual impairment of goodwill.</w:t>
      </w:r>
    </w:p>
    <w:p>
      <w:pPr>
        <w:spacing w:after="0" w:line="5"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At the closing of the merger, we and Avigen funded $1,500,000 in a combination of cash and a letter of credit in a separate escrow account, or Second Payment Consideration, pursuant to an escrow agreement. The Second Payment Consideration is considered the “escrow holdback.” We and Avigen identified certain additional liabilities of approximately $400,000 prior to closing of the Merger. As such, in accordance with the procedures set forth in the escrow agreement, $400,000 was released from the escrow account in satisfaction of these additional liabilities. At acquisition date, we recorded the escrow holdback in our consolidated balance sheet at fair value. Upon reconciliation of the escrow holdback in June 2010, we recorded increased goodwill by $226,000. We deemed this amount inconsequential to the overall financial statements and we accounted for this change prospectively. In addition, the $226,000 was deposited into restricted cash.</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deferred tax liability represents the book to tax basis difference related to IPR&amp;D acquired through the acquisition of Avigen.</w:t>
      </w:r>
    </w:p>
    <w:p>
      <w:pPr>
        <w:spacing w:after="0" w:line="9"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At the closing of the merger, we and American Stock Transfer &amp; Trust Company, LLC, as trustee, entered into an indenture governing the terms of the convertible notes. Under the terms of a separate trust agreement, $29.4 million, which represents the initial principal amount of the convertible notes, or 83% of the First Payment Consideration, was deposited with a trust agent for the benefit of the holders and us (the amount of such deposit together with interest accrued and capitalized thereon, the Property). See (11) below which discusses the discount on the convertible notes. At the election of the respective convertible note holders, the convertible notes can be converted into our common stock at the conversion price of $6.80 per share. Upon maturity of the convertible notes on June 18, 2011, the 18-month anniversary of the closing of the merger, we plan to use the Property to pay the principal amount of, and accrued interest on, the remaining convertible notes. For the year ended December 31, 2010, $2,804 was the amount of interest capitalized on the convertible notes.</w:t>
      </w:r>
    </w:p>
    <w:p>
      <w:pPr>
        <w:spacing w:after="0" w:line="5" w:lineRule="exact"/>
        <w:rPr>
          <w:rFonts w:ascii="Arial" w:cs="Arial" w:eastAsia="Arial" w:hAnsi="Arial"/>
          <w:sz w:val="16"/>
          <w:szCs w:val="16"/>
          <w:color w:val="auto"/>
        </w:rPr>
      </w:pPr>
    </w:p>
    <w:p>
      <w:pPr>
        <w:ind w:left="460" w:right="100" w:hanging="452"/>
        <w:spacing w:after="0" w:line="30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the year ended December 31, 2010, 265,409 shares of our common stock were issued in connection with the conversion of convertible notes to our common stock at a conversion price of $6.80, with any fractional shares being paid out of restricted cash. The approximately $1.8 million of proceeds received during the year ended December 31, 2010, as a result of the convertible notes conversions into our common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were deposited into a money market account and recorded as cash and cash equivalents in our consolidated balance sheet at December 31, 2010.</w:t>
      </w:r>
    </w:p>
    <w:p>
      <w:pPr>
        <w:spacing w:after="0" w:line="3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 earned on the restricted cash, investment and letter of credit balances is added to the principal of the respective liability accounts.</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December 31, 2009, the fair value of the convertible notes was less than their face value. As a result, over the term of the convertible notes (18 months) we will accrete the discount on the convertible notes with the offset being charged to other expense.</w:t>
      </w:r>
    </w:p>
    <w:p>
      <w:pPr>
        <w:ind w:left="460" w:right="1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reduction in restricted investments and Avigen MTP liability relate to the payout of eligible benefits to terminated employees and fees associated with managing the trust account.</w:t>
      </w:r>
    </w:p>
    <w:p>
      <w:pPr>
        <w:ind w:left="460" w:right="6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Pursuant to the first payment release out of the escrow holdback account after the reconciliation of expenses in July 2010, we paid $140,119 which represents the cash paid to Avigen shareholders who elected a cash payment.</w:t>
      </w:r>
    </w:p>
    <w:p>
      <w:pPr>
        <w:ind w:left="460" w:right="1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Pursuant to the first payment release out of the escrow holdback account after the reconciliation of expenses in July 2010, we issued $685,913 in principal of additional convertible notes to Avigen shareholders who elected for convertible notes in lieu of a cash payment.</w:t>
      </w:r>
    </w:p>
    <w:p>
      <w:pPr>
        <w:ind w:left="460" w:right="120" w:hanging="452"/>
        <w:spacing w:after="0" w:line="290"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Pursuant to release of $433,000 in December 2010, upon expiry of the restricted letter of credit (as discussed in (3) above), we paid $73,449 which represents the cash paid to Avigen shareholders who elected a cash payment and we issued $359,551 in principal of additional convertible notes to Avigen shareholders who elected for convertible notes in lieu of a cash payment. In addition, upon release of the funds, the remaining liability in the escrow holdback of $200,964 was debited to clear the escrow holdback liability account to the remaining $47, and the offset was an increase in goodwill of $232,036 due to a shortfall in the escrow holdback liability. We also deemed this change in goodwill amount inconsequential to the overall financial statements and we accounted for this change prospectively.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Measurements—Other Than Intangibles and Goodwill</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30"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720" w:right="840" w:hanging="1133"/>
        <w:spacing w:after="0" w:line="268"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720" w:right="700" w:hanging="1133"/>
        <w:spacing w:after="0" w:line="259" w:lineRule="auto"/>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127" w:lineRule="exact"/>
        <w:rPr>
          <w:sz w:val="20"/>
          <w:szCs w:val="20"/>
          <w:color w:val="auto"/>
        </w:rPr>
      </w:pPr>
    </w:p>
    <w:p>
      <w:pPr>
        <w:jc w:val="both"/>
        <w:ind w:right="360" w:firstLine="456"/>
        <w:spacing w:after="0" w:line="255" w:lineRule="auto"/>
        <w:rPr>
          <w:sz w:val="20"/>
          <w:szCs w:val="20"/>
          <w:color w:val="auto"/>
        </w:rPr>
      </w:pPr>
      <w:r>
        <w:rPr>
          <w:rFonts w:ascii="Arial" w:cs="Arial" w:eastAsia="Arial" w:hAnsi="Arial"/>
          <w:sz w:val="18"/>
          <w:szCs w:val="18"/>
          <w:color w:val="auto"/>
        </w:rPr>
        <w:t>At December 31, 2010, cash and cash equivalents (instruments with maturities of three months or less at the date of purchase) were $28.3 million and primarily invested in money market accounts. At December 31, 2010, restricted cash and restricted investments were $29.3 million and primarily invested in money market funds. We measure our cash equivalents, restricted cash and restricted investments on a recurring basis. The fair value of our cash equivalents, which are current assets, is based on Level 1 criteria in which their carrying amount is a reasonable estimate of their fair value based on daily quoted market prices.</w:t>
      </w:r>
    </w:p>
    <w:p>
      <w:pPr>
        <w:spacing w:after="0" w:line="12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investment securities had consisted of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insurance notes and portfolios of securities (primarily commercial paper).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August 2008, UBS, the brokerage firm through which we had purchased the majority of our investment securities, all of which were auction rate securities, or ARS, entered into a settlement with the SEC, the New York Attorney General and other state agencies. Under the settlement, we had received the right to sell to UBS the ARS held in accounts with UBS at par value at any time during the period beginning June 30, 2010 and ending July 2, 2012. The right to sell the ARS back to UBS was considered an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We had measured the UBS ARS on a Level 3 basis, as defined by ASC 820, using a discounted cash flow valuation model, employing liquidity discounts and assumptions made regarding interest rate and maturity.</w:t>
      </w:r>
    </w:p>
    <w:p>
      <w:pPr>
        <w:spacing w:after="0" w:line="10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had elected to measure the ARS Put under the fair value option of ASC 825, authoritative guidance on financial instruments (formerly SFAS No. 159), to mitigate the volatility in reported earnings due to the linkage of certain of our ARS and the ARS Put. Under ASC 825, any subsequent increase or decrease in the fair value of the ARS Put would be recorded as either a gain or an impairment charge, respectively, in our consolidated statement of operations. The fair value of the ARS Put was also determined by a discounted cash flow valuation model with assumptions being made related to interest rate, maturity and liquidity.</w:t>
      </w:r>
    </w:p>
    <w:p>
      <w:pPr>
        <w:spacing w:after="0" w:line="84"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At December 31, 2008, we had designated our investment securities portfolio as trading investment securities; therefore, any additional increase or decrease in the fair value of our investment securities is recorded as either a gain or an impairment charge, respectively, in our consolidated statement of operations.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exercised our ARS Put on June 30, 2010. Upon settlement of the ARS Put in July 2010, the UBS ARS were redeemed at par value by UBS and the associated ARS Loan was repaid, which resulted in a net gain of approximately $138,000 being recorded in our consolidated statement of operations related to the redemption of the UBS ARS and ARS Put. Therefore, at December 31, 2010, we no longer held any investment securities originally purchased by UBS and we no longer held the ARS Put.</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third quarter of 2010, we reclassified our long-term investment securities to current investment securities because we no longer had the intent to hold these securities for more than a year. In addition, the fair market value of these investment securities were no longer determined on a Level 3 basis based on a discounted cash flow model employing liquidity discounts, but rather on a Level 2 basis, as defined by ASC 820, based on indicative liquidation quotes in an inactive market. During the twelve months ended December 31, 2010, we recorded impairment charges of $923,000 on these investment securities to write them down to fair market value based on the indicative quotes received from third party brokers. All impairment charges were recorded in our consolidated statement of operations in the current year.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2010, we no longer held any investment securities and the table below summarizes the ARS trading investment securities and the ARS Put activities from December 31, 2009 to December 31, 2010: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Transfers (out)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of Level 3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long-term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asset/in to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Level 2 and</w:t>
            </w: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Redemptions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Impairment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w w:val="89"/>
              </w:rPr>
              <w:t>Fair Value at</w:t>
            </w:r>
          </w:p>
        </w:tc>
        <w:tc>
          <w:tcPr>
            <w:tcW w:w="34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current asset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1/1/10-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Charge</w:t>
            </w:r>
          </w:p>
        </w:tc>
        <w:tc>
          <w:tcPr>
            <w:tcW w:w="22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b w:val="1"/>
                <w:bCs w:val="1"/>
                <w:color w:val="auto"/>
              </w:rPr>
              <w:t>Gain</w:t>
            </w:r>
          </w:p>
        </w:tc>
        <w:tc>
          <w:tcPr>
            <w:tcW w:w="1440" w:type="dxa"/>
            <w:vAlign w:val="bottom"/>
            <w:gridSpan w:val="4"/>
          </w:tcPr>
          <w:p>
            <w:pPr>
              <w:ind w:left="380"/>
              <w:spacing w:after="0"/>
              <w:rPr>
                <w:sz w:val="20"/>
                <w:szCs w:val="20"/>
                <w:color w:val="auto"/>
              </w:rPr>
            </w:pPr>
            <w:r>
              <w:rPr>
                <w:rFonts w:ascii="Arial" w:cs="Arial" w:eastAsia="Arial" w:hAnsi="Arial"/>
                <w:sz w:val="18"/>
                <w:szCs w:val="18"/>
                <w:b w:val="1"/>
                <w:bCs w:val="1"/>
                <w:color w:val="auto"/>
                <w:w w:val="97"/>
              </w:rPr>
              <w:t>Fair Value at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1"/>
              </w:rPr>
              <w:t>12/31/09</w:t>
            </w:r>
          </w:p>
        </w:tc>
        <w:tc>
          <w:tcPr>
            <w:tcW w:w="34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1/1/10-12/31/10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6"/>
              </w:rPr>
              <w:t>12/31/10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1/1/10-12/31/10</w:t>
            </w:r>
          </w:p>
        </w:tc>
        <w:tc>
          <w:tcPr>
            <w:tcW w:w="34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1/1/10-12/31/10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12/31/10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Investment securities-current asset(1)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24,254,987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(27,817,749)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(542,256)</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3,265,018</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w w:val="93"/>
              </w:rPr>
              <w:t>Investment securities-long-term asset(2)</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2"/>
            <w:vMerge w:val="continue"/>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2,085,425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(840,000)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(294,192)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(956,110)</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4,877</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ARS Put-current asset(3)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2,557,007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(2,785,978)</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228,971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02"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Aggregated fair value of the investment securities- current asset was previously determined on a Level 3 basis based on a discounted cash flow model, which employed liquidity discounts and included assumptions regarding future cash flows and the likelihood of the redemption or refinancing of such ARS. At December 31, 2010, we no longer held investment securities- current asset associated with the UBS ARS Rights Offer. We initiated the redemption of these ARS on June 30, 2010, with settlement occurring on July 1, 2010. At September 30, 2010, we reclassified the long-term private placement investment securities to current assets, which these securities were subsequently sold in October 2010. See (2) below for discussion on their fair market valuation.</w:t>
      </w:r>
    </w:p>
    <w:p>
      <w:pPr>
        <w:spacing w:after="0" w:line="1" w:lineRule="exact"/>
        <w:rPr>
          <w:rFonts w:ascii="Arial" w:cs="Arial" w:eastAsia="Arial" w:hAnsi="Arial"/>
          <w:sz w:val="15"/>
          <w:szCs w:val="15"/>
          <w:color w:val="auto"/>
        </w:rPr>
      </w:pPr>
    </w:p>
    <w:p>
      <w:pPr>
        <w:ind w:left="460" w:right="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Aggregated fair value of the long-term private placement investment securities was previously determined on a Level 3 basis based on a discounted cash flow model, which employed liquidity discounts and included assumptions regarding future cash flows and the likelihood of the redemption or refinancing of such ARS. At September 30, 2010, we had determined that we no longer had the intent to hold these investment securities for more than a year. At September 30, 2010, fair value of these securities was determined on a Level 2 basis, based on quotes received from investment brokers assuming liquidation of these assets in a short time frame (within a month). We believed the liquidation value of these investment securities fairly approximated their fair value as we recorded a gain of approximately $28,000 upon sale of these investment securities in October 2010. At December 31, we no longer held any investment securities.</w:t>
      </w:r>
    </w:p>
    <w:p>
      <w:pPr>
        <w:spacing w:after="0" w:line="3"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had elected to measure the ARS Put under the fair value option of ASC 825, authoritative guidance on financial instruments, to mitigate the volatility in reported earnings due to the linkage of our UBS ARS and the ARS Put. Fair value of the ARS Put, was previously determined on a Level 3 basis based on a discounted cash flow model, which employed a liquidity discount taking into consideration UBS’s cost of capital. At December 31, 2010, we no longer held the ARS Put as it was redeemed by UBS on July 1,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10, 2010, we entered the Loan Agreement with Oxford, under which we borrowed $15.0 million.</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obligations under the Loan Agreement are secured by a first priority security interest in substantially all of our assets, other than our intellectual property. We also have agreed not to pledge or otherwise encumber our intellectual property assets. Our obligations under the Loan Agreement are guaranteed on a senior secured basis by Avigen.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158"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Loan Agreement requires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 end-of-Phase II meeting with the FDA and obtained the approval of the board of directors to proceed to Phase III with MN-221. A failure to meet the Loan Agreement requirements by March 31, 2011, would result in an immediate requirement for Loan repayment (as well as an increase in interest rate). As of December 31, 2010, we were in compliance with the Loan Agreement covenants. See Notes to Consolidated Financial Statements—Note 12, Subsequent Events, for further information on the Oxford loan.</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 percent. The effective interest rate on the debt financing is calculated to be 18.14 percent and for the year ended December 31, 2010, we recorded total interest expense on this loan of approximately $1.7 million.</w:t>
      </w:r>
    </w:p>
    <w:p>
      <w:pPr>
        <w:spacing w:after="0" w:line="13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paid the Lender a facility fee of $150,000 and we have paid outside third parties approximately $180,000 in connection with procuring the loan. We will also pay Oxford a deferred interest payment equal to $450,000, payable on September 30, 2011, provided that a pro rata portion of such deferred interest payment shall be paid upon any prepayment of the loan. In addition, if we prepay all or a portion of the loan prior to maturity, we will pay Oxford a prepayment penalty of three percent of the total amount prepaid if the prepayment occurs prior to May 10, 2011, two percent of the total amount prepaid if the prepayment occurs between May 11, 2011 and May 10, 2012 and one percent of the total amount prepaid if the prepayment occurs on or after May 10, 2012.</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Loan Agreement, we issued to Oxford a warrant to purchase up to 198,020 shares of our common stock. This warrant is exercisable, in whole or in part, immediately,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accounted for the interest on the long-term debt using the effective interest method wherein we treated the debt issuance costs paid directly to the lender (financing fees) and the relative fair value of the warrants issued to the lender as a discount on the debt (or a contra liability) and we treated the debt issuance costs paid to third parties (primarily legal fees) as an other asset in our consolidated balance sheet. The amortization of the debt discount is recorded as interest expense and the amortization of the debt issuance costs paid to third parties is recorded as other expense in our consolidated statement of operations. The table below summarizes the long-term debt activity recorded during the year ended December 31, 2010: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2"/>
              </w:rPr>
              <w:t>Amortization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8"/>
              </w:rPr>
              <w:t>Amount</w:t>
            </w: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8"/>
                <w:szCs w:val="18"/>
                <w:b w:val="1"/>
                <w:bCs w:val="1"/>
                <w:color w:val="auto"/>
              </w:rPr>
              <w:t>(Other Expense)</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7"/>
              </w:rPr>
              <w:t>Carrying Value</w:t>
            </w:r>
          </w:p>
        </w:tc>
      </w:tr>
      <w:tr>
        <w:trPr>
          <w:trHeight w:val="229"/>
        </w:trPr>
        <w:tc>
          <w:tcPr>
            <w:tcW w:w="1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5/10/10</w:t>
            </w:r>
          </w:p>
        </w:tc>
        <w:tc>
          <w:tcPr>
            <w:tcW w:w="8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5/10/10-12/31/10</w:t>
            </w:r>
          </w:p>
        </w:tc>
        <w:tc>
          <w:tcPr>
            <w:tcW w:w="440" w:type="dxa"/>
            <w:vAlign w:val="bottom"/>
          </w:tcPr>
          <w:p>
            <w:pPr>
              <w:spacing w:after="0"/>
              <w:rPr>
                <w:sz w:val="19"/>
                <w:szCs w:val="19"/>
                <w:color w:val="auto"/>
              </w:rPr>
            </w:pPr>
          </w:p>
        </w:tc>
        <w:tc>
          <w:tcPr>
            <w:tcW w:w="1620" w:type="dxa"/>
            <w:vAlign w:val="bottom"/>
            <w:gridSpan w:val="3"/>
          </w:tcPr>
          <w:p>
            <w:pPr>
              <w:ind w:left="380"/>
              <w:spacing w:after="0"/>
              <w:rPr>
                <w:sz w:val="20"/>
                <w:szCs w:val="20"/>
                <w:color w:val="auto"/>
              </w:rPr>
            </w:pPr>
            <w:r>
              <w:rPr>
                <w:rFonts w:ascii="Arial" w:cs="Arial" w:eastAsia="Arial" w:hAnsi="Arial"/>
                <w:sz w:val="18"/>
                <w:szCs w:val="18"/>
                <w:b w:val="1"/>
                <w:bCs w:val="1"/>
                <w:color w:val="auto"/>
                <w:w w:val="89"/>
              </w:rPr>
              <w:t>5/10/10-12/31/10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w w:val="90"/>
              </w:rPr>
              <w:t>12/31/2010</w:t>
            </w:r>
          </w:p>
        </w:tc>
        <w:tc>
          <w:tcPr>
            <w:tcW w:w="100" w:type="dxa"/>
            <w:vAlign w:val="bottom"/>
          </w:tcPr>
          <w:p>
            <w:pPr>
              <w:spacing w:after="0"/>
              <w:rPr>
                <w:sz w:val="19"/>
                <w:szCs w:val="19"/>
                <w:color w:val="auto"/>
              </w:rPr>
            </w:pPr>
          </w:p>
        </w:tc>
      </w:tr>
      <w:tr>
        <w:trPr>
          <w:trHeight w:val="211"/>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Debt issuance costs paid to 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180,000</w:t>
            </w:r>
          </w:p>
        </w:tc>
        <w:tc>
          <w:tcPr>
            <w:tcW w:w="8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(55,278)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124,722</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88"/>
              </w:rPr>
              <w:t>(15,000,000)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(15,000,000)</w:t>
            </w: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interest charge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(134,491)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(134,491)</w:t>
            </w: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88"/>
              </w:rPr>
              <w:t>(15,000,000)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(134,491)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(15,134,491)</w:t>
            </w: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Relative fair value of warrants issued to</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lender(1)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859,209</w:t>
            </w:r>
          </w:p>
        </w:tc>
        <w:tc>
          <w:tcPr>
            <w:tcW w:w="8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(263,867)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595,342</w:t>
            </w:r>
          </w:p>
        </w:tc>
        <w:tc>
          <w:tcPr>
            <w:tcW w:w="100" w:type="dxa"/>
            <w:vAlign w:val="bottom"/>
          </w:tcPr>
          <w:p>
            <w:pPr>
              <w:spacing w:after="0"/>
              <w:rPr>
                <w:sz w:val="19"/>
                <w:szCs w:val="19"/>
                <w:color w:val="auto"/>
              </w:rPr>
            </w:pPr>
          </w:p>
        </w:tc>
      </w:tr>
      <w:tr>
        <w:trPr>
          <w:trHeight w:val="217"/>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issuance costs paid to lender</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103,934</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1,009,209</w:t>
            </w:r>
          </w:p>
        </w:tc>
        <w:tc>
          <w:tcPr>
            <w:tcW w:w="8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(309,933)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699,276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9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relative fair value of the warrants issued to the lender was calculated using a Black-Scholes valuation model. The risk-free interest rate assumption used is 2.86 percent and is based upon observed risk-free interest rates appropriate for the expected term of the warrants. The expected volatility assumption used is 76 percent and is consistent with the volatility of our common stock based on the historical volatility of our stock since listing on the Nasdaq Global Market in December 2006. We have not paid any dividends on our common stock since our inception, and we do not anticipate paying any dividends on our common stock in the foreseeable future. Therefore, the dividend yield assumption used is zero. The expected term assumption used is seven years, which is the contractual life of the warrants. The fair value of the warrants using Black-Scholes is calculated to be $4.34 per share.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5. Balance Sheet Details</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794,498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1,512,731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1,732,810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(1,447,522)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(1,579,263)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65,209</w:t>
            </w:r>
          </w:p>
        </w:tc>
        <w:tc>
          <w:tcPr>
            <w:tcW w:w="4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108,257</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20" w:type="dxa"/>
            <w:vAlign w:val="bottom"/>
            <w:vMerge w:val="restart"/>
          </w:tcPr>
          <w:p>
            <w:pPr>
              <w:jc w:val="right"/>
              <w:ind w:right="1752"/>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5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substantial portion of our ongoing research and development activities are performed under agreements we enter into with external service providers, including clinical research organizations, which conduct many of our research and development activities. A portion of our ongoing general and administrative activities relate to legal, accounting and consulting services. We accrue for costs incurred as the services are being provided by monitoring the status of clinical trials or specific projects or services provided, contractual factors such as milestones or retainer fees and the invoices received from our external service providers. Accrued expenses consist of the following:</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766,886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226,362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187,367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224,198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1,133,273</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1,276,036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and Danerius, LLC, or Danerius, an affiliate of Alan W. Dunton, M.D., one of our directors, entered into a consulting agreement dated June 12, 2009 under which Danerius, will provide consulting services to us related to our product development programs at a rate of $27,500 per month. For the years ended December 31, 2010 and 2009, we paid Danerius approximately $302,000 and $193,000, respectively. We terminated the contract with Danerius in November 2010 and Dr. Dunton resigned as a director in January 2011.</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related party transactions for the year ended December 31, 2008.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5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January 2004, we leased 16,609 square feet of space for our corporate headquarters under a non-cancelable operating lease that was set to expire in February 2008. In January 2008, we entered into a fourth amendment to lease for our corporate headquarters at the same location in which we reduced the amount of space under lease to 12,699 square feet of office space through August 2011. In June 2005, we leased 1,726 square feet of office space in Tokyo, Japan under a non-cancelable operating lease that expires in May 2011. Furthermore, pursuant to our acquisition of Avigen we acquired a month-to-month lease for 4,000 square feet of office space in Alameda, California. We vacated the Alameda premises on March 8, 2010 and, accordingly, we were released from our month-to-month lease by the landlord. We currently do not intend to renew our corporate headquarters facility lease. We are considering month-to-month options, reducing our office space requirements and/or utilizing “virtual” offices. Rent expense for the years ended December 31, 2010 and 2009 was $612,291 and $578,493, respectively, and rent expense, net of sub-lease income for the period from September 26, 2000 (inception) to December 31, 2010 was $4,208,733.</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Future minimum payments are as follows:</w:t>
            </w:r>
          </w:p>
        </w:tc>
        <w:tc>
          <w:tcPr>
            <w:tcW w:w="5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40" w:type="dxa"/>
            <w:vAlign w:val="bottom"/>
            <w:gridSpan w:val="2"/>
          </w:tcPr>
          <w:p>
            <w:pPr>
              <w:ind w:left="680"/>
              <w:spacing w:after="0"/>
              <w:rPr>
                <w:sz w:val="20"/>
                <w:szCs w:val="20"/>
                <w:color w:val="auto"/>
              </w:rPr>
            </w:pPr>
            <w:r>
              <w:rPr>
                <w:rFonts w:ascii="Arial" w:cs="Arial" w:eastAsia="Arial" w:hAnsi="Arial"/>
                <w:sz w:val="18"/>
                <w:szCs w:val="18"/>
                <w:b w:val="1"/>
                <w:bCs w:val="1"/>
                <w:color w:val="auto"/>
              </w:rPr>
              <w:t>Years ending December 31:</w:t>
            </w: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Thereafter</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20" w:type="dxa"/>
            <w:vAlign w:val="bottom"/>
            <w:vMerge w:val="restart"/>
          </w:tcPr>
          <w:p>
            <w:pPr>
              <w:jc w:val="right"/>
              <w:ind w:right="3592"/>
              <w:spacing w:after="0"/>
              <w:rPr>
                <w:sz w:val="20"/>
                <w:szCs w:val="20"/>
                <w:color w:val="auto"/>
              </w:rPr>
            </w:pPr>
            <w:r>
              <w:rPr>
                <w:rFonts w:ascii="Arial" w:cs="Arial" w:eastAsia="Arial" w:hAnsi="Arial"/>
                <w:sz w:val="18"/>
                <w:szCs w:val="18"/>
                <w:color w:val="auto"/>
              </w:rPr>
              <w:t>112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entered into numerous license agreements to acquire the rights to develop and commercialize a variety of product candidates. Pursuant to these agreements, we have obtained exclusive licenses to the patent rights and know-how for all indications under the agreements within our licensed territories. We generally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amounts expended under these agreements and charged to research and development expense during the years ended December 31, 2010, 2009, 2008, and the period from September 26, 2000 (inception) to December 31, 2010 were $0, $0, $100,000 and $9,850,000, respectively. As of December 31, 2010, future potential milestone payments totaled approximately $94.1 million, and there are no minimum royalties required under any of the license agreements. We are unable at this time to estimate with certainty the timing on when these milestone payments will occur as these payments are dependent upon the progress of our product development programs. From June 19, 2002 (the date of our first license agreement) through December 31, 2010, we have entered into nine license agreements with Japanese and British pharmaceutical companies and a non-profit research institute.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 breached their fiduciary duties in connection with the proposed transaction with us. On October 15, 2009, The Pennsylvania Avenue Funds filed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amended complaint adding us as a defendant. In the amended complaint, The Pennsylvania Avenue funds alleged, among other things, that we aided and abetted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alleged breach of fiduciary duties by the Avigen directors. Avigen and The Pennsylvania Avenue Funds have signed a stipulation of settlement agreement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moved the court for preliminary approval. The Court heard oral arguments on the Motion for Preliminary Approval of Settlement and held a case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on March 8, 2010, during which it raised a few issues regarding the settlement provisions. On April 6, 2010, the Superior Court for the State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for the County of Alameda approved the preliminary settlement and set a final settlement hearing for June 24, 2010. Under the terms of the Stipulation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Settlement, Avigen agreed not to oppose a fee motion by counsel to The Pennsylvania Avenue Funds for fees and expenses in the amount not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$140,000 and a petition by The Pennsylvania Avenue Funds for an incentive award of up to $2,500. On June 24, 2010, the final order and judgment approving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 settlement of $140,000 for fees and expenses was received. The petition for the $2,500 incentive award was denied. Avigen’s insurance carrier paid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$140,000 balance due to The Pennsylvania Avenue Funds on July 2, 2010.</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 2011, we received a legal letter from a former employee who had been terminated in January 2011 pursuant to our planned reduction-in-force to save costs. The legal letter did not assert a claim outright; however, there were allegations made in the legal letter that could threaten litigation against us. We have engaged legal counsel in connection with the possibility of a lawsuit given this legal letter and the fact that this former employee’s separation agreement has expired. No accrual has been made for this threatened lawsuit in our financial statement as of December 31, 2010. In the event of a lawsuit, we intend to defend ourselves.</w:t>
      </w:r>
    </w:p>
    <w:p>
      <w:pPr>
        <w:spacing w:after="0" w:line="12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currently not a party to any legal proceedings.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720"/>
        <w:spacing w:after="0" w:line="426" w:lineRule="auto"/>
        <w:rPr>
          <w:sz w:val="20"/>
          <w:szCs w:val="20"/>
          <w:color w:val="auto"/>
        </w:rPr>
      </w:pPr>
      <w:r>
        <w:rPr>
          <w:rFonts w:ascii="Arial" w:cs="Arial" w:eastAsia="Arial" w:hAnsi="Arial"/>
          <w:sz w:val="18"/>
          <w:szCs w:val="18"/>
          <w:b w:val="1"/>
          <w:bCs w:val="1"/>
          <w:color w:val="auto"/>
        </w:rPr>
        <w:t xml:space="preserve">8. Redeemable Convertible Preferred Stock, Convertible Notes and Stockholders’ Equity </w:t>
      </w:r>
      <w:r>
        <w:rPr>
          <w:rFonts w:ascii="Arial" w:cs="Arial" w:eastAsia="Arial" w:hAnsi="Arial"/>
          <w:sz w:val="18"/>
          <w:szCs w:val="18"/>
          <w:b w:val="1"/>
          <w:bCs w:val="1"/>
          <w:i w:val="1"/>
          <w:iCs w:val="1"/>
          <w:color w:val="auto"/>
        </w:rPr>
        <w:t>Initial Public Offering in Japan</w:t>
      </w:r>
    </w:p>
    <w:p>
      <w:pPr>
        <w:ind w:firstLine="456"/>
        <w:spacing w:after="0" w:line="294" w:lineRule="auto"/>
        <w:rPr>
          <w:sz w:val="20"/>
          <w:szCs w:val="20"/>
          <w:color w:val="auto"/>
        </w:rPr>
      </w:pPr>
      <w:r>
        <w:rPr>
          <w:rFonts w:ascii="Arial" w:cs="Arial" w:eastAsia="Arial" w:hAnsi="Arial"/>
          <w:sz w:val="16"/>
          <w:szCs w:val="16"/>
          <w:color w:val="auto"/>
        </w:rPr>
        <w:t>On February 4, 2005, we completed an IPO of 3,000,000 shares of common stock in Japan and received aggregate proceeds of $104,486,895, net of underwriting discounts and commissions and offering expenses. In addition, on March 8, 2005, we closed the sale of an additional 157,300 shares of our common stock pursuant to the partial exercise by our underwriters of an over-allotment option which resulted in aggregate proceeds to us of $5,557,773, net of underwriting discounts and commissions. In connection with our IPO, redeemable convertible and convertible preferred stock outstanding as of February 4, 2005 was automatically converted into 6,678,285 shares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in the United States</w:t>
      </w:r>
    </w:p>
    <w:p>
      <w:pPr>
        <w:spacing w:after="0" w:line="15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February 1, 2007, we completed a public offering of 1,000,000 shares of common stock in the United States at a purchase price of $12.00 per share and received aggregate net proceeds of approximately $10,639,600 million, net of underwriting discounts and commissions and offering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58"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On September 2, 2004, we sold 27,667,856 shares of Series C redeemable convertible preferred stock at a purchase price of $1.62 per share for total net proceeds of $43,404,320, net of issuance costs. The Series C preferred stock was sold at a price per share below our IPO price. Accordingly, pursuant to the authoritative guidance for debt under ASC 470, we recorded a deemed dividend on the Series C preferred stock of $31,264,677, which is equal to the number of shares of Series C preferred stock 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May 2010, we issued to Oxford a warrant to purchase up to 198,020 shares of our common stock. This warrant is exercisable, in whole or in part, immediately,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 options to our employees, directors and consultants under the 2004 Plan, the successor to the 2000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General Stock Incentive Plan</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2000, we adopted the 2000 Plan under which incentive stock options could be granted to our employees and nonstatutory stock options and other stock-based awards could be granted to employees, directors and consultants. Stock options have been granted with an exercise price of $10.00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3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At December 31, 2010, stock options to purchase a total of 28,500 shares of common stock were outstanding under the 2000 Plan at a weighted average exercise price of $10.00 per share. No additional stock options have been or will be issued under the 2000 Plan subsequent to our IPO. However, stock options previously granted under the 2000 Plan will remain outstanding until the earlier of expiration or exercise.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our IPO, we adopted the 2004 Plan, which serves as the successor program to the 2000 Plan. The 2004 Plan became effective upon the completion of our IPO in February 2005 and was amended and restated in February 2007.</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2004 Plan is administered by the compensation committee of our board of directors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and consultants.</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number of shares reserved for issuance under the 2004 Plan will be increased on the first day of each of our fiscal years from 2006 through 2014, with the first such increase occurring on January 1, 2006, by the lesser of: (i) 100,000 shares; (ii) 3% of our outstanding common stock on the last day of the immediately preceding fiscal year; or (iii) the number of shares determined by our board of directors. In addition, in February 2007 and June 2008, the total number of shares available for grant under the 2004 Plan was increased by 300,000 and 1,000,000, respectively.</w:t>
      </w:r>
    </w:p>
    <w:p>
      <w:pPr>
        <w:spacing w:after="0" w:line="9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Options granted to optionees other than non-employee directors will generally vest monthly over a four-year period, beginning on the vesting commencement date.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Fully vested automatic grants of nonstatutory stock options will be made to non-employee directors in an initial amount of 1,000 shares upon first becoming a member of our board of directors. Immediately after each of our regularly scheduled annual meetings of stockholders, each non-employee director will be automatically granted a nonstatutory option to purchase 1,000 shares of our common stock, at 100% of the fair market value at the time of grant, provided that the director has served on our board for at least six months. Each annual option will be fully vested and exercisable on the date which is six months after the date of grant.</w:t>
      </w:r>
    </w:p>
    <w:p>
      <w:pPr>
        <w:spacing w:after="0" w:line="12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2004 Plan terminates ten years after its initial adoption by the board of directors, unless terminated earlier by the board of directors. The board of directors may amend or terminate the plan at any time, subject to stockholder approval where required by applicable law.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stock option activity and related information as of December 31, 2010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Number of</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6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w w:val="86"/>
              </w:rPr>
              <w:t>Option Shares</w:t>
            </w:r>
          </w:p>
        </w:tc>
        <w:tc>
          <w:tcPr>
            <w:tcW w:w="1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36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2,055,576</w:t>
            </w:r>
          </w:p>
        </w:tc>
        <w:tc>
          <w:tcPr>
            <w:tcW w:w="1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525,000</w:t>
            </w:r>
          </w:p>
        </w:tc>
        <w:tc>
          <w:tcPr>
            <w:tcW w:w="1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9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(44,948)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3680" w:type="dxa"/>
            <w:vAlign w:val="bottom"/>
          </w:tcPr>
          <w:p>
            <w:pPr>
              <w:spacing w:after="0"/>
              <w:rPr>
                <w:sz w:val="19"/>
                <w:szCs w:val="19"/>
                <w:color w:val="auto"/>
              </w:rPr>
            </w:pPr>
          </w:p>
        </w:tc>
        <w:tc>
          <w:tcPr>
            <w:tcW w:w="2260" w:type="dxa"/>
            <w:vAlign w:val="bottom"/>
            <w:gridSpan w:val="2"/>
          </w:tcPr>
          <w:p>
            <w:pPr>
              <w:jc w:val="right"/>
              <w:ind w:right="1120"/>
              <w:spacing w:after="0"/>
              <w:rPr>
                <w:sz w:val="20"/>
                <w:szCs w:val="20"/>
                <w:color w:val="auto"/>
              </w:rPr>
            </w:pPr>
            <w:r>
              <w:rPr>
                <w:rFonts w:ascii="Arial" w:cs="Arial" w:eastAsia="Arial" w:hAnsi="Arial"/>
                <w:sz w:val="18"/>
                <w:szCs w:val="18"/>
                <w:color w:val="auto"/>
              </w:rPr>
              <w:t>(254,697)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368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2,280,931</w:t>
            </w:r>
          </w:p>
        </w:tc>
        <w:tc>
          <w:tcPr>
            <w:tcW w:w="1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2010</w:t>
            </w:r>
          </w:p>
        </w:tc>
        <w:tc>
          <w:tcPr>
            <w:tcW w:w="3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gridSpan w:val="2"/>
            <w:vMerge w:val="continue"/>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1,638,782</w:t>
            </w:r>
          </w:p>
        </w:tc>
        <w:tc>
          <w:tcPr>
            <w:tcW w:w="1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80" w:type="dxa"/>
            <w:vAlign w:val="bottom"/>
            <w:vMerge w:val="restart"/>
          </w:tcPr>
          <w:p>
            <w:pPr>
              <w:jc w:val="right"/>
              <w:ind w:right="1772"/>
              <w:spacing w:after="0"/>
              <w:rPr>
                <w:sz w:val="20"/>
                <w:szCs w:val="20"/>
                <w:color w:val="auto"/>
              </w:rPr>
            </w:pPr>
            <w:r>
              <w:rPr>
                <w:rFonts w:ascii="Arial" w:cs="Arial" w:eastAsia="Arial" w:hAnsi="Arial"/>
                <w:sz w:val="18"/>
                <w:szCs w:val="18"/>
                <w:color w:val="auto"/>
              </w:rPr>
              <w:t>115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weighted average contractual life of options outstanding at December 31, 2010 was 6.9 years and the weighted average contractual life of exercisable options at December 31, 2010 was 6.2 years. The intrinsic value of stock options exercised, outstanding and exercisable during the year ended December 31, 2010 was $65,000, $0.7 million and $0.4 million, respectively, based on the Nasdaq Global Market on such date.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920" w:type="dxa"/>
            <w:vAlign w:val="bottom"/>
            <w:gridSpan w:val="2"/>
          </w:tcPr>
          <w:p>
            <w:pPr>
              <w:ind w:left="460"/>
              <w:spacing w:after="0"/>
              <w:rPr>
                <w:sz w:val="20"/>
                <w:szCs w:val="20"/>
                <w:color w:val="auto"/>
              </w:rPr>
            </w:pPr>
            <w:r>
              <w:rPr>
                <w:rFonts w:ascii="Arial" w:cs="Arial" w:eastAsia="Arial" w:hAnsi="Arial"/>
                <w:sz w:val="18"/>
                <w:szCs w:val="18"/>
                <w:color w:val="auto"/>
              </w:rPr>
              <w:t>The following table summarizes common stock reserved for future issuance at December 31, 2010: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80" w:type="dxa"/>
            <w:vAlign w:val="bottom"/>
            <w:vMerge w:val="restart"/>
          </w:tcPr>
          <w:p>
            <w:pPr>
              <w:spacing w:after="0"/>
              <w:rPr>
                <w:sz w:val="13"/>
                <w:szCs w:val="13"/>
                <w:color w:val="auto"/>
              </w:rPr>
            </w:pPr>
          </w:p>
        </w:tc>
        <w:tc>
          <w:tcPr>
            <w:tcW w:w="9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under the employee stock purchase program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Common stock reserved for issuance upon conversion of convertible notes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4,209,749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reserved for issuance upon exercise of warrant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Common stock options outstanding (under the 2000 Plan and 2004 Plan)</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2,280,931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authorized for future grant (under the 2004 Plan)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1,798,638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8,746,465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closing of the Merger, we and American Stock Transfer &amp; Trust Company, LLC, as trustee, entered into the indenture. Under the terms of a separate trust agreement (the “Trust Agreement”), $29.4 million, which represents the initial principal amount of the Convertible Notes, was deposited with a trust agent for the benefit of the holders and us (the amount of such deposit together with interest accrued and capitalized thereon, the “Property”). Provided no event of default has occurred and is continuing, we are able to direct the investment and reinvestment of the Property in certain approved investment options, including certain money market funds. At the maturity of the Convertible Notes on June 18, 2011, the 18-month anniversary of the closing of the Merger, we plan to use the Property to pay the principal amount of, and accrued interest on, the Convertible Notes.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Convertible Notes are our secured obligation, and the indenture does not limit our other indebtedness, secured or unsecured. The indenture contains limited covenants, including a requirement that we deliver to holders of the Convertible Notes quarterly statements setting forth the principal amount of the Convertible Notes at the close of the fiscal quarter as well as information regarding the amount of interest capitalized to such Convertible Notes during the fiscal quarter. The amounts of interest capitalized on the Convertible Notes during the years ended December 31, 2010 and 2009, and the period from September 26, 2000 (inception) to December 31, 2010 were $2,804, $137, $ and $2,941, respectively. The interest rate on the Convertible Notes is equal to the interest earned on the money market funds in the trust account, which was less than half of a percentage point. The $0.2 million in discount is being accreted to interest expense over the conversion period of the Convertible Notes.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The trustee will in turn release to us the respective amount of restricted cash to cover the stock issuance. We will then invest the unrestricted cash into either a money market fund or a money market account. Any fractional shares (after aggregating all Convertible Notes being converted by a holder on such date) will be rounded down and we will deliver cash for the current market value of the fractional share. The indenture includes customary anti-dilution adjustments and events of default.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$1.8 million of the Convertible Notes were converted into 265,409 shares our common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our deferred income taxes at December 31, 2010 and 2009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operating loss carry forwards</w:t>
            </w:r>
          </w:p>
        </w:tc>
        <w:tc>
          <w:tcPr>
            <w:tcW w:w="1020" w:type="dxa"/>
            <w:vAlign w:val="bottom"/>
          </w:tcPr>
          <w:p>
            <w:pPr>
              <w:jc w:val="right"/>
              <w:spacing w:after="0"/>
              <w:rPr>
                <w:sz w:val="20"/>
                <w:szCs w:val="20"/>
                <w:color w:val="auto"/>
              </w:rPr>
            </w:pPr>
            <w:r>
              <w:rPr>
                <w:rFonts w:ascii="Arial" w:cs="Arial" w:eastAsia="Arial" w:hAnsi="Arial"/>
                <w:sz w:val="18"/>
                <w:szCs w:val="18"/>
                <w:color w:val="auto"/>
              </w:rPr>
              <w:t>72,100,000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64,627,000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licenses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Research tax credits</w:t>
            </w:r>
          </w:p>
        </w:tc>
        <w:tc>
          <w:tcPr>
            <w:tcW w:w="1020" w:type="dxa"/>
            <w:vAlign w:val="bottom"/>
          </w:tcPr>
          <w:p>
            <w:pPr>
              <w:jc w:val="right"/>
              <w:spacing w:after="0"/>
              <w:rPr>
                <w:sz w:val="20"/>
                <w:szCs w:val="20"/>
                <w:color w:val="auto"/>
              </w:rPr>
            </w:pPr>
            <w:r>
              <w:rPr>
                <w:rFonts w:ascii="Arial" w:cs="Arial" w:eastAsia="Arial" w:hAnsi="Arial"/>
                <w:sz w:val="18"/>
                <w:szCs w:val="18"/>
                <w:color w:val="auto"/>
              </w:rPr>
              <w:t>6,723,000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Unrealized loss on marketable securities</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305,000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Assets</w:t>
            </w: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gridSpan w:val="2"/>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83,206,000</w:t>
            </w:r>
          </w:p>
        </w:tc>
        <w:tc>
          <w:tcPr>
            <w:tcW w:w="3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74,335,000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IPR&amp;D</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(1,956,000)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(1,956,000)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81,250,000</w:t>
            </w:r>
          </w:p>
        </w:tc>
        <w:tc>
          <w:tcPr>
            <w:tcW w:w="3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72,379,000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(83,206,000)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(74,335,000)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Liability</w:t>
            </w: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(1,956,000)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established a valuation allowance against our deferred tax assets due to the uncertainty that such assets will be realized. We periodically evaluate the recoverability of the deferred tax assets. At such time as it is determined that it is more likely than not that deferred tax assets will be realizable, the valuation allowance will be reduced.</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December 31, 2010, we had federal and California net operating loss carryforwards of approximately $177 million and $176.5 million, respectively. Included in these amounts are federal and California tax expense of approximately $22,000 attributable to stock option deductions which will be debited to equity when realized. The federal net operating loss carryforwards begin to expire in 2020, and the California net operating loss carryforwards begin to expire in 2013. At December 31, 2010, we also had federal and California research tax credit carryforwards of approximately $5.9 million and $1.2 million, respectively. The federal research tax credit carryforwards begin to expire in 2024, and the California research tax credit carryforward does not expire and can be carried forward indefinitely until utilized.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utilization of the net operating losses, or NOL, and tax credit carryforwards will be subject to a substantial annual limitation under</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An analysis was performed which indicated that multiple ownership changes have occurred in previous years which created annual limitations on our ability to utilize NOL and tax credit carryovers. Such limitations will result in approximately $7.3 million and $1 million of tax benefits related to federal and state NOL and tax credit carryforwards, respectively, that will expire unused. Accordingly, the related NOL and R&amp;D credit carryforwards have been removed from deferred tax assets accompanied by a corresponding reduction of the valuation allowance. Due to the existence of the valuation allowance, limitations created by future ownership changes, if any, related to our operations in the U.S. will not impact our effective tax rate.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federal statutory income tax rate to our effective income tax rate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(60.9)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file income tax returns in the United States, California and foreign jurisdictions. Due to our losses incurred, we are essentially subject to income tax examination by tax authorities from our inception to date. Our policy is to recognize interest expense and penalties related to income tax matters as tax expense. At December 31, 2010, we do not have any significant accruals for interest related to unrecognized tax benefits or tax penalties.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Savings Plan and Employee Stock Purchase Plan</w:t>
      </w:r>
    </w:p>
    <w:p>
      <w:pPr>
        <w:spacing w:after="0" w:line="16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an employee savings plan available to substantially all employees. Under the plan, an employee may elect salary reductions which are contributed to the plan. The plan provides for discretionary contributions by us, which totaled $139,621 $149,994, and $151,488 and $1,001,747 for the years ended December 31, 2010, 2009, 2008 and the period from September 26, 2000 (inception) to December 31, 2010, respectively.</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MediciNova, Inc. 2007 Employee Stock Purchase Plan, or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 For the year ended December 31, 2010, 6,558 shares were issued under the ESPP, leaving 259,127 shares available for future issuance.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Data (Unaudited)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Summarized quarterly data for fiscal 2009 and 2008 are as follows (in thousands,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6"/>
              </w:rPr>
              <w:t>Year Ended December 31, 2010</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600" w:type="dxa"/>
            <w:vAlign w:val="bottom"/>
          </w:tcPr>
          <w:p>
            <w:pPr>
              <w:spacing w:after="0"/>
              <w:rPr>
                <w:sz w:val="17"/>
                <w:szCs w:val="17"/>
                <w:color w:val="auto"/>
              </w:rPr>
            </w:pPr>
          </w:p>
        </w:tc>
        <w:tc>
          <w:tcPr>
            <w:tcW w:w="940" w:type="dxa"/>
            <w:vAlign w:val="bottom"/>
            <w:gridSpan w:val="2"/>
          </w:tcPr>
          <w:p>
            <w:pPr>
              <w:jc w:val="right"/>
              <w:ind w:right="520"/>
              <w:spacing w:after="0" w:line="197" w:lineRule="exact"/>
              <w:rPr>
                <w:sz w:val="20"/>
                <w:szCs w:val="20"/>
                <w:color w:val="auto"/>
              </w:rPr>
            </w:pPr>
            <w:r>
              <w:rPr>
                <w:rFonts w:ascii="Arial" w:cs="Arial" w:eastAsia="Arial" w:hAnsi="Arial"/>
                <w:sz w:val="18"/>
                <w:szCs w:val="18"/>
                <w:b w:val="1"/>
                <w:bCs w:val="1"/>
                <w:color w:val="auto"/>
              </w:rPr>
              <w:t>1st</w:t>
            </w:r>
          </w:p>
        </w:tc>
        <w:tc>
          <w:tcPr>
            <w:tcW w:w="420" w:type="dxa"/>
            <w:vAlign w:val="bottom"/>
          </w:tcPr>
          <w:p>
            <w:pPr>
              <w:spacing w:after="0"/>
              <w:rPr>
                <w:sz w:val="17"/>
                <w:szCs w:val="17"/>
                <w:color w:val="auto"/>
              </w:rPr>
            </w:pPr>
          </w:p>
        </w:tc>
        <w:tc>
          <w:tcPr>
            <w:tcW w:w="1020" w:type="dxa"/>
            <w:vAlign w:val="bottom"/>
            <w:gridSpan w:val="2"/>
          </w:tcPr>
          <w:p>
            <w:pPr>
              <w:jc w:val="right"/>
              <w:ind w:right="560"/>
              <w:spacing w:after="0" w:line="197" w:lineRule="exact"/>
              <w:rPr>
                <w:sz w:val="20"/>
                <w:szCs w:val="20"/>
                <w:color w:val="auto"/>
              </w:rPr>
            </w:pPr>
            <w:r>
              <w:rPr>
                <w:rFonts w:ascii="Arial" w:cs="Arial" w:eastAsia="Arial" w:hAnsi="Arial"/>
                <w:sz w:val="18"/>
                <w:szCs w:val="18"/>
                <w:b w:val="1"/>
                <w:bCs w:val="1"/>
                <w:color w:val="auto"/>
              </w:rPr>
              <w:t>2nd</w:t>
            </w:r>
          </w:p>
        </w:tc>
        <w:tc>
          <w:tcPr>
            <w:tcW w:w="340" w:type="dxa"/>
            <w:vAlign w:val="bottom"/>
          </w:tcPr>
          <w:p>
            <w:pPr>
              <w:spacing w:after="0"/>
              <w:rPr>
                <w:sz w:val="17"/>
                <w:szCs w:val="17"/>
                <w:color w:val="auto"/>
              </w:rPr>
            </w:pPr>
          </w:p>
        </w:tc>
        <w:tc>
          <w:tcPr>
            <w:tcW w:w="1080" w:type="dxa"/>
            <w:vAlign w:val="bottom"/>
            <w:gridSpan w:val="2"/>
          </w:tcPr>
          <w:p>
            <w:pPr>
              <w:jc w:val="right"/>
              <w:ind w:right="640"/>
              <w:spacing w:after="0" w:line="197" w:lineRule="exact"/>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17"/>
                <w:szCs w:val="17"/>
                <w:color w:val="auto"/>
              </w:rPr>
            </w:pP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9"/>
        </w:trPr>
        <w:tc>
          <w:tcPr>
            <w:tcW w:w="66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Quarter</w:t>
            </w:r>
          </w:p>
        </w:tc>
        <w:tc>
          <w:tcPr>
            <w:tcW w:w="4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Quarter</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tcPr>
          <w:p>
            <w:pPr>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420"/>
              <w:spacing w:after="0"/>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(5,161)</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(4,334)</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(5,701)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(4,991)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(5,161)</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(4,334)</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(5,701)</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(4,991)</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(0.42)</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(0.35)</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(0.46)</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(0.40)</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6"/>
              </w:rPr>
              <w:t>Year Ended December 31, 2009</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600" w:type="dxa"/>
            <w:vAlign w:val="bottom"/>
          </w:tcPr>
          <w:p>
            <w:pPr>
              <w:spacing w:after="0"/>
              <w:rPr>
                <w:sz w:val="17"/>
                <w:szCs w:val="17"/>
                <w:color w:val="auto"/>
              </w:rPr>
            </w:pPr>
          </w:p>
        </w:tc>
        <w:tc>
          <w:tcPr>
            <w:tcW w:w="940" w:type="dxa"/>
            <w:vAlign w:val="bottom"/>
            <w:gridSpan w:val="2"/>
          </w:tcPr>
          <w:p>
            <w:pPr>
              <w:jc w:val="right"/>
              <w:ind w:right="520"/>
              <w:spacing w:after="0" w:line="197" w:lineRule="exact"/>
              <w:rPr>
                <w:sz w:val="20"/>
                <w:szCs w:val="20"/>
                <w:color w:val="auto"/>
              </w:rPr>
            </w:pPr>
            <w:r>
              <w:rPr>
                <w:rFonts w:ascii="Arial" w:cs="Arial" w:eastAsia="Arial" w:hAnsi="Arial"/>
                <w:sz w:val="18"/>
                <w:szCs w:val="18"/>
                <w:b w:val="1"/>
                <w:bCs w:val="1"/>
                <w:color w:val="auto"/>
              </w:rPr>
              <w:t>1st</w:t>
            </w:r>
          </w:p>
        </w:tc>
        <w:tc>
          <w:tcPr>
            <w:tcW w:w="420" w:type="dxa"/>
            <w:vAlign w:val="bottom"/>
          </w:tcPr>
          <w:p>
            <w:pPr>
              <w:spacing w:after="0"/>
              <w:rPr>
                <w:sz w:val="17"/>
                <w:szCs w:val="17"/>
                <w:color w:val="auto"/>
              </w:rPr>
            </w:pPr>
          </w:p>
        </w:tc>
        <w:tc>
          <w:tcPr>
            <w:tcW w:w="1020" w:type="dxa"/>
            <w:vAlign w:val="bottom"/>
            <w:gridSpan w:val="2"/>
          </w:tcPr>
          <w:p>
            <w:pPr>
              <w:jc w:val="right"/>
              <w:ind w:right="560"/>
              <w:spacing w:after="0" w:line="197" w:lineRule="exact"/>
              <w:rPr>
                <w:sz w:val="20"/>
                <w:szCs w:val="20"/>
                <w:color w:val="auto"/>
              </w:rPr>
            </w:pPr>
            <w:r>
              <w:rPr>
                <w:rFonts w:ascii="Arial" w:cs="Arial" w:eastAsia="Arial" w:hAnsi="Arial"/>
                <w:sz w:val="18"/>
                <w:szCs w:val="18"/>
                <w:b w:val="1"/>
                <w:bCs w:val="1"/>
                <w:color w:val="auto"/>
              </w:rPr>
              <w:t>2nd</w:t>
            </w:r>
          </w:p>
        </w:tc>
        <w:tc>
          <w:tcPr>
            <w:tcW w:w="340" w:type="dxa"/>
            <w:vAlign w:val="bottom"/>
          </w:tcPr>
          <w:p>
            <w:pPr>
              <w:spacing w:after="0"/>
              <w:rPr>
                <w:sz w:val="17"/>
                <w:szCs w:val="17"/>
                <w:color w:val="auto"/>
              </w:rPr>
            </w:pPr>
          </w:p>
        </w:tc>
        <w:tc>
          <w:tcPr>
            <w:tcW w:w="1080" w:type="dxa"/>
            <w:vAlign w:val="bottom"/>
            <w:gridSpan w:val="2"/>
          </w:tcPr>
          <w:p>
            <w:pPr>
              <w:jc w:val="right"/>
              <w:ind w:right="640"/>
              <w:spacing w:after="0" w:line="197" w:lineRule="exact"/>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17"/>
                <w:szCs w:val="17"/>
                <w:color w:val="auto"/>
              </w:rPr>
            </w:pP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9"/>
        </w:trPr>
        <w:tc>
          <w:tcPr>
            <w:tcW w:w="66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Quarter</w:t>
            </w:r>
          </w:p>
        </w:tc>
        <w:tc>
          <w:tcPr>
            <w:tcW w:w="4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Quarter</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tcPr>
          <w:p>
            <w:pPr>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420"/>
              <w:spacing w:after="0"/>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(4,993)</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(4,665)</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(4,795)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(5,916)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(4,993)</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(4,665)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(4,795)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(5,916)</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(0.41)</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(0.39)</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(0.40)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Loss per share is computed independently for each of the quarters presented. Therefore, the sum of the quarterly net loss per share will not necessarily equal the total for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evaluated subsequent events after the balance sheet date of December 31, 2010 and up to the date we filed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Letter of Intent</w:t>
      </w:r>
    </w:p>
    <w:p>
      <w:pPr>
        <w:spacing w:after="0" w:line="15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 March 3, 2011, we executed a joint venture letter of intent with Zhejiang Medicine Co., Ltd. and Beijing Make-Friend Medicine Technology Co., Ltd., which provides for the establishment of a joint venture company to develop and commercialize MN-221 in China. The agreement provides that the business scope of the joint venture company will be to in-license authorized drug candidates from us, manage and operate a facility to manufacture such drug candidates for the Chinese market and promote, distribute and sell such drug candidates in the Chinese market. The joint venture company will also be responsible for conducting all clinical trials necessary to gain regulatory approval in China. The joint venture company will initially conduct the activities described above with respect to MN-221; however other drug candidates may be brought within the scope if the parties to the agreement unanimously agree. We will contribute 4,290,000 RMB in cash for a 30% interest in the joint venture. Our responsibilities relate to granting rights to MN-221 in China to the joint venture, while the other parties are responsible for providing funding for the joint venture’s activities. We will receive a license fee payment equal to our capital contribution for the license to MN-</w:t>
      </w:r>
    </w:p>
    <w:p>
      <w:pPr>
        <w:spacing w:after="0" w:line="4" w:lineRule="exact"/>
        <w:rPr>
          <w:sz w:val="20"/>
          <w:szCs w:val="20"/>
          <w:color w:val="auto"/>
        </w:rPr>
      </w:pPr>
    </w:p>
    <w:p>
      <w:pPr>
        <w:ind w:left="5580" w:right="5580" w:hanging="5572"/>
        <w:spacing w:after="0" w:line="404" w:lineRule="auto"/>
        <w:tabs>
          <w:tab w:leader="none" w:pos="354"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amendment requires the written agreement of all three parties thereto. 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Avigen Management Transition Plan</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March 11, 2011, a designated representative from Avigen notified us of the termination of the Avigen MTP, with the final distribution to occur on or about March 31, 2011. In connection with the termination of the Avigen MTP and pursuant to the related contingent payment rights agreement, the remaining funds were distributed to AST and AST was instructed to distribute the funds to the Avigen shareholders on a pro rata basis (approximately $0.02 per share) based on the shares of Avigen common stock held immediately prior to the effective time of the merger.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Firm Commitment Underwritten Public Offering</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On March 24, 2011, the underwriter exercised 50,666 units of its 412,500 unit overallotment. On March 29, 2011, we received net proceeds of approximately $7.9 million, after underwriter discount and underwriter expenses and no warrants exercised.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Oxford Loan Update</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anticipation of not achieving either of the affirmative covenants required under our loan agreement with Oxford by March 31, 2011, we negotiated with Oxford the repayment of the loan in full on April 1, 2011, wherein Oxford agreed to waive the early payment penalty of approximately $437,000.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4"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w:t>
      </w:r>
    </w:p>
    <w:p>
      <w:pPr>
        <w:spacing w:after="0" w:line="3" w:lineRule="exact"/>
        <w:rPr>
          <w:sz w:val="20"/>
          <w:szCs w:val="20"/>
          <w:color w:val="auto"/>
        </w:rPr>
      </w:pPr>
    </w:p>
    <w:p>
      <w:pPr>
        <w:ind w:right="100" w:firstLine="8"/>
        <w:spacing w:after="0" w:line="255"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2010, our disclosure controls and procedures were effective.</w:t>
      </w:r>
    </w:p>
    <w:p>
      <w:pPr>
        <w:spacing w:after="0" w:line="13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as of December 31, 2010. In making this assessment, our management used the criteria set forth by the Committee of Sponsoring Organizations of the Treadway Commission (“COSO”) in Internal Control—Integrated Framework. Our management has concluded that, as of December 31, 2010, our internal control over financial reporting was effective based on these criteria.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Prior Material Weakness</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2010, management believes that the material weakness in our internal control over financial reporting that was included in Item 4 of our Form 10-Q for the quarter ended September 30, 2010, has been effectively remediated. Prior to the quarter ended December 31, 2010, the remediation measures as described below were implemented.</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taken appropriate actions to remediate the material weakness related to the identified control overrides and policy deviations by one of our senior executive officers, which, collectively, represented a material weakness in our internal control over financial reporting. Our remediation plan included disclosing the granting of a waiver under our code of conduct to a senior executive and another employee due to the appearance of a possible conflict of interest, re-aligning certain reporting structures, updating our contract review and approval policy to require one signatory to be our CFO, strengthening certain human resource policies by amending our compensation committee charter and creating a strategic and oversight committee comprised of certain board members and the senior management team to review key issues.</w:t>
      </w:r>
    </w:p>
    <w:p>
      <w:pPr>
        <w:spacing w:after="0" w:line="13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KPMG LLP, an independent registered public accounting firm, has audited our financial statements included herein and has issued an audit report on the effectiveness of our internal control over financial reporting, which report is included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have audited MediciNova, Inc.’s internal control over financial reporting as of December 31, 2010,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MediciNova, Inc.’s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MediciNova, Inc.’s internal control over financial reporting based on our audit.</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In our opinion, MediciNova, Inc. maintained, in all material respects, effective internal control over financial reporting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w:t>
      </w:r>
    </w:p>
    <w:p>
      <w:pPr>
        <w:spacing w:after="0" w:line="72"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MediciNova, Inc. and subsidiaries as of December 31, 2010, and the related consolidated statements of operations, stockholders’ equity and comprehensive loss, and cash flows for each of the years in the two-year period ended December 31, 2010 and for the period from September 26, 2000 (inception) through December 31, 2010, and our report dated March 31, 2011 expressed an unqualified opinion on those consolidated financial statements.</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219"/>
          </w:cols>
          <w:pgMar w:left="240" w:top="459" w:right="1440"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the conclusion of our fiscal year ended December 31, 2010, or the Proxy Statement, and is incorporated in this Annual Report on Form 10-K by reference.</w:t>
      </w:r>
    </w:p>
    <w:p>
      <w:pPr>
        <w:spacing w:after="0" w:line="12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 any amendment to the Code of Ethics or Code of Business Conduct.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Certain of the information required by this item will be contained in the Proxy Statement and is incorporated in this Annual Report on Form 10-K by reference.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2010 with respect to the shares of our common stock that may be issued under our existing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w:t>
            </w:r>
          </w:p>
        </w:tc>
        <w:tc>
          <w:tcPr>
            <w:tcW w:w="104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Upon Exercise of</w:t>
            </w:r>
          </w:p>
        </w:tc>
        <w:tc>
          <w:tcPr>
            <w:tcW w:w="1040" w:type="dxa"/>
            <w:vAlign w:val="bottom"/>
          </w:tcPr>
          <w:p>
            <w:pPr>
              <w:spacing w:after="0"/>
              <w:rPr>
                <w:sz w:val="18"/>
                <w:szCs w:val="18"/>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86"/>
              </w:rPr>
              <w:t>Exercise Price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8"/>
              </w:rPr>
              <w:t>Outstanding</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5"/>
              </w:rPr>
              <w:t>Options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 Equity</w:t>
            </w:r>
          </w:p>
        </w:tc>
        <w:tc>
          <w:tcPr>
            <w:tcW w:w="0" w:type="dxa"/>
            <w:vAlign w:val="bottom"/>
          </w:tcPr>
          <w:p>
            <w:pPr>
              <w:spacing w:after="0"/>
              <w:rPr>
                <w:sz w:val="1"/>
                <w:szCs w:val="1"/>
                <w:color w:val="auto"/>
              </w:rPr>
            </w:pPr>
          </w:p>
        </w:tc>
      </w:tr>
      <w:tr>
        <w:trPr>
          <w:trHeight w:val="229"/>
        </w:trPr>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Plan Category</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and Rights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2"/>
              </w:rPr>
              <w:t>and Rights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w:t>
            </w:r>
          </w:p>
        </w:tc>
        <w:tc>
          <w:tcPr>
            <w:tcW w:w="1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2,252,431</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Equity Compensation Plans Approved by</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Stockholders(2)</w:t>
            </w:r>
          </w:p>
        </w:tc>
        <w:tc>
          <w:tcPr>
            <w:tcW w:w="1580" w:type="dxa"/>
            <w:vAlign w:val="bottom"/>
          </w:tcPr>
          <w:p>
            <w:pPr>
              <w:jc w:val="right"/>
              <w:spacing w:after="0"/>
              <w:rPr>
                <w:sz w:val="20"/>
                <w:szCs w:val="20"/>
                <w:color w:val="auto"/>
              </w:rPr>
            </w:pPr>
            <w:r>
              <w:rPr>
                <w:rFonts w:ascii="Arial" w:cs="Arial" w:eastAsia="Arial" w:hAnsi="Arial"/>
                <w:sz w:val="18"/>
                <w:szCs w:val="18"/>
                <w:color w:val="auto"/>
              </w:rPr>
              <w:t>695</w:t>
            </w:r>
          </w:p>
        </w:tc>
        <w:tc>
          <w:tcPr>
            <w:tcW w:w="12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000"/>
              <w:spacing w:after="0"/>
              <w:rPr>
                <w:sz w:val="20"/>
                <w:szCs w:val="20"/>
                <w:color w:val="auto"/>
              </w:rPr>
            </w:pPr>
            <w:r>
              <w:rPr>
                <w:rFonts w:ascii="Arial" w:cs="Arial" w:eastAsia="Arial" w:hAnsi="Arial"/>
                <w:sz w:val="18"/>
                <w:szCs w:val="18"/>
                <w:color w:val="auto"/>
              </w:rPr>
              <w:t>4.45(2)</w:t>
            </w:r>
          </w:p>
        </w:tc>
        <w:tc>
          <w:tcPr>
            <w:tcW w:w="1580" w:type="dxa"/>
            <w:vAlign w:val="bottom"/>
          </w:tcPr>
          <w:p>
            <w:pPr>
              <w:jc w:val="right"/>
              <w:spacing w:after="0"/>
              <w:rPr>
                <w:sz w:val="20"/>
                <w:szCs w:val="20"/>
                <w:color w:val="auto"/>
              </w:rPr>
            </w:pPr>
            <w:r>
              <w:rPr>
                <w:rFonts w:ascii="Arial" w:cs="Arial" w:eastAsia="Arial" w:hAnsi="Arial"/>
                <w:sz w:val="18"/>
                <w:szCs w:val="18"/>
                <w:color w:val="auto"/>
              </w:rPr>
              <w:t>259,127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Not Approved by</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0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gridSpan w:val="4"/>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spacing w:after="0"/>
              <w:rPr>
                <w:sz w:val="20"/>
                <w:szCs w:val="20"/>
                <w:color w:val="auto"/>
              </w:rPr>
            </w:pPr>
            <w:r>
              <w:rPr>
                <w:rFonts w:ascii="Arial" w:cs="Arial" w:eastAsia="Arial" w:hAnsi="Arial"/>
                <w:sz w:val="18"/>
                <w:szCs w:val="18"/>
                <w:color w:val="auto"/>
              </w:rPr>
              <w:t>2,281,626</w:t>
            </w:r>
          </w:p>
        </w:tc>
        <w:tc>
          <w:tcPr>
            <w:tcW w:w="12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8.38</w:t>
            </w:r>
          </w:p>
        </w:tc>
        <w:tc>
          <w:tcPr>
            <w:tcW w:w="1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2,057,765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305"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Consists of the MediciNova, Inc. Amended and Restated 2004 Stock Incentive Plan, or 2004 Plan. Awards under the 2004 Plan shall not exceed 3,330,000 shares, plus an annual increase on the first day of each fiscal year, with the first increase occurring on January 1, 2006, in an amount equal to the lesser of</w:t>
      </w:r>
    </w:p>
    <w:p>
      <w:pPr>
        <w:ind w:left="460" w:right="60"/>
        <w:spacing w:after="0" w:line="255" w:lineRule="auto"/>
        <w:rPr>
          <w:rFonts w:ascii="Arial" w:cs="Arial" w:eastAsia="Arial" w:hAnsi="Arial"/>
          <w:sz w:val="15"/>
          <w:szCs w:val="15"/>
          <w:color w:val="auto"/>
        </w:rPr>
      </w:pPr>
      <w:r>
        <w:rPr>
          <w:rFonts w:ascii="Arial" w:cs="Arial" w:eastAsia="Arial" w:hAnsi="Arial"/>
          <w:sz w:val="18"/>
          <w:szCs w:val="18"/>
          <w:color w:val="auto"/>
        </w:rPr>
        <w:t>(i) 100,000 shares, (ii) 3% of the outstanding shares on the last day of the immediately preceding year, or (iii) an amount determined by the Board. Stock options under the 2004 Plan have an exercise price equal to the fair market value of the underlying common stock at the date of grant, generally vest over a period of four years and have a ten-year life.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the MediciNova, Inc. 2007 Employee Stock Purchase Plan, or ESPP. Under the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2"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solely of the MediciNova, Inc. 2000 General Stock Incentive Plan, or 2000 Plan, which was terminated upon the completion of our initial public offering on February 4, 2005. The material terms of the 2000 Plan are described in Note 8 to our consolidated financial statements contained in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4" w:lineRule="exact"/>
        <w:rPr>
          <w:sz w:val="20"/>
          <w:szCs w:val="20"/>
          <w:color w:val="auto"/>
        </w:rPr>
      </w:pPr>
    </w:p>
    <w:p>
      <w:pPr>
        <w:ind w:left="700" w:hanging="23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58" w:lineRule="exact"/>
        <w:rPr>
          <w:sz w:val="20"/>
          <w:szCs w:val="20"/>
          <w:color w:val="auto"/>
        </w:rPr>
      </w:pPr>
    </w:p>
    <w:p>
      <w:pPr>
        <w:ind w:right="60" w:firstLine="464"/>
        <w:spacing w:after="0" w:line="268"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Reports of KPMG LLP and Ernst &amp; Young LLP, each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are included in this Annual Report on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4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Page</w:t>
            </w:r>
          </w:p>
        </w:tc>
      </w:tr>
      <w:tr>
        <w:trPr>
          <w:trHeight w:val="171"/>
        </w:trPr>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Borders>
              <w:bottom w:val="single" w:sz="8" w:color="0000EE"/>
            </w:tcBorders>
            <w:gridSpan w:val="7"/>
          </w:tcPr>
          <w:p>
            <w:pPr>
              <w:spacing w:after="0" w:line="171"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Report of Independent Registered Public Accounting Firm</w:t>
              </w:r>
            </w:hyperlink>
          </w:p>
        </w:tc>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80</w:t>
            </w:r>
          </w:p>
        </w:tc>
        <w:tc>
          <w:tcPr>
            <w:tcW w:w="1220" w:type="dxa"/>
            <w:vAlign w:val="bottom"/>
          </w:tcPr>
          <w:p>
            <w:pPr>
              <w:spacing w:after="0"/>
              <w:rPr>
                <w:sz w:val="14"/>
                <w:szCs w:val="14"/>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Balance Sheets</w:t>
              </w:r>
            </w:hyperlink>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w:t>
            </w:r>
          </w:p>
        </w:tc>
        <w:tc>
          <w:tcPr>
            <w:tcW w:w="1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Consolidated Statements of Operations</w:t>
              </w:r>
            </w:hyperlink>
          </w:p>
        </w:tc>
        <w:tc>
          <w:tcPr>
            <w:tcW w:w="5480" w:type="dxa"/>
            <w:vAlign w:val="bottom"/>
            <w:gridSpan w:val="5"/>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Stockholders’ Equity (Deficit)</w:t>
              </w:r>
            </w:hyperlink>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Cash Flows</w:t>
              </w:r>
            </w:hyperlink>
          </w:p>
        </w:tc>
        <w:tc>
          <w:tcPr>
            <w:tcW w:w="4120" w:type="dxa"/>
            <w:vAlign w:val="bottom"/>
            <w:gridSpan w:val="2"/>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1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Notes to Consolidated Financial Statements</w:t>
              </w:r>
            </w:hyperlink>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122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83"/>
        </w:trPr>
        <w:tc>
          <w:tcPr>
            <w:tcW w:w="9380" w:type="dxa"/>
            <w:vAlign w:val="bottom"/>
            <w:gridSpan w:val="10"/>
          </w:tcPr>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9380" w:type="dxa"/>
            <w:vAlign w:val="bottom"/>
            <w:gridSpan w:val="10"/>
          </w:tcPr>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2"/>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76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196"/>
        </w:trPr>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2.1(22)</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0" w:type="dxa"/>
            <w:vAlign w:val="bottom"/>
            <w:gridSpan w:val="10"/>
          </w:tcPr>
          <w:p>
            <w:pPr>
              <w:spacing w:after="0" w:line="195" w:lineRule="exact"/>
              <w:rPr>
                <w:sz w:val="20"/>
                <w:szCs w:val="20"/>
                <w:color w:val="auto"/>
              </w:rPr>
            </w:pPr>
            <w:r>
              <w:rPr>
                <w:rFonts w:ascii="Arial" w:cs="Arial" w:eastAsia="Arial" w:hAnsi="Arial"/>
                <w:sz w:val="18"/>
                <w:szCs w:val="18"/>
                <w:color w:val="auto"/>
                <w:w w:val="88"/>
              </w:rPr>
              <w:t>Agreement and Plan of Merger dated as of August 20, 2009 by and among Registrant, Absolute Merger, Inc. and Avigen, Inc. (attached as</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Annex A to the joint proxy statement/prospectus).</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3.1(19)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Restated Certificate of Incorporation of the Registrant, as amended.</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Amended and Restated Bylaws of the Registrant.</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4.1(11)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Specimen of Common Stock Certificate.</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8"/>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w w:val="89"/>
              </w:rPr>
              <w:t>Amended and Restated Registration Rights Agreement by and among the Registrant, its founders and the investors named therein, dated</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September 2, 2004.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18"/>
        </w:trPr>
        <w:tc>
          <w:tcPr>
            <w:tcW w:w="640" w:type="dxa"/>
            <w:vAlign w:val="bottom"/>
          </w:tcPr>
          <w:p>
            <w:pPr>
              <w:jc w:val="right"/>
              <w:spacing w:after="0"/>
              <w:rPr>
                <w:sz w:val="20"/>
                <w:szCs w:val="20"/>
                <w:color w:val="auto"/>
              </w:rPr>
            </w:pPr>
            <w:r>
              <w:rPr>
                <w:rFonts w:ascii="Arial" w:cs="Arial" w:eastAsia="Arial" w:hAnsi="Arial"/>
                <w:sz w:val="18"/>
                <w:szCs w:val="18"/>
                <w:color w:val="auto"/>
              </w:rPr>
              <w:t>4.3(12)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w w:val="90"/>
              </w:rPr>
              <w:t>Rights Agreement between the Registrant and American Stock Transfer &amp; Trust Company, which includes the form of Rights Certificate</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and the Summary of Rights as </w:t>
            </w:r>
            <w:r>
              <w:rPr>
                <w:rFonts w:ascii="Arial" w:cs="Arial" w:eastAsia="Arial" w:hAnsi="Arial"/>
                <w:sz w:val="18"/>
                <w:szCs w:val="18"/>
                <w:i w:val="1"/>
                <w:iCs w:val="1"/>
                <w:color w:val="auto"/>
              </w:rPr>
              <w:t>Exhibit C</w:t>
            </w:r>
            <w:r>
              <w:rPr>
                <w:rFonts w:ascii="Arial" w:cs="Arial" w:eastAsia="Arial" w:hAnsi="Arial"/>
                <w:sz w:val="18"/>
                <w:szCs w:val="18"/>
                <w:color w:val="auto"/>
              </w:rPr>
              <w:t>, dated November 24, 2006.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18"/>
        </w:trPr>
        <w:tc>
          <w:tcPr>
            <w:tcW w:w="640" w:type="dxa"/>
            <w:vAlign w:val="bottom"/>
          </w:tcPr>
          <w:p>
            <w:pPr>
              <w:jc w:val="right"/>
              <w:spacing w:after="0"/>
              <w:rPr>
                <w:sz w:val="20"/>
                <w:szCs w:val="20"/>
                <w:color w:val="auto"/>
              </w:rPr>
            </w:pPr>
            <w:r>
              <w:rPr>
                <w:rFonts w:ascii="Arial" w:cs="Arial" w:eastAsia="Arial" w:hAnsi="Arial"/>
                <w:sz w:val="18"/>
                <w:szCs w:val="18"/>
                <w:color w:val="auto"/>
              </w:rPr>
              <w:t>4.4(22)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w w:val="91"/>
              </w:rPr>
              <w:t>Form of Indenture by and between Registrant and American Stock Transfer and Trust Company, LLC (attached as Annex C to the joint</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proxy statement/prospectus).</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4.5(22)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Form of Convertible Note (included in Exhibit 4.4).</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4.6(29)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Warrant dated May 10, 2010 issued to Oxford Finance Corporation.</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90"/>
              </w:rPr>
              <w:t>10.1(1)*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2000 General Stock Incentive Plan of the Registrant.</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90"/>
              </w:rPr>
              <w:t>10.2(2)*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2004 Stock Incentive Plan of the Registrant.</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90"/>
              </w:rPr>
              <w:t>10.3(5)*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86"/>
              </w:rPr>
              <w:t>10.4(2)†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w w:val="93"/>
              </w:rPr>
              <w:t>License Agreement between the Registrant and Kyorin Pharmaceutical Co., Ltd., dated March 14, 2002.</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86"/>
              </w:rPr>
              <w:t>10.5(2)†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gridSpan w:val="7"/>
          </w:tcPr>
          <w:p>
            <w:pPr>
              <w:spacing w:after="0"/>
              <w:rPr>
                <w:sz w:val="20"/>
                <w:szCs w:val="20"/>
                <w:color w:val="auto"/>
              </w:rPr>
            </w:pPr>
            <w:r>
              <w:rPr>
                <w:rFonts w:ascii="Arial" w:cs="Arial" w:eastAsia="Arial" w:hAnsi="Arial"/>
                <w:sz w:val="18"/>
                <w:szCs w:val="18"/>
                <w:color w:val="auto"/>
                <w:w w:val="93"/>
              </w:rPr>
              <w:t>License Agreement between the Registrant and Angiogene Pharmaceuticals, Ltd., dated June 19, 2002.</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8740" w:type="dxa"/>
            <w:vAlign w:val="bottom"/>
            <w:gridSpan w:val="9"/>
          </w:tcPr>
          <w:p>
            <w:pPr>
              <w:jc w:val="right"/>
              <w:ind w:right="3540"/>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4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60" w:type="dxa"/>
            <w:vAlign w:val="bottom"/>
          </w:tcPr>
          <w:p>
            <w:pPr>
              <w:spacing w:after="0"/>
              <w:rPr>
                <w:sz w:val="21"/>
                <w:szCs w:val="21"/>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10.6(2)†</w:t>
            </w:r>
          </w:p>
        </w:tc>
        <w:tc>
          <w:tcPr>
            <w:tcW w:w="420" w:type="dxa"/>
            <w:vAlign w:val="bottom"/>
          </w:tcPr>
          <w:p>
            <w:pPr>
              <w:spacing w:after="0"/>
              <w:rPr>
                <w:sz w:val="18"/>
                <w:szCs w:val="18"/>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Exclusive License Agreement between the Registrant and Kissei Pharmaceutical Co., Ltd., dated February 25, 2004.</w:t>
            </w:r>
          </w:p>
        </w:tc>
      </w:tr>
      <w:tr>
        <w:trPr>
          <w:trHeight w:val="316"/>
        </w:trPr>
        <w:tc>
          <w:tcPr>
            <w:tcW w:w="1200" w:type="dxa"/>
            <w:vAlign w:val="bottom"/>
            <w:gridSpan w:val="2"/>
          </w:tcPr>
          <w:p>
            <w:pPr>
              <w:spacing w:after="0"/>
              <w:rPr>
                <w:sz w:val="20"/>
                <w:szCs w:val="20"/>
                <w:color w:val="auto"/>
              </w:rPr>
            </w:pPr>
            <w:r>
              <w:rPr>
                <w:rFonts w:ascii="Arial" w:cs="Arial" w:eastAsia="Arial" w:hAnsi="Arial"/>
                <w:sz w:val="18"/>
                <w:szCs w:val="18"/>
                <w:color w:val="auto"/>
              </w:rPr>
              <w:t>10.7(2)†</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between the Registrant and Mitsubishi Tanabe Pharma Corporation, dated April 27, 2004.</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10.8(3)†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10.9(2)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Office Lease Agreement between the Registrant and CA-LA Jolla II Limited Partnership, dated January 28, 2004 and the First Amendment</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thereto, dated August 10, 2004.</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10.10(3)†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between the Registrant and Mitsubishi Tanabe Pharma Corporation, dated December 8, 2004.</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10.11(4)</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1"/>
              </w:rPr>
              <w:t>Second Amendment to Office Lease Agreement between the Registrant and CA-La Jolla II Limited Partnership, dated March 21, 2005.</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10.13(11)*</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the Registrant and Masatsune Okajima, dated September 1, 2006.</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10.14(7)†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10.15(7)†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10.16(8)*</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the Registrant and Yuichi Iwaki, M.D., Ph.D., dated April 1, 2007.</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10.17(13)*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2007 Employee Stock Purchase Plan of the Registrant.</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10.18(9)*</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4"/>
              </w:rPr>
              <w:t>Form of Severance Protection Agreement between the Registrant and certain of its executive officers, dated September 12, 2007.</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10.19(10)</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Third Amendment to Office Lease Agreement between the Registrant and 4350 La Jolla Village LLC, dated January 31, 2008.</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10.22(15)*</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Amendment to the Amended and Restated 2004 Stock Incentive Plan of the Registrant, dated June 6, 2008.</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10.23(16)</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Fourth Amendment to Lease Agreement between the Registrant and 4350 La Jolla Village LLC, dated October 3, 2008.</w:t>
            </w: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10.24(17)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Credit Line Account Application and Agreement for Organizations and Businesses, executed by the Registrant on January 8, 2009, by and</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between the Registrant and UBS Bank USA.</w:t>
            </w: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10.25(17)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3"/>
              </w:rPr>
              <w:t>Addendum to Credit Line Account Application and Agreement, executed by the Registrant on January 8, 2009, by and between the</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Registrant, UBS Bank USA and UBS Financial Services Inc.</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10.26(17)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Addendum to Credit Line Agreement, executed by the Registrant on January 8, 2009, by and between the Registrant and UBS Bank USA.</w:t>
            </w: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10.27(17)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Important Notice on Interest Rates and Payments, executed by the Registrant on January 8, 2009, by and between the Registrant and UBS</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Bank USA.</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10.28(18)†</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Development and Supply Agreement between the Registrant and Hospira Worldwide, Inc., dated as of March 26, 2009.</w:t>
            </w:r>
          </w:p>
        </w:tc>
      </w:tr>
      <w:tr>
        <w:trPr>
          <w:trHeight w:val="365"/>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20" w:type="dxa"/>
            <w:vAlign w:val="bottom"/>
            <w:gridSpan w:val="2"/>
          </w:tcPr>
          <w:p>
            <w:pPr>
              <w:jc w:val="right"/>
              <w:ind w:right="5492"/>
              <w:spacing w:after="0"/>
              <w:rPr>
                <w:sz w:val="20"/>
                <w:szCs w:val="20"/>
                <w:color w:val="auto"/>
              </w:rPr>
            </w:pPr>
            <w:r>
              <w:rPr>
                <w:rFonts w:ascii="Arial" w:cs="Arial" w:eastAsia="Arial" w:hAnsi="Arial"/>
                <w:sz w:val="18"/>
                <w:szCs w:val="18"/>
                <w:color w:val="auto"/>
              </w:rPr>
              <w:t>127</w:t>
            </w: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4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60" w:type="dxa"/>
            <w:vAlign w:val="bottom"/>
          </w:tcPr>
          <w:p>
            <w:pPr>
              <w:spacing w:after="0"/>
              <w:rPr>
                <w:sz w:val="21"/>
                <w:szCs w:val="21"/>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18"/>
                <w:szCs w:val="18"/>
                <w:color w:val="auto"/>
              </w:rPr>
              <w:t>10.31(22)</w:t>
            </w:r>
          </w:p>
        </w:tc>
        <w:tc>
          <w:tcPr>
            <w:tcW w:w="420" w:type="dxa"/>
            <w:vAlign w:val="bottom"/>
          </w:tcPr>
          <w:p>
            <w:pPr>
              <w:spacing w:after="0"/>
              <w:rPr>
                <w:sz w:val="17"/>
                <w:szCs w:val="17"/>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Form of Contingent Payment Rights Agreement by and among Registrant, Avigen, Inc. and American Stock Transfer and Trust Company,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LLC (attached as Annex B to the joint proxy statement/prospectus).</w:t>
            </w: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10.32(22)</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9"/>
              </w:rPr>
              <w:t>Form of Trust Agreement by and between Registrant and American Stock Transfer and Trust Company, LLC (attached as Annex D to the</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joint proxy statement/prospectus).</w:t>
            </w: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10.33(22)</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0"/>
              </w:rPr>
              <w:t>Form of Escrow Agreement by and between Registrant and American Stock Transfer and Trust Company, LLC (attached as Annex E to</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the joint proxy statement/prospectus).</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10.34(23)†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Assignment Agreement, dated December 19, 2005, by and between Genzyme Corporation and Avigen, Inc.</w:t>
            </w: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10.35(25)†</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2"/>
              </w:rPr>
              <w:t>Asset Purchase Agreement, dated December 17, 2008, by and between Baxter Healthcare Corporation, Baxter International Inc., and</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Baxter Healthcare S.A. and Avigen, Inc.</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10.36(28)*</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Registrant and Kirk Johnson, dated February 1, 2010.</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10.37(29)</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9"/>
              </w:rPr>
              <w:t>Loan and Security Agreement dated May 10, 2010 by and among Registrant, Avigen, Inc. and Oxford Finance Corporation.</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10.38(24)*</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Registrant and Michael Coffee, dated June 14, 2010.</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10.39(26)*</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3"/>
              </w:rPr>
              <w:t>Form of Amendment to Employment Agreement between Registrant and certain of its executive officers, dated December 31, 2010.</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10.40(26)*</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8"/>
              </w:rPr>
              <w:t>Form of Severance Protection Agreement between Registrant and certain of its executive officers, dated December 31, 2010.</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14.1(11)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Code of Ethics of the Registrant.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21.1(27)</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Powers of Attorney (included in Signature page).</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the Chief Executive Officer pursuant to Rules 13a-14 and 15d-14 promulgated under the Securities Act of 1933.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the Chief Financial Officer pursuant to Rules 13a-14 and 15d-14 promulgated under the Securities Act of 1933.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Filed with the Registrant’s Registration Statement on Form S-1 filed on September 1, 2005 and incorporated herein by reference.</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Filed with the Registrant’s Registration Statement on Form S-3 filed November 14, 2006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14,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4,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Filed with the Registrant’s Registration Statement on Form 8-A filed November 29, 2006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Filed with the Registrant’s Definitive Proxy Statement on Schedule 14A filed March 13, 2007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10,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October 8,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21,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29,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2,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16,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Filed with the Registrant’s Registration Statement on Form S-4 initially filed September 17, 2009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March 16,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with the SEC on March 16,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March 24,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1,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Indicates management contract or compensatory plan.</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219"/>
          </w:cols>
          <w:pgMar w:left="240" w:top="459" w:right="1440"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4180" w:type="dxa"/>
            <w:vAlign w:val="bottom"/>
            <w:gridSpan w:val="2"/>
          </w:tcPr>
          <w:p>
            <w:pPr>
              <w:ind w:left="23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EDICINOVA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410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180" w:type="dxa"/>
            <w:vAlign w:val="bottom"/>
            <w:gridSpan w:val="2"/>
          </w:tcPr>
          <w:p>
            <w:pPr>
              <w:ind w:left="2360"/>
              <w:spacing w:after="0"/>
              <w:rPr>
                <w:sz w:val="20"/>
                <w:szCs w:val="20"/>
                <w:color w:val="auto"/>
              </w:rPr>
            </w:pPr>
            <w:r>
              <w:rPr>
                <w:rFonts w:ascii="Arial" w:cs="Arial" w:eastAsia="Arial" w:hAnsi="Arial"/>
                <w:sz w:val="18"/>
                <w:szCs w:val="18"/>
                <w:color w:val="auto"/>
                <w:w w:val="93"/>
              </w:rPr>
              <w:t>A Delaware Corporation</w:t>
            </w:r>
          </w:p>
        </w:tc>
        <w:tc>
          <w:tcPr>
            <w:tcW w:w="4100" w:type="dxa"/>
            <w:vAlign w:val="bottom"/>
          </w:tcPr>
          <w:p>
            <w:pPr>
              <w:spacing w:after="0"/>
              <w:rPr>
                <w:sz w:val="19"/>
                <w:szCs w:val="19"/>
                <w:color w:val="auto"/>
              </w:rPr>
            </w:pPr>
          </w:p>
        </w:tc>
      </w:tr>
      <w:tr>
        <w:trPr>
          <w:trHeight w:val="434"/>
        </w:trPr>
        <w:tc>
          <w:tcPr>
            <w:tcW w:w="3140" w:type="dxa"/>
            <w:vAlign w:val="bottom"/>
          </w:tcPr>
          <w:p>
            <w:pPr>
              <w:spacing w:after="0"/>
              <w:rPr>
                <w:sz w:val="20"/>
                <w:szCs w:val="20"/>
                <w:color w:val="auto"/>
              </w:rPr>
            </w:pPr>
            <w:r>
              <w:rPr>
                <w:rFonts w:ascii="Arial" w:cs="Arial" w:eastAsia="Arial" w:hAnsi="Arial"/>
                <w:sz w:val="18"/>
                <w:szCs w:val="18"/>
                <w:color w:val="auto"/>
              </w:rPr>
              <w:t>Date: March 31, 2011</w:t>
            </w:r>
          </w:p>
        </w:tc>
        <w:tc>
          <w:tcPr>
            <w:tcW w:w="4180" w:type="dxa"/>
            <w:vAlign w:val="bottom"/>
            <w:gridSpan w:val="2"/>
          </w:tcPr>
          <w:p>
            <w:pPr>
              <w:ind w:left="2360"/>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1292"/>
              <w:spacing w:after="0"/>
              <w:rPr>
                <w:sz w:val="20"/>
                <w:szCs w:val="20"/>
                <w:color w:val="auto"/>
              </w:rPr>
            </w:pPr>
            <w:r>
              <w:rPr>
                <w:rFonts w:ascii="Arial" w:cs="Arial" w:eastAsia="Arial" w:hAnsi="Arial"/>
                <w:sz w:val="18"/>
                <w:szCs w:val="18"/>
                <w:color w:val="auto"/>
                <w:w w:val="94"/>
              </w:rPr>
              <w:t>/s/ Yuichi Iwaki</w:t>
            </w:r>
          </w:p>
        </w:tc>
      </w:tr>
      <w:tr>
        <w:trPr>
          <w:trHeight w:val="201"/>
        </w:trPr>
        <w:tc>
          <w:tcPr>
            <w:tcW w:w="3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4100" w:type="dxa"/>
            <w:vAlign w:val="bottom"/>
            <w:tcBorders>
              <w:top w:val="single" w:sz="8" w:color="auto"/>
            </w:tcBorders>
          </w:tcPr>
          <w:p>
            <w:pPr>
              <w:jc w:val="center"/>
              <w:ind w:right="1292"/>
              <w:spacing w:after="0" w:line="201" w:lineRule="exact"/>
              <w:rPr>
                <w:sz w:val="20"/>
                <w:szCs w:val="20"/>
                <w:color w:val="auto"/>
              </w:rPr>
            </w:pPr>
            <w:r>
              <w:rPr>
                <w:rFonts w:ascii="Arial" w:cs="Arial" w:eastAsia="Arial" w:hAnsi="Arial"/>
                <w:sz w:val="18"/>
                <w:szCs w:val="18"/>
                <w:color w:val="auto"/>
                <w:w w:val="92"/>
              </w:rPr>
              <w:t>Yuichi Iwaki, M.D., Ph.D.</w:t>
            </w:r>
          </w:p>
        </w:tc>
      </w:tr>
      <w:tr>
        <w:trPr>
          <w:trHeight w:val="222"/>
        </w:trPr>
        <w:tc>
          <w:tcPr>
            <w:tcW w:w="31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100" w:type="dxa"/>
            <w:vAlign w:val="bottom"/>
          </w:tcPr>
          <w:p>
            <w:pPr>
              <w:jc w:val="center"/>
              <w:ind w:right="1292"/>
              <w:spacing w:after="0"/>
              <w:rPr>
                <w:sz w:val="20"/>
                <w:szCs w:val="20"/>
                <w:color w:val="auto"/>
              </w:rPr>
            </w:pPr>
            <w:r>
              <w:rPr>
                <w:rFonts w:ascii="Arial" w:cs="Arial" w:eastAsia="Arial" w:hAnsi="Arial"/>
                <w:sz w:val="18"/>
                <w:szCs w:val="18"/>
                <w:color w:val="auto"/>
                <w:w w:val="91"/>
              </w:rPr>
              <w:t>President &amp; Chief Executive Officer</w:t>
            </w:r>
          </w:p>
        </w:tc>
      </w:tr>
      <w:tr>
        <w:trPr>
          <w:trHeight w:val="365"/>
        </w:trPr>
        <w:tc>
          <w:tcPr>
            <w:tcW w:w="3140" w:type="dxa"/>
            <w:vAlign w:val="bottom"/>
          </w:tcPr>
          <w:p>
            <w:pPr>
              <w:spacing w:after="0"/>
              <w:rPr>
                <w:sz w:val="24"/>
                <w:szCs w:val="24"/>
                <w:color w:val="auto"/>
              </w:rPr>
            </w:pPr>
          </w:p>
        </w:tc>
        <w:tc>
          <w:tcPr>
            <w:tcW w:w="4180" w:type="dxa"/>
            <w:vAlign w:val="bottom"/>
            <w:gridSpan w:val="2"/>
          </w:tcPr>
          <w:p>
            <w:pPr>
              <w:ind w:left="1580"/>
              <w:spacing w:after="0"/>
              <w:rPr>
                <w:sz w:val="20"/>
                <w:szCs w:val="20"/>
                <w:color w:val="auto"/>
              </w:rPr>
            </w:pPr>
            <w:r>
              <w:rPr>
                <w:rFonts w:ascii="Arial" w:cs="Arial" w:eastAsia="Arial" w:hAnsi="Arial"/>
                <w:sz w:val="18"/>
                <w:szCs w:val="18"/>
                <w:b w:val="1"/>
                <w:bCs w:val="1"/>
                <w:color w:val="auto"/>
              </w:rPr>
              <w:t>POWER OF ATTORNEY</w:t>
            </w:r>
          </w:p>
        </w:tc>
        <w:tc>
          <w:tcPr>
            <w:tcW w:w="4100" w:type="dxa"/>
            <w:vAlign w:val="bottom"/>
          </w:tcPr>
          <w:p>
            <w:pPr>
              <w:spacing w:after="0"/>
              <w:rPr>
                <w:sz w:val="24"/>
                <w:szCs w:val="24"/>
                <w:color w:val="auto"/>
              </w:rPr>
            </w:pPr>
          </w:p>
        </w:tc>
      </w:tr>
    </w:tbl>
    <w:p>
      <w:pPr>
        <w:spacing w:after="0" w:line="14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and Michael Coffee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6"/>
              </w:rPr>
              <w:t>Signature</w:t>
            </w:r>
          </w:p>
        </w:tc>
        <w:tc>
          <w:tcPr>
            <w:tcW w:w="206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820" w:type="dxa"/>
            <w:vAlign w:val="bottom"/>
          </w:tcPr>
          <w:p>
            <w:pPr>
              <w:spacing w:after="0"/>
              <w:rPr>
                <w:sz w:val="19"/>
                <w:szCs w:val="19"/>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4"/>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Yuichi Iwaki</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 President &amp; Chief Executive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2011</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Yuichi Iwaki, M.D., Ph.D.</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Executive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7"/>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Michael Coffee</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Interim Chief Financial Officer (Principal Financial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2011</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Michael Coffee</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Officer and Principal Accounting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 Himawan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2011</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0"/>
              </w:rPr>
              <w:t>Jeff Himawan,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Arlene Morris</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2011</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3"/>
              </w:rPr>
              <w:t>Arlene Morris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John K.A. Prendergast</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2011</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John K.A. Prendergast,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Hiroaki Shigeta</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2011</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Hiroaki Shigeta</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70"/>
        </w:trPr>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ind w:left="100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(Nos. 333-163116 and 333-138241) on Form S-3 and (Nos. 333-151808, 333-141694, and 333-122665) on Form S-8 of MediciNova, Inc. of our reports dated March 31, 2011, with respect to the consolidated balance sheets of MediciNova, Inc. and subsidiaries (a development stage company) as of December 31, 2010 and 2009, and the related consolidated statements of operations, stockholders’ equity and comprehensive loss, and cash flows for each of the years in the two-year period ended December 31, 2010, and the effectiveness of internal control over financial reporting of MediciNova, Inc. as of December 31, 2010 and for the period from September 26, 2000 (inception) through December 31, 2010, which reports appear in the December 31, 2010 annual report on Form 10-K of MediciNova, Inc.</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on Forms S-3 (Nos. 333-163116 and 333-138241) of MediciNova, Inc. and in the related Prospectuses and on Forms S-8 (Nos. 333-151808, 333-141694, and 333-122665) of our report dated March 27, 2009, with respect to the consolidated financial statements of MediciNova, Inc., included in this Annual Report (Form 10-K) for the year ended December 31, 2010.</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58"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2010 of MediciNova, Inc.;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firstLine="8"/>
        <w:spacing w:after="0" w:line="259" w:lineRule="auto"/>
        <w:tabs>
          <w:tab w:leader="none" w:pos="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Michael Coffee, certify that:</w:t>
      </w:r>
    </w:p>
    <w:p>
      <w:pPr>
        <w:spacing w:after="0" w:line="158"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2010 of MediciNova, Inc.;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firstLine="8"/>
        <w:spacing w:after="0" w:line="259" w:lineRule="auto"/>
        <w:tabs>
          <w:tab w:leader="none" w:pos="1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Coffee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ectPr>
          <w:pgSz w:w="11900" w:h="16838" w:orient="portrait"/>
          <w:cols w:equalWidth="0" w:num="1">
            <w:col w:w="11420"/>
          </w:cols>
          <w:pgMar w:left="240" w:top="12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2010,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31,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Yuichi Iwaki</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Yuichi Iwaki, M.D., Ph.D.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&amp; Chief Executive Officer</w:t>
            </w:r>
          </w:p>
        </w:tc>
      </w:tr>
    </w:tbl>
    <w:p>
      <w:pPr>
        <w:spacing w:after="0" w:line="14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2010, as filed with the Securities and Exchange Commission on the date hereof (the “Report”), I, Michael Coffee, as Interim Chief Financial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31,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Coffee</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Michael Coffee</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Interim Chief Financial Officer</w:t>
            </w:r>
          </w:p>
        </w:tc>
      </w:tr>
    </w:tbl>
    <w:p>
      <w:pPr>
        <w:spacing w:after="0" w:line="14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22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3"/>
    </w:lvl>
  </w:abstractNum>
  <w:abstractNum w:abstractNumId="51">
    <w:nsid w:val="10233C99"/>
    <w:multiLevelType w:val="hybridMultilevel"/>
    <w:lvl w:ilvl="0">
      <w:lvlJc w:val="left"/>
      <w:lvlText w:val="(%1)"/>
      <w:numFmt w:val="decimal"/>
      <w:start w:val="10"/>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221"/>
    </w:lvl>
  </w:abstractNum>
  <w:abstractNum w:abstractNumId="58">
    <w:nsid w:val="5FF87E05"/>
    <w:multiLevelType w:val="hybridMultilevel"/>
    <w:lvl w:ilvl="0">
      <w:lvlJc w:val="left"/>
      <w:lvlText w:val="(%1)"/>
      <w:numFmt w:val="decimal"/>
      <w:start w:val="2"/>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5"/>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2019-12-10T22:07:50Z</dcterms:created>
  <dcterms:modified xsi:type="dcterms:W3CDTF">2019-12-10T22:07:50Z</dcterms:modified>
</cp:coreProperties>
</file>