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7" w:lineRule="exact"/>
        <w:rPr>
          <w:rFonts w:ascii="MS PGothic" w:cs="MS PGothic" w:eastAsia="MS PGothic" w:hAnsi="MS PGothic"/>
          <w:sz w:val="18"/>
          <w:szCs w:val="18"/>
          <w:color w:val="auto"/>
          <w:highlight w:val="black"/>
        </w:rPr>
      </w:pPr>
    </w:p>
    <w:p>
      <w:pPr>
        <w:ind w:left="3400"/>
        <w:spacing w:after="0"/>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FOR THE QUARTERLY PERIOD ENDED September 30, 2022</w:t>
      </w:r>
    </w:p>
    <w:p>
      <w:pPr>
        <w:spacing w:after="0" w:line="9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81" w:lineRule="exact"/>
        <w:rPr>
          <w:sz w:val="24"/>
          <w:szCs w:val="24"/>
          <w:color w:val="auto"/>
        </w:rPr>
      </w:pPr>
    </w:p>
    <w:p>
      <w:pPr>
        <w:ind w:left="3140"/>
        <w:spacing w:after="0"/>
        <w:tabs>
          <w:tab w:leader="none" w:pos="70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MEDICINOVA,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240"/>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4540" w:type="dxa"/>
            <w:vAlign w:val="bottom"/>
            <w:gridSpan w:val="3"/>
          </w:tcPr>
          <w:p>
            <w:pPr>
              <w:jc w:val="center"/>
              <w:ind w:left="91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60" w:type="dxa"/>
            <w:vAlign w:val="bottom"/>
          </w:tcPr>
          <w:p>
            <w:pPr>
              <w:jc w:val="center"/>
              <w:ind w:right="1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gridSpan w:val="3"/>
          </w:tcPr>
          <w:p>
            <w:pPr>
              <w:jc w:val="center"/>
              <w:ind w:left="89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6"/>
              </w:rPr>
              <w:t>Identification No.)</w:t>
            </w:r>
          </w:p>
        </w:tc>
      </w:tr>
      <w:tr>
        <w:trPr>
          <w:trHeight w:val="331"/>
        </w:trPr>
        <w:tc>
          <w:tcPr>
            <w:tcW w:w="4540" w:type="dxa"/>
            <w:vAlign w:val="bottom"/>
            <w:gridSpan w:val="3"/>
          </w:tcPr>
          <w:p>
            <w:pPr>
              <w:jc w:val="center"/>
              <w:ind w:left="918"/>
              <w:spacing w:after="0"/>
              <w:rPr>
                <w:sz w:val="20"/>
                <w:szCs w:val="20"/>
                <w:color w:val="auto"/>
              </w:rPr>
            </w:pPr>
            <w:r>
              <w:rPr>
                <w:rFonts w:ascii="Arial" w:cs="Arial" w:eastAsia="Arial" w:hAnsi="Arial"/>
                <w:sz w:val="18"/>
                <w:szCs w:val="18"/>
                <w:b w:val="1"/>
                <w:bCs w:val="1"/>
                <w:color w:val="auto"/>
                <w:w w:val="89"/>
              </w:rPr>
              <w:t>4275 Executive Square, Suite 300</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2"/>
        </w:trPr>
        <w:tc>
          <w:tcPr>
            <w:tcW w:w="4540" w:type="dxa"/>
            <w:vAlign w:val="bottom"/>
            <w:gridSpan w:val="3"/>
          </w:tcPr>
          <w:p>
            <w:pPr>
              <w:jc w:val="center"/>
              <w:ind w:left="898"/>
              <w:spacing w:after="0"/>
              <w:rPr>
                <w:sz w:val="20"/>
                <w:szCs w:val="20"/>
                <w:color w:val="auto"/>
              </w:rPr>
            </w:pPr>
            <w:r>
              <w:rPr>
                <w:rFonts w:ascii="Arial" w:cs="Arial" w:eastAsia="Arial" w:hAnsi="Arial"/>
                <w:sz w:val="18"/>
                <w:szCs w:val="18"/>
                <w:b w:val="1"/>
                <w:bCs w:val="1"/>
                <w:color w:val="auto"/>
                <w:w w:val="93"/>
              </w:rPr>
              <w:t>La Jolla, CA</w:t>
            </w: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jc w:val="right"/>
              <w:ind w:right="2440"/>
              <w:spacing w:after="0"/>
              <w:rPr>
                <w:sz w:val="20"/>
                <w:szCs w:val="20"/>
                <w:color w:val="auto"/>
              </w:rPr>
            </w:pPr>
            <w:r>
              <w:rPr>
                <w:rFonts w:ascii="Arial" w:cs="Arial" w:eastAsia="Arial" w:hAnsi="Arial"/>
                <w:sz w:val="18"/>
                <w:szCs w:val="18"/>
                <w:b w:val="1"/>
                <w:bCs w:val="1"/>
                <w:color w:val="auto"/>
              </w:rPr>
              <w:t>92037</w:t>
            </w:r>
          </w:p>
        </w:tc>
      </w:tr>
      <w:tr>
        <w:trPr>
          <w:trHeight w:val="186"/>
        </w:trPr>
        <w:tc>
          <w:tcPr>
            <w:tcW w:w="4540" w:type="dxa"/>
            <w:vAlign w:val="bottom"/>
            <w:gridSpan w:val="3"/>
          </w:tcPr>
          <w:p>
            <w:pPr>
              <w:jc w:val="center"/>
              <w:ind w:left="9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tcPr>
          <w:p>
            <w:pPr>
              <w:jc w:val="center"/>
              <w:ind w:right="1960"/>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3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120" w:type="dxa"/>
            <w:vAlign w:val="bottom"/>
          </w:tcPr>
          <w:p>
            <w:pPr>
              <w:jc w:val="center"/>
              <w:ind w:right="859"/>
              <w:spacing w:after="0"/>
              <w:rPr>
                <w:sz w:val="20"/>
                <w:szCs w:val="20"/>
                <w:color w:val="auto"/>
              </w:rPr>
            </w:pPr>
            <w:r>
              <w:rPr>
                <w:rFonts w:ascii="Arial" w:cs="Arial" w:eastAsia="Arial" w:hAnsi="Arial"/>
                <w:sz w:val="16"/>
                <w:szCs w:val="16"/>
                <w:b w:val="1"/>
                <w:bCs w:val="1"/>
                <w:color w:val="auto"/>
                <w:w w:val="93"/>
              </w:rPr>
              <w:t>(858) 373-1500</w:t>
            </w:r>
          </w:p>
        </w:tc>
        <w:tc>
          <w:tcPr>
            <w:tcW w:w="120" w:type="dxa"/>
            <w:vAlign w:val="bottom"/>
          </w:tcPr>
          <w:p>
            <w:pPr>
              <w:spacing w:after="0"/>
              <w:rPr>
                <w:sz w:val="22"/>
                <w:szCs w:val="22"/>
                <w:color w:val="auto"/>
              </w:rPr>
            </w:pPr>
          </w:p>
        </w:tc>
        <w:tc>
          <w:tcPr>
            <w:tcW w:w="3460" w:type="dxa"/>
            <w:vAlign w:val="bottom"/>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3460" w:type="dxa"/>
            <w:vAlign w:val="bottom"/>
          </w:tcPr>
          <w:p>
            <w:pPr>
              <w:spacing w:after="0"/>
              <w:rPr>
                <w:sz w:val="18"/>
                <w:szCs w:val="18"/>
                <w:color w:val="auto"/>
              </w:rPr>
            </w:pPr>
          </w:p>
        </w:tc>
      </w:tr>
      <w:tr>
        <w:trPr>
          <w:trHeight w:val="343"/>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51"/>
        </w:trPr>
        <w:tc>
          <w:tcPr>
            <w:tcW w:w="4540" w:type="dxa"/>
            <w:vAlign w:val="bottom"/>
            <w:gridSpan w:val="3"/>
          </w:tcPr>
          <w:p>
            <w:pPr>
              <w:jc w:val="center"/>
              <w:ind w:right="1079"/>
              <w:spacing w:after="0"/>
              <w:rPr>
                <w:sz w:val="20"/>
                <w:szCs w:val="20"/>
                <w:color w:val="auto"/>
              </w:rPr>
            </w:pPr>
            <w:r>
              <w:rPr>
                <w:rFonts w:ascii="Arial" w:cs="Arial" w:eastAsia="Arial" w:hAnsi="Arial"/>
                <w:sz w:val="14"/>
                <w:szCs w:val="14"/>
                <w:b w:val="1"/>
                <w:bCs w:val="1"/>
                <w:color w:val="auto"/>
                <w:w w:val="92"/>
              </w:rPr>
              <w:t>Common Stock, $0.001 par value</w:t>
            </w:r>
          </w:p>
        </w:tc>
        <w:tc>
          <w:tcPr>
            <w:tcW w:w="32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MNOV</w:t>
            </w:r>
          </w:p>
        </w:tc>
        <w:tc>
          <w:tcPr>
            <w:tcW w:w="346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r>
      <w:tr>
        <w:trPr>
          <w:trHeight w:val="224"/>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859"/>
              <w:spacing w:after="0"/>
              <w:rPr>
                <w:sz w:val="20"/>
                <w:szCs w:val="20"/>
                <w:color w:val="auto"/>
              </w:rPr>
            </w:pPr>
            <w:r>
              <w:rPr>
                <w:rFonts w:ascii="Arial" w:cs="Arial" w:eastAsia="Arial" w:hAnsi="Arial"/>
                <w:sz w:val="18"/>
                <w:szCs w:val="18"/>
                <w:color w:val="auto"/>
                <w:w w:val="93"/>
              </w:rPr>
              <w:t>(Trading symbol(s))</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bl>
    <w:p>
      <w:pPr>
        <w:spacing w:after="0" w:line="88" w:lineRule="exact"/>
        <w:rPr>
          <w:sz w:val="24"/>
          <w:szCs w:val="24"/>
          <w:color w:val="auto"/>
        </w:rPr>
      </w:pPr>
    </w:p>
    <w:p>
      <w:pPr>
        <w:jc w:val="both"/>
        <w:ind w:right="80" w:firstLine="51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 w:lineRule="exact"/>
        <w:rPr>
          <w:sz w:val="24"/>
          <w:szCs w:val="24"/>
          <w:color w:val="auto"/>
        </w:rPr>
      </w:pPr>
    </w:p>
    <w:p>
      <w:pPr>
        <w:jc w:val="both"/>
        <w:ind w:right="80" w:firstLine="51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6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431" w:right="339" w:bottom="1440" w:gutter="0" w:footer="0" w:header="0"/>
        </w:sectPr>
      </w:pPr>
    </w:p>
    <w:p>
      <w:pPr>
        <w:spacing w:after="0" w:line="25"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163" w:lineRule="exact"/>
        <w:rPr>
          <w:sz w:val="24"/>
          <w:szCs w:val="24"/>
          <w:color w:val="auto"/>
        </w:rPr>
      </w:pPr>
    </w:p>
    <w:p>
      <w:pPr>
        <w:spacing w:after="0" w:line="161" w:lineRule="exact"/>
        <w:tabs>
          <w:tab w:leader="none" w:pos="2460" w:val="left"/>
          <w:tab w:leader="none" w:pos="794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9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56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8, 2022, the registrant had 49,046,246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209550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280"/>
            <w:col w:w="280"/>
          </w:cols>
          <w:pgMar w:left="320" w:top="431" w:right="339" w:bottom="1440" w:gutter="0" w:footer="0" w:header="0"/>
          <w:type w:val="continuous"/>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300" w:right="16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62" w:lineRule="exact"/>
        <w:rPr>
          <w:rFonts w:ascii="Arial" w:cs="Arial" w:eastAsia="Arial" w:hAnsi="Arial"/>
          <w:sz w:val="18"/>
          <w:szCs w:val="18"/>
          <w:color w:val="auto"/>
        </w:rPr>
      </w:pPr>
    </w:p>
    <w:p>
      <w:pPr>
        <w:ind w:left="1300" w:right="4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300" w:right="2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300" w:right="600" w:hanging="725"/>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widespread outbreak of an illness or any other communicable disease, such as COVID-19, which has lead to key employees becoming ill for a period of time;</w:t>
      </w:r>
    </w:p>
    <w:p>
      <w:pPr>
        <w:spacing w:after="0" w:line="62"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300" w:hanging="725"/>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72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rPr>
              <w:t>MEDICINOVA, INC.</w:t>
            </w:r>
          </w:p>
        </w:tc>
        <w:tc>
          <w:tcPr>
            <w:tcW w:w="110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720" w:type="dxa"/>
            <w:vAlign w:val="bottom"/>
            <w:gridSpan w:val="4"/>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100" w:type="dxa"/>
            <w:vAlign w:val="bottom"/>
          </w:tcPr>
          <w:p>
            <w:pPr>
              <w:spacing w:after="0"/>
              <w:rPr>
                <w:sz w:val="24"/>
                <w:szCs w:val="24"/>
                <w:color w:val="auto"/>
              </w:rPr>
            </w:pPr>
          </w:p>
        </w:tc>
      </w:tr>
      <w:tr>
        <w:trPr>
          <w:trHeight w:val="405"/>
        </w:trPr>
        <w:tc>
          <w:tcPr>
            <w:tcW w:w="10120" w:type="dxa"/>
            <w:vAlign w:val="bottom"/>
            <w:gridSpan w:val="15"/>
          </w:tcPr>
          <w:p>
            <w:pPr>
              <w:spacing w:after="0"/>
              <w:rPr>
                <w:sz w:val="20"/>
                <w:szCs w:val="20"/>
                <w:color w:val="auto"/>
              </w:rPr>
            </w:pPr>
            <w:r>
              <w:rPr>
                <w:rFonts w:ascii="Arial" w:cs="Arial" w:eastAsia="Arial" w:hAnsi="Arial"/>
                <w:sz w:val="18"/>
                <w:szCs w:val="18"/>
                <w:color w:val="0000EE"/>
              </w:rPr>
              <w:t>PART I. FINANCIAL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sz w:val="20"/>
                <w:szCs w:val="20"/>
                <w:color w:val="auto"/>
              </w:rPr>
            </w:pPr>
            <w:r>
              <w:rPr>
                <w:rFonts w:ascii="Arial" w:cs="Arial" w:eastAsia="Arial" w:hAnsi="Arial"/>
                <w:sz w:val="18"/>
                <w:szCs w:val="18"/>
                <w:color w:val="0000EE"/>
              </w:rPr>
              <w:t>CONDENSED CONSOLIDATED FINANCIAL STATEMENTS (unaudited)</w:t>
            </w: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7"/>
              </w:rPr>
              <w:t>MANAGEMENT’S DISCUSSION AND ANALYSIS OF FINANCIAL CONDITION AND RESULTS OF OPERATIONS</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8920" w:type="dxa"/>
            <w:vAlign w:val="bottom"/>
            <w:gridSpan w:val="13"/>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61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0000EE"/>
              </w:rPr>
              <w:t>CONTROLS AND PROCEDURES</w:t>
            </w:r>
          </w:p>
        </w:tc>
        <w:tc>
          <w:tcPr>
            <w:tcW w:w="2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44"/>
        </w:trPr>
        <w:tc>
          <w:tcPr>
            <w:tcW w:w="25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5"/>
              </w:rPr>
              <w:t>PART II. OTHER INFORMATION</w:t>
            </w:r>
          </w:p>
        </w:tc>
        <w:tc>
          <w:tcPr>
            <w:tcW w:w="754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8920" w:type="dxa"/>
            <w:vAlign w:val="bottom"/>
            <w:gridSpan w:val="13"/>
          </w:tcPr>
          <w:p>
            <w:pPr>
              <w:spacing w:after="0"/>
              <w:rPr>
                <w:sz w:val="20"/>
                <w:szCs w:val="20"/>
                <w:color w:val="auto"/>
              </w:rPr>
            </w:pPr>
            <w:r>
              <w:rPr>
                <w:rFonts w:ascii="Arial" w:cs="Arial" w:eastAsia="Arial" w:hAnsi="Arial"/>
                <w:sz w:val="18"/>
                <w:szCs w:val="18"/>
                <w:color w:val="0000EE"/>
              </w:rPr>
              <w:t>LEGAL PROCEEDINGS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12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3"/>
              </w:rPr>
              <w:t>RISK FACTORS</w:t>
            </w:r>
          </w:p>
        </w:tc>
        <w:tc>
          <w:tcPr>
            <w:tcW w:w="620" w:type="dxa"/>
            <w:vAlign w:val="bottom"/>
            <w:tcBorders>
              <w:top w:val="single" w:sz="8" w:color="0000EE"/>
            </w:tcBorders>
            <w:gridSpan w:val="3"/>
          </w:tcPr>
          <w:p>
            <w:pPr>
              <w:spacing w:after="0"/>
              <w:rPr>
                <w:sz w:val="18"/>
                <w:szCs w:val="18"/>
                <w:color w:val="auto"/>
              </w:rPr>
            </w:pPr>
          </w:p>
        </w:tc>
        <w:tc>
          <w:tcPr>
            <w:tcW w:w="7040" w:type="dxa"/>
            <w:vAlign w:val="bottom"/>
            <w:gridSpan w:val="8"/>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60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4"/>
              </w:rPr>
              <w:t>UNREGISTERED SALES OF EQUITY SECURITIES AND USE OF PROCEEDS</w:t>
            </w:r>
          </w:p>
        </w:tc>
        <w:tc>
          <w:tcPr>
            <w:tcW w:w="2840" w:type="dxa"/>
            <w:vAlign w:val="bottom"/>
            <w:gridSpan w:val="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32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4"/>
              </w:rPr>
              <w:t>DEFAULTS UPON SENIOR SECURITIES</w:t>
            </w:r>
          </w:p>
        </w:tc>
        <w:tc>
          <w:tcPr>
            <w:tcW w:w="5720" w:type="dxa"/>
            <w:vAlign w:val="bottom"/>
            <w:gridSpan w:val="4"/>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8920" w:type="dxa"/>
            <w:vAlign w:val="bottom"/>
            <w:gridSpan w:val="13"/>
          </w:tcPr>
          <w:p>
            <w:pPr>
              <w:spacing w:after="0"/>
              <w:rPr>
                <w:sz w:val="20"/>
                <w:szCs w:val="20"/>
                <w:color w:val="auto"/>
              </w:rPr>
            </w:pPr>
            <w:r>
              <w:rPr>
                <w:rFonts w:ascii="Arial" w:cs="Arial" w:eastAsia="Arial" w:hAnsi="Arial"/>
                <w:sz w:val="18"/>
                <w:szCs w:val="18"/>
                <w:color w:val="0000EE"/>
              </w:rPr>
              <w:t>MINE SAFETY DISCLOSURES</w:t>
            </w: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9"/>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19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6"/>
              </w:rPr>
              <w:t>OTHER INFORMATION</w:t>
            </w:r>
          </w:p>
        </w:tc>
        <w:tc>
          <w:tcPr>
            <w:tcW w:w="540" w:type="dxa"/>
            <w:vAlign w:val="bottom"/>
            <w:tcBorders>
              <w:top w:val="single" w:sz="8" w:color="0000EE"/>
            </w:tcBorders>
          </w:tcPr>
          <w:p>
            <w:pPr>
              <w:spacing w:after="0"/>
              <w:rPr>
                <w:sz w:val="18"/>
                <w:szCs w:val="18"/>
                <w:color w:val="auto"/>
              </w:rPr>
            </w:pPr>
          </w:p>
        </w:tc>
        <w:tc>
          <w:tcPr>
            <w:tcW w:w="6480" w:type="dxa"/>
            <w:vAlign w:val="bottom"/>
            <w:gridSpan w:val="6"/>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0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8920" w:type="dxa"/>
            <w:vAlign w:val="bottom"/>
            <w:gridSpan w:val="13"/>
          </w:tcPr>
          <w:p>
            <w:pPr>
              <w:spacing w:after="0"/>
              <w:rPr>
                <w:sz w:val="20"/>
                <w:szCs w:val="20"/>
                <w:color w:val="auto"/>
              </w:rPr>
            </w:pPr>
            <w:r>
              <w:rPr>
                <w:rFonts w:ascii="Arial" w:cs="Arial" w:eastAsia="Arial" w:hAnsi="Arial"/>
                <w:sz w:val="18"/>
                <w:szCs w:val="18"/>
                <w:color w:val="0000EE"/>
              </w:rPr>
              <w:t>EXHIBITS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44"/>
        </w:trPr>
        <w:tc>
          <w:tcPr>
            <w:tcW w:w="1200" w:type="dxa"/>
            <w:vAlign w:val="bottom"/>
            <w:gridSpan w:val="2"/>
          </w:tcPr>
          <w:p>
            <w:pPr>
              <w:spacing w:after="0"/>
              <w:rPr>
                <w:sz w:val="20"/>
                <w:szCs w:val="20"/>
                <w:color w:val="auto"/>
              </w:rPr>
            </w:pPr>
            <w:r>
              <w:rPr>
                <w:rFonts w:ascii="Arial" w:cs="Arial" w:eastAsia="Arial" w:hAnsi="Arial"/>
                <w:sz w:val="18"/>
                <w:szCs w:val="18"/>
                <w:color w:val="0000EE"/>
              </w:rPr>
              <w:t>SIGNATURES</w:t>
            </w:r>
          </w:p>
        </w:tc>
        <w:tc>
          <w:tcPr>
            <w:tcW w:w="82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410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620" w:type="dxa"/>
            <w:vAlign w:val="bottom"/>
            <w:tcBorders>
              <w:bottom w:val="single" w:sz="8" w:color="CFF0FC"/>
            </w:tcBorders>
          </w:tcPr>
          <w:p>
            <w:pPr>
              <w:spacing w:after="0"/>
              <w:rPr>
                <w:sz w:val="17"/>
                <w:szCs w:val="17"/>
                <w:color w:val="auto"/>
              </w:rPr>
            </w:pPr>
          </w:p>
        </w:tc>
        <w:tc>
          <w:tcPr>
            <w:tcW w:w="8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7"/>
                <w:szCs w:val="17"/>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52,507,263</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71,430,954</w:t>
            </w:r>
          </w:p>
        </w:tc>
        <w:tc>
          <w:tcPr>
            <w:tcW w:w="80" w:type="dxa"/>
            <w:vAlign w:val="bottom"/>
            <w:shd w:val="clear" w:color="auto" w:fill="CFF0FC"/>
          </w:tcPr>
          <w:p>
            <w:pPr>
              <w:spacing w:after="0"/>
              <w:rPr>
                <w:sz w:val="19"/>
                <w:szCs w:val="19"/>
                <w:color w:val="auto"/>
              </w:rPr>
            </w:pPr>
          </w:p>
        </w:tc>
      </w:tr>
      <w:tr>
        <w:trPr>
          <w:trHeight w:val="229"/>
        </w:trPr>
        <w:tc>
          <w:tcPr>
            <w:tcW w:w="66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641,732</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577,992</w:t>
            </w:r>
          </w:p>
        </w:tc>
        <w:tc>
          <w:tcPr>
            <w:tcW w:w="8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53,148,995</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72,008,946</w:t>
            </w:r>
          </w:p>
        </w:tc>
        <w:tc>
          <w:tcPr>
            <w:tcW w:w="80" w:type="dxa"/>
            <w:vAlign w:val="bottom"/>
            <w:shd w:val="clear" w:color="auto" w:fill="CFF0FC"/>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Arial" w:cs="Arial" w:eastAsia="Arial" w:hAnsi="Arial"/>
                <w:sz w:val="18"/>
                <w:szCs w:val="18"/>
                <w:color w:val="auto"/>
              </w:rPr>
              <w:t>Investments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10,021,849</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4,800,000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45,894</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57,565</w:t>
            </w:r>
          </w:p>
        </w:tc>
        <w:tc>
          <w:tcPr>
            <w:tcW w:w="80" w:type="dxa"/>
            <w:vAlign w:val="bottom"/>
            <w:shd w:val="clear" w:color="auto" w:fill="CFF0FC"/>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Right-of-use asset</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673,092</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824,215</w:t>
            </w:r>
          </w:p>
        </w:tc>
        <w:tc>
          <w:tcPr>
            <w:tcW w:w="80" w:type="dxa"/>
            <w:vAlign w:val="bottom"/>
          </w:tcPr>
          <w:p>
            <w:pPr>
              <w:spacing w:after="0"/>
              <w:rPr>
                <w:sz w:val="19"/>
                <w:szCs w:val="19"/>
                <w:color w:val="auto"/>
              </w:rPr>
            </w:pPr>
          </w:p>
        </w:tc>
      </w:tr>
      <w:tr>
        <w:trPr>
          <w:trHeight w:val="229"/>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101,700</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115,492</w:t>
            </w:r>
          </w:p>
        </w:tc>
        <w:tc>
          <w:tcPr>
            <w:tcW w:w="80" w:type="dxa"/>
            <w:vAlign w:val="bottom"/>
            <w:shd w:val="clear" w:color="auto" w:fill="CFF0FC"/>
          </w:tcPr>
          <w:p>
            <w:pPr>
              <w:spacing w:after="0"/>
              <w:rPr>
                <w:sz w:val="19"/>
                <w:szCs w:val="19"/>
                <w:color w:val="auto"/>
              </w:rPr>
            </w:pPr>
          </w:p>
        </w:tc>
      </w:tr>
      <w:tr>
        <w:trPr>
          <w:trHeight w:val="26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78,391,770</w:t>
            </w:r>
          </w:p>
        </w:tc>
        <w:tc>
          <w:tcPr>
            <w:tcW w:w="4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87,406,458</w:t>
            </w:r>
          </w:p>
        </w:tc>
        <w:tc>
          <w:tcPr>
            <w:tcW w:w="80" w:type="dxa"/>
            <w:vAlign w:val="bottom"/>
            <w:tcBorders>
              <w:bottom w:val="single" w:sz="8" w:color="CFF0FC"/>
            </w:tcBorders>
          </w:tcPr>
          <w:p>
            <w:pPr>
              <w:spacing w:after="0"/>
              <w:rPr>
                <w:sz w:val="22"/>
                <w:szCs w:val="22"/>
                <w:color w:val="auto"/>
              </w:rPr>
            </w:pPr>
          </w:p>
        </w:tc>
      </w:tr>
      <w:tr>
        <w:trPr>
          <w:trHeight w:val="210"/>
        </w:trPr>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552,720</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402,740</w:t>
            </w:r>
          </w:p>
        </w:tc>
        <w:tc>
          <w:tcPr>
            <w:tcW w:w="80" w:type="dxa"/>
            <w:vAlign w:val="bottom"/>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Accrued liabilities and other current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3,808,474</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2,298,203</w:t>
            </w:r>
          </w:p>
        </w:tc>
        <w:tc>
          <w:tcPr>
            <w:tcW w:w="80" w:type="dxa"/>
            <w:vAlign w:val="bottom"/>
          </w:tcPr>
          <w:p>
            <w:pPr>
              <w:spacing w:after="0"/>
              <w:rPr>
                <w:sz w:val="19"/>
                <w:szCs w:val="19"/>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167,073</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4,528,267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2,832,908</w:t>
            </w:r>
          </w:p>
        </w:tc>
        <w:tc>
          <w:tcPr>
            <w:tcW w:w="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201,792</w:t>
            </w:r>
          </w:p>
        </w:tc>
        <w:tc>
          <w:tcPr>
            <w:tcW w:w="80" w:type="dxa"/>
            <w:vAlign w:val="bottom"/>
            <w:shd w:val="clear" w:color="auto" w:fill="CFF0FC"/>
          </w:tcPr>
          <w:p>
            <w:pPr>
              <w:spacing w:after="0"/>
              <w:rPr>
                <w:sz w:val="19"/>
                <w:szCs w:val="19"/>
                <w:color w:val="auto"/>
              </w:rPr>
            </w:pPr>
          </w:p>
        </w:tc>
      </w:tr>
      <w:tr>
        <w:trPr>
          <w:trHeight w:val="230"/>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8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555,840</w:t>
            </w:r>
          </w:p>
        </w:tc>
        <w:tc>
          <w:tcPr>
            <w:tcW w:w="4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tcBorders>
              <w:bottom w:val="single" w:sz="8" w:color="CFF0FC"/>
            </w:tcBorders>
          </w:tcPr>
          <w:p>
            <w:pPr>
              <w:spacing w:after="0"/>
              <w:rPr>
                <w:sz w:val="19"/>
                <w:szCs w:val="19"/>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8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5,285,899</w:t>
            </w:r>
          </w:p>
        </w:tc>
        <w:tc>
          <w:tcPr>
            <w:tcW w:w="4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3,729,374</w:t>
            </w:r>
          </w:p>
        </w:tc>
        <w:tc>
          <w:tcPr>
            <w:tcW w:w="80" w:type="dxa"/>
            <w:vAlign w:val="bottom"/>
            <w:shd w:val="clear" w:color="auto" w:fill="CFF0FC"/>
          </w:tcPr>
          <w:p>
            <w:pPr>
              <w:spacing w:after="0"/>
              <w:rPr>
                <w:sz w:val="19"/>
                <w:szCs w:val="19"/>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6620" w:type="dxa"/>
            <w:vAlign w:val="bottom"/>
          </w:tcPr>
          <w:p>
            <w:pPr>
              <w:ind w:left="380"/>
              <w:spacing w:after="0"/>
              <w:rPr>
                <w:sz w:val="20"/>
                <w:szCs w:val="20"/>
                <w:color w:val="auto"/>
              </w:rPr>
            </w:pPr>
            <w:r>
              <w:rPr>
                <w:rFonts w:ascii="Arial" w:cs="Arial" w:eastAsia="Arial" w:hAnsi="Arial"/>
                <w:sz w:val="18"/>
                <w:szCs w:val="18"/>
                <w:color w:val="auto"/>
              </w:rPr>
              <w:t>Common stock, $0.001 par value; 100,000,000 shares authorized at</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tcPr>
          <w:p>
            <w:pPr>
              <w:ind w:left="520"/>
              <w:spacing w:after="0"/>
              <w:rPr>
                <w:sz w:val="20"/>
                <w:szCs w:val="20"/>
                <w:color w:val="auto"/>
              </w:rPr>
            </w:pPr>
            <w:r>
              <w:rPr>
                <w:rFonts w:ascii="Arial" w:cs="Arial" w:eastAsia="Arial" w:hAnsi="Arial"/>
                <w:sz w:val="18"/>
                <w:szCs w:val="18"/>
                <w:color w:val="auto"/>
              </w:rPr>
              <w:t>September 30, 2022 and December 31, 2021; 49,046,246 and 49,043,246</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tcPr>
          <w:p>
            <w:pPr>
              <w:ind w:left="520"/>
              <w:spacing w:after="0"/>
              <w:rPr>
                <w:sz w:val="20"/>
                <w:szCs w:val="20"/>
                <w:color w:val="auto"/>
              </w:rPr>
            </w:pPr>
            <w:r>
              <w:rPr>
                <w:rFonts w:ascii="Arial" w:cs="Arial" w:eastAsia="Arial" w:hAnsi="Arial"/>
                <w:sz w:val="18"/>
                <w:szCs w:val="18"/>
                <w:color w:val="auto"/>
              </w:rPr>
              <w:t>shares issued and outstanding at September 30, 2022 and December</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20" w:type="dxa"/>
            <w:vAlign w:val="bottom"/>
          </w:tcPr>
          <w:p>
            <w:pPr>
              <w:ind w:left="520"/>
              <w:spacing w:after="0"/>
              <w:rPr>
                <w:sz w:val="20"/>
                <w:szCs w:val="20"/>
                <w:color w:val="auto"/>
              </w:rPr>
            </w:pPr>
            <w:r>
              <w:rPr>
                <w:rFonts w:ascii="Arial" w:cs="Arial" w:eastAsia="Arial" w:hAnsi="Arial"/>
                <w:sz w:val="18"/>
                <w:szCs w:val="18"/>
                <w:color w:val="auto"/>
              </w:rPr>
              <w:t>31, 2021, respectively</w:t>
            </w: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49,046</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49,043</w:t>
            </w:r>
          </w:p>
        </w:tc>
        <w:tc>
          <w:tcPr>
            <w:tcW w:w="80" w:type="dxa"/>
            <w:vAlign w:val="bottom"/>
          </w:tcPr>
          <w:p>
            <w:pPr>
              <w:spacing w:after="0"/>
              <w:rPr>
                <w:sz w:val="20"/>
                <w:szCs w:val="20"/>
                <w:color w:val="auto"/>
              </w:rPr>
            </w:pP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477,309,782</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476,788,012</w:t>
            </w:r>
          </w:p>
        </w:tc>
        <w:tc>
          <w:tcPr>
            <w:tcW w:w="80" w:type="dxa"/>
            <w:vAlign w:val="bottom"/>
            <w:shd w:val="clear" w:color="auto" w:fill="CFF0FC"/>
          </w:tcPr>
          <w:p>
            <w:pPr>
              <w:spacing w:after="0"/>
              <w:rPr>
                <w:sz w:val="19"/>
                <w:szCs w:val="19"/>
                <w:color w:val="auto"/>
              </w:rPr>
            </w:pPr>
          </w:p>
        </w:tc>
      </w:tr>
      <w:tr>
        <w:trPr>
          <w:trHeight w:val="230"/>
        </w:trPr>
        <w:tc>
          <w:tcPr>
            <w:tcW w:w="662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(124,264)</w:t>
            </w:r>
          </w:p>
        </w:tc>
        <w:tc>
          <w:tcPr>
            <w:tcW w:w="22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(98,877)</w:t>
            </w:r>
          </w:p>
        </w:tc>
      </w:tr>
      <w:tr>
        <w:trPr>
          <w:trHeight w:val="230"/>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(404,128,693)</w:t>
            </w: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(393,061,094)</w:t>
            </w:r>
          </w:p>
        </w:tc>
      </w:tr>
      <w:tr>
        <w:trPr>
          <w:trHeight w:val="223"/>
        </w:trPr>
        <w:tc>
          <w:tcPr>
            <w:tcW w:w="6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8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73,105,871</w:t>
            </w:r>
          </w:p>
        </w:tc>
        <w:tc>
          <w:tcPr>
            <w:tcW w:w="4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83,677,084</w:t>
            </w:r>
          </w:p>
        </w:tc>
        <w:tc>
          <w:tcPr>
            <w:tcW w:w="80" w:type="dxa"/>
            <w:vAlign w:val="bottom"/>
            <w:tcBorders>
              <w:bottom w:val="single" w:sz="8" w:color="CFF0FC"/>
            </w:tcBorders>
          </w:tcPr>
          <w:p>
            <w:pPr>
              <w:spacing w:after="0"/>
              <w:rPr>
                <w:sz w:val="19"/>
                <w:szCs w:val="19"/>
                <w:color w:val="auto"/>
              </w:rPr>
            </w:pPr>
          </w:p>
        </w:tc>
      </w:tr>
      <w:tr>
        <w:trPr>
          <w:trHeight w:val="223"/>
        </w:trPr>
        <w:tc>
          <w:tcPr>
            <w:tcW w:w="6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8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78,391,770</w:t>
            </w:r>
          </w:p>
        </w:tc>
        <w:tc>
          <w:tcPr>
            <w:tcW w:w="4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87,406,458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50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6"/>
          </w:tcPr>
          <w:p>
            <w:pPr>
              <w:jc w:val="right"/>
              <w:ind w:right="961"/>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2,454,203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2,088,618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7,131,168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6,761,015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1,443,264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1,550,821</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4,266,246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5,389,466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3,897,467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3,639,439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11,397,414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12,150,481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Operating loss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(3,897,467)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(3,601,939)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4"/>
              </w:rPr>
              <w:t>(11,397,414)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(8,112,981)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253,755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107,159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expense</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(8,472)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(13,381)</w:t>
            </w:r>
          </w:p>
        </w:tc>
        <w:tc>
          <w:tcPr>
            <w:tcW w:w="200" w:type="dxa"/>
            <w:vAlign w:val="bottom"/>
          </w:tcPr>
          <w:p>
            <w:pPr>
              <w:spacing w:after="0"/>
              <w:rPr>
                <w:sz w:val="19"/>
                <w:szCs w:val="19"/>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(52,554)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(45,285)</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(3,652,184</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(3,579,167</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(11,067,599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(8,051,107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6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6"/>
              </w:rPr>
              <w:t>Shares used to compute basic and diluted net loss per common share</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49,046,246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48,987,836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49,045,037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48,445,840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(3,652,184)</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(3,579,167)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w w:val="99"/>
              </w:rPr>
              <w:t>(11,067,599)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7"/>
              </w:rPr>
              <w:t>(8,051,107)</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Arial" w:cs="Arial" w:eastAsia="Arial" w:hAnsi="Arial"/>
                <w:sz w:val="18"/>
                <w:szCs w:val="18"/>
                <w:color w:val="auto"/>
              </w:rPr>
              <w:t>(5,972)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01"/>
              <w:spacing w:after="0"/>
              <w:rPr>
                <w:sz w:val="20"/>
                <w:szCs w:val="20"/>
                <w:color w:val="auto"/>
              </w:rPr>
            </w:pPr>
            <w:r>
              <w:rPr>
                <w:rFonts w:ascii="Arial" w:cs="Arial" w:eastAsia="Arial" w:hAnsi="Arial"/>
                <w:sz w:val="18"/>
                <w:szCs w:val="18"/>
                <w:color w:val="auto"/>
              </w:rPr>
              <w:t>(1,362)</w:t>
            </w:r>
          </w:p>
        </w:tc>
        <w:tc>
          <w:tcPr>
            <w:tcW w:w="200" w:type="dxa"/>
            <w:vAlign w:val="bottom"/>
          </w:tcPr>
          <w:p>
            <w:pPr>
              <w:spacing w:after="0"/>
              <w:rPr>
                <w:sz w:val="19"/>
                <w:szCs w:val="19"/>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(25,387)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4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(3,658,156</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(3,580,529</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(11,092,986</w:t>
            </w:r>
          </w:p>
        </w:tc>
        <w:tc>
          <w:tcPr>
            <w:tcW w:w="240" w:type="dxa"/>
            <w:vAlign w:val="bottom"/>
            <w:tcBorders>
              <w:top w:val="single" w:sz="8" w:color="CFF0FC"/>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(8,057,927</w:t>
            </w:r>
          </w:p>
        </w:tc>
        <w:tc>
          <w:tcPr>
            <w:tcW w:w="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7"/>
              </w:rPr>
              <w:t>Nine Months Ended September 30, 2022</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2021</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49,043,246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476,788,012</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(98,877)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(393,061,094)</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83,677,084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81,053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81,053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(3,386,417)</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(3,386,417)</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color w:val="auto"/>
              </w:rPr>
              <w:t>(7,435)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(7,435)</w:t>
            </w:r>
          </w:p>
        </w:tc>
        <w:tc>
          <w:tcPr>
            <w:tcW w:w="0" w:type="dxa"/>
            <w:vAlign w:val="bottom"/>
          </w:tcPr>
          <w:p>
            <w:pPr>
              <w:spacing w:after="0"/>
              <w:rPr>
                <w:sz w:val="1"/>
                <w:szCs w:val="1"/>
                <w:color w:val="auto"/>
              </w:rPr>
            </w:pPr>
          </w:p>
        </w:tc>
      </w:tr>
      <w:tr>
        <w:trPr>
          <w:trHeight w:val="156"/>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March 31, 2022</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49,043,246</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49,043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476,869,065</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(106,312)</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(396,447,511)</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80,364,285</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274,502</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274,502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7,917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7,920</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(4,028,998)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(4,028,998)</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(11,980)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(11,980)</w:t>
            </w:r>
          </w:p>
        </w:tc>
        <w:tc>
          <w:tcPr>
            <w:tcW w:w="0" w:type="dxa"/>
            <w:vAlign w:val="bottom"/>
          </w:tcPr>
          <w:p>
            <w:pPr>
              <w:spacing w:after="0"/>
              <w:rPr>
                <w:sz w:val="1"/>
                <w:szCs w:val="1"/>
                <w:color w:val="auto"/>
              </w:rPr>
            </w:pPr>
          </w:p>
        </w:tc>
      </w:tr>
      <w:tr>
        <w:trPr>
          <w:trHeight w:val="156"/>
        </w:trPr>
        <w:tc>
          <w:tcPr>
            <w:tcW w:w="32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June 30, 2022</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49,046,246</w:t>
            </w:r>
          </w:p>
        </w:tc>
        <w:tc>
          <w:tcPr>
            <w:tcW w:w="2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49,046</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477,151,484</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(118,292)</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(400,476,509)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76,605,729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158,298</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158,298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(3,652,184)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(3,652,184)</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(5,972)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(5,972)</w:t>
            </w:r>
          </w:p>
        </w:tc>
        <w:tc>
          <w:tcPr>
            <w:tcW w:w="0" w:type="dxa"/>
            <w:vAlign w:val="bottom"/>
          </w:tcPr>
          <w:p>
            <w:pPr>
              <w:spacing w:after="0"/>
              <w:rPr>
                <w:sz w:val="1"/>
                <w:szCs w:val="1"/>
                <w:color w:val="auto"/>
              </w:rPr>
            </w:pPr>
          </w:p>
        </w:tc>
      </w:tr>
      <w:tr>
        <w:trPr>
          <w:trHeight w:val="156"/>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September 30, 2022</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49,046,246</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49,046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477,309,782</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(124,264)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(404,128,693)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73,105,871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7"/>
              </w:rPr>
              <w:t>Nine Months Ended September 30, 2021</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3200" w:type="dxa"/>
            <w:vAlign w:val="bottom"/>
          </w:tcPr>
          <w:p>
            <w:pPr>
              <w:spacing w:after="0"/>
              <w:rPr>
                <w:sz w:val="13"/>
                <w:szCs w:val="13"/>
                <w:color w:val="auto"/>
              </w:rPr>
            </w:pPr>
          </w:p>
        </w:tc>
        <w:tc>
          <w:tcPr>
            <w:tcW w:w="1220" w:type="dxa"/>
            <w:vAlign w:val="bottom"/>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78"/>
              </w:rPr>
              <w:t>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380"/>
              <w:spacing w:after="0" w:line="155" w:lineRule="exact"/>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2020</w:t>
            </w:r>
          </w:p>
        </w:tc>
        <w:tc>
          <w:tcPr>
            <w:tcW w:w="12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45,024,560</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45,025</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454,296,536</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(88,219)</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(382,926,842)</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71,326,500</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1,139,636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1,139,636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for option</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86,250</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212,089</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212,175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w:t>
            </w: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tcPr>
          <w:p>
            <w:pPr>
              <w:ind w:left="120"/>
              <w:spacing w:after="0"/>
              <w:rPr>
                <w:sz w:val="20"/>
                <w:szCs w:val="20"/>
                <w:color w:val="auto"/>
              </w:rPr>
            </w:pPr>
            <w:r>
              <w:rPr>
                <w:rFonts w:ascii="Arial" w:cs="Arial" w:eastAsia="Arial" w:hAnsi="Arial"/>
                <w:sz w:val="14"/>
                <w:szCs w:val="14"/>
                <w:color w:val="auto"/>
              </w:rPr>
              <w:t>purchase plan (ESPP)</w:t>
            </w:r>
          </w:p>
        </w:tc>
        <w:tc>
          <w:tcPr>
            <w:tcW w:w="1220" w:type="dxa"/>
            <w:vAlign w:val="bottom"/>
          </w:tcPr>
          <w:p>
            <w:pPr>
              <w:jc w:val="right"/>
              <w:spacing w:after="0"/>
              <w:rPr>
                <w:sz w:val="20"/>
                <w:szCs w:val="20"/>
                <w:color w:val="auto"/>
              </w:rPr>
            </w:pPr>
            <w:r>
              <w:rPr>
                <w:rFonts w:ascii="Arial" w:cs="Arial" w:eastAsia="Arial" w:hAnsi="Arial"/>
                <w:sz w:val="14"/>
                <w:szCs w:val="14"/>
                <w:color w:val="auto"/>
              </w:rPr>
              <w:t>1,424</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6,108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2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in a private</w:t>
            </w:r>
          </w:p>
        </w:tc>
        <w:tc>
          <w:tcPr>
            <w:tcW w:w="1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20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placement transaction, net of issuance costs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3,656,307</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19,877,992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19,881,648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(187,799)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(187,799)</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(6,821)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(6,821)</w:t>
            </w:r>
          </w:p>
        </w:tc>
        <w:tc>
          <w:tcPr>
            <w:tcW w:w="0" w:type="dxa"/>
            <w:vAlign w:val="bottom"/>
          </w:tcPr>
          <w:p>
            <w:pPr>
              <w:spacing w:after="0"/>
              <w:rPr>
                <w:sz w:val="1"/>
                <w:szCs w:val="1"/>
                <w:color w:val="auto"/>
              </w:rPr>
            </w:pPr>
          </w:p>
        </w:tc>
      </w:tr>
      <w:tr>
        <w:trPr>
          <w:trHeight w:val="155"/>
        </w:trPr>
        <w:tc>
          <w:tcPr>
            <w:tcW w:w="3200" w:type="dxa"/>
            <w:vAlign w:val="bottom"/>
            <w:tcBorders>
              <w:bottom w:val="single" w:sz="8" w:color="CFF0FC"/>
            </w:tcBorders>
          </w:tcPr>
          <w:p>
            <w:pPr>
              <w:ind w:left="260"/>
              <w:spacing w:after="0" w:line="155" w:lineRule="exact"/>
              <w:rPr>
                <w:sz w:val="20"/>
                <w:szCs w:val="20"/>
                <w:color w:val="auto"/>
              </w:rPr>
            </w:pPr>
            <w:r>
              <w:rPr>
                <w:rFonts w:ascii="Arial" w:cs="Arial" w:eastAsia="Arial" w:hAnsi="Arial"/>
                <w:sz w:val="14"/>
                <w:szCs w:val="14"/>
                <w:color w:val="auto"/>
              </w:rPr>
              <w:t>Balance at March 31,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48,768,541</w:t>
            </w:r>
          </w:p>
        </w:tc>
        <w:tc>
          <w:tcPr>
            <w:tcW w:w="2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48,769</w:t>
            </w:r>
          </w:p>
        </w:tc>
        <w:tc>
          <w:tcPr>
            <w:tcW w:w="2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475,532,361</w:t>
            </w:r>
          </w:p>
        </w:tc>
        <w:tc>
          <w:tcPr>
            <w:tcW w:w="2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(95,040)</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(383,114,641)</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92,371,449</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755,905</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tcPr>
          <w:p>
            <w:pPr>
              <w:jc w:val="right"/>
              <w:spacing w:after="0"/>
              <w:rPr>
                <w:sz w:val="20"/>
                <w:szCs w:val="20"/>
                <w:color w:val="auto"/>
              </w:rPr>
            </w:pPr>
            <w:r>
              <w:rPr>
                <w:rFonts w:ascii="Arial" w:cs="Arial" w:eastAsia="Arial" w:hAnsi="Arial"/>
                <w:sz w:val="14"/>
                <w:szCs w:val="14"/>
                <w:color w:val="auto"/>
              </w:rPr>
              <w:t>155,622</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389,583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389,738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(4,284,141)</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(4,284,141)</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June 30, 2021</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48,924,163</w:t>
            </w:r>
          </w:p>
        </w:tc>
        <w:tc>
          <w:tcPr>
            <w:tcW w:w="220" w:type="dxa"/>
            <w:vAlign w:val="bottom"/>
            <w:tcBorders>
              <w:top w:val="single" w:sz="8" w:color="CFF0FC"/>
            </w:tcBorders>
            <w:shd w:val="clear" w:color="auto" w:fill="CFF0FC"/>
          </w:tcPr>
          <w:p>
            <w:pPr>
              <w:spacing w:after="0"/>
              <w:rPr>
                <w:sz w:val="13"/>
                <w:szCs w:val="13"/>
                <w:color w:val="auto"/>
              </w:rPr>
            </w:pPr>
          </w:p>
        </w:tc>
        <w:tc>
          <w:tcPr>
            <w:tcW w:w="34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48,924</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0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476,677,849</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1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(93,677)</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10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(387,398,782)</w:t>
            </w:r>
          </w:p>
        </w:tc>
        <w:tc>
          <w:tcPr>
            <w:tcW w:w="22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89,234,314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0" w:type="dxa"/>
            <w:vAlign w:val="bottom"/>
          </w:tcPr>
          <w:p>
            <w:pPr>
              <w:spacing w:after="0" w:line="155" w:lineRule="exact"/>
              <w:rPr>
                <w:sz w:val="20"/>
                <w:szCs w:val="20"/>
                <w:color w:val="auto"/>
              </w:rPr>
            </w:pPr>
            <w:r>
              <w:rPr>
                <w:rFonts w:ascii="Arial" w:cs="Arial" w:eastAsia="Arial" w:hAnsi="Arial"/>
                <w:sz w:val="14"/>
                <w:szCs w:val="14"/>
                <w:color w:val="auto"/>
              </w:rPr>
              <w:t>Share-based compensation</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578,944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578,944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104,083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249,507</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249,611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(3,579,167)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(3,579,167)</w:t>
            </w:r>
          </w:p>
        </w:tc>
        <w:tc>
          <w:tcPr>
            <w:tcW w:w="0" w:type="dxa"/>
            <w:vAlign w:val="bottom"/>
          </w:tcPr>
          <w:p>
            <w:pPr>
              <w:spacing w:after="0"/>
              <w:rPr>
                <w:sz w:val="1"/>
                <w:szCs w:val="1"/>
                <w:color w:val="auto"/>
              </w:rPr>
            </w:pPr>
          </w:p>
        </w:tc>
      </w:tr>
      <w:tr>
        <w:trPr>
          <w:trHeight w:val="162"/>
        </w:trPr>
        <w:tc>
          <w:tcPr>
            <w:tcW w:w="320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(1,362)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156"/>
        </w:trPr>
        <w:tc>
          <w:tcPr>
            <w:tcW w:w="3200" w:type="dxa"/>
            <w:vAlign w:val="bottom"/>
          </w:tcPr>
          <w:p>
            <w:pPr>
              <w:ind w:left="260"/>
              <w:spacing w:after="0" w:line="155" w:lineRule="exact"/>
              <w:rPr>
                <w:sz w:val="20"/>
                <w:szCs w:val="20"/>
                <w:color w:val="auto"/>
              </w:rPr>
            </w:pPr>
            <w:r>
              <w:rPr>
                <w:rFonts w:ascii="Arial" w:cs="Arial" w:eastAsia="Arial" w:hAnsi="Arial"/>
                <w:sz w:val="14"/>
                <w:szCs w:val="14"/>
                <w:color w:val="auto"/>
              </w:rPr>
              <w:t>Balance at September 30, 2021</w:t>
            </w:r>
          </w:p>
        </w:tc>
        <w:tc>
          <w:tcPr>
            <w:tcW w:w="1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49,028,246</w:t>
            </w:r>
          </w:p>
        </w:tc>
        <w:tc>
          <w:tcPr>
            <w:tcW w:w="22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49,028</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477,506,300</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(95,039)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(390,977,949)</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86,482,340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60" w:type="dxa"/>
            <w:vAlign w:val="bottom"/>
            <w:gridSpan w:val="4"/>
          </w:tcPr>
          <w:p>
            <w:pPr>
              <w:jc w:val="right"/>
              <w:ind w:right="67"/>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227"/>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(11,067,599)</w:t>
            </w:r>
          </w:p>
        </w:tc>
        <w:tc>
          <w:tcPr>
            <w:tcW w:w="60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(8,051,107)</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513,853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2,474,485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Non-cash interest on investments</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(21,849)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carrying amount of right-of-use asset</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163,282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(49,947)</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(510,486)</w:t>
            </w:r>
          </w:p>
        </w:tc>
        <w:tc>
          <w:tcPr>
            <w:tcW w:w="0" w:type="dxa"/>
            <w:vAlign w:val="bottom"/>
          </w:tcPr>
          <w:p>
            <w:pPr>
              <w:spacing w:after="0"/>
              <w:rPr>
                <w:sz w:val="1"/>
                <w:szCs w:val="1"/>
                <w:color w:val="auto"/>
              </w:rPr>
            </w:pPr>
          </w:p>
        </w:tc>
      </w:tr>
      <w:tr>
        <w:trPr>
          <w:trHeight w:val="230"/>
        </w:trPr>
        <w:tc>
          <w:tcPr>
            <w:tcW w:w="7780" w:type="dxa"/>
            <w:vAlign w:val="bottom"/>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1,660,250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330,492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(103,726)</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(169,080)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(8,904,519)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(5,742,639)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(10,000,000)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(28,732)</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and exercise of common</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520"/>
              <w:spacing w:after="0"/>
              <w:rPr>
                <w:sz w:val="20"/>
                <w:szCs w:val="20"/>
                <w:color w:val="auto"/>
              </w:rPr>
            </w:pPr>
            <w:r>
              <w:rPr>
                <w:rFonts w:ascii="Arial" w:cs="Arial" w:eastAsia="Arial" w:hAnsi="Arial"/>
                <w:sz w:val="18"/>
                <w:szCs w:val="18"/>
                <w:color w:val="auto"/>
              </w:rPr>
              <w:t>stock options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20,851,540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issuance costs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(118,368)</w:t>
            </w: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20,739,282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(18,923,691)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14,988,621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71,430,954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60,036,763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52,507,263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75,025,384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tcBorders>
              <w:bottom w:val="single" w:sz="8" w:color="CFF0FC"/>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Right-of-use asset obtained in exchange for operating lease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875,515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MediciNova, Inc. (the “Company” or “MediciNova”) was incorporated in the state of Delaware in September 2000. The Company’s common stock is listed in both the United States and Japan and trades on the NASDAQ Global Market and the JASDAQ Market of the Tokyo Stock Exchange. The Company is a biopharmaceutical company focused on developing novel therapeutics for the treatment of serious diseases with unmet medical needs with a commercial focus on the United States market. The Company’s current strategy is to focus its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The Company’s pipeline also includes MN-221 (bedoradrine) for the treatment of acute exacerbation of asthma, and MN-029 (denibulin) for solid tumor cancers.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of the Securities and Exchange Commission (SEC) on Form 10-Q and Rule 8-03 of Regulation S-X. Accordingly, they do not include all the information and disclosures required by GAAP for complete financial statements.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 accompanying unaudited condensed consolidated financial statements include the accounts of the Company and its wholly owned subsidiaries.</w:t>
      </w:r>
    </w:p>
    <w:p>
      <w:pPr>
        <w:spacing w:after="0" w:line="19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2021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2021 has been derived from the audited financial statements at that date but does not include all the information and footnotes required by GAAP for complete financial statements.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consolidated financial statements include the accounts of MediciNova, Inc. and its wholly owned subsidiaries, MediciNova Japan, Inc., MediciNova (Europe) Limited, MediciNova Europe GmbH and Avigen Inc. The financial statements of the Company’s foreign subsidiaries are measured using their local currency as the functional currency. The resulting translation adjustments are recorded as a component of other comprehensive income or loss. Intercompany transaction gains or losses at each period end are included as translation adjustments and recorded within other comprehensive income or loss. All intercompany transactions and balances are eliminated in consolidation.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decision-maker in making decisions regarding resource allocation and assessing performance. The Company operates in a single operating segment – the acquisition and development of small molecule therapeutics for the treatment of serious diseases with unmet medical needs.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including money market accounts, with original maturities of three months or less from the date of purchase.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Investments purchased with an original maturity of greater than three months are classified as investments. Investments are stated at fair value and are classified as current or non-current based on the nature of the securities as well as their stated maturities. As of September 30, 2022, investments consisted of a bank certificate of deposit with an original purchased maturity of thirteen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$2.4 million and $2.0 million for the three months ended September 30, 2022 and 2021, respectively, and $6.8 million and $6.4 million for the nine months ended September 30, 2022 and 2021, respectively.</w:t>
      </w:r>
    </w:p>
    <w:p>
      <w:pPr>
        <w:spacing w:after="0" w:line="22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in Research, Development and Patents expenses. Such patent-related expenses totaled $0.1 million for the three months ended September 30, 2022 and 2021, respectively, and $0.3 million and $0.4 million for the nine months ended September 30, 2022 and 2021,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Clinical Trial Accruals and Prepaid Expenses</w:t>
      </w:r>
    </w:p>
    <w:p>
      <w:pPr>
        <w:spacing w:after="0" w:line="117"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212529"/>
        </w:rPr>
        <w:t>Costs for preclinical studies, clinical studies and manufacturing activities are recognized as research and development expenses based on an evaluation of the progress by Company vendors towards completion of specific tasks, using data such as patient enrollment, clinical site activations or information provided to the Company by such vendors regarding their actual costs incurred. Payments for these activities are based on the terms of individual contracts and payment timing may differ significantly from the period in which the services are performed. The Company determines accrual estimates through reports from and discussions with applicable personnel and outside service providers as to the progress or state of completion of studies, or the services completed. The Company’s estimates of accrued expenses as of each balance sheet date are based on the facts and circumstances known at the time. Costs that are paid in advance of performance are deferred as a prepaid expense and amortized over the service period as the services are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Leases</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212529"/>
        </w:rPr>
        <w:t>The Company determines if an arrangement is a lease at inception and if so, determines whether the lease qualifies as an operating or finance lease. The Company does not recognize right-of-use assets and lease liabilities for leases with a term of 12 months or less and does not separate non-lease components from lease components. Operating lease right-of-use assets and liabilities are recognized at commencement date based on the present value of lease payments over the lease term. Operating lease expense is recognized on a straight-line basis over the lease term and is included in general and administrative expenses. As most of the Company’s operating leases do not provide an implicit rate, the Company uses its incremental borrowing rate based on the information available at commencement date in determining the present value of lease payments. The incremental borrowing rate is the rate that the Company would expect to pay to borrow on a collateralized and fully amortizing basis over a similar term an amount equal to the lease payments in a similar economic environment.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 on the Company’s Business</w:t>
      </w:r>
    </w:p>
    <w:p>
      <w:pPr>
        <w:spacing w:after="0" w:line="117" w:lineRule="exact"/>
        <w:rPr>
          <w:sz w:val="20"/>
          <w:szCs w:val="20"/>
          <w:color w:val="auto"/>
        </w:rPr>
      </w:pPr>
    </w:p>
    <w:p>
      <w:pPr>
        <w:ind w:right="80" w:firstLine="510"/>
        <w:spacing w:after="0" w:line="253" w:lineRule="auto"/>
        <w:rPr>
          <w:sz w:val="20"/>
          <w:szCs w:val="20"/>
          <w:color w:val="auto"/>
        </w:rPr>
      </w:pPr>
      <w:r>
        <w:rPr>
          <w:rFonts w:ascii="Arial" w:cs="Arial" w:eastAsia="Arial" w:hAnsi="Arial"/>
          <w:sz w:val="18"/>
          <w:szCs w:val="18"/>
          <w:color w:val="auto"/>
        </w:rPr>
        <w:t>The pandemic caused by an outbreak of a new strain of coronavirus (“COVID-19” or “the pandemic”) has resulted, and is likely to continue to result, in significant national and global economic disruption and may adversely affect the Company’s business. Although the pandemic resulted in a decrease in the number of patient visits at certain of the Company’s clinical trial sites, the Company expects this effect to be temporary. The Company has seen an increase in the number of patient visits compared to earlier in the pandemic and the Company continues to enroll patients in clinical trials. Throughout the pandemic, the Company has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the Company designed and completed a clinical trial to evaluate MN-166 (ibudilast) for prevention of acute respiratory distress syndrome (ARDS) caused by COVID-19. Based on the Company’s current assessment, the Company does not expect a material negative impact on its clinical development plans, long-term development timeline or liquidity due to the worldwide spread of the COVID-19 virus. However, the Company is actively monitoring this situation and the possible effects on its financial condition, liquidity, operations, suppliers, industry, and workforce.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amounts reported in the condensed consolidated financial statements and the accompanying notes. Actual results could differ from those estimates.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Instruments </w:t>
      </w:r>
      <w:r>
        <w:rPr>
          <w:rFonts w:ascii="Arial" w:cs="Arial" w:eastAsia="Arial" w:hAnsi="Arial"/>
          <w:sz w:val="17"/>
          <w:szCs w:val="17"/>
          <w:color w:val="auto"/>
        </w:rPr>
        <w:t>(“ASU 2016-13”). The ASU introduced a new credit loss methodology,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Losses (“CECL”) methodology, which requires earlier recognition of credit losses, while also providing additional transparency about credit risk. The CECL methodology utilizes a lifetime “expected credit loss” measurement objective for the recognition of credit losses for loans, held-to maturity debt securities, trade receivables and other receivables measured at amortized cost at the time the financial asset is originated or acquired. Subsequent to the issuance of ASU 2016-13, the FASB issued several additional ASUs to clarify implementation guidance, provide narrow-scope improvements and provide additional disclosure guidance. In November 2019, the FASB issued an amendment making this ASU effective for fiscal years beginning after December 15, 2022 for smaller reporting companies. The new standard will be effective for the Company on January 1, 2023 or at such earlier time where it is no longer a smaller reporting company. The Company has determined that there will not be a material impact on its consolidated financial statements upon adoption of this standard on January 1, 2023.</w:t>
      </w:r>
    </w:p>
    <w:p>
      <w:pPr>
        <w:spacing w:after="0" w:line="185"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August 2020, the FASB issued ASU No. 2020-06</w:t>
      </w:r>
      <w:r>
        <w:rPr>
          <w:rFonts w:ascii="Arial" w:cs="Arial" w:eastAsia="Arial" w:hAnsi="Arial"/>
          <w:sz w:val="17"/>
          <w:szCs w:val="17"/>
          <w:i w:val="1"/>
          <w:iCs w:val="1"/>
          <w:color w:val="auto"/>
        </w:rPr>
        <w:t>, Debt – Debt with Conversion and Other Options (Subtopic 470-20) and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Hedging – Contracts in Entity’s Own Equity (Subtopic 815-40) </w:t>
      </w:r>
      <w:r>
        <w:rPr>
          <w:rFonts w:ascii="Arial" w:cs="Arial" w:eastAsia="Arial" w:hAnsi="Arial"/>
          <w:sz w:val="17"/>
          <w:szCs w:val="17"/>
          <w:color w:val="auto"/>
        </w:rPr>
        <w:t>(“ASU 2020-06”). ASU 2020-06 simplifies the accounting for convertible debt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by reducing the number of accounting models and the number of embedded features that could be recognized separately from the host contract. Consequently, more convertible debt instruments will be accounted for as a single liability measured at its amortized cost, as long as no other features require bifurcation and recognition as derivatives. ASU 2020-06 also requires use of the if-converted method in the diluted earnings per share calculation for convertible instruments. ASU 2020-06 is effective for fiscal years beginning after December 15, 2023, and interim periods within those fiscal years for smaller reporting companies, with early adoption permitted. The new standard will be effective for the Company on January 1, 2024 or at such earlier time where it is no longer a smaller reporting company. The Company is currently evaluating the potential impact that this standard may have on its consolidated financial statements and related disclosures.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Revenues historically have consisted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at a point in time or over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(4) the vendor has an enforceable right to payment for performance completed to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 xml:space="preserve">In October 2011, the Company entered into a collaboration agreement with Kissei Pharmaceutical Co., Ltd., (“Kissei”), to perform research and development services relating to MN-221 (bedoradrine) in exchange for a non-refundable upfront payment of $2.5 million. The Company assessed the services in accordance with the authoritative guidance and concluded that it met the definition of a collaborative arrangement per Accounting Standards Codification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xml:space="preserve"> (“ASC 808”), which was outside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Customers (“ASC 606”). Since ASC 808 did not provide recognition and measurement guidance for collaborative arrangements, the Company analogized to ASC 606 and concluded the two studies to be performed under the agreement represented two separate performance obligations. No services have been provided under the collaboration agreement subsequent to completion of the first study in 2013. In October 2021, the Company refunded $1.3 million of the prepayment. On October 24, 2022, the Company and Kissei finalized the termination of the collaboration agreement and canceled the second study contemplated thereunder.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Genzyme Corporation</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In December 2005, Avigen, Inc. and Genzyme Corporation (“Genzyme”) entered into an Assignment Agreement (the “Genzyme Agreement”) in which Genzyme acquired certain gene therapy intellectual property, programs and other related assets from Avigen, Inc. in exchange for an initial $12.0 million payment. Avigen could also receive additional development milestone payments, sublicensing fees, and royalty payments based on the successful development of products by Genzyme utilizing technologies previously developed by Avigen. The Company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0" w:name="page11"/>
    <w:bookmarkEnd w:id="10"/>
    <w:p>
      <w:pPr>
        <w:ind w:right="180" w:firstLine="510"/>
        <w:spacing w:after="0" w:line="296" w:lineRule="auto"/>
        <w:rPr>
          <w:sz w:val="20"/>
          <w:szCs w:val="20"/>
          <w:color w:val="auto"/>
        </w:rPr>
      </w:pPr>
      <w:r>
        <w:rPr>
          <w:rFonts w:ascii="Arial" w:cs="Arial" w:eastAsia="Arial" w:hAnsi="Arial"/>
          <w:sz w:val="16"/>
          <w:szCs w:val="16"/>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the Company. In March 2021, the Company received notice that a gene therapy product based on AAV (adeno-associated virus) vector technology, which was covered under the Genzyme Agreement, achieved two clinical development milestones, triggering two milestone payments. Accordingly, the Company recognized revenue of $4.0 million during the nine months ended September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20" w:right="84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The carrying amounts, estimated fair values and valuation inputs levels of the Company’s assets that are measured at fair value on a recurring basis as of September 30, 2022 and December 31, 2021, were as follows: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September 30, 2022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 2021</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 Inputs</w:t>
            </w:r>
          </w:p>
        </w:tc>
        <w:tc>
          <w:tcPr>
            <w:tcW w:w="0" w:type="dxa"/>
            <w:vAlign w:val="bottom"/>
          </w:tcPr>
          <w:p>
            <w:pPr>
              <w:spacing w:after="0"/>
              <w:rPr>
                <w:sz w:val="1"/>
                <w:szCs w:val="1"/>
                <w:color w:val="auto"/>
              </w:rPr>
            </w:pPr>
          </w:p>
        </w:tc>
      </w:tr>
      <w:tr>
        <w:trPr>
          <w:trHeight w:val="156"/>
        </w:trPr>
        <w:tc>
          <w:tcPr>
            <w:tcW w:w="4040" w:type="dxa"/>
            <w:vAlign w:val="bottom"/>
          </w:tcPr>
          <w:p>
            <w:pPr>
              <w:spacing w:after="0"/>
              <w:rPr>
                <w:sz w:val="13"/>
                <w:szCs w:val="13"/>
                <w:color w:val="auto"/>
              </w:rPr>
            </w:pPr>
          </w:p>
        </w:tc>
        <w:tc>
          <w:tcPr>
            <w:tcW w:w="144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Carrying Amount</w:t>
            </w:r>
          </w:p>
        </w:tc>
        <w:tc>
          <w:tcPr>
            <w:tcW w:w="1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148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Carrying Amount</w:t>
            </w:r>
          </w:p>
        </w:tc>
        <w:tc>
          <w:tcPr>
            <w:tcW w:w="1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698,842</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698,842</w:t>
            </w:r>
          </w:p>
        </w:tc>
        <w:tc>
          <w:tcPr>
            <w:tcW w:w="6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694,293</w:t>
            </w:r>
          </w:p>
        </w:tc>
        <w:tc>
          <w:tcPr>
            <w:tcW w:w="2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694,293</w:t>
            </w:r>
          </w:p>
        </w:tc>
        <w:tc>
          <w:tcPr>
            <w:tcW w:w="2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0" w:type="dxa"/>
            <w:vAlign w:val="bottom"/>
          </w:tcPr>
          <w:p>
            <w:pPr>
              <w:spacing w:after="0"/>
              <w:rPr>
                <w:sz w:val="1"/>
                <w:szCs w:val="1"/>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10,021,849</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10,021,849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The Company has operating leases primarily for real estate in the United States and Japan. The United States lease is for the Company’s headquarters in San Diego and has a term of five years ending January 31, 2027, with annual escalations. The Company’s lease in Tokyo, Japan has a term of two years ending May 2023 with an auto-renewal, two-year extension. The real estate operating leases are included in "Right-of-use asset” on the Company's balance sheet and represents the Company’s right to use the underlying assets for the lease term. The Company’s obligation to make lease payments are included in "Operating lease liability" and "Other non-current liabilities" on the Company's balance sheet.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Information related to the Company’s right-of-use assets and related lease liabilities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90"/>
              </w:rPr>
              <w:t>Nine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6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6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4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300" w:type="dxa"/>
            <w:vAlign w:val="bottom"/>
            <w:vMerge w:val="restart"/>
          </w:tcPr>
          <w:p>
            <w:pPr>
              <w:spacing w:after="0"/>
              <w:rPr>
                <w:sz w:val="20"/>
                <w:szCs w:val="20"/>
                <w:color w:val="auto"/>
              </w:rPr>
            </w:pPr>
            <w:r>
              <w:rPr>
                <w:rFonts w:ascii="Arial" w:cs="Arial" w:eastAsia="Arial" w:hAnsi="Arial"/>
                <w:sz w:val="18"/>
                <w:szCs w:val="18"/>
                <w:color w:val="auto"/>
              </w:rPr>
              <w:t>Cash paid for operating lease liabilities</w:t>
            </w:r>
          </w:p>
        </w:tc>
        <w:tc>
          <w:tcPr>
            <w:tcW w:w="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300" w:type="dxa"/>
            <w:vAlign w:val="bottom"/>
            <w:vMerge w:val="continue"/>
          </w:tcPr>
          <w:p>
            <w:pPr>
              <w:spacing w:after="0"/>
              <w:rPr>
                <w:sz w:val="19"/>
                <w:szCs w:val="19"/>
                <w:color w:val="auto"/>
              </w:rPr>
            </w:pP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62,045</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61,129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8"/>
                <w:szCs w:val="18"/>
                <w:color w:val="auto"/>
              </w:rPr>
              <w:t>128,280</w:t>
            </w:r>
          </w:p>
        </w:tc>
        <w:tc>
          <w:tcPr>
            <w:tcW w:w="12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960" w:type="dxa"/>
            <w:vAlign w:val="bottom"/>
            <w:shd w:val="clear" w:color="auto" w:fill="CFF0FC"/>
          </w:tcPr>
          <w:p>
            <w:pPr>
              <w:spacing w:after="0"/>
              <w:rPr>
                <w:sz w:val="19"/>
                <w:szCs w:val="19"/>
                <w:color w:val="auto"/>
              </w:rPr>
            </w:pPr>
          </w:p>
        </w:tc>
        <w:tc>
          <w:tcPr>
            <w:tcW w:w="680" w:type="dxa"/>
            <w:vAlign w:val="bottom"/>
            <w:shd w:val="clear" w:color="auto" w:fill="CFF0FC"/>
          </w:tcPr>
          <w:p>
            <w:pPr>
              <w:ind w:left="60"/>
              <w:spacing w:after="0"/>
              <w:rPr>
                <w:sz w:val="20"/>
                <w:szCs w:val="20"/>
                <w:color w:val="auto"/>
              </w:rPr>
            </w:pPr>
            <w:r>
              <w:rPr>
                <w:rFonts w:ascii="Arial" w:cs="Arial" w:eastAsia="Arial" w:hAnsi="Arial"/>
                <w:sz w:val="18"/>
                <w:szCs w:val="18"/>
                <w:color w:val="auto"/>
              </w:rPr>
              <w:t>64,004</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57,778</w:t>
            </w:r>
          </w:p>
        </w:tc>
        <w:tc>
          <w:tcPr>
            <w:tcW w:w="100" w:type="dxa"/>
            <w:vAlign w:val="bottom"/>
            <w:shd w:val="clear" w:color="auto" w:fill="CFF0FC"/>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176,896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42"/>
        </w:trPr>
        <w:tc>
          <w:tcPr>
            <w:tcW w:w="6500" w:type="dxa"/>
            <w:vAlign w:val="bottom"/>
            <w:tcBorders>
              <w:bottom w:val="single" w:sz="8" w:color="CFF0FC"/>
            </w:tcBorders>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Current operating lease liabilities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167,073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131,965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operating lease liabilities</w:t>
            </w:r>
          </w:p>
        </w:tc>
        <w:tc>
          <w:tcPr>
            <w:tcW w:w="6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555,840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694,674</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6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722,913</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826,639</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w:t>
            </w: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32"/>
        </w:trPr>
        <w:tc>
          <w:tcPr>
            <w:tcW w:w="6500" w:type="dxa"/>
            <w:vAlign w:val="bottom"/>
          </w:tcPr>
          <w:p>
            <w:pPr>
              <w:spacing w:after="0"/>
              <w:rPr>
                <w:sz w:val="20"/>
                <w:szCs w:val="20"/>
                <w:color w:val="auto"/>
              </w:rPr>
            </w:pPr>
            <w:r>
              <w:rPr>
                <w:rFonts w:ascii="Arial" w:cs="Arial" w:eastAsia="Arial" w:hAnsi="Arial"/>
                <w:sz w:val="18"/>
                <w:szCs w:val="18"/>
                <w:color w:val="auto"/>
              </w:rPr>
              <w:t>Maturities of operating lease liabilities as of September 30, 2022 were as follows: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2023</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212,066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189,170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2025</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197,586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206,483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5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minimum payments</w:t>
            </w: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885,646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8"/>
                <w:szCs w:val="18"/>
                <w:color w:val="auto"/>
              </w:rPr>
              <w:t>(162,733)</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722,913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40" w:firstLine="490"/>
        <w:spacing w:after="0" w:line="275"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100" w:firstLine="490"/>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specified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540" w:firstLine="490"/>
        <w:spacing w:after="0" w:line="310" w:lineRule="auto"/>
        <w:rPr>
          <w:sz w:val="20"/>
          <w:szCs w:val="20"/>
          <w:color w:val="auto"/>
        </w:rPr>
      </w:pPr>
      <w:r>
        <w:rPr>
          <w:rFonts w:ascii="Arial" w:cs="Arial" w:eastAsia="Arial" w:hAnsi="Arial"/>
          <w:sz w:val="15"/>
          <w:szCs w:val="15"/>
          <w:color w:val="auto"/>
        </w:rPr>
        <w:t>No amounts have been expended under these agreements during the three and nine months ended September 30, 2022 and 2021. For products currently in development, future potential milestone payments based on product development of MN-166 (ibudilast) and MN-001 (tipelukast) are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$10 million as of September 30, 2022. For all other products, future potential milestone payments related to development milestones and commercialization milestones totaled $33.5 million as of September 30, 2022.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60" w:firstLine="490"/>
        <w:spacing w:after="0" w:line="263"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8,700,000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2022, 1,949,317 shares remain available for future grants under the 2013 Plan.</w:t>
      </w:r>
    </w:p>
    <w:p>
      <w:pPr>
        <w:spacing w:after="0" w:line="166"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Certain of the employee stock options granted contain performance conditions, the vesting of which is based on a determination made by the compensation committee followed by an approval of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 The estimated fair value of the performance awards granted and the resulting expense is based upon a certain level of achievement of the corporate objectives and other assumptions in determining fair value. The amount of expense ultimately recognized upon the grant date at completion of the performance period could change from the estimate as a result of various factors, including the level of achievement of the corporate objectives, changes in the assumptions used in the Black-Scholes model in determining fair value or fluctuations in the Company’s stock price during the performance period.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unless earlier terminated and generally vest over a one or four year period. The exercise price of all options granted through September 30, 2022 and in 2021, was equal to the fair market value of the Company’s common stock on the date of grant.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80" w:type="dxa"/>
            <w:vAlign w:val="bottom"/>
          </w:tcPr>
          <w:p>
            <w:pPr>
              <w:jc w:val="center"/>
              <w:ind w:left="668"/>
              <w:spacing w:after="0"/>
              <w:rPr>
                <w:sz w:val="20"/>
                <w:szCs w:val="20"/>
                <w:color w:val="auto"/>
              </w:rPr>
            </w:pPr>
            <w:r>
              <w:rPr>
                <w:rFonts w:ascii="Arial" w:cs="Arial" w:eastAsia="Arial" w:hAnsi="Arial"/>
                <w:sz w:val="14"/>
                <w:szCs w:val="14"/>
                <w:b w:val="1"/>
                <w:bCs w:val="1"/>
                <w:color w:val="auto"/>
                <w:w w:val="94"/>
              </w:rPr>
              <w:t>Number of</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Weighted Average</w:t>
            </w:r>
          </w:p>
        </w:tc>
      </w:tr>
      <w:tr>
        <w:trPr>
          <w:trHeight w:val="171"/>
        </w:trPr>
        <w:tc>
          <w:tcPr>
            <w:tcW w:w="5600" w:type="dxa"/>
            <w:vAlign w:val="bottom"/>
          </w:tcPr>
          <w:p>
            <w:pPr>
              <w:spacing w:after="0"/>
              <w:rPr>
                <w:sz w:val="14"/>
                <w:szCs w:val="14"/>
                <w:color w:val="auto"/>
              </w:rPr>
            </w:pPr>
          </w:p>
        </w:tc>
        <w:tc>
          <w:tcPr>
            <w:tcW w:w="1680" w:type="dxa"/>
            <w:vAlign w:val="bottom"/>
          </w:tcPr>
          <w:p>
            <w:pPr>
              <w:jc w:val="center"/>
              <w:ind w:left="688"/>
              <w:spacing w:after="0"/>
              <w:rPr>
                <w:sz w:val="20"/>
                <w:szCs w:val="20"/>
                <w:color w:val="auto"/>
              </w:rPr>
            </w:pPr>
            <w:r>
              <w:rPr>
                <w:rFonts w:ascii="Arial" w:cs="Arial" w:eastAsia="Arial" w:hAnsi="Arial"/>
                <w:sz w:val="14"/>
                <w:szCs w:val="14"/>
                <w:b w:val="1"/>
                <w:bCs w:val="1"/>
                <w:color w:val="auto"/>
                <w:w w:val="91"/>
              </w:rPr>
              <w:t>Option Shares</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Exercise Price</w:t>
            </w:r>
          </w:p>
        </w:tc>
      </w:tr>
      <w:tr>
        <w:trPr>
          <w:trHeight w:val="223"/>
        </w:trPr>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2021</w:t>
            </w:r>
          </w:p>
        </w:tc>
        <w:tc>
          <w:tcPr>
            <w:tcW w:w="16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7,974,250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400" w:type="dxa"/>
            <w:vAlign w:val="bottom"/>
            <w:tcBorders>
              <w:top w:val="single" w:sz="8" w:color="CFF0FC"/>
            </w:tcBorders>
            <w:shd w:val="clear" w:color="auto" w:fill="CFF0FC"/>
          </w:tcPr>
          <w:p>
            <w:pPr>
              <w:spacing w:after="0"/>
              <w:rPr>
                <w:sz w:val="19"/>
                <w:szCs w:val="19"/>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591,700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2.28</w:t>
            </w:r>
          </w:p>
        </w:tc>
        <w:tc>
          <w:tcPr>
            <w:tcW w:w="400" w:type="dxa"/>
            <w:vAlign w:val="bottom"/>
          </w:tcPr>
          <w:p>
            <w:pPr>
              <w:spacing w:after="0"/>
              <w:rPr>
                <w:sz w:val="19"/>
                <w:szCs w:val="19"/>
                <w:color w:val="auto"/>
              </w:rPr>
            </w:pPr>
          </w:p>
        </w:tc>
      </w:tr>
      <w:tr>
        <w:trPr>
          <w:trHeight w:val="229"/>
        </w:trPr>
        <w:tc>
          <w:tcPr>
            <w:tcW w:w="7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400" w:type="dxa"/>
            <w:vAlign w:val="bottom"/>
            <w:shd w:val="clear" w:color="auto" w:fill="CFF0FC"/>
          </w:tcPr>
          <w:p>
            <w:pPr>
              <w:spacing w:after="0"/>
              <w:rPr>
                <w:sz w:val="19"/>
                <w:szCs w:val="19"/>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(577,700)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5.85</w:t>
            </w:r>
          </w:p>
        </w:tc>
        <w:tc>
          <w:tcPr>
            <w:tcW w:w="400" w:type="dxa"/>
            <w:vAlign w:val="bottom"/>
          </w:tcPr>
          <w:p>
            <w:pPr>
              <w:spacing w:after="0"/>
              <w:rPr>
                <w:sz w:val="19"/>
                <w:szCs w:val="19"/>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2022</w:t>
            </w:r>
          </w:p>
        </w:tc>
        <w:tc>
          <w:tcPr>
            <w:tcW w:w="16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7,985,250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2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Exercisable at September 30, 2022</w:t>
            </w:r>
          </w:p>
        </w:tc>
        <w:tc>
          <w:tcPr>
            <w:tcW w:w="16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7,377,380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40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nine months ended September 30, 2021, an aggregate of 1,424 shares were issued under ESPP. No further shares will be issued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ESPP.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Stock-based compensation expense for stock option awards and ESPP shares are reflected in total operating expenses for each respective year.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ind w:right="960" w:firstLine="510"/>
        <w:spacing w:after="0" w:line="277" w:lineRule="auto"/>
        <w:rPr>
          <w:sz w:val="20"/>
          <w:szCs w:val="20"/>
          <w:color w:val="auto"/>
        </w:rPr>
      </w:pPr>
      <w:r>
        <w:rPr>
          <w:rFonts w:ascii="Arial" w:cs="Arial" w:eastAsia="Arial" w:hAnsi="Arial"/>
          <w:sz w:val="18"/>
          <w:szCs w:val="18"/>
          <w:color w:val="auto"/>
        </w:rPr>
        <w:t>The following table summarizes stock-based compensation expense for the three and nine months ended September 30, 2022 and 2021,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ind w:left="660"/>
              <w:spacing w:after="0"/>
              <w:rPr>
                <w:sz w:val="20"/>
                <w:szCs w:val="20"/>
                <w:color w:val="auto"/>
              </w:rPr>
            </w:pPr>
            <w:r>
              <w:rPr>
                <w:rFonts w:ascii="Arial" w:cs="Arial" w:eastAsia="Arial" w:hAnsi="Arial"/>
                <w:sz w:val="14"/>
                <w:szCs w:val="14"/>
                <w:b w:val="1"/>
                <w:bCs w:val="1"/>
                <w:color w:val="auto"/>
                <w:w w:val="95"/>
              </w:rPr>
              <w:t>Nine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38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38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719"/>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development and patents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53,948</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207,521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89"/>
              </w:rPr>
              <w:t>192,819</w:t>
            </w:r>
          </w:p>
        </w:tc>
        <w:tc>
          <w:tcPr>
            <w:tcW w:w="20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866,486</w:t>
            </w:r>
          </w:p>
        </w:tc>
        <w:tc>
          <w:tcPr>
            <w:tcW w:w="120" w:type="dxa"/>
            <w:vAlign w:val="bottom"/>
            <w:shd w:val="clear" w:color="auto" w:fill="CFF0FC"/>
          </w:tcPr>
          <w:p>
            <w:pPr>
              <w:spacing w:after="0"/>
              <w:rPr>
                <w:sz w:val="19"/>
                <w:szCs w:val="19"/>
                <w:color w:val="auto"/>
              </w:rPr>
            </w:pPr>
          </w:p>
        </w:tc>
      </w:tr>
      <w:tr>
        <w:trPr>
          <w:trHeight w:val="230"/>
        </w:trPr>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104,350</w:t>
            </w:r>
          </w:p>
        </w:tc>
        <w:tc>
          <w:tcPr>
            <w:tcW w:w="1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371,423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89"/>
              </w:rPr>
              <w:t>321,034</w:t>
            </w:r>
          </w:p>
        </w:tc>
        <w:tc>
          <w:tcPr>
            <w:tcW w:w="2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1,607,999</w:t>
            </w:r>
          </w:p>
        </w:tc>
        <w:tc>
          <w:tcPr>
            <w:tcW w:w="120" w:type="dxa"/>
            <w:vAlign w:val="bottom"/>
            <w:tcBorders>
              <w:bottom w:val="single" w:sz="8" w:color="CFF0FC"/>
            </w:tcBorders>
          </w:tcPr>
          <w:p>
            <w:pPr>
              <w:spacing w:after="0"/>
              <w:rPr>
                <w:sz w:val="19"/>
                <w:szCs w:val="19"/>
                <w:color w:val="auto"/>
              </w:rPr>
            </w:pPr>
          </w:p>
        </w:tc>
      </w:tr>
      <w:tr>
        <w:trPr>
          <w:trHeight w:val="223"/>
        </w:trPr>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158,298</w:t>
            </w:r>
          </w:p>
        </w:tc>
        <w:tc>
          <w:tcPr>
            <w:tcW w:w="1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578,944</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9"/>
              </w:rPr>
              <w:t>513,853</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2,474,485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and considers management’s current expectations of the achievement of the performance objectives for the year. The following table provides the assumptions used in the Black-Scholes valuation model used to estimate the fair value of options granted during the nine months ended September 30, 2022 and 2021, and to estimate the fair value of performance-based stock options as of September 30, 2022 and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80" w:type="dxa"/>
            <w:vAlign w:val="bottom"/>
            <w:gridSpan w:val="3"/>
          </w:tcPr>
          <w:p>
            <w:pPr>
              <w:jc w:val="right"/>
              <w:ind w:right="708"/>
              <w:spacing w:after="0"/>
              <w:rPr>
                <w:sz w:val="20"/>
                <w:szCs w:val="20"/>
                <w:color w:val="auto"/>
              </w:rPr>
            </w:pPr>
            <w:r>
              <w:rPr>
                <w:rFonts w:ascii="Arial" w:cs="Arial" w:eastAsia="Arial" w:hAnsi="Arial"/>
                <w:sz w:val="14"/>
                <w:szCs w:val="14"/>
                <w:b w:val="1"/>
                <w:bCs w:val="1"/>
                <w:color w:val="auto"/>
                <w:w w:val="98"/>
              </w:rPr>
              <w:t>Nine months ended</w:t>
            </w: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520" w:type="dxa"/>
            <w:vAlign w:val="bottom"/>
          </w:tcPr>
          <w:p>
            <w:pPr>
              <w:spacing w:after="0"/>
              <w:rPr>
                <w:sz w:val="14"/>
                <w:szCs w:val="14"/>
                <w:color w:val="auto"/>
              </w:rPr>
            </w:pPr>
          </w:p>
        </w:tc>
        <w:tc>
          <w:tcPr>
            <w:tcW w:w="2080" w:type="dxa"/>
            <w:vAlign w:val="bottom"/>
            <w:gridSpan w:val="2"/>
          </w:tcPr>
          <w:p>
            <w:pPr>
              <w:ind w:left="780"/>
              <w:spacing w:after="0"/>
              <w:rPr>
                <w:sz w:val="20"/>
                <w:szCs w:val="20"/>
                <w:color w:val="auto"/>
              </w:rPr>
            </w:pPr>
            <w:r>
              <w:rPr>
                <w:rFonts w:ascii="Arial" w:cs="Arial" w:eastAsia="Arial" w:hAnsi="Arial"/>
                <w:sz w:val="14"/>
                <w:szCs w:val="14"/>
                <w:b w:val="1"/>
                <w:bCs w:val="1"/>
                <w:color w:val="auto"/>
                <w:w w:val="97"/>
              </w:rPr>
              <w:t>September 30, 2022</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gridSpan w:val="3"/>
          </w:tcPr>
          <w:p>
            <w:pPr>
              <w:ind w:left="720"/>
              <w:spacing w:after="0"/>
              <w:rPr>
                <w:sz w:val="20"/>
                <w:szCs w:val="20"/>
                <w:color w:val="auto"/>
              </w:rPr>
            </w:pPr>
            <w:r>
              <w:rPr>
                <w:rFonts w:ascii="Arial" w:cs="Arial" w:eastAsia="Arial" w:hAnsi="Arial"/>
                <w:sz w:val="14"/>
                <w:szCs w:val="14"/>
                <w:b w:val="1"/>
                <w:bCs w:val="1"/>
                <w:color w:val="auto"/>
              </w:rPr>
              <w:t>September 30, 2021</w:t>
            </w:r>
          </w:p>
        </w:tc>
      </w:tr>
      <w:tr>
        <w:trPr>
          <w:trHeight w:val="22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1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2.42</w:t>
            </w:r>
          </w:p>
        </w:tc>
        <w:tc>
          <w:tcPr>
            <w:tcW w:w="840" w:type="dxa"/>
            <w:vAlign w:val="bottom"/>
          </w:tcPr>
          <w:p>
            <w:pPr>
              <w:ind w:left="20"/>
              <w:spacing w:after="0"/>
              <w:rPr>
                <w:sz w:val="20"/>
                <w:szCs w:val="20"/>
                <w:color w:val="auto"/>
              </w:rPr>
            </w:pPr>
            <w:r>
              <w:rPr>
                <w:rFonts w:ascii="Arial" w:cs="Arial" w:eastAsia="Arial" w:hAnsi="Arial"/>
                <w:sz w:val="18"/>
                <w:szCs w:val="18"/>
                <w:color w:val="auto"/>
              </w:rPr>
              <w:t>- 4.06%</w:t>
            </w:r>
          </w:p>
        </w:tc>
        <w:tc>
          <w:tcPr>
            <w:tcW w:w="208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1460" w:type="dxa"/>
            <w:vAlign w:val="bottom"/>
          </w:tcPr>
          <w:p>
            <w:pPr>
              <w:ind w:left="20"/>
              <w:spacing w:after="0"/>
              <w:rPr>
                <w:sz w:val="20"/>
                <w:szCs w:val="20"/>
                <w:color w:val="auto"/>
              </w:rPr>
            </w:pPr>
            <w:r>
              <w:rPr>
                <w:rFonts w:ascii="Arial" w:cs="Arial" w:eastAsia="Arial" w:hAnsi="Arial"/>
                <w:sz w:val="18"/>
                <w:szCs w:val="18"/>
                <w:color w:val="auto"/>
              </w:rPr>
              <w:t>- 0.98%</w:t>
            </w:r>
          </w:p>
        </w:tc>
        <w:tc>
          <w:tcPr>
            <w:tcW w:w="100" w:type="dxa"/>
            <w:vAlign w:val="bottom"/>
          </w:tcPr>
          <w:p>
            <w:pPr>
              <w:spacing w:after="0"/>
              <w:rPr>
                <w:sz w:val="19"/>
                <w:szCs w:val="19"/>
                <w:color w:val="auto"/>
              </w:rPr>
            </w:pP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- 79.35%</w:t>
            </w:r>
          </w:p>
        </w:tc>
        <w:tc>
          <w:tcPr>
            <w:tcW w:w="20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74.31</w:t>
            </w:r>
          </w:p>
        </w:tc>
        <w:tc>
          <w:tcPr>
            <w:tcW w:w="1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- 77.51%</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Dividend yield</w:t>
            </w:r>
          </w:p>
        </w:tc>
        <w:tc>
          <w:tcPr>
            <w:tcW w:w="2080" w:type="dxa"/>
            <w:vAlign w:val="bottom"/>
            <w:gridSpan w:val="2"/>
          </w:tcPr>
          <w:p>
            <w:pPr>
              <w:jc w:val="right"/>
              <w:ind w:right="390"/>
              <w:spacing w:after="0"/>
              <w:rPr>
                <w:sz w:val="20"/>
                <w:szCs w:val="20"/>
                <w:color w:val="auto"/>
              </w:rPr>
            </w:pPr>
            <w:r>
              <w:rPr>
                <w:rFonts w:ascii="Arial" w:cs="Arial" w:eastAsia="Arial" w:hAnsi="Arial"/>
                <w:sz w:val="18"/>
                <w:szCs w:val="18"/>
                <w:color w:val="auto"/>
              </w:rPr>
              <w:t>0.00%</w:t>
            </w:r>
          </w:p>
        </w:tc>
        <w:tc>
          <w:tcPr>
            <w:tcW w:w="3540" w:type="dxa"/>
            <w:vAlign w:val="bottom"/>
            <w:gridSpan w:val="4"/>
          </w:tcPr>
          <w:p>
            <w:pPr>
              <w:jc w:val="right"/>
              <w:ind w:right="10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4.87 - 5.77</w:t>
            </w:r>
          </w:p>
        </w:tc>
        <w:tc>
          <w:tcPr>
            <w:tcW w:w="3540" w:type="dxa"/>
            <w:vAlign w:val="bottom"/>
            <w:gridSpan w:val="4"/>
            <w:shd w:val="clear" w:color="auto" w:fill="CFF0FC"/>
          </w:tcPr>
          <w:p>
            <w:pPr>
              <w:jc w:val="right"/>
              <w:ind w:right="950"/>
              <w:spacing w:after="0"/>
              <w:rPr>
                <w:sz w:val="20"/>
                <w:szCs w:val="20"/>
                <w:color w:val="auto"/>
              </w:rPr>
            </w:pPr>
            <w:r>
              <w:rPr>
                <w:rFonts w:ascii="Arial" w:cs="Arial" w:eastAsia="Arial" w:hAnsi="Arial"/>
                <w:sz w:val="18"/>
                <w:szCs w:val="18"/>
                <w:color w:val="auto"/>
              </w:rPr>
              <w:t>4.5 - 5.8</w:t>
            </w:r>
          </w:p>
        </w:tc>
        <w:tc>
          <w:tcPr>
            <w:tcW w:w="100" w:type="dxa"/>
            <w:vAlign w:val="bottom"/>
            <w:shd w:val="clear" w:color="auto" w:fill="CFF0FC"/>
          </w:tcPr>
          <w:p>
            <w:pPr>
              <w:spacing w:after="0"/>
              <w:rPr>
                <w:sz w:val="19"/>
                <w:szCs w:val="19"/>
                <w:color w:val="auto"/>
              </w:rPr>
            </w:pPr>
          </w:p>
        </w:tc>
      </w:tr>
    </w:tbl>
    <w:p>
      <w:pPr>
        <w:spacing w:after="0" w:line="13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September 30, 2022, there was $0.4 million of unamortized compensation cost related to unvested stock option awards which is expected to be recognized over a remaining weighted-average vesting period of 0.47 years, on a straight-line basis. Such compensation cost will ultimately be adjusted based upon actual performance compared to the corporate objectives as described above.</w:t>
      </w:r>
    </w:p>
    <w:p>
      <w:pPr>
        <w:spacing w:after="0" w:line="265"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weighted-average fair value of stock option granted during the nine months ended September 30, 2022 and 2021, estimated as of the grant date using the Black-Scholes option valuation model, was $1.47 and $3.33,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 and Private Placement Transactions</w:t>
      </w:r>
    </w:p>
    <w:p>
      <w:pPr>
        <w:spacing w:after="0" w:line="11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On August 23, 2019, the Company entered into an at the market issuance sales agreement, which was amended on August 26, 2022 (the “ATM Agreement”) with B. Riley FBR, Inc. (B. Riley FBR) pursuant to which the Company may sell common stock through B. Riley FBR from time to time up to an aggregate offering price of $75.0 million. Sales of the Company’s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the Company’s prior approval. The Company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shares of common stock were sold under the ATM Agreement in the three and nine months ended September 30, 2022 and 2021, respectively.</w:t>
      </w:r>
    </w:p>
    <w:p>
      <w:pPr>
        <w:spacing w:after="0" w:line="194"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color w:val="auto"/>
        </w:rPr>
        <w:t>On January 29, 2021, the Company sold and issued to an investor 3,656,307 shares of the Company’s common stock at a price of $5.47 per share for approximately $20 million in cash proceeds, net of approximately $0.1 million in issuance costs, in a private placement pursuant to the terms and conditions of a Securities Purchase Agreement dated as of January 11, 2021 by and between the Company and such investor.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loss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Common share equivalents are excluded from the diluted net loss per share calculation if their effect is anti-dilutive.</w:t>
      </w:r>
    </w:p>
    <w:p>
      <w:pPr>
        <w:spacing w:after="0" w:line="188"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Potentially dilutive outstanding stock options excluded from diluted net loss per common share due to their anti-dilutive effect totaled 7,985,250 shares and 8,099,250 shares for the three and nine months ended September 30, 2022 and 2021, respectively.</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2021 included in our Annual Report on Form 10-K filed with the Securities and Exchange Commission, or SEC, on February 16, 2022. Past operating results are not necessarily indicative of results that may occur in future periods.</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firstLine="572"/>
        <w:spacing w:after="0" w:line="288" w:lineRule="auto"/>
        <w:rPr>
          <w:sz w:val="20"/>
          <w:szCs w:val="20"/>
          <w:color w:val="auto"/>
        </w:rPr>
      </w:pPr>
      <w:r>
        <w:rPr>
          <w:rFonts w:ascii="Arial" w:cs="Arial" w:eastAsia="Arial" w:hAnsi="Arial"/>
          <w:sz w:val="16"/>
          <w:szCs w:val="16"/>
          <w:color w:val="auto"/>
        </w:rPr>
        <w:t>We are a biopharmaceutical company focused on developing novel therapeutics for the treatment of serious diseases with unmet medical needs and a commercial focus on the United States market. Our current strategy is to focus our development activities on MN-166 (ibudilast) for neurological and other disorders such as progressive multiple sclerosis (MS), amyotrophic lateral sclerosis (ALS), chemotherapy-induced peripheral neuropathy, degenerative cervical myelopathy, glioblastoma, substance dependence and addiction (e.g., methamphetamine dependence, opioid dependence, and alcohol dependence), and prevention of acute respiratory distress syndrome, and MN-001 (tipelukast) for fibrotic and other diseases such as nonalcoholic fatty liver disease (NAFLD),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6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have incurred significant net losses since our inception. As of September 30, 2022, from inception, our accumulated deficit was $404.1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420" w:firstLine="457"/>
        <w:spacing w:after="0" w:line="308" w:lineRule="auto"/>
        <w:rPr>
          <w:sz w:val="20"/>
          <w:szCs w:val="20"/>
          <w:color w:val="auto"/>
        </w:rPr>
      </w:pPr>
      <w:r>
        <w:rPr>
          <w:rFonts w:ascii="Arial" w:cs="Arial" w:eastAsia="Arial" w:hAnsi="Arial"/>
          <w:sz w:val="17"/>
          <w:szCs w:val="17"/>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38" w:lineRule="exact"/>
        <w:rPr>
          <w:sz w:val="20"/>
          <w:szCs w:val="20"/>
          <w:color w:val="auto"/>
        </w:rPr>
      </w:pPr>
    </w:p>
    <w:p>
      <w:pPr>
        <w:ind w:left="1000" w:hanging="49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17" w:lineRule="exact"/>
        <w:rPr>
          <w:rFonts w:ascii="Arial" w:cs="Arial" w:eastAsia="Arial" w:hAnsi="Arial"/>
          <w:sz w:val="18"/>
          <w:szCs w:val="18"/>
          <w:color w:val="auto"/>
        </w:rPr>
      </w:pPr>
    </w:p>
    <w:p>
      <w:pPr>
        <w:jc w:val="both"/>
        <w:ind w:left="1020" w:right="140"/>
        <w:spacing w:after="0" w:line="263"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We intend to pursue additional strategic alliances to help support further clinical development of MN-166 (ibudilast).</w:t>
      </w:r>
    </w:p>
    <w:p>
      <w:pPr>
        <w:spacing w:after="0" w:line="75" w:lineRule="exact"/>
        <w:rPr>
          <w:rFonts w:ascii="Arial" w:cs="Arial" w:eastAsia="Arial" w:hAnsi="Arial"/>
          <w:sz w:val="18"/>
          <w:szCs w:val="18"/>
          <w:color w:val="auto"/>
        </w:rPr>
      </w:pPr>
    </w:p>
    <w:p>
      <w:pPr>
        <w:ind w:left="1020" w:hanging="55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and other diseases.</w:t>
      </w:r>
    </w:p>
    <w:p>
      <w:pPr>
        <w:spacing w:after="0" w:line="117" w:lineRule="exact"/>
        <w:rPr>
          <w:rFonts w:ascii="Arial" w:cs="Arial" w:eastAsia="Arial" w:hAnsi="Arial"/>
          <w:sz w:val="18"/>
          <w:szCs w:val="18"/>
          <w:color w:val="auto"/>
        </w:rPr>
      </w:pPr>
    </w:p>
    <w:p>
      <w:pPr>
        <w:ind w:left="1020" w:right="6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product development and successfully commercialize our products.</w:t>
      </w:r>
    </w:p>
    <w:p>
      <w:pPr>
        <w:spacing w:after="0" w:line="62" w:lineRule="exact"/>
        <w:rPr>
          <w:rFonts w:ascii="Arial" w:cs="Arial" w:eastAsia="Arial" w:hAnsi="Arial"/>
          <w:sz w:val="18"/>
          <w:szCs w:val="18"/>
          <w:color w:val="auto"/>
        </w:rPr>
      </w:pPr>
    </w:p>
    <w:p>
      <w:pPr>
        <w:jc w:val="both"/>
        <w:ind w:left="1020" w:right="200"/>
        <w:spacing w:after="0" w:line="311"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We intend to discuss strategic alliances with leading pharmaceutical companies who seek product candidates, such as MN-166 (ibudilast), MN-001 (tipelukast), MN-221 (bedoradrine), and MN-029 (denibulin), which could support our clinical development and product commercialization.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225"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The pandemic caused by an outbreak of a new strain of coronavirus (“COVID-19” or “the pandemic”) has resulted, and is likely to continue to result, in significant national and global economic disruption and may adversely affect our business. Although the pandemic resulted in a decrease in the number of patient visits at certain of our clinical trial sites, we expect this effect to be temporary. We have seen an increase in the number of patient visits compared to earlier in the pandemic and we continue to enroll patients in our clinical trials. Throughout the pandemic, we have continued with routine clinical trial activities including executing new clinical trial agreements, negotiating budgets, institutional review board (IRB) approvals, site training, and other activities related to the initiation of new clinical trial sites. In addition, following the outbreak of the pandemic, we designed a clinical trial to evaluate MN-166 (ibudilast) for prevention of acute respiratory distress syndrome (ARDS) caused by COVID-19, which was based on positive results of a published study of MN-166 (ibudilast) in an animal model of ARDS. During the pandemic, we have been able to continue with routine regulatory activities. For example, we successfully submitted an Investigational New Drug Application (IND) for MN-166 (ibudilast) for prevention of ARDS which was accepted and is now open with the U.S. Food and Drug Administration (FDA). We were also informed by the FDA that the proposed clinical investigation of MN-166 (ibudilast) for the prevention of ARDS in patients with COVID-19 may proceed and that clinical trial has been completed with top-line results announced in June 2022. Based on management’s current assessment, we do not expect a material negative impact on our clinical development plans, long-term development timeline or liquidity due to the worldwide spread of the COVID-19 virus. However, we are actively monitoring this situation and the possible effects on our financial condition, liquidity, operations, suppliers, industry, and workforce.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October 2011, we entered into a collaboration agreement with Kissei Pharmaceutical Co., Ltd., or Kissei, to perform research and development services relating to MN-221 (bedoradrine) in exchange for a non-refundable upfront payment of $2.5 million. We assessed the services in accordance with the authoritative guidance and concluded that the two studies to be performed under the agreement represented two separate performance obligations. No services have been provided under the collaboration agreement subsequent to completion of the first study that was completed in 2013. In October 2021, we refunded $1.3 million of the prepayment. On October 24, 2022, we finalized the termination of the collaboration agreement with Kissei and canceled the second study contemplated thereunder.</w:t>
      </w:r>
    </w:p>
    <w:p>
      <w:pPr>
        <w:spacing w:after="0" w:line="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December 2005, Avigen, Inc. and Genzyme Corporation entered into an Assignment Agreement (the “Genzyme Agreement”) in which Genzyme acquired certain gene therapy intellectual property, programs and other related assets from Avigen in exchange for an initial $12.0 million payment. Avigen could also receive additional development milestone payments, sublicensing fees and royalty payments based on the successful development of products by Genzyme utilizing technologies previously developed by Avigen. We subsequently acquired Avigen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us at a future date.</w:t>
      </w:r>
    </w:p>
    <w:p>
      <w:pPr>
        <w:spacing w:after="0" w:line="5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development milestones outlined in the Genzyme Agreement did not meet the definition of a substantive milestone obligation under authoritative guidance on revenue recognition for milestone payments, as Genzyme was responsible for the development of the products and there is no further substantive service effort required by us. In March 2021, we received notice that a gene therapy product based on AAV (adeno-associated virus) vector technology, which was covered under the Genzyme Agreement, achieved two clinical development milestones, triggering two milestone payments. Accordingly, we recognized revenue of $4.0 million during the nine months ended September 30, 2021.</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 the remainder of 2022 as our development programs progress.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6" w:name="page17"/>
    <w:bookmarkEnd w:id="16"/>
    <w:p>
      <w:pPr>
        <w:jc w:val="both"/>
        <w:ind w:right="380" w:firstLine="510"/>
        <w:spacing w:after="0" w:line="263"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0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2021</w:t>
            </w:r>
          </w:p>
        </w:tc>
        <w:tc>
          <w:tcPr>
            <w:tcW w:w="2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3"/>
                <w:szCs w:val="13"/>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380"/>
              <w:spacing w:after="0"/>
              <w:rPr>
                <w:sz w:val="20"/>
                <w:szCs w:val="20"/>
                <w:color w:val="auto"/>
              </w:rPr>
            </w:pPr>
            <w:r>
              <w:rPr>
                <w:rFonts w:ascii="Arial" w:cs="Arial" w:eastAsia="Arial" w:hAnsi="Arial"/>
                <w:sz w:val="18"/>
                <w:szCs w:val="18"/>
                <w:color w:val="auto"/>
              </w:rPr>
              <w:t>MN-221</w:t>
            </w:r>
          </w:p>
        </w:tc>
        <w:tc>
          <w:tcPr>
            <w:tcW w:w="1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3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9"/>
                <w:szCs w:val="19"/>
                <w:color w:val="auto"/>
              </w:rPr>
            </w:pPr>
          </w:p>
        </w:tc>
        <w:tc>
          <w:tcPr>
            <w:tcW w:w="480" w:type="dxa"/>
            <w:vAlign w:val="bottom"/>
            <w:gridSpan w:val="2"/>
          </w:tcPr>
          <w:p>
            <w:pPr>
              <w:jc w:val="right"/>
              <w:ind w:right="34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4,351</w:t>
            </w:r>
          </w:p>
        </w:tc>
        <w:tc>
          <w:tcPr>
            <w:tcW w:w="100" w:type="dxa"/>
            <w:vAlign w:val="bottom"/>
            <w:shd w:val="clear" w:color="auto" w:fill="CFF0FC"/>
          </w:tcPr>
          <w:p>
            <w:pPr>
              <w:spacing w:after="0"/>
              <w:rPr>
                <w:sz w:val="19"/>
                <w:szCs w:val="19"/>
                <w:color w:val="auto"/>
              </w:rPr>
            </w:pPr>
          </w:p>
        </w:tc>
      </w:tr>
      <w:tr>
        <w:trPr>
          <w:trHeight w:val="230"/>
        </w:trPr>
        <w:tc>
          <w:tcPr>
            <w:tcW w:w="4500" w:type="dxa"/>
            <w:vAlign w:val="bottom"/>
          </w:tcPr>
          <w:p>
            <w:pPr>
              <w:ind w:left="380"/>
              <w:spacing w:after="0"/>
              <w:rPr>
                <w:sz w:val="20"/>
                <w:szCs w:val="20"/>
                <w:color w:val="auto"/>
              </w:rPr>
            </w:pPr>
            <w:r>
              <w:rPr>
                <w:rFonts w:ascii="Arial" w:cs="Arial" w:eastAsia="Arial" w:hAnsi="Arial"/>
                <w:sz w:val="18"/>
                <w:szCs w:val="18"/>
                <w:color w:val="auto"/>
              </w:rPr>
              <w:t>MN-001</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r>
      <w:tr>
        <w:trPr>
          <w:trHeight w:val="229"/>
        </w:trPr>
        <w:tc>
          <w:tcPr>
            <w:tcW w:w="4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external development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R&amp;D personnel expense</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1,607</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R&amp;D facility and depreciation expense</w:t>
            </w: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Patent expenses</w:t>
            </w: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Other R&amp;D expense</w:t>
            </w:r>
          </w:p>
        </w:tc>
        <w:tc>
          <w:tcPr>
            <w:tcW w:w="10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FF0FC"/>
          </w:tcPr>
          <w:p>
            <w:pPr>
              <w:spacing w:after="0"/>
              <w:rPr>
                <w:sz w:val="19"/>
                <w:szCs w:val="19"/>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research, development and patent expense</w:t>
            </w:r>
          </w:p>
        </w:tc>
        <w:tc>
          <w:tcPr>
            <w:tcW w:w="106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4"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1"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condensed consolidated financial statements, which we have prepared in accordance with United States generally accepted accounting principles. The preparation of these condensed consolidated financial statements requires us to make estimates, judgments and assumptions that affect the reported amounts of assets and liabilities and the disclosure of contingent assets and liabilities at the date of the financial statements, as well as the reported amounts of expenses during the reporting periods. We base our estimates on historical experience and on various other factors and assumptions that we believe are reasonable under the circumstances at the time the estimates are made, the results of which form the basis for making judgments about the book values of assets and liabilities that are not readily apparent from other sources. Actual results may differ from these estimates under different assumptions or conditions. We periodically evaluate our estimates and judgments in light of changes in circumstances, facts and experience.</w:t>
      </w:r>
    </w:p>
    <w:p>
      <w:pPr>
        <w:spacing w:after="0" w:line="5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Our critical accounting policies are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For a description of our critical accounting policies, please see the section entitled “Management’s Discussion and Analysis of Financial Condition and Results of Operations — Critical Accounting Policies” contained in our Annual Report on Form 10-K for the year ended December 31, 2021. There have not been any material changes to the critical accounting policies discussed therein during the nine months ended September 30,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480" w:firstLine="749"/>
        <w:spacing w:after="0" w:line="263" w:lineRule="auto"/>
        <w:rPr>
          <w:sz w:val="20"/>
          <w:szCs w:val="20"/>
          <w:color w:val="auto"/>
        </w:rPr>
      </w:pPr>
      <w:r>
        <w:rPr>
          <w:rFonts w:ascii="Arial" w:cs="Arial" w:eastAsia="Arial" w:hAnsi="Arial"/>
          <w:sz w:val="18"/>
          <w:szCs w:val="18"/>
          <w:color w:val="auto"/>
        </w:rPr>
        <w:t>Research, development and patents expenses were $2.5 million and $2.1 million for the three months ended September 30, 2022 and 2021, respectively. The increase of $0.4 million expense was primarily due to an increase in MN-166 related expenses, partially offset by a decrease in performance-based stock option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General and administrative expenses were $1.4 million and $1.6 million for the three months ended September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$0.2 million was primarily due to a decrease in performance-based stock option expense.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Revenues were $0.0 million and $4.0 million for the nine months ended September 30, 2022 and 2021, respectively. The decrease of $4.0 million was due to the receipt of two milestone payments under the Genzyme Agreement in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jc w:val="both"/>
        <w:ind w:right="460" w:firstLine="749"/>
        <w:spacing w:after="0" w:line="263" w:lineRule="auto"/>
        <w:rPr>
          <w:sz w:val="20"/>
          <w:szCs w:val="20"/>
          <w:color w:val="auto"/>
        </w:rPr>
      </w:pPr>
      <w:r>
        <w:rPr>
          <w:rFonts w:ascii="Arial" w:cs="Arial" w:eastAsia="Arial" w:hAnsi="Arial"/>
          <w:sz w:val="18"/>
          <w:szCs w:val="18"/>
          <w:color w:val="auto"/>
        </w:rPr>
        <w:t>Research, development and patents expenses were $7.1 million and $6.8 million for the nine months ended September 30, 2022 and 2021, respectively. The increase of $0.3 million was primarily due to an increase in MN-166 and MN-221 related expenses, partially offset by a decrease in performance-based stock option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General and administrative expenses were $4.3 million and $5.4 million for the nine months ended September 30, 2022 and 2021,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decrease of $1.1 million was primarily due to a decrease in performance-based stock option expense.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Net cash used in operating activities during the nine months ended September 30, 2022 was $8.9 million compared to $5.7 million during the same period in 2021. The $3.2 million change is primarily related to the increased net loss, reduction in non-cash stock-based compensation, and changes in operating assets and liabilities for those periods.</w:t>
      </w:r>
    </w:p>
    <w:p>
      <w:pPr>
        <w:spacing w:after="0" w:line="76"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2022 was $10.0 million compared to $0.0 million during the same period in 2021 due to the purchase of certificates of deposit.</w:t>
      </w:r>
    </w:p>
    <w:p>
      <w:pPr>
        <w:spacing w:after="0" w:line="6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Net cash provided by financing activities was $0.0 million during the nine months ended September 30, 2022 compared to $20.7 million during the same period in 2021. Net cash provided by financing activities during the nine months ended September 30, 2021 was primarily due to the sale of 3,656,307 shares of common stock under a Securities Purchase Agreement dated as of January 11, 2021 for net proceeds of $19.9 million. Cash proceeds from financing activities are used for working capital and general corporate purposes.</w:t>
      </w:r>
    </w:p>
    <w:p>
      <w:pPr>
        <w:spacing w:after="0" w:line="187"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As of September 30, 2022, we had available cash and cash equivalents of $52.5 million and working capital of $48.6 million. As of the date of this report, we believe we have working capital sufficient to fund operations at least through the end of 2023. However, we cannot provide assurance that these capital resources will be sufficient to conduct all our research and development programs as planned.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August 23, 2019, we entered into an at the market issuance sales agreement, which was amended on August 26, 2022 (the “ATM Agreement”) with B. Riley FBR, Inc. (B. Riley FBR) pursuant to which we may sell common stock through B. Riley FBR from time to time up to an aggregate offering price of $75.0 million. Sales of our common stock through B. Riley FBR, if any, will be made by any method that is deemed to be an “at-the-market” equity offering as defined in Rule 415 promulgated under the Securities Act of 1933, as amended, including sales made directly on NASDAQ, on any other existing trading market for the common stock or through a market maker. B. Riley FBR may also sell the common stock in privately negotiated transactions, subject to our prior approval. We agreed to pay B. Riley FBR an aggregate commission rate of up to 3.5% of the gross proceeds of any common stock sold under this agreement. Proceeds from sales of common stock will depend on the number of shares of common stock sold to B. Riley FBR and the per share purchase price of each transaction.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shares of common stock were sold under the ATM Agreement in the three and nine months ended September 30, 2022 and 2021.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300" w:firstLine="510"/>
        <w:spacing w:after="0" w:line="279" w:lineRule="auto"/>
        <w:rPr>
          <w:sz w:val="20"/>
          <w:szCs w:val="20"/>
          <w:color w:val="auto"/>
        </w:rPr>
      </w:pPr>
      <w:r>
        <w:rPr>
          <w:rFonts w:ascii="Arial" w:cs="Arial" w:eastAsia="Arial" w:hAnsi="Arial"/>
          <w:sz w:val="17"/>
          <w:szCs w:val="17"/>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are not involved in any material legal proceedings as of September 30, 2022.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2021,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We do not believe that there have been any material changes from the risk factors previously disclosed in our Annual Report on Form 10-K for the year ended December 31, 2021.</w:t>
      </w:r>
    </w:p>
    <w:p>
      <w:pPr>
        <w:spacing w:after="0" w:line="29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0" w:name="page21"/>
    <w:bookmarkEnd w:id="20"/>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120"/>
          </w:cols>
          <w:pgMar w:left="320" w:top="661" w:right="459" w:bottom="1440" w:gutter="0" w:footer="0" w:header="0"/>
        </w:sect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42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26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31.1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32.1</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32.2</w:t>
      </w:r>
      <w:r>
        <w:rPr>
          <w:rFonts w:ascii="Arial" w:cs="Arial" w:eastAsia="Arial" w:hAnsi="Arial"/>
          <w:sz w:val="15"/>
          <w:szCs w:val="15"/>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101.INS</w:t>
      </w:r>
      <w:r>
        <w:rPr>
          <w:rFonts w:ascii="Arial" w:cs="Arial" w:eastAsia="Arial" w:hAnsi="Arial"/>
          <w:sz w:val="15"/>
          <w:szCs w:val="15"/>
          <w:color w:val="auto"/>
        </w:rPr>
        <w:t>(1)</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101.SCH</w:t>
      </w:r>
      <w:r>
        <w:rPr>
          <w:rFonts w:ascii="Arial" w:cs="Arial" w:eastAsia="Arial" w:hAnsi="Arial"/>
          <w:sz w:val="13"/>
          <w:szCs w:val="13"/>
          <w:color w:val="auto"/>
        </w:rPr>
        <w:t>(1)</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101.CAL</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101.DEF</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101.LAB</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101.PRE</w:t>
      </w:r>
      <w:r>
        <w:rPr>
          <w:rFonts w:ascii="Arial" w:cs="Arial" w:eastAsia="Arial" w:hAnsi="Arial"/>
          <w:sz w:val="14"/>
          <w:szCs w:val="14"/>
          <w:color w:val="auto"/>
        </w:rPr>
        <w:t>(1)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6420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20485" cy="8890"/>
                    </a:xfrm>
                    <a:prstGeom prst="rect">
                      <a:avLst/>
                    </a:prstGeom>
                    <a:noFill/>
                  </pic:spPr>
                </pic:pic>
              </a:graphicData>
            </a:graphic>
          </wp:anchor>
        </w:drawing>
      </w:r>
    </w:p>
    <w:p>
      <w:pPr>
        <w:spacing w:after="0" w:line="111" w:lineRule="exact"/>
        <w:rPr>
          <w:sz w:val="20"/>
          <w:szCs w:val="20"/>
          <w:color w:val="auto"/>
        </w:rPr>
      </w:pPr>
    </w:p>
    <w:p>
      <w:pPr>
        <w:ind w:right="80"/>
        <w:spacing w:after="0" w:line="277" w:lineRule="auto"/>
        <w:rPr>
          <w:rFonts w:ascii="Arial" w:cs="Arial" w:eastAsia="Arial" w:hAnsi="Arial"/>
          <w:sz w:val="18"/>
          <w:szCs w:val="18"/>
          <w:u w:val="single" w:color="auto"/>
          <w:color w:val="0000EE"/>
        </w:rPr>
      </w:pPr>
      <w:hyperlink r:id="rId39">
        <w:r>
          <w:rPr>
            <w:rFonts w:ascii="Arial" w:cs="Arial" w:eastAsia="Arial" w:hAnsi="Arial"/>
            <w:sz w:val="18"/>
            <w:szCs w:val="18"/>
            <w:u w:val="single" w:color="auto"/>
            <w:color w:val="0000EE"/>
          </w:rPr>
          <w:t>Restated Certificate of Incorporation of the Registrant, as amended (incorporated by reference to Exhibit 3.1 of the Registrant’s Quarterly</w:t>
        </w:r>
      </w:hyperlink>
      <w:r>
        <w:rPr>
          <w:rFonts w:ascii="Arial" w:cs="Arial" w:eastAsia="Arial" w:hAnsi="Arial"/>
          <w:sz w:val="18"/>
          <w:szCs w:val="18"/>
          <w:u w:val="single" w:color="auto"/>
          <w:color w:val="0000EE"/>
        </w:rPr>
        <w:t xml:space="preserve"> </w:t>
      </w:r>
      <w:hyperlink r:id="rId39">
        <w:r>
          <w:rPr>
            <w:rFonts w:ascii="Arial" w:cs="Arial" w:eastAsia="Arial" w:hAnsi="Arial"/>
            <w:sz w:val="18"/>
            <w:szCs w:val="18"/>
            <w:u w:val="single" w:color="auto"/>
            <w:color w:val="0000EE"/>
          </w:rPr>
          <w:t>Report on Form 10-Q filed August 9, 2012).</w:t>
        </w:r>
      </w:hyperlink>
    </w:p>
    <w:p>
      <w:pPr>
        <w:spacing w:after="0" w:line="76"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40">
        <w:r>
          <w:rPr>
            <w:rFonts w:ascii="Arial" w:cs="Arial" w:eastAsia="Arial" w:hAnsi="Arial"/>
            <w:sz w:val="18"/>
            <w:szCs w:val="18"/>
            <w:u w:val="single" w:color="auto"/>
            <w:color w:val="0000EE"/>
          </w:rPr>
          <w:t>Amended and Restated Bylaws of the Registrant (incorporated by reference to Exhibit 3.1 of the Registrant’s Current Report on Form 8-K</w:t>
        </w:r>
      </w:hyperlink>
      <w:r>
        <w:rPr>
          <w:rFonts w:ascii="Arial" w:cs="Arial" w:eastAsia="Arial" w:hAnsi="Arial"/>
          <w:sz w:val="18"/>
          <w:szCs w:val="18"/>
          <w:u w:val="single" w:color="auto"/>
          <w:color w:val="0000EE"/>
        </w:rPr>
        <w:t xml:space="preserve"> </w:t>
      </w:r>
      <w:hyperlink r:id="rId40">
        <w:r>
          <w:rPr>
            <w:rFonts w:ascii="Arial" w:cs="Arial" w:eastAsia="Arial" w:hAnsi="Arial"/>
            <w:sz w:val="18"/>
            <w:szCs w:val="18"/>
            <w:u w:val="single" w:color="auto"/>
            <w:color w:val="0000EE"/>
          </w:rPr>
          <w:t>filed April 25, 2019).</w:t>
        </w:r>
      </w:hyperlink>
    </w:p>
    <w:p>
      <w:pPr>
        <w:spacing w:after="0" w:line="170" w:lineRule="exact"/>
        <w:rPr>
          <w:sz w:val="20"/>
          <w:szCs w:val="20"/>
          <w:color w:val="auto"/>
        </w:rPr>
      </w:pPr>
    </w:p>
    <w:p>
      <w:pPr>
        <w:ind w:right="40"/>
        <w:spacing w:after="0" w:line="277" w:lineRule="auto"/>
        <w:rPr>
          <w:rFonts w:ascii="Arial" w:cs="Arial" w:eastAsia="Arial" w:hAnsi="Arial"/>
          <w:sz w:val="18"/>
          <w:szCs w:val="18"/>
          <w:u w:val="single" w:color="auto"/>
          <w:color w:val="0000EE"/>
        </w:rPr>
      </w:pPr>
      <w:hyperlink r:id="rId41">
        <w:r>
          <w:rPr>
            <w:rFonts w:ascii="Arial" w:cs="Arial" w:eastAsia="Arial" w:hAnsi="Arial"/>
            <w:sz w:val="18"/>
            <w:szCs w:val="18"/>
            <w:u w:val="single" w:color="auto"/>
            <w:color w:val="0000EE"/>
          </w:rPr>
          <w:t>Lease, dated July 20, 2021, by and between the Company and The Irvine Company, LLC (incorporated by reference to Exhibit 99.1 of the</w:t>
        </w:r>
      </w:hyperlink>
      <w:r>
        <w:rPr>
          <w:rFonts w:ascii="Arial" w:cs="Arial" w:eastAsia="Arial" w:hAnsi="Arial"/>
          <w:sz w:val="18"/>
          <w:szCs w:val="18"/>
          <w:u w:val="single" w:color="auto"/>
          <w:color w:val="0000EE"/>
        </w:rPr>
        <w:t xml:space="preserve"> </w:t>
      </w:r>
      <w:hyperlink r:id="rId41">
        <w:r>
          <w:rPr>
            <w:rFonts w:ascii="Arial" w:cs="Arial" w:eastAsia="Arial" w:hAnsi="Arial"/>
            <w:sz w:val="18"/>
            <w:szCs w:val="18"/>
            <w:u w:val="single" w:color="auto"/>
            <w:color w:val="0000EE"/>
          </w:rPr>
          <w:t>Registrant’s Current Report on Form 8-K filed July 23, 2021.</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Principal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Certification of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of Principal Executive Officer pursuant to 18 U.S.C. Section 1350 (Section 906 of the Sarbanes-Oxley Act of 2002).</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Certification of Principal Financial Officer pursuant to 18 U.S.C. Section 1350 (Section 906 of the Sarbanes-Oxley Act of 2002).</w:t>
      </w:r>
    </w:p>
    <w:p>
      <w:pPr>
        <w:spacing w:after="0" w:line="1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60" w:space="260"/>
            <w:col w:w="10000"/>
          </w:cols>
          <w:pgMar w:left="320" w:top="661" w:right="459" w:bottom="1440" w:gutter="0" w:footer="0" w:header="0"/>
          <w:type w:val="continuous"/>
        </w:sectPr>
      </w:pPr>
    </w:p>
    <w:p>
      <w:pPr>
        <w:spacing w:after="0" w:line="16" w:lineRule="exact"/>
        <w:rPr>
          <w:sz w:val="20"/>
          <w:szCs w:val="20"/>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type w:val="continuous"/>
        </w:sectPr>
      </w:pPr>
    </w:p>
    <w:bookmarkStart w:id="21" w:name="page22"/>
    <w:bookmarkEnd w:id="21"/>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440" w:val="left"/>
          <w:tab w:leader="none" w:pos="8340" w:val="left"/>
          <w:tab w:leader="none" w:pos="8680" w:val="left"/>
        </w:tabs>
        <w:rPr>
          <w:sz w:val="20"/>
          <w:szCs w:val="20"/>
          <w:color w:val="auto"/>
        </w:rPr>
      </w:pPr>
      <w:r>
        <w:rPr>
          <w:rFonts w:ascii="Arial" w:cs="Arial" w:eastAsia="Arial" w:hAnsi="Arial"/>
          <w:sz w:val="18"/>
          <w:szCs w:val="18"/>
          <w:color w:val="auto"/>
        </w:rPr>
        <w:t>Date: November 10,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Yuichi Iwaki, M.D., Ph.D.</w:t>
      </w:r>
    </w:p>
    <w:p>
      <w:pPr>
        <w:jc w:val="center"/>
        <w:ind w:left="67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460"/>
        <w:spacing w:after="0"/>
        <w:tabs>
          <w:tab w:leader="none" w:pos="828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371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left="6760"/>
        <w:spacing w:after="0"/>
        <w:rPr>
          <w:sz w:val="20"/>
          <w:szCs w:val="20"/>
          <w:color w:val="auto"/>
        </w:rPr>
      </w:pPr>
      <w:r>
        <w:rPr>
          <w:rFonts w:ascii="Arial" w:cs="Arial" w:eastAsia="Arial" w:hAnsi="Arial"/>
          <w:sz w:val="14"/>
          <w:szCs w:val="14"/>
          <w:b w:val="1"/>
          <w:bCs w:val="1"/>
          <w:color w:val="auto"/>
        </w:rPr>
        <w:t>Jason Kruger</w:t>
      </w:r>
    </w:p>
    <w:p>
      <w:pPr>
        <w:jc w:val="center"/>
        <w:ind w:left="67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7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00"/>
          </w:cols>
          <w:pgMar w:left="320" w:top="553" w:right="7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8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10, 2022</w:t>
      </w:r>
    </w:p>
    <w:p>
      <w:pPr>
        <w:spacing w:after="0" w:line="252" w:lineRule="exact"/>
        <w:rPr>
          <w:sz w:val="20"/>
          <w:szCs w:val="20"/>
          <w:color w:val="auto"/>
        </w:rPr>
      </w:pPr>
    </w:p>
    <w:p>
      <w:pPr>
        <w:ind w:left="6760"/>
        <w:spacing w:after="0"/>
        <w:tabs>
          <w:tab w:leader="none" w:pos="7300" w:val="left"/>
          <w:tab w:leader="none" w:pos="7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14605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b w:val="1"/>
          <w:bCs w:val="1"/>
          <w:color w:val="auto"/>
        </w:rPr>
        <w:t>Yuichi Iwaki, M.D., Ph.D.</w:t>
      </w:r>
    </w:p>
    <w:p>
      <w:pPr>
        <w:ind w:left="73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3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Paulin, certify that:</w:t>
      </w:r>
    </w:p>
    <w:p>
      <w:pPr>
        <w:spacing w:after="0" w:line="117" w:lineRule="exact"/>
        <w:rPr>
          <w:sz w:val="20"/>
          <w:szCs w:val="20"/>
          <w:color w:val="auto"/>
        </w:rPr>
      </w:pPr>
    </w:p>
    <w:p>
      <w:pPr>
        <w:ind w:left="700" w:hanging="182"/>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2022 of MediciNova, Inc.;</w:t>
      </w:r>
    </w:p>
    <w:p>
      <w:pPr>
        <w:spacing w:after="0" w:line="117"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518"/>
        <w:spacing w:after="0" w:line="263" w:lineRule="auto"/>
        <w:tabs>
          <w:tab w:leader="none" w:pos="69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20" w:right="60" w:firstLine="484"/>
        <w:spacing w:after="0" w:line="263" w:lineRule="auto"/>
        <w:tabs>
          <w:tab w:leader="none" w:pos="11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20" w:right="20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20" w:right="3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240" w:firstLine="484"/>
        <w:spacing w:after="0" w:line="263"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60" w:firstLine="518"/>
        <w:spacing w:after="0" w:line="342" w:lineRule="auto"/>
        <w:tabs>
          <w:tab w:leader="none" w:pos="69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520" w:right="620" w:firstLine="484"/>
        <w:spacing w:after="0" w:line="342" w:lineRule="auto"/>
        <w:tabs>
          <w:tab w:leader="none" w:pos="119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520" w:right="240" w:firstLine="484"/>
        <w:spacing w:after="0" w:line="277" w:lineRule="auto"/>
        <w:tabs>
          <w:tab w:leader="none" w:pos="120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10, 2022</w:t>
      </w:r>
    </w:p>
    <w:p>
      <w:pPr>
        <w:spacing w:after="0" w:line="252" w:lineRule="exact"/>
        <w:rPr>
          <w:sz w:val="20"/>
          <w:szCs w:val="20"/>
          <w:color w:val="auto"/>
        </w:rPr>
      </w:pPr>
    </w:p>
    <w:p>
      <w:pPr>
        <w:ind w:left="6760"/>
        <w:spacing w:after="0"/>
        <w:tabs>
          <w:tab w:leader="none" w:pos="7200" w:val="left"/>
          <w:tab w:leader="none" w:pos="754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ind w:left="7220"/>
        <w:spacing w:after="0"/>
        <w:rPr>
          <w:sz w:val="20"/>
          <w:szCs w:val="20"/>
          <w:color w:val="auto"/>
        </w:rPr>
      </w:pPr>
      <w:r>
        <w:rPr>
          <w:rFonts w:ascii="Arial" w:cs="Arial" w:eastAsia="Arial" w:hAnsi="Arial"/>
          <w:sz w:val="14"/>
          <w:szCs w:val="14"/>
          <w:b w:val="1"/>
          <w:bCs w:val="1"/>
          <w:color w:val="auto"/>
        </w:rPr>
        <w:t>Jason Kruger</w:t>
      </w:r>
    </w:p>
    <w:p>
      <w:pPr>
        <w:ind w:left="72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2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September 30, 2022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10, 2022</w:t>
      </w:r>
    </w:p>
    <w:p>
      <w:pPr>
        <w:spacing w:after="0" w:line="252" w:lineRule="exact"/>
        <w:rPr>
          <w:sz w:val="20"/>
          <w:szCs w:val="20"/>
          <w:color w:val="auto"/>
        </w:rPr>
      </w:pPr>
    </w:p>
    <w:p>
      <w:pPr>
        <w:ind w:left="6760"/>
        <w:spacing w:after="0"/>
        <w:tabs>
          <w:tab w:leader="none" w:pos="8580" w:val="left"/>
          <w:tab w:leader="none" w:pos="8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Yuichi Iwaki, M.D., Ph.D.</w:t>
      </w:r>
    </w:p>
    <w:p>
      <w:pPr>
        <w:jc w:val="center"/>
        <w:ind w:left="720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0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ACTING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In connection with the accompanying Quarterly Report on Form 10-Q of MediciNova, Inc. (the “Company”) for the period ended September 30, 2022, as filed with the Securities and Exchange Commission on the date hereof (the “Report”), I, Douglas Paulin, as Chief Financial Officer of the Company, hereby certify, pursuant to 18 U.S.C. Section 1350, as adopted pursuant to Section 906 of the Sarbanes-Oxley Act of 2002, that to my knowledge:</w:t>
      </w:r>
    </w:p>
    <w:p>
      <w:pPr>
        <w:spacing w:after="0" w:line="79" w:lineRule="exact"/>
        <w:rPr>
          <w:sz w:val="20"/>
          <w:szCs w:val="20"/>
          <w:color w:val="auto"/>
        </w:rPr>
      </w:pPr>
    </w:p>
    <w:p>
      <w:pPr>
        <w:ind w:left="1180" w:hanging="17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400" w:firstLine="484"/>
        <w:spacing w:after="0" w:line="277" w:lineRule="auto"/>
        <w:tabs>
          <w:tab w:leader="none" w:pos="11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November 10, 2022</w:t>
      </w:r>
    </w:p>
    <w:p>
      <w:pPr>
        <w:spacing w:after="0" w:line="252" w:lineRule="exact"/>
        <w:rPr>
          <w:sz w:val="20"/>
          <w:szCs w:val="20"/>
          <w:color w:val="auto"/>
        </w:rPr>
      </w:pPr>
    </w:p>
    <w:p>
      <w:pPr>
        <w:ind w:left="6760"/>
        <w:spacing w:after="0"/>
        <w:tabs>
          <w:tab w:leader="none" w:pos="8500" w:val="left"/>
          <w:tab w:leader="none" w:pos="8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w:t>
      </w:r>
      <w:r>
        <w:rPr>
          <w:rFonts w:ascii="Arial" w:cs="Arial" w:eastAsia="Arial" w:hAnsi="Arial"/>
          <w:sz w:val="12"/>
          <w:szCs w:val="12"/>
          <w:color w:val="auto"/>
        </w:rPr>
        <w:t>ASON</w:t>
      </w:r>
      <w:r>
        <w:rPr>
          <w:rFonts w:ascii="Arial" w:cs="Arial" w:eastAsia="Arial" w:hAnsi="Arial"/>
          <w:sz w:val="17"/>
          <w:szCs w:val="17"/>
          <w:color w:val="auto"/>
        </w:rPr>
        <w:t xml:space="preserve"> K</w:t>
      </w:r>
      <w:r>
        <w:rPr>
          <w:rFonts w:ascii="Arial" w:cs="Arial" w:eastAsia="Arial" w:hAnsi="Arial"/>
          <w:sz w:val="12"/>
          <w:szCs w:val="12"/>
          <w:color w:val="auto"/>
        </w:rPr>
        <w:t>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jc w:val="center"/>
        <w:ind w:left="7200"/>
        <w:spacing w:after="0"/>
        <w:rPr>
          <w:sz w:val="20"/>
          <w:szCs w:val="20"/>
          <w:color w:val="auto"/>
        </w:rPr>
      </w:pPr>
      <w:r>
        <w:rPr>
          <w:rFonts w:ascii="Arial" w:cs="Arial" w:eastAsia="Arial" w:hAnsi="Arial"/>
          <w:sz w:val="14"/>
          <w:szCs w:val="14"/>
          <w:b w:val="1"/>
          <w:bCs w:val="1"/>
          <w:color w:val="auto"/>
        </w:rPr>
        <w:t>Jason Kruger</w:t>
      </w:r>
    </w:p>
    <w:p>
      <w:pPr>
        <w:jc w:val="center"/>
        <w:ind w:left="720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20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39" Type="http://schemas.openxmlformats.org/officeDocument/2006/relationships/hyperlink" Target="http://www.sec.gov/Archives/edgar/data/1226616/000119312512347932/d344794dex31.htm" TargetMode="External"/><Relationship Id="rId40" Type="http://schemas.openxmlformats.org/officeDocument/2006/relationships/hyperlink" Target="http://www.sec.gov/Archives/edgar/data/1226616/000119312519119751/d727763dex31.htm" TargetMode="External"/><Relationship Id="rId41" Type="http://schemas.openxmlformats.org/officeDocument/2006/relationships/hyperlink" Target="http://www.sec.gov/Archives/edgar/data/1226616/000119312521222985/d15989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2022-11-10T16:45:50Z</dcterms:created>
  <dcterms:modified xsi:type="dcterms:W3CDTF">2022-11-10T16:45:50Z</dcterms:modified>
</cp:coreProperties>
</file>