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360" w:hanging="532"/>
        <w:spacing w:after="0" w:line="237"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2015</w:t>
      </w:r>
    </w:p>
    <w:p>
      <w:pPr>
        <w:spacing w:after="0" w:line="149" w:lineRule="exact"/>
        <w:rPr>
          <w:sz w:val="24"/>
          <w:szCs w:val="24"/>
          <w:color w:val="auto"/>
        </w:rPr>
      </w:pPr>
    </w:p>
    <w:p>
      <w:pPr>
        <w:ind w:left="540" w:right="360" w:hanging="532"/>
        <w:spacing w:after="0" w:line="256" w:lineRule="auto"/>
        <w:tabs>
          <w:tab w:leader="none" w:pos="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355" w:right="25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120"/>
          </w:cols>
          <w:pgMar w:left="240" w:top="35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200" w:type="dxa"/>
            <w:vAlign w:val="bottom"/>
          </w:tcPr>
          <w:p>
            <w:pPr>
              <w:jc w:val="center"/>
              <w:ind w:right="35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5"/>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89"/>
              </w:rPr>
              <w:t>4275 Executive Square, Suite 650</w:t>
            </w:r>
          </w:p>
        </w:tc>
        <w:tc>
          <w:tcPr>
            <w:tcW w:w="1440" w:type="dxa"/>
            <w:vAlign w:val="bottom"/>
          </w:tcPr>
          <w:p>
            <w:pPr>
              <w:spacing w:after="0"/>
              <w:rPr>
                <w:sz w:val="24"/>
                <w:szCs w:val="24"/>
                <w:color w:val="auto"/>
              </w:rPr>
            </w:pPr>
          </w:p>
        </w:tc>
      </w:t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5"/>
              </w:rPr>
              <w:t>La Jolla,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200" w:type="dxa"/>
            <w:vAlign w:val="bottom"/>
          </w:tcPr>
          <w:p>
            <w:pPr>
              <w:jc w:val="right"/>
              <w:ind w:right="1379"/>
              <w:spacing w:after="0"/>
              <w:rPr>
                <w:sz w:val="20"/>
                <w:szCs w:val="20"/>
                <w:color w:val="auto"/>
              </w:rPr>
            </w:pPr>
            <w:r>
              <w:rPr>
                <w:rFonts w:ascii="Arial" w:cs="Arial" w:eastAsia="Arial" w:hAnsi="Arial"/>
                <w:sz w:val="18"/>
                <w:szCs w:val="18"/>
                <w:b w:val="1"/>
                <w:bCs w:val="1"/>
                <w:color w:val="auto"/>
              </w:rPr>
              <w:t>(858) 373-1500</w:t>
            </w:r>
          </w:p>
        </w:tc>
        <w:tc>
          <w:tcPr>
            <w:tcW w:w="1440" w:type="dxa"/>
            <w:vAlign w:val="bottom"/>
          </w:tcPr>
          <w:p>
            <w:pPr>
              <w:spacing w:after="0"/>
              <w:rPr>
                <w:sz w:val="24"/>
                <w:szCs w:val="24"/>
                <w:color w:val="auto"/>
              </w:rPr>
            </w:pPr>
          </w:p>
        </w:tc>
      </w:tr>
      <w:tr>
        <w:trPr>
          <w:trHeight w:val="186"/>
        </w:trPr>
        <w:tc>
          <w:tcPr>
            <w:tcW w:w="6200" w:type="dxa"/>
            <w:vAlign w:val="bottom"/>
          </w:tcPr>
          <w:p>
            <w:pPr>
              <w:jc w:val="center"/>
              <w:ind w:left="20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5"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firstLine="51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400"/>
          </w:cols>
          <w:pgMar w:left="240" w:top="355" w:right="259" w:bottom="1440" w:gutter="0" w:footer="0" w:header="0"/>
          <w:type w:val="continuous"/>
        </w:sectPr>
      </w:pP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71"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4">
            <w:col w:w="8700" w:space="180"/>
            <w:col w:w="440" w:space="180"/>
            <w:col w:w="220" w:space="80"/>
            <w:col w:w="1600"/>
          </w:cols>
          <w:pgMar w:left="240" w:top="355" w:right="25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July 24, 2015, the registrant had 24,893,221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582930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80" w:type="dxa"/>
            <w:vAlign w:val="bottom"/>
            <w:gridSpan w:val="5"/>
          </w:tcPr>
          <w:p>
            <w:pPr>
              <w:jc w:val="center"/>
              <w:ind w:right="2980"/>
              <w:spacing w:after="0"/>
              <w:rPr>
                <w:sz w:val="20"/>
                <w:szCs w:val="20"/>
                <w:color w:val="auto"/>
              </w:rPr>
            </w:pPr>
            <w:r>
              <w:rPr>
                <w:rFonts w:ascii="Arial" w:cs="Arial" w:eastAsia="Arial" w:hAnsi="Arial"/>
                <w:sz w:val="18"/>
                <w:szCs w:val="18"/>
                <w:b w:val="1"/>
                <w:bCs w:val="1"/>
                <w:color w:val="auto"/>
              </w:rPr>
              <w:t>MEDICINOVA, INC.</w:t>
            </w:r>
          </w:p>
        </w:tc>
        <w:tc>
          <w:tcPr>
            <w:tcW w:w="76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80" w:type="dxa"/>
            <w:vAlign w:val="bottom"/>
            <w:gridSpan w:val="5"/>
          </w:tcPr>
          <w:p>
            <w:pPr>
              <w:jc w:val="center"/>
              <w:ind w:right="296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77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45"/>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CONSOLIDATED FINANCIAL STATEMENTS (unaudited)</w:t>
              </w:r>
            </w:hyperlink>
          </w:p>
        </w:tc>
        <w:tc>
          <w:tcPr>
            <w:tcW w:w="504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MANAGEMENT’S DISCUSSION AND ANALYSIS OF FINANCIAL CONDITION AND RESULTS OF OPERATIONS</w:t>
              </w:r>
            </w:hyperlink>
          </w:p>
        </w:tc>
        <w:tc>
          <w:tcPr>
            <w:tcW w:w="5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QUANTITATIVE AND QUALITATIVE DISCLOSURES ABOUT MARKET RISK</w:t>
              </w:r>
            </w:hyperlink>
          </w:p>
        </w:tc>
        <w:tc>
          <w:tcPr>
            <w:tcW w:w="334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CONTROLS AND PROCEDURES</w:t>
              </w:r>
            </w:hyperlink>
          </w:p>
        </w:tc>
        <w:tc>
          <w:tcPr>
            <w:tcW w:w="6880" w:type="dxa"/>
            <w:vAlign w:val="bottom"/>
            <w:gridSpan w:val="5"/>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5"/>
        </w:trPr>
        <w:tc>
          <w:tcPr>
            <w:tcW w:w="106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5"/>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LEGAL PROCEEDINGS</w:t>
              </w:r>
            </w:hyperlink>
          </w:p>
        </w:tc>
        <w:tc>
          <w:tcPr>
            <w:tcW w:w="760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8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80" w:type="dxa"/>
            <w:vAlign w:val="bottom"/>
            <w:gridSpan w:val="1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16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6060" w:type="dxa"/>
            <w:vAlign w:val="bottom"/>
            <w:tcBorders>
              <w:top w:val="single" w:sz="8" w:color="0000EE"/>
            </w:tcBorders>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3420" w:type="dxa"/>
            <w:vAlign w:val="bottom"/>
            <w:gridSpan w:val="3"/>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160" w:type="dxa"/>
            <w:vAlign w:val="bottom"/>
            <w:gridSpan w:val="2"/>
          </w:tcPr>
          <w:p>
            <w:pPr>
              <w:spacing w:after="0"/>
              <w:rPr>
                <w:rFonts w:ascii="Arial" w:cs="Arial" w:eastAsia="Arial" w:hAnsi="Arial"/>
                <w:sz w:val="18"/>
                <w:szCs w:val="18"/>
                <w:color w:val="0000EE"/>
                <w:w w:val="97"/>
              </w:rPr>
            </w:pPr>
            <w:hyperlink w:anchor="page19">
              <w:r>
                <w:rPr>
                  <w:rFonts w:ascii="Arial" w:cs="Arial" w:eastAsia="Arial" w:hAnsi="Arial"/>
                  <w:sz w:val="18"/>
                  <w:szCs w:val="18"/>
                  <w:color w:val="0000EE"/>
                  <w:w w:val="97"/>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500" w:type="dxa"/>
            <w:vAlign w:val="bottom"/>
          </w:tcPr>
          <w:p>
            <w:pPr>
              <w:jc w:val="center"/>
              <w:ind w:left="2550"/>
              <w:spacing w:after="0"/>
              <w:rPr>
                <w:sz w:val="20"/>
                <w:szCs w:val="20"/>
                <w:color w:val="auto"/>
              </w:rPr>
            </w:pPr>
            <w:r>
              <w:rPr>
                <w:rFonts w:ascii="Arial" w:cs="Arial" w:eastAsia="Arial" w:hAnsi="Arial"/>
                <w:sz w:val="18"/>
                <w:szCs w:val="18"/>
                <w:b w:val="1"/>
                <w:bCs w:val="1"/>
                <w:color w:val="auto"/>
              </w:rPr>
              <w:t>PART I. FINANCIAL INFORMATION</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500" w:type="dxa"/>
            <w:vAlign w:val="bottom"/>
          </w:tcPr>
          <w:p>
            <w:pPr>
              <w:jc w:val="center"/>
              <w:ind w:left="2550"/>
              <w:spacing w:after="0"/>
              <w:rPr>
                <w:sz w:val="20"/>
                <w:szCs w:val="20"/>
                <w:color w:val="auto"/>
              </w:rPr>
            </w:pPr>
            <w:r>
              <w:rPr>
                <w:rFonts w:ascii="Arial" w:cs="Arial" w:eastAsia="Arial" w:hAnsi="Arial"/>
                <w:sz w:val="18"/>
                <w:szCs w:val="18"/>
                <w:b w:val="1"/>
                <w:bCs w:val="1"/>
                <w:color w:val="auto"/>
              </w:rPr>
              <w:t>MEDICINOVA, INC.</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5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24"/>
                <w:szCs w:val="2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w w:val="91"/>
              </w:rPr>
              <w:t>Current assets:</w:t>
            </w:r>
          </w:p>
        </w:tc>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6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8,580,807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11,669,435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1,021,256</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9,602,063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12,132,921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Goodwill</w:t>
            </w:r>
          </w:p>
        </w:tc>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9,600,241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9,600,241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679,688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684,789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Long-term deposits</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24,719,397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27,273,494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177,555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464,131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345,530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Accrued compensation and related expenses</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465,257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1,106,943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Long-term deferred rent and lease liability</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16,978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Long-term deferred revenue</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shd w:val="clear" w:color="auto" w:fill="CFF0FC"/>
          </w:tcPr>
          <w:p>
            <w:pPr>
              <w:spacing w:after="0"/>
              <w:rPr>
                <w:sz w:val="20"/>
                <w:szCs w:val="20"/>
                <w:color w:val="auto"/>
              </w:rPr>
            </w:pPr>
            <w:r>
              <w:rPr>
                <w:rFonts w:ascii="Arial" w:cs="Arial" w:eastAsia="Arial" w:hAnsi="Arial"/>
                <w:sz w:val="18"/>
                <w:szCs w:val="18"/>
                <w:color w:val="auto"/>
                <w:w w:val="99"/>
              </w:rPr>
              <w:t>Total liabilities</w:t>
            </w:r>
          </w:p>
        </w:tc>
        <w:tc>
          <w:tcPr>
            <w:tcW w:w="6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4,774,084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5,262,905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40" w:type="dxa"/>
            <w:vAlign w:val="bottom"/>
            <w:gridSpan w:val="2"/>
          </w:tcPr>
          <w:p>
            <w:pPr>
              <w:ind w:left="380"/>
              <w:spacing w:after="0"/>
              <w:rPr>
                <w:sz w:val="20"/>
                <w:szCs w:val="20"/>
                <w:color w:val="auto"/>
              </w:rPr>
            </w:pPr>
            <w:r>
              <w:rPr>
                <w:rFonts w:ascii="Arial" w:cs="Arial" w:eastAsia="Arial" w:hAnsi="Arial"/>
                <w:sz w:val="18"/>
                <w:szCs w:val="18"/>
                <w:color w:val="auto"/>
              </w:rPr>
              <w:t>Preferred stock, $0.01 par value; 3,000,000 shares authorized at June 30, 2015 and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ind w:left="520"/>
              <w:spacing w:after="0"/>
              <w:rPr>
                <w:sz w:val="20"/>
                <w:szCs w:val="20"/>
                <w:color w:val="auto"/>
              </w:rPr>
            </w:pPr>
            <w:r>
              <w:rPr>
                <w:rFonts w:ascii="Arial" w:cs="Arial" w:eastAsia="Arial" w:hAnsi="Arial"/>
                <w:sz w:val="18"/>
                <w:szCs w:val="18"/>
                <w:color w:val="auto"/>
              </w:rPr>
              <w:t>December 31, 2014; 220,000 shares issued and outstanding at June 30, 2015 and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520"/>
              <w:spacing w:after="0"/>
              <w:rPr>
                <w:sz w:val="20"/>
                <w:szCs w:val="20"/>
                <w:color w:val="auto"/>
              </w:rPr>
            </w:pPr>
            <w:r>
              <w:rPr>
                <w:rFonts w:ascii="Arial" w:cs="Arial" w:eastAsia="Arial" w:hAnsi="Arial"/>
                <w:sz w:val="18"/>
                <w:szCs w:val="18"/>
                <w:color w:val="auto"/>
              </w:rPr>
              <w:t>December 31, 2014</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$0.001 par value; 100,000,000 shares authorized at June 30, 2015</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and December 31, 2014; 24,893,221 and 24,436,317 shares issued and outstanding</w:t>
            </w: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at June 30, 2015 and December 31, 2014, respectively</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24,893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335,105,414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332,666,935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(103,303)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(100,977)</w:t>
            </w:r>
          </w:p>
        </w:tc>
        <w:tc>
          <w:tcPr>
            <w:tcW w:w="0" w:type="dxa"/>
            <w:vAlign w:val="bottom"/>
          </w:tcPr>
          <w:p>
            <w:pPr>
              <w:spacing w:after="0"/>
              <w:rPr>
                <w:sz w:val="1"/>
                <w:szCs w:val="1"/>
                <w:color w:val="auto"/>
              </w:rPr>
            </w:pPr>
          </w:p>
        </w:tc>
      </w:tr>
      <w:tr>
        <w:trPr>
          <w:trHeight w:val="230"/>
        </w:trPr>
        <w:tc>
          <w:tcPr>
            <w:tcW w:w="764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(315,083,891)</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(310,582,006)</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19,945,313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22,010,589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24,719,397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27,273,494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Research, development and patents</w:t>
            </w:r>
          </w:p>
        </w:tc>
        <w:tc>
          <w:tcPr>
            <w:tcW w:w="1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797,008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835,614</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1,516,735</w:t>
            </w:r>
          </w:p>
        </w:tc>
        <w:tc>
          <w:tcPr>
            <w:tcW w:w="2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1,583,531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1,480,120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1,295,427</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2,975,348</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2,911,243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2,277,128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2,131,041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4,492,083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4,494,774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(2,277,128)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(2,131,041)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(4,492,083)</w:t>
            </w: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(4,494,774)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Other expense</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(14,289)</w:t>
            </w:r>
          </w:p>
        </w:tc>
        <w:tc>
          <w:tcPr>
            <w:tcW w:w="2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(18,441)</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6,256</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(2,285,161)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(2,120,221)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(4,497,277)</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(4,471,143)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(1,661)</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(1,547)</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(4,608)</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(3,090)</w:t>
            </w:r>
          </w:p>
        </w:tc>
        <w:tc>
          <w:tcPr>
            <w:tcW w:w="0" w:type="dxa"/>
            <w:vAlign w:val="bottom"/>
          </w:tcPr>
          <w:p>
            <w:pPr>
              <w:spacing w:after="0"/>
              <w:rPr>
                <w:sz w:val="1"/>
                <w:szCs w:val="1"/>
                <w:color w:val="auto"/>
              </w:rPr>
            </w:pPr>
          </w:p>
        </w:tc>
      </w:tr>
      <w:tr>
        <w:trPr>
          <w:trHeight w:val="263"/>
        </w:trPr>
        <w:tc>
          <w:tcPr>
            <w:tcW w:w="46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3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(2,286,822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(2,121,768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(4,501,885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(4,474,233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loss per common share</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24,827,878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24,141,485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24,684,008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23,920,782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5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(2,286,822)</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(2,121,768)</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(4,501,885)</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(4,474,233)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net of tax:</w:t>
            </w:r>
          </w:p>
        </w:tc>
        <w:tc>
          <w:tcPr>
            <w:tcW w:w="1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(1,681)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(2,326)</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(2,288,503</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(2,120,971</w:t>
            </w:r>
          </w:p>
        </w:tc>
        <w:tc>
          <w:tcPr>
            <w:tcW w:w="220" w:type="dxa"/>
            <w:vAlign w:val="bottom"/>
            <w:tcBorders>
              <w:top w:val="single" w:sz="8" w:color="CFF0FC"/>
              <w:bottom w:val="single" w:sz="8" w:color="CFF0FC"/>
            </w:tcBorders>
            <w:shd w:val="clear" w:color="auto" w:fill="CFF0FC"/>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(4,504,211</w:t>
            </w:r>
          </w:p>
        </w:tc>
        <w:tc>
          <w:tcPr>
            <w:tcW w:w="200" w:type="dxa"/>
            <w:vAlign w:val="bottom"/>
            <w:tcBorders>
              <w:top w:val="single" w:sz="8" w:color="CFF0FC"/>
              <w:bottom w:val="single" w:sz="8" w:color="CFF0FC"/>
            </w:tcBorders>
            <w:shd w:val="clear" w:color="auto" w:fill="CFF0FC"/>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(4,470,767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Six months ended</w:t>
      </w:r>
    </w:p>
    <w:p>
      <w:pPr>
        <w:jc w:val="center"/>
        <w:ind w:left="78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6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(4,501,885)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(4,474,233)</w:t>
            </w:r>
          </w:p>
        </w:tc>
        <w:tc>
          <w:tcPr>
            <w:tcW w:w="0" w:type="dxa"/>
            <w:vAlign w:val="bottom"/>
          </w:tcPr>
          <w:p>
            <w:pPr>
              <w:spacing w:after="0"/>
              <w:rPr>
                <w:sz w:val="1"/>
                <w:szCs w:val="1"/>
                <w:color w:val="auto"/>
              </w:rPr>
            </w:pPr>
          </w:p>
        </w:tc>
      </w:tr>
      <w:tr>
        <w:trPr>
          <w:trHeight w:val="215"/>
        </w:trPr>
        <w:tc>
          <w:tcPr>
            <w:tcW w:w="72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provided by operating</w:t>
            </w:r>
          </w:p>
        </w:tc>
        <w:tc>
          <w:tcPr>
            <w:tcW w:w="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activities:</w:t>
            </w:r>
          </w:p>
        </w:tc>
        <w:tc>
          <w:tcPr>
            <w:tcW w:w="7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1,059,671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486,420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18,025</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740"/>
              <w:spacing w:after="0"/>
              <w:rPr>
                <w:sz w:val="20"/>
                <w:szCs w:val="20"/>
                <w:color w:val="auto"/>
              </w:rPr>
            </w:pPr>
            <w:r>
              <w:rPr>
                <w:rFonts w:ascii="Arial" w:cs="Arial" w:eastAsia="Arial" w:hAnsi="Arial"/>
                <w:sz w:val="18"/>
                <w:szCs w:val="18"/>
                <w:color w:val="auto"/>
              </w:rPr>
              <w:t>Change in value of equity method investment</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5,101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112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(559,783)</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760,424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expenses and deferred rent</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(166,068)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1120"/>
              <w:spacing w:after="0"/>
              <w:rPr>
                <w:sz w:val="20"/>
                <w:szCs w:val="20"/>
                <w:color w:val="auto"/>
              </w:rPr>
            </w:pPr>
            <w:r>
              <w:rPr>
                <w:rFonts w:ascii="Arial" w:cs="Arial" w:eastAsia="Arial" w:hAnsi="Arial"/>
                <w:sz w:val="18"/>
                <w:szCs w:val="18"/>
                <w:color w:val="auto"/>
              </w:rPr>
              <w:t>Accrued compensation and related expenses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(321,237)</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238,412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Receivable</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6,008,553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provided by operating activities</w:t>
            </w:r>
          </w:p>
        </w:tc>
        <w:tc>
          <w:tcPr>
            <w:tcW w:w="7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(4,466,176)</w:t>
            </w:r>
          </w:p>
        </w:tc>
        <w:tc>
          <w:tcPr>
            <w:tcW w:w="2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3,440,294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380"/>
              <w:spacing w:after="0"/>
              <w:rPr>
                <w:sz w:val="20"/>
                <w:szCs w:val="20"/>
                <w:color w:val="auto"/>
              </w:rPr>
            </w:pPr>
            <w:r>
              <w:rPr>
                <w:rFonts w:ascii="Arial" w:cs="Arial" w:eastAsia="Arial" w:hAnsi="Arial"/>
                <w:sz w:val="18"/>
                <w:szCs w:val="18"/>
                <w:color w:val="auto"/>
              </w:rPr>
              <w:t>Acquisition of property and equipment</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23"/>
        </w:trPr>
        <w:tc>
          <w:tcPr>
            <w:tcW w:w="7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Proceeds from issuance of common stock and warrant exercises, net of issuance costs</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1,321,799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3,329,055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common stock for ESPP, net of issuance costs</w:t>
            </w:r>
          </w:p>
        </w:tc>
        <w:tc>
          <w:tcPr>
            <w:tcW w:w="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57,467</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1,379,266</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3,359,464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w:t>
            </w:r>
          </w:p>
        </w:tc>
        <w:tc>
          <w:tcPr>
            <w:tcW w:w="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and cash equivalents</w:t>
            </w:r>
          </w:p>
        </w:tc>
        <w:tc>
          <w:tcPr>
            <w:tcW w:w="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(3,088,628)</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6,796,094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7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11,669,435</w:t>
            </w:r>
          </w:p>
        </w:tc>
        <w:tc>
          <w:tcPr>
            <w:tcW w:w="2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6,700,493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7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8,580,807</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13,496,587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shd w:val="clear" w:color="auto" w:fill="CFF0FC"/>
          </w:tcPr>
          <w:p>
            <w:pPr>
              <w:spacing w:after="0"/>
              <w:rPr>
                <w:sz w:val="20"/>
                <w:szCs w:val="20"/>
                <w:color w:val="auto"/>
              </w:rPr>
            </w:pPr>
            <w:r>
              <w:rPr>
                <w:rFonts w:ascii="Arial" w:cs="Arial" w:eastAsia="Arial" w:hAnsi="Arial"/>
                <w:sz w:val="18"/>
                <w:szCs w:val="18"/>
                <w:color w:val="auto"/>
              </w:rPr>
              <w:t>Income taxes paid</w:t>
            </w:r>
          </w:p>
        </w:tc>
        <w:tc>
          <w:tcPr>
            <w:tcW w:w="10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$0.7 million for the three-months ended June 30, 2015 and 2014. Research and development costs totaled $1.3 million and $1.4 million for the six months ended June 30, 2015 and 2014, respectively.</w:t>
      </w:r>
    </w:p>
    <w:p>
      <w:pPr>
        <w:spacing w:after="0" w:line="18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the three-months ended June 30, 2015 and 2014. Patent-related expenses totaled $0.2 million for the six months ended June 30, 2015 and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May 2014, the Financial Accounting Standards Board (“FASB”) and the International Accounting Standards Board “(IASB”) jointly issued Accounting Standards Update (“ASU”) No. 2014-09, Revenue from Contracts from Customers, which supersedes the revenue recognition requirements in ASC 605, Revenue Recognition. ASU 2014-09 is a comprehensive new revenue recognition standard that will supersede nearly all existing revenue recognition guidance under US GAAP and IFRS. The standard’s core principle is that a company will recognize revenue when it transfers promised goods or services to customers in an amount that reflects the</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6" w:name="page7"/>
    <w:bookmarkEnd w:id="6"/>
    <w:p>
      <w:pPr>
        <w:ind w:right="80"/>
        <w:spacing w:after="0" w:line="276" w:lineRule="auto"/>
        <w:rPr>
          <w:sz w:val="20"/>
          <w:szCs w:val="20"/>
          <w:color w:val="auto"/>
        </w:rPr>
      </w:pPr>
      <w:r>
        <w:rPr>
          <w:rFonts w:ascii="Arial" w:cs="Arial" w:eastAsia="Arial" w:hAnsi="Arial"/>
          <w:sz w:val="17"/>
          <w:szCs w:val="17"/>
          <w:color w:val="auto"/>
        </w:rPr>
        <w:t>consideration to which the company expects to be entitled in exchange for those goods or services. In doing so, companies will need to use more judgment and make more estimates than under current authoritative guidance. These may include identifying performance obligations in the contract, estimating the amount of variable consideration to include in the transaction price and allocating the transaction price to each separate performance obligation. The standard is effective for public entities for annual and interim periods beginning after December 15, 2016. Early adoption is not permitted under US GAAP. The adoption of this guidance is not expected to have a material impact on the Company.</w:t>
      </w:r>
    </w:p>
    <w:p>
      <w:pPr>
        <w:spacing w:after="0" w:line="173"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August 2014, the FASB issued ASU 2014-15, Presentation of Financial Statements – Going Concern, which is new guidance requiring management to evaluate whether there are conditions and events that raise substantial doubt about the entity’s ability to continue as a going concern within one year after the financial statements are issued (or available to be issued when applicable). Management will be required to make this evaluation for both annual and interim reporting periods and will have to make certain disclosures if it concludes that substantial doubt exists or when its plans alleviate substantial doubt about the entity’s ability to continue as a going concern. The standard is effective for annual periods ending after December 15, 2016. Early adoption is permitted. The adoption of this guidance is not expected to have a material impact on the Company.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Payment</w:t>
      </w:r>
    </w:p>
    <w:p>
      <w:pPr>
        <w:spacing w:after="0" w:line="117" w:lineRule="exact"/>
        <w:rPr>
          <w:sz w:val="20"/>
          <w:szCs w:val="20"/>
          <w:color w:val="auto"/>
        </w:rPr>
      </w:pPr>
    </w:p>
    <w:p>
      <w:pPr>
        <w:ind w:right="560" w:firstLine="518"/>
        <w:spacing w:after="0" w:line="342" w:lineRule="auto"/>
        <w:rPr>
          <w:sz w:val="20"/>
          <w:szCs w:val="20"/>
          <w:color w:val="auto"/>
        </w:rPr>
      </w:pPr>
      <w:r>
        <w:rPr>
          <w:rFonts w:ascii="Arial" w:cs="Arial" w:eastAsia="Arial" w:hAnsi="Arial"/>
          <w:sz w:val="16"/>
          <w:szCs w:val="16"/>
          <w:color w:val="auto"/>
        </w:rPr>
        <w:t>During the six months ended June 30, 2015, the Company received a $100,000 payment from a vendor to offset the costs of manufactured drug product that was inadvertently destroyed by the vendor. The vendor payment has been recorded as an offset to general and administrative expense.</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revenue was recorded in the three and six months ended June 30, 2015 and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80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 w:name="page8"/>
    <w:bookmarkEnd w:id="7"/>
    <w:p>
      <w:pPr>
        <w:ind w:right="64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$8.3 million and $11.5 million measured at fair value as of June 30, 2015 and December 31, 2014, respectively, are classified within Level 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w:t>
      </w:r>
    </w:p>
    <w:p>
      <w:pPr>
        <w:spacing w:after="0" w:line="16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June 30, 2015, the investment is reflected as a long-term asset on the Company’s consolidated balance sheet which represents the investment in Zhejiang Sunmy, net of the Company’s portion of any generated loss or income.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2015, 1,710,825 options remain available for future grant under the 2013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under the 2013 Plan and Prior Plans have terms of ten years from the date of grant and generally vest over a three or four year period.</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exercise price of all options granted was equal to the market value of the Company’s common stock on the date of grant.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2015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Weighted Average</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w w:val="90"/>
              </w:rPr>
              <w:t>Weighted 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60" w:type="dxa"/>
            <w:vAlign w:val="bottom"/>
          </w:tcPr>
          <w:p>
            <w:pPr>
              <w:jc w:val="right"/>
              <w:ind w:right="54"/>
              <w:spacing w:after="0"/>
              <w:rPr>
                <w:sz w:val="20"/>
                <w:szCs w:val="20"/>
                <w:color w:val="auto"/>
              </w:rPr>
            </w:pPr>
            <w:r>
              <w:rPr>
                <w:rFonts w:ascii="Arial" w:cs="Arial" w:eastAsia="Arial" w:hAnsi="Arial"/>
                <w:sz w:val="14"/>
                <w:szCs w:val="14"/>
                <w:b w:val="1"/>
                <w:bCs w:val="1"/>
                <w:color w:val="auto"/>
              </w:rPr>
              <w:t>Option Shares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180" w:type="dxa"/>
            <w:vAlign w:val="bottom"/>
          </w:tcPr>
          <w:p>
            <w:pPr>
              <w:jc w:val="right"/>
              <w:ind w:right="19"/>
              <w:spacing w:after="0"/>
              <w:rPr>
                <w:sz w:val="20"/>
                <w:szCs w:val="20"/>
                <w:color w:val="auto"/>
              </w:rPr>
            </w:pPr>
            <w:r>
              <w:rPr>
                <w:rFonts w:ascii="Arial" w:cs="Arial" w:eastAsia="Arial" w:hAnsi="Arial"/>
                <w:sz w:val="14"/>
                <w:szCs w:val="14"/>
                <w:b w:val="1"/>
                <w:bCs w:val="1"/>
                <w:color w:val="auto"/>
                <w:w w:val="99"/>
              </w:rPr>
              <w:t>Contractual Life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Intrinsic Value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3,447,969</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649,000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Cancelled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2015</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4,096,969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2,876,323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ind w:left="580"/>
              <w:spacing w:after="0"/>
              <w:rPr>
                <w:sz w:val="20"/>
                <w:szCs w:val="20"/>
                <w:color w:val="auto"/>
              </w:rPr>
            </w:pPr>
            <w:r>
              <w:rPr>
                <w:rFonts w:ascii="Arial" w:cs="Arial" w:eastAsia="Arial" w:hAnsi="Arial"/>
                <w:sz w:val="18"/>
                <w:szCs w:val="18"/>
                <w:color w:val="auto"/>
              </w:rPr>
              <w:t>Exercisable at June 30, 2015</w:t>
            </w:r>
          </w:p>
        </w:tc>
        <w:tc>
          <w:tcPr>
            <w:tcW w:w="1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3,147,731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2,122,856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160" w:type="dxa"/>
            <w:vAlign w:val="bottom"/>
          </w:tcPr>
          <w:p>
            <w:pPr>
              <w:jc w:val="right"/>
              <w:ind w:right="77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color w:val="auto"/>
        </w:rPr>
        <w:t>No options were exercised during the six months ended June 30, 2015 and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0" w:firstLine="518"/>
        <w:spacing w:after="0" w:line="276"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73"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For the six months ended June 30, 2015, an aggregate of 21,604 shares were issued under the ESPP. As of June 30, 2015, there are 209,349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During the six months ended June 30, 2015, options to purchase 649,000 shares of common stock were granted. Stock-based compensation expense for stock option awards and ESPP shares are reflected in total operating expenses for each respective year. For the three months ended June 30, 2015 and 2014, stock-based compensation related to stock options and ESPP was $546,366 and $231,321, respectively. For the six months ended June 30, 2015 and 2014, stock-based compensation expense related to stock options and the ESPP was $1,059,671 and $486,420, respectively.</w:t>
      </w:r>
    </w:p>
    <w:p>
      <w:pPr>
        <w:spacing w:after="0" w:line="154"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and the stock-based compensation for stock-based awards to employees. The following table provides the assumptions used in the Black-Scholes valuation model for the three and six months ended June 30, 2015 and 2014. The ESPP assumptions for the three months ended June 30, 2015 and 2014 are actual amounts, and the assumptions for the six months ended June 30, 2015 and 2014 are weighted average amounts.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23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Six Months Ended</w:t>
            </w: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3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2015</w:t>
            </w:r>
          </w:p>
        </w:tc>
        <w:tc>
          <w:tcPr>
            <w:tcW w:w="80" w:type="dxa"/>
            <w:vAlign w:val="bottom"/>
          </w:tcPr>
          <w:p>
            <w:pPr>
              <w:spacing w:after="0"/>
              <w:rPr>
                <w:sz w:val="14"/>
                <w:szCs w:val="14"/>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June 30, 2014</w:t>
            </w:r>
          </w:p>
        </w:tc>
        <w:tc>
          <w:tcPr>
            <w:tcW w:w="8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 2015</w:t>
            </w:r>
          </w:p>
        </w:tc>
        <w:tc>
          <w:tcPr>
            <w:tcW w:w="60" w:type="dxa"/>
            <w:vAlign w:val="bottom"/>
          </w:tcPr>
          <w:p>
            <w:pPr>
              <w:spacing w:after="0"/>
              <w:rPr>
                <w:sz w:val="14"/>
                <w:szCs w:val="14"/>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June 30, 2014</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86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0.21%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1.47%</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0.21%</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8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63.46%</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79.24%</w:t>
            </w:r>
          </w:p>
        </w:tc>
        <w:tc>
          <w:tcPr>
            <w:tcW w:w="14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63.46%</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8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FF0FC"/>
          </w:tcPr>
          <w:p>
            <w:pPr>
              <w:spacing w:after="0"/>
              <w:rPr>
                <w:sz w:val="19"/>
                <w:szCs w:val="19"/>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8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0.06%</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14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360" w:type="dxa"/>
            <w:vAlign w:val="bottom"/>
            <w:gridSpan w:val="3"/>
          </w:tcPr>
          <w:p>
            <w:pPr>
              <w:jc w:val="right"/>
              <w:ind w:right="60"/>
              <w:spacing w:after="0"/>
              <w:rPr>
                <w:sz w:val="20"/>
                <w:szCs w:val="20"/>
                <w:color w:val="auto"/>
              </w:rPr>
            </w:pPr>
            <w:r>
              <w:rPr>
                <w:rFonts w:ascii="Arial" w:cs="Arial" w:eastAsia="Arial" w:hAnsi="Arial"/>
                <w:sz w:val="18"/>
                <w:szCs w:val="18"/>
                <w:color w:val="auto"/>
              </w:rPr>
              <w:t>82.3%</w:t>
            </w: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67.6%</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82.3%</w:t>
            </w: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67.6%</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0.0%</w:t>
            </w:r>
          </w:p>
        </w:tc>
        <w:tc>
          <w:tcPr>
            <w:tcW w:w="14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14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0"/>
                <w:szCs w:val="20"/>
                <w:color w:val="auto"/>
              </w:rPr>
            </w:pPr>
          </w:p>
        </w:tc>
      </w:tr>
    </w:tbl>
    <w:p>
      <w:pPr>
        <w:spacing w:after="0" w:line="228" w:lineRule="exact"/>
        <w:rPr>
          <w:sz w:val="20"/>
          <w:szCs w:val="20"/>
          <w:color w:val="auto"/>
        </w:rPr>
      </w:pPr>
    </w:p>
    <w:p>
      <w:pPr>
        <w:jc w:val="both"/>
        <w:ind w:right="600" w:firstLine="518"/>
        <w:spacing w:after="0" w:line="277" w:lineRule="auto"/>
        <w:rPr>
          <w:sz w:val="20"/>
          <w:szCs w:val="20"/>
          <w:color w:val="auto"/>
        </w:rPr>
      </w:pPr>
      <w:r>
        <w:rPr>
          <w:rFonts w:ascii="Arial" w:cs="Arial" w:eastAsia="Arial" w:hAnsi="Arial"/>
          <w:sz w:val="18"/>
          <w:szCs w:val="18"/>
          <w:color w:val="auto"/>
        </w:rPr>
        <w:t>As of June 30, 2015, there was $1.3 million of unamortized compensation cost related to unvested stock option awards which is expected to be recognized over a remaining weighted-average vesting period of 1.0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October 16, 2013, the Company entered into an at-the-market equity distribution agreement with Macquarie Capital USA (MCUSA) pursuant to which the Company could sell common stock through MCUSA from time to time up to an aggregate offering price of $10.0 million. Under the terms of this agreement, unless otherwise mutually agreed, no daily sale of an amount of shares of the Company’s common stock is to exceed the lower of $50,000 or 10% of the lower of the 5-day or 3-month average daily traded value of the Company’s common stock on NASDAQ (unless 10% of the lower of the 5-day or 3-month average daily traded value of the Company’s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the Company’s common stock on NASDAQ. MCUSA agreed to use its commercially reasonable efforts consistent with its customary trading and sales practices and applicable laws, rules and regulations to sell shares of the Company’s common stock and is to sell such shares by any method permitted by law deemed to be “at the market.” The Company agreed to pay MCUSA an aggregate commission rate of 7.0% of the gross proceeds of any common stock sold under this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9" w:name="page10"/>
    <w:bookmarkEnd w:id="9"/>
    <w:p>
      <w:pPr>
        <w:ind w:right="60"/>
        <w:spacing w:after="0" w:line="290" w:lineRule="auto"/>
        <w:rPr>
          <w:sz w:val="20"/>
          <w:szCs w:val="20"/>
          <w:color w:val="auto"/>
        </w:rPr>
      </w:pPr>
      <w:r>
        <w:rPr>
          <w:rFonts w:ascii="Arial" w:cs="Arial" w:eastAsia="Arial" w:hAnsi="Arial"/>
          <w:sz w:val="16"/>
          <w:szCs w:val="16"/>
          <w:color w:val="auto"/>
        </w:rPr>
        <w:t>MCUSA is under no obligation to purchase shares pursuant to this agreement and there are no assurances that MCUSA will be successful in selling shares. Proceeds from sales of common stock will depend on the number of shares of common stock sold to MCUSA and the per share purchase price of each transaction. The agreement with MCUSA provides both MCUSA and the Company the right to terminate the agreement in their discretion upon giving five business days written notice. For the six months ended June 30, 2015, the Company has generated gross and net proceeds of $0.9 million and $0.7 million, respectively, under this agreement on the sale of 225,000 shares of the Company’s common stock at prices ranging from $3.24 to $4.45 per share. The at-the-market equity distribution agreement with MCUSA was terminated on May 22, 2015, and as of such date, the Company had completed sales to MCUSA totaling 2,127,500 shares of common stock at prices ranging from $2.01 to $4.45 per shares, generating gross and net proceeds of $5.3 million and $4.5 million, respectively. Net proceeds are calculated as gross proceeds less commissions and other issuance costs.</w:t>
      </w:r>
    </w:p>
    <w:p>
      <w:pPr>
        <w:spacing w:after="0" w:line="166"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May 22, 2015, the Company entered into an at-the-market issuance sales agreement with MLV &amp; Co. LLC (MLV) pursuant to which the Company may sell common stock through MLV from time to time up to an aggregate offering price of $30.0 million. Sales of the Company’s common stock</w:t>
      </w:r>
    </w:p>
    <w:p>
      <w:pPr>
        <w:spacing w:after="0" w:line="287" w:lineRule="auto"/>
        <w:rPr>
          <w:sz w:val="20"/>
          <w:szCs w:val="20"/>
          <w:color w:val="auto"/>
        </w:rPr>
      </w:pPr>
      <w:r>
        <w:rPr>
          <w:rFonts w:ascii="Arial" w:cs="Arial" w:eastAsia="Arial" w:hAnsi="Arial"/>
          <w:sz w:val="16"/>
          <w:szCs w:val="16"/>
          <w:color w:val="auto"/>
        </w:rPr>
        <w:t>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For the three and six months ended June 30, 2015, the Company has generated gross and net proceeds of $32,700 and $31,600, respectively (excluding $101,800 in issuance costs incurred), under this agreement on sales of 7,800 shares of the Company’s common stock at prices ranging from $4.16 to $4.23 per share.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2011, the Company consummated a firm-commitment underwritten public offering of 2,800,666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During the six months ended June 30, 2015 and 2014, 187,500 and 85,500 of these warrants were exercised for gross proceeds of $0.7 million and $0.3 million, respectively. As of June 30, 2015, 2,389,000 of these warrants remain outstanding and exercisable.</w:t>
      </w:r>
    </w:p>
    <w:p>
      <w:pPr>
        <w:spacing w:after="0" w:line="158"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August 2012, the Company issued a warrant in exchange for investor relations services to purchase up to 130,000 of common stock of the Company at a price of $1.88 per share, the closing price of the Company’s common stock on that date. As of June 30, 2014, the warrant was exercisable for 15,000 shares, and no further shares will vest. During the six months ended June 30, 2015, all 15,000 of these warrants were exercised for gross proceeds of $28,200.</w:t>
      </w:r>
    </w:p>
    <w:p>
      <w:pPr>
        <w:spacing w:after="0" w:line="14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May 2013, the Company entered into a securities purchase agreement with certain accredited investors pursuant to which the Company agreed to sell to investors 1,158,730 shares of the Company’s common stock at a price of $3.15 per share and warrants to purchase an aggregate of 869,047 shares of the Company’s common stock with an exercise price of $3.15 per share. On May 29, 2013, 119,047 of the warrants were amended to reflect an exercise price of $3.38 per share. The warrants will expire on May 9, 2018. As of June 30, 2015, 869,047 of these warrants remain outstanding and exercisable.</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8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2,200,000</w:t>
            </w:r>
          </w:p>
        </w:tc>
        <w:tc>
          <w:tcPr>
            <w:tcW w:w="8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4,096,969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3,265,467</w:t>
            </w:r>
          </w:p>
        </w:tc>
        <w:tc>
          <w:tcPr>
            <w:tcW w:w="8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3,456,067</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3,675,567</w:t>
            </w:r>
          </w:p>
        </w:tc>
        <w:tc>
          <w:tcPr>
            <w:tcW w:w="8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9,753,036</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9,141,034</w:t>
            </w: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June 30, 2015, is included on the balance sheet at June 30, 2015 as long-term deferred revenue and will be recognized as revenue in future periods upon the Company’s performance of the remaining services.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21"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Company has evaluated all subsequent events that have occurred after the date of the accompanying financial statements and determined that there were no events or transactions occurring during the subsequent event reporting period which require recognition or disclosure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 w:name="page12"/>
    <w:bookmarkEnd w:id="11"/>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2014 included in our Annual Report on Form 10-K filed with the Securities and Exchange Commission, or SEC, on March 12, 2015.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Our pipeline also includes MN-221 (bedoradrine) for the treatment of acute exacerbations of asthma and MN-029 (denibulin) for solid tumor cancers. We were incorporated in Delaware in September 2000.</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June 30, 2015, we had an accumulated deficit of $315.1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20" w:hanging="49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117" w:lineRule="exact"/>
        <w:rPr>
          <w:rFonts w:ascii="Arial" w:cs="Arial" w:eastAsia="Arial" w:hAnsi="Arial"/>
          <w:sz w:val="18"/>
          <w:szCs w:val="18"/>
          <w:color w:val="auto"/>
        </w:rPr>
      </w:pPr>
    </w:p>
    <w:p>
      <w:pPr>
        <w:ind w:left="1040" w:right="60"/>
        <w:spacing w:after="0" w:line="293" w:lineRule="auto"/>
        <w:rPr>
          <w:rFonts w:ascii="Arial" w:cs="Arial" w:eastAsia="Arial" w:hAnsi="Arial"/>
          <w:sz w:val="18"/>
          <w:szCs w:val="18"/>
          <w:color w:val="auto"/>
        </w:rPr>
      </w:pPr>
      <w:r>
        <w:rPr>
          <w:rFonts w:ascii="Arial" w:cs="Arial" w:eastAsia="Arial" w:hAnsi="Arial"/>
          <w:sz w:val="16"/>
          <w:szCs w:val="16"/>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56" w:lineRule="exact"/>
        <w:rPr>
          <w:rFonts w:ascii="Arial" w:cs="Arial" w:eastAsia="Arial" w:hAnsi="Arial"/>
          <w:sz w:val="18"/>
          <w:szCs w:val="18"/>
          <w:color w:val="auto"/>
        </w:rPr>
      </w:pPr>
    </w:p>
    <w:p>
      <w:pPr>
        <w:ind w:left="1020" w:hanging="494"/>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for fibrotic diseases such as NASH and IPF.</w:t>
      </w:r>
    </w:p>
    <w:p>
      <w:pPr>
        <w:spacing w:after="0" w:line="117" w:lineRule="exact"/>
        <w:rPr>
          <w:rFonts w:ascii="Arial" w:cs="Arial" w:eastAsia="Arial" w:hAnsi="Arial"/>
          <w:sz w:val="18"/>
          <w:szCs w:val="18"/>
          <w:color w:val="auto"/>
        </w:rPr>
      </w:pPr>
    </w:p>
    <w:p>
      <w:pPr>
        <w:ind w:left="1040" w:right="12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through a combination of investigator-sponsored trials with or without grant funding as well as trials we may fund.</w:t>
      </w:r>
    </w:p>
    <w:p>
      <w:pPr>
        <w:spacing w:after="0" w:line="62" w:lineRule="exact"/>
        <w:rPr>
          <w:rFonts w:ascii="Arial" w:cs="Arial" w:eastAsia="Arial" w:hAnsi="Arial"/>
          <w:sz w:val="18"/>
          <w:szCs w:val="18"/>
          <w:color w:val="auto"/>
        </w:rPr>
      </w:pPr>
    </w:p>
    <w:p>
      <w:pPr>
        <w:ind w:left="1020" w:right="640" w:hanging="495"/>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380"/>
        <w:spacing w:after="0" w:line="277"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enter into strategic alliances with leading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1040" w:right="20"/>
        <w:spacing w:after="0" w:line="277" w:lineRule="auto"/>
        <w:rPr>
          <w:sz w:val="20"/>
          <w:szCs w:val="20"/>
          <w:color w:val="auto"/>
        </w:rPr>
      </w:pPr>
      <w:r>
        <w:rPr>
          <w:rFonts w:ascii="Arial" w:cs="Arial" w:eastAsia="Arial" w:hAnsi="Arial"/>
          <w:sz w:val="18"/>
          <w:szCs w:val="18"/>
          <w:color w:val="auto"/>
        </w:rPr>
        <w:t>pharmaceutical companies who seek late-stage product candidates, such as MN-166, MN-221, MN-001 and MN-029, to support further clinical development and product commercialization.</w:t>
      </w:r>
    </w:p>
    <w:p>
      <w:pPr>
        <w:spacing w:after="0" w:line="170"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8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June 30, 2015, we reflect a long-term asset on our consolidated balance sheet which represents our investment in Zhejiang Sunmy, net of our portion of any generated loss or income.</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May 1, 2015, we terminated our agreement with Adelaide Research &amp; Innovation Pty Ltd.</w:t>
      </w:r>
    </w:p>
    <w:p>
      <w:pPr>
        <w:spacing w:after="0" w:line="225"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three and six months ended June 30, 2015 and 2014, we recognized zero revenues associated with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left="520"/>
        <w:spacing w:after="0"/>
        <w:rPr>
          <w:sz w:val="20"/>
          <w:szCs w:val="20"/>
          <w:color w:val="auto"/>
        </w:rPr>
      </w:pPr>
      <w:r>
        <w:rPr>
          <w:rFonts w:ascii="Arial" w:cs="Arial" w:eastAsia="Arial" w:hAnsi="Arial"/>
          <w:sz w:val="17"/>
          <w:szCs w:val="17"/>
          <w:color w:val="auto"/>
        </w:rPr>
        <w:t>The following table presents our total research, development, and patent expenses by category during the periods presented (in thousands):</w:t>
      </w:r>
    </w:p>
    <w:p>
      <w:pPr>
        <w:spacing w:after="0" w:line="242"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Three Months Ended</w:t>
      </w:r>
    </w:p>
    <w:p>
      <w:pPr>
        <w:jc w:val="center"/>
        <w:ind w:left="54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5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MN-221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MN-001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6"/>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MN-221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ind w:left="380"/>
              <w:spacing w:after="0"/>
              <w:rPr>
                <w:sz w:val="20"/>
                <w:szCs w:val="20"/>
                <w:color w:val="auto"/>
              </w:rPr>
            </w:pPr>
            <w:r>
              <w:rPr>
                <w:rFonts w:ascii="Arial" w:cs="Arial" w:eastAsia="Arial" w:hAnsi="Arial"/>
                <w:sz w:val="18"/>
                <w:szCs w:val="18"/>
                <w:color w:val="auto"/>
              </w:rPr>
              <w:t>MN-001</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7"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and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8"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in-process research and development, or IPR&amp;D, was $9.6 million and $4.8 million, respectively, as of June 30, 2015.</w:t>
      </w:r>
    </w:p>
    <w:p>
      <w:pPr>
        <w:spacing w:after="0" w:line="19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development and patent expenses were $0.8 million for the three months ended June 30, 2015 and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2015 were $1.5 million, an increase of $0.2 million when compared to $1.3 million for the three months ended June 30, 2014. This increase in general and administrative expenses was due primarily to stock compensation expense for performance options granted in January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Research, development and patent expenses were $1.5 million and $1.6 million for the six months ended June 30, 2015 and 2014,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and administrative expenses were $3.0 million and $2.9 million for the six months ended June 30, 2015 and 2014,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2015 was $4.5 million compared to $3.4 million of net cash provided by operating activities during the same period in 2014. The $7.9 million change is primarily related to the receipt of $6.0 million in accounts receivable during the first quarter of 2014 as well as higher amortization of prepaid expenses in 2014 compared to 2015.</w:t>
      </w:r>
    </w:p>
    <w:p>
      <w:pPr>
        <w:spacing w:after="0" w:line="18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2015 was $1.4 million compared to $3.4 million during the same period in 2014. The decrease in cash provided by financing activities is due to fewer sales of common stock in 2015.</w:t>
      </w:r>
    </w:p>
    <w:p>
      <w:pPr>
        <w:spacing w:after="0" w:line="17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October 16, 2013, we entered into an at-the-market equity distribution agreement with MCUSA pursuant to which we could sell common stock through MCUSA from time to time up to an aggregate offering price of $10.0 million. The at-the-market equity distribution agreement with MCUSA was terminated on May 22, 2015, and as of such date, we had completed sales to MCUSA totaling 2,127,500 shares of common stock at prices ranging from $2.01 to $4.45 per shares, generating gross and net proceeds of $5.3 million and $4.5 million, respectively. Net proceeds are calculated as gross proceeds less commissions and other issuance costs.</w:t>
      </w:r>
    </w:p>
    <w:p>
      <w:pPr>
        <w:spacing w:after="0" w:line="188" w:lineRule="exact"/>
        <w:rPr>
          <w:sz w:val="20"/>
          <w:szCs w:val="20"/>
          <w:color w:val="auto"/>
        </w:rPr>
      </w:pPr>
    </w:p>
    <w:p>
      <w:pPr>
        <w:ind w:right="160" w:firstLine="518"/>
        <w:spacing w:after="0" w:line="288" w:lineRule="auto"/>
        <w:rPr>
          <w:sz w:val="20"/>
          <w:szCs w:val="20"/>
          <w:color w:val="auto"/>
        </w:rPr>
      </w:pPr>
      <w:r>
        <w:rPr>
          <w:rFonts w:ascii="Arial" w:cs="Arial" w:eastAsia="Arial" w:hAnsi="Arial"/>
          <w:sz w:val="16"/>
          <w:szCs w:val="16"/>
          <w:color w:val="auto"/>
        </w:rPr>
        <w:t>On May 22, 2015, we entered into an at-the-market issuance sales agreement with MLV &amp; Co. LLC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As of June 30, 2015, we have generated gross and net proceeds of approximately $32,700 and $31,600, respectively (excluding $101,800 in issuance costs), under this agreement on sales of 7,800 shares of our common stock at prices ranging from $4.16 to $4.23 per share. We expect to sell additional shares under this agreement during 2015.</w:t>
      </w:r>
    </w:p>
    <w:p>
      <w:pPr>
        <w:spacing w:after="0" w:line="16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As of June 30, 2015, we had available cash and cash equivalents of $8.6 million and working capital of $8.5 million. As of the date of this report, we believe we have working capital sufficient to fund operations through March, 2016. However, we cannot provide assurance that these capital resources will be sufficient to conduct all of our research and development programs as planned. We are pursuing other opportunities to raise capital through the sale of our common stock or through other strategic initiatives. We believe certain of our outstanding warrants may provide a source of additional capital including, as of June 30, 2015, 2,389,000</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ind w:right="60"/>
        <w:spacing w:after="0" w:line="257" w:lineRule="auto"/>
        <w:rPr>
          <w:sz w:val="20"/>
          <w:szCs w:val="20"/>
          <w:color w:val="auto"/>
        </w:rPr>
      </w:pPr>
      <w:r>
        <w:rPr>
          <w:rFonts w:ascii="Arial" w:cs="Arial" w:eastAsia="Arial" w:hAnsi="Arial"/>
          <w:sz w:val="18"/>
          <w:szCs w:val="18"/>
          <w:color w:val="auto"/>
        </w:rPr>
        <w:t>outstanding warrants with an exercise price of $3.56 and an expiration date of March 2016, 750,000 outstanding warrants with an exercise price of $3.15 and an expiration date of May 2018, and 119,047 outstanding warrants with an exercise price of $3.38 and an expiration date of May 2018. These warrants could provide gross proceeds of $11.3 million if exercised. There can be no assurances that all of our outstanding warrants will be exercised, or that there will be adequate financing available to us on acceptable terms, or at all. If we are unable to obtain additional financing, we may have to sell one or more of our programs or cease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June 30, 2015,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9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Cash and cash equivalents as of June 30, 2015 were $8.6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2015.</w:t>
      </w:r>
    </w:p>
    <w:p>
      <w:pPr>
        <w:spacing w:after="0" w:line="28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June 30, 2015.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2014,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2014.</w:t>
      </w:r>
    </w:p>
    <w:p>
      <w:pPr>
        <w:spacing w:after="0" w:line="297"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On April 15, 2015, we issued 15,000 restricted shares of common stock upon exercise of a warrant held by Redington, Inc. which was originally issued in 2012 in exchange for investor relations services. We received $28,200 upon exercise of the warrant. The common stock was issued in reliance on the exemption from registration contained in Section 4(2) of the Securities Act of 1933 and Regulation D promulgated thereunder based on the offering of such securities to a single investor which represented that it was an accredited investor and that it was purchasing the shares for its own account and without a view to distribute them.</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3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4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10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20" w:right="54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Engagement Agreement, effective April 3, 2015, by and between MediciNova, Inc. and van den Boom &amp; Associates, LLC (incorporated by reference to Exhibit 10.1 of the Registrant’s Current Report on Form 8-K filed April 3, 2015).</w:t>
      </w:r>
    </w:p>
    <w:p>
      <w:pPr>
        <w:spacing w:after="0" w:line="170" w:lineRule="exact"/>
        <w:rPr>
          <w:sz w:val="20"/>
          <w:szCs w:val="20"/>
          <w:color w:val="auto"/>
        </w:rPr>
      </w:pPr>
    </w:p>
    <w:p>
      <w:pPr>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At-the-Market Issuance Sales Agreement, dated May 22, 2015, by and between MediciNova, Inc. and MLV &amp; Co. LLC (incorporated by reference to Exhibit 10.1 of the Registrant’s Current Report on Form 8-K filed May 22, 2015).</w:t>
      </w:r>
    </w:p>
    <w:p>
      <w:pPr>
        <w:spacing w:after="0" w:line="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225" w:lineRule="exact"/>
        <w:rPr>
          <w:sz w:val="20"/>
          <w:szCs w:val="20"/>
          <w:color w:val="auto"/>
        </w:rPr>
      </w:pPr>
    </w:p>
    <w:p>
      <w:pPr>
        <w:ind w:left="820" w:right="260" w:hanging="812"/>
        <w:spacing w:after="0" w:line="312"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2015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July 30,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180" w:val="left"/>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18"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ind w:left="844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700" w:type="dxa"/>
            <w:vAlign w:val="bottom"/>
            <w:tcBorders>
              <w:top w:val="single" w:sz="8" w:color="auto"/>
            </w:tcBorders>
          </w:tcPr>
          <w:p>
            <w:pPr>
              <w:jc w:val="right"/>
              <w:ind w:right="294"/>
              <w:spacing w:after="0"/>
              <w:rPr>
                <w:sz w:val="20"/>
                <w:szCs w:val="20"/>
                <w:color w:val="auto"/>
              </w:rPr>
            </w:pPr>
            <w:r>
              <w:rPr>
                <w:rFonts w:ascii="Arial" w:cs="Arial" w:eastAsia="Arial" w:hAnsi="Arial"/>
                <w:sz w:val="18"/>
                <w:szCs w:val="18"/>
                <w:color w:val="auto"/>
                <w:w w:val="85"/>
              </w:rPr>
              <w:t>10.1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6"/>
              </w:rPr>
              <w:t>Engagement Agreement, effective April 3, 2015, by and between MediciNova, Inc. and van den Boom &amp; Associates, LLC (incorporated by</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reference to Exhibit 10.1 of the Registrant’s Current Report on Form 8-K filed April 3, 2015).</w:t>
            </w:r>
          </w:p>
        </w:tc>
        <w:tc>
          <w:tcPr>
            <w:tcW w:w="0" w:type="dxa"/>
            <w:vAlign w:val="bottom"/>
          </w:tcPr>
          <w:p>
            <w:pPr>
              <w:spacing w:after="0"/>
              <w:rPr>
                <w:sz w:val="1"/>
                <w:szCs w:val="1"/>
                <w:color w:val="auto"/>
              </w:rPr>
            </w:pPr>
          </w:p>
        </w:tc>
      </w:tr>
      <w:tr>
        <w:trPr>
          <w:trHeight w:val="418"/>
        </w:trPr>
        <w:tc>
          <w:tcPr>
            <w:tcW w:w="700" w:type="dxa"/>
            <w:vAlign w:val="bottom"/>
          </w:tcPr>
          <w:p>
            <w:pPr>
              <w:jc w:val="right"/>
              <w:ind w:right="294"/>
              <w:spacing w:after="0"/>
              <w:rPr>
                <w:sz w:val="20"/>
                <w:szCs w:val="20"/>
                <w:color w:val="auto"/>
              </w:rPr>
            </w:pPr>
            <w:r>
              <w:rPr>
                <w:rFonts w:ascii="Arial" w:cs="Arial" w:eastAsia="Arial" w:hAnsi="Arial"/>
                <w:sz w:val="18"/>
                <w:szCs w:val="18"/>
                <w:color w:val="auto"/>
                <w:w w:val="85"/>
              </w:rPr>
              <w:t>10.2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w w:val="91"/>
              </w:rPr>
              <w:t>At-the-Market Issuance Sales Agreement, dated May 22, 2015, by and between MediciNova, Inc. and MLV &amp; Co. LLC (incorporated by reference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to Exhibit 10.1 of the Registrant’s Current Report on Form 8-K filed May 22, 2015).</w:t>
            </w:r>
          </w:p>
        </w:tc>
        <w:tc>
          <w:tcPr>
            <w:tcW w:w="0" w:type="dxa"/>
            <w:vAlign w:val="bottom"/>
          </w:tcPr>
          <w:p>
            <w:pPr>
              <w:spacing w:after="0"/>
              <w:rPr>
                <w:sz w:val="1"/>
                <w:szCs w:val="1"/>
                <w:color w:val="auto"/>
              </w:rPr>
            </w:pPr>
          </w:p>
        </w:tc>
      </w:tr>
      <w:tr>
        <w:trPr>
          <w:trHeight w:val="338"/>
        </w:trPr>
        <w:tc>
          <w:tcPr>
            <w:tcW w:w="700" w:type="dxa"/>
            <w:vAlign w:val="bottom"/>
          </w:tcPr>
          <w:p>
            <w:pPr>
              <w:jc w:val="right"/>
              <w:ind w:right="294"/>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4"/>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4"/>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4"/>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20" w:right="260" w:hanging="812"/>
        <w:spacing w:after="0" w:line="312" w:lineRule="auto"/>
        <w:tabs>
          <w:tab w:leader="none" w:pos="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2015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2015 of MediciNova,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30, 2015</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Esther van den Boom, certify that:</w:t>
      </w:r>
    </w:p>
    <w:p>
      <w:pPr>
        <w:spacing w:after="0" w:line="117" w:lineRule="exact"/>
        <w:rPr>
          <w:sz w:val="20"/>
          <w:szCs w:val="20"/>
          <w:color w:val="auto"/>
        </w:rPr>
      </w:pPr>
    </w:p>
    <w:p>
      <w:pPr>
        <w:ind w:left="700" w:hanging="174"/>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2015 of MediciNova, Inc.;</w:t>
      </w:r>
    </w:p>
    <w:p>
      <w:pPr>
        <w:spacing w:after="0" w:line="225"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30, 2015</w:t>
      </w:r>
    </w:p>
    <w:p>
      <w:pPr>
        <w:spacing w:after="0" w:line="252" w:lineRule="exact"/>
        <w:rPr>
          <w:sz w:val="20"/>
          <w:szCs w:val="20"/>
          <w:color w:val="auto"/>
        </w:rPr>
      </w:pPr>
    </w:p>
    <w:p>
      <w:pPr>
        <w:jc w:val="center"/>
        <w:ind w:left="4760"/>
        <w:spacing w:after="0"/>
        <w:tabs>
          <w:tab w:leader="none" w:pos="280" w:val="left"/>
          <w:tab w:leader="none" w:pos="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2015,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30, 2015</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2015, as filed with the Securities and Exchange Commission on the date hereof (the “Report”), I, Esther van den Boom,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30, 2015</w:t>
      </w:r>
    </w:p>
    <w:p>
      <w:pPr>
        <w:spacing w:after="0" w:line="252"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Esther van den Boom</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01"/>
    </w:lvl>
  </w:abstractNum>
  <w:abstractNum w:abstractNumId="4">
    <w:nsid w:val="41B71EFB"/>
    <w:multiLevelType w:val="hybridMultilevel"/>
    <w:lvl w:ilvl="0">
      <w:lvlJc w:val="left"/>
      <w:lvlText w:val="%1"/>
      <w:numFmt w:val="decimal"/>
      <w:start w:val="10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2019-12-29T16:21:26Z</dcterms:created>
  <dcterms:modified xsi:type="dcterms:W3CDTF">2019-12-29T16:21:26Z</dcterms:modified>
</cp:coreProperties>
</file>