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47625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10-K/A</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63500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1" w:lineRule="exact"/>
        <w:rPr>
          <w:sz w:val="24"/>
          <w:szCs w:val="24"/>
          <w:color w:val="auto"/>
        </w:rPr>
      </w:pPr>
    </w:p>
    <w:p>
      <w:pPr>
        <w:ind w:left="4160"/>
        <w:spacing w:after="0"/>
        <w:tabs>
          <w:tab w:leader="none" w:pos="64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3"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42545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MEDICINOVA,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0"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Delaware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Pr>
          <w:p>
            <w:pPr>
              <w:jc w:val="right"/>
              <w:ind w:right="1056"/>
              <w:spacing w:after="0"/>
              <w:rPr>
                <w:sz w:val="20"/>
                <w:szCs w:val="20"/>
                <w:color w:val="auto"/>
              </w:rPr>
            </w:pPr>
            <w:r>
              <w:rPr>
                <w:rFonts w:ascii="Arial" w:cs="Arial" w:eastAsia="Arial" w:hAnsi="Arial"/>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7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8"/>
              </w:rPr>
              <w:t>(State or Other Jurisdiction of</w:t>
            </w: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Pr>
          <w:p>
            <w:pPr>
              <w:jc w:val="center"/>
              <w:ind w:right="756"/>
              <w:spacing w:after="0" w:line="122"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1"/>
              </w:rPr>
              <w:t>Incorporation or Organization)</w:t>
            </w: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tcPr>
          <w:p>
            <w:pPr>
              <w:jc w:val="center"/>
              <w:ind w:right="776"/>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65"/>
        </w:trPr>
        <w:tc>
          <w:tcPr>
            <w:tcW w:w="6800" w:type="dxa"/>
            <w:vAlign w:val="bottom"/>
            <w:gridSpan w:val="7"/>
          </w:tcPr>
          <w:p>
            <w:pPr>
              <w:jc w:val="center"/>
              <w:ind w:right="2260"/>
              <w:spacing w:after="0"/>
              <w:rPr>
                <w:sz w:val="20"/>
                <w:szCs w:val="20"/>
                <w:color w:val="auto"/>
              </w:rPr>
            </w:pPr>
            <w:r>
              <w:rPr>
                <w:rFonts w:ascii="Arial" w:cs="Arial" w:eastAsia="Arial" w:hAnsi="Arial"/>
                <w:sz w:val="14"/>
                <w:szCs w:val="14"/>
                <w:b w:val="1"/>
                <w:bCs w:val="1"/>
                <w:color w:val="auto"/>
                <w:w w:val="93"/>
              </w:rPr>
              <w:t>4275 Executive Square, Suite 300, La Jolla, CA</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ind w:right="1236"/>
              <w:spacing w:after="0"/>
              <w:rPr>
                <w:sz w:val="20"/>
                <w:szCs w:val="20"/>
                <w:color w:val="auto"/>
              </w:rPr>
            </w:pPr>
            <w:r>
              <w:rPr>
                <w:rFonts w:ascii="Arial" w:cs="Arial" w:eastAsia="Arial" w:hAnsi="Arial"/>
                <w:sz w:val="14"/>
                <w:szCs w:val="14"/>
                <w:b w:val="1"/>
                <w:bCs w:val="1"/>
                <w:color w:val="auto"/>
              </w:rPr>
              <w:t>92037</w:t>
            </w:r>
          </w:p>
        </w:tc>
        <w:tc>
          <w:tcPr>
            <w:tcW w:w="0" w:type="dxa"/>
            <w:vAlign w:val="bottom"/>
          </w:tcPr>
          <w:p>
            <w:pPr>
              <w:spacing w:after="0"/>
              <w:rPr>
                <w:sz w:val="1"/>
                <w:szCs w:val="1"/>
                <w:color w:val="auto"/>
              </w:rPr>
            </w:pPr>
          </w:p>
        </w:tc>
      </w:tr>
      <w:tr>
        <w:trPr>
          <w:trHeight w:val="140"/>
        </w:trPr>
        <w:tc>
          <w:tcPr>
            <w:tcW w:w="6800" w:type="dxa"/>
            <w:vAlign w:val="bottom"/>
            <w:gridSpan w:val="7"/>
          </w:tcPr>
          <w:p>
            <w:pPr>
              <w:jc w:val="center"/>
              <w:ind w:right="2260"/>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tcPr>
          <w:p>
            <w:pPr>
              <w:jc w:val="center"/>
              <w:ind w:right="75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6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(858) 373-1500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3"/>
          </w:tcPr>
          <w:p>
            <w:pPr>
              <w:jc w:val="center"/>
              <w:ind w:left="140"/>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1"/>
                <w:szCs w:val="11"/>
                <w:b w:val="1"/>
                <w:bCs w:val="1"/>
                <w:color w:val="auto"/>
                <w:w w:val="87"/>
              </w:rPr>
              <w:t>Title of Each Class</w:t>
            </w:r>
          </w:p>
        </w:tc>
        <w:tc>
          <w:tcPr>
            <w:tcW w:w="80" w:type="dxa"/>
            <w:vAlign w:val="bottom"/>
          </w:tcPr>
          <w:p>
            <w:pPr>
              <w:spacing w:after="0"/>
              <w:rPr>
                <w:sz w:val="13"/>
                <w:szCs w:val="13"/>
                <w:color w:val="auto"/>
              </w:rPr>
            </w:pPr>
          </w:p>
        </w:tc>
        <w:tc>
          <w:tcPr>
            <w:tcW w:w="3580" w:type="dxa"/>
            <w:vAlign w:val="bottom"/>
            <w:gridSpan w:val="3"/>
          </w:tcPr>
          <w:p>
            <w:pPr>
              <w:jc w:val="center"/>
              <w:ind w:left="140"/>
              <w:spacing w:after="0"/>
              <w:rPr>
                <w:sz w:val="20"/>
                <w:szCs w:val="20"/>
                <w:color w:val="auto"/>
              </w:rPr>
            </w:pPr>
            <w:r>
              <w:rPr>
                <w:rFonts w:ascii="Arial" w:cs="Arial" w:eastAsia="Arial" w:hAnsi="Arial"/>
                <w:sz w:val="11"/>
                <w:szCs w:val="11"/>
                <w:b w:val="1"/>
                <w:bCs w:val="1"/>
                <w:color w:val="auto"/>
                <w:w w:val="88"/>
              </w:rPr>
              <w:t>Trading Symbol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Pr>
          <w:p>
            <w:pPr>
              <w:spacing w:after="0"/>
              <w:rPr>
                <w:sz w:val="20"/>
                <w:szCs w:val="20"/>
                <w:color w:val="auto"/>
              </w:rPr>
            </w:pPr>
            <w:r>
              <w:rPr>
                <w:rFonts w:ascii="Arial" w:cs="Arial" w:eastAsia="Arial" w:hAnsi="Arial"/>
                <w:sz w:val="11"/>
                <w:szCs w:val="11"/>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40" w:type="dxa"/>
            <w:vAlign w:val="bottom"/>
            <w:gridSpan w:val="3"/>
          </w:tcPr>
          <w:p>
            <w:pPr>
              <w:jc w:val="center"/>
              <w:ind w:left="492"/>
              <w:spacing w:after="0"/>
              <w:rPr>
                <w:sz w:val="20"/>
                <w:szCs w:val="20"/>
                <w:color w:val="auto"/>
              </w:rPr>
            </w:pPr>
            <w:r>
              <w:rPr>
                <w:rFonts w:ascii="Arial" w:cs="Arial" w:eastAsia="Arial" w:hAnsi="Arial"/>
                <w:sz w:val="14"/>
                <w:szCs w:val="14"/>
                <w:color w:val="auto"/>
                <w:w w:val="92"/>
              </w:rPr>
              <w:t>Common Stock, par value $0.001 per share</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gridSpan w:val="2"/>
          </w:tcPr>
          <w:p>
            <w:pPr>
              <w:jc w:val="center"/>
              <w:ind w:right="1300"/>
              <w:spacing w:after="0"/>
              <w:rPr>
                <w:sz w:val="20"/>
                <w:szCs w:val="20"/>
                <w:color w:val="auto"/>
              </w:rPr>
            </w:pPr>
            <w:r>
              <w:rPr>
                <w:rFonts w:ascii="Arial" w:cs="Arial" w:eastAsia="Arial" w:hAnsi="Arial"/>
                <w:sz w:val="14"/>
                <w:szCs w:val="14"/>
                <w:color w:val="auto"/>
              </w:rPr>
              <w:t>MNOV</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w w:val="99"/>
              </w:rPr>
              <w:t>The NASDAQ Stock Market LLC</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2120" w:type="dxa"/>
            <w:vAlign w:val="bottom"/>
            <w:vMerge w:val="restart"/>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800" w:type="dxa"/>
            <w:vAlign w:val="bottom"/>
            <w:gridSpan w:val="7"/>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w w:val="82"/>
              </w:rPr>
              <w:t>Yes</w:t>
            </w:r>
          </w:p>
        </w:tc>
        <w:tc>
          <w:tcPr>
            <w:tcW w:w="18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00" w:type="dxa"/>
            <w:vAlign w:val="bottom"/>
            <w:gridSpan w:val="7"/>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2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w w:val="89"/>
              </w:rPr>
              <w:t>No</w:t>
            </w:r>
          </w:p>
        </w:tc>
        <w:tc>
          <w:tcPr>
            <w:tcW w:w="21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60" w:firstLine="50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60" w:firstLine="50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120" w:firstLine="50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4" w:lineRule="exact"/>
        <w:rPr>
          <w:sz w:val="24"/>
          <w:szCs w:val="24"/>
          <w:color w:val="auto"/>
        </w:rPr>
      </w:pPr>
    </w:p>
    <w:p>
      <w:pPr>
        <w:ind w:right="40"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firstLine="509"/>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right="60" w:firstLine="509"/>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420" w:firstLine="509"/>
        <w:spacing w:after="0" w:line="17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8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400" w:firstLine="509"/>
        <w:spacing w:after="0" w:line="238"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$117,554,962 based on the closing price of the registrant’s common stock on the NASDAQ Global Market of $2.53 per share on June 30, 2022. Shares of common stock held by each executive officer and director and each affiliated entity has been excluded from this calculation. This determination of affiliate status may not be conclusive for other purposes.</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par value $0.001 per share, as of February 13, 2023 was 49,046,246.</w:t>
      </w:r>
    </w:p>
    <w:p>
      <w:pPr>
        <w:spacing w:after="0" w:line="38"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right="440" w:firstLine="509"/>
        <w:spacing w:after="0" w:line="253"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pursuant to Regulation 14A in connection with the registrant’s 2023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rPr>
              <w:t>MEDICINOVA, INC.</w:t>
            </w:r>
          </w:p>
        </w:tc>
        <w:tc>
          <w:tcPr>
            <w:tcW w:w="880" w:type="dxa"/>
            <w:vAlign w:val="bottom"/>
          </w:tcPr>
          <w:p>
            <w:pPr>
              <w:spacing w:after="0"/>
              <w:rPr>
                <w:sz w:val="20"/>
                <w:szCs w:val="20"/>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00" w:type="dxa"/>
            <w:vAlign w:val="bottom"/>
            <w:gridSpan w:val="11"/>
          </w:tcPr>
          <w:p>
            <w:pPr>
              <w:jc w:val="center"/>
              <w:ind w:right="3180"/>
              <w:spacing w:after="0"/>
              <w:rPr>
                <w:sz w:val="20"/>
                <w:szCs w:val="20"/>
                <w:color w:val="auto"/>
              </w:rPr>
            </w:pPr>
            <w:r>
              <w:rPr>
                <w:rFonts w:ascii="Arial" w:cs="Arial" w:eastAsia="Arial" w:hAnsi="Arial"/>
                <w:sz w:val="18"/>
                <w:szCs w:val="18"/>
                <w:b w:val="1"/>
                <w:bCs w:val="1"/>
                <w:color w:val="auto"/>
              </w:rPr>
              <w:t>FORM 10-K—ANNUAL REPORT</w:t>
            </w:r>
          </w:p>
        </w:tc>
        <w:tc>
          <w:tcPr>
            <w:tcW w:w="88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12"/>
          </w:tcPr>
          <w:p>
            <w:pPr>
              <w:jc w:val="center"/>
              <w:ind w:right="236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88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gridSpan w:val="9"/>
          </w:tcPr>
          <w:p>
            <w:pPr>
              <w:jc w:val="center"/>
              <w:ind w:right="3680"/>
              <w:spacing w:after="0"/>
              <w:rPr>
                <w:sz w:val="20"/>
                <w:szCs w:val="20"/>
                <w:color w:val="auto"/>
              </w:rPr>
            </w:pPr>
            <w:r>
              <w:rPr>
                <w:rFonts w:ascii="Arial" w:cs="Arial" w:eastAsia="Arial" w:hAnsi="Arial"/>
                <w:sz w:val="18"/>
                <w:szCs w:val="18"/>
                <w:b w:val="1"/>
                <w:bCs w:val="1"/>
                <w:color w:val="auto"/>
                <w:w w:val="89"/>
              </w:rPr>
              <w:t>Table of Contents</w:t>
            </w:r>
          </w:p>
        </w:tc>
        <w:tc>
          <w:tcPr>
            <w:tcW w:w="880" w:type="dxa"/>
            <w:vAlign w:val="bottom"/>
          </w:tcPr>
          <w:p>
            <w:pPr>
              <w:spacing w:after="0"/>
              <w:rPr>
                <w:sz w:val="24"/>
                <w:szCs w:val="24"/>
                <w:color w:val="auto"/>
              </w:rPr>
            </w:pPr>
          </w:p>
        </w:tc>
      </w:tr>
      <w:tr>
        <w:trPr>
          <w:trHeight w:val="392"/>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2"/>
        </w:trPr>
        <w:tc>
          <w:tcPr>
            <w:tcW w:w="1200" w:type="dxa"/>
            <w:vAlign w:val="bottom"/>
            <w:gridSpan w:val="2"/>
          </w:tcPr>
          <w:p>
            <w:pPr>
              <w:spacing w:after="0" w:line="202" w:lineRule="exact"/>
              <w:rPr>
                <w:sz w:val="20"/>
                <w:szCs w:val="20"/>
                <w:color w:val="auto"/>
              </w:rPr>
            </w:pPr>
            <w:r>
              <w:rPr>
                <w:rFonts w:ascii="Arial" w:cs="Arial" w:eastAsia="Arial" w:hAnsi="Arial"/>
                <w:sz w:val="18"/>
                <w:szCs w:val="18"/>
                <w:color w:val="auto"/>
              </w:rPr>
              <w:t>Item 1</w:t>
            </w:r>
          </w:p>
        </w:tc>
        <w:tc>
          <w:tcPr>
            <w:tcW w:w="9140" w:type="dxa"/>
            <w:vAlign w:val="bottom"/>
            <w:gridSpan w:val="20"/>
          </w:tcPr>
          <w:p>
            <w:pPr>
              <w:spacing w:after="0" w:line="202" w:lineRule="exact"/>
              <w:rPr>
                <w:sz w:val="20"/>
                <w:szCs w:val="20"/>
                <w:color w:val="auto"/>
              </w:rPr>
            </w:pPr>
            <w:r>
              <w:rPr>
                <w:rFonts w:ascii="Arial" w:cs="Arial" w:eastAsia="Arial" w:hAnsi="Arial"/>
                <w:sz w:val="18"/>
                <w:szCs w:val="18"/>
                <w:color w:val="0000FF"/>
              </w:rPr>
              <w:t>Business</w:t>
            </w:r>
          </w:p>
        </w:tc>
        <w:tc>
          <w:tcPr>
            <w:tcW w:w="8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38</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140" w:type="dxa"/>
            <w:vAlign w:val="bottom"/>
            <w:gridSpan w:val="20"/>
          </w:tcPr>
          <w:p>
            <w:pPr>
              <w:spacing w:after="0"/>
              <w:rPr>
                <w:sz w:val="20"/>
                <w:szCs w:val="20"/>
                <w:color w:val="auto"/>
              </w:rPr>
            </w:pPr>
            <w:r>
              <w:rPr>
                <w:rFonts w:ascii="Arial" w:cs="Arial" w:eastAsia="Arial" w:hAnsi="Arial"/>
                <w:sz w:val="18"/>
                <w:szCs w:val="18"/>
                <w:color w:val="0000FF"/>
              </w:rPr>
              <w:t>Unresolved Staff Comments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62</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20"/>
          </w:tcPr>
          <w:p>
            <w:pPr>
              <w:spacing w:after="0"/>
              <w:rPr>
                <w:sz w:val="20"/>
                <w:szCs w:val="20"/>
                <w:color w:val="auto"/>
              </w:rPr>
            </w:pPr>
            <w:r>
              <w:rPr>
                <w:rFonts w:ascii="Arial" w:cs="Arial" w:eastAsia="Arial" w:hAnsi="Arial"/>
                <w:sz w:val="18"/>
                <w:szCs w:val="18"/>
                <w:color w:val="0000FF"/>
              </w:rPr>
              <w:t>Properties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62</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62</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62</w:t>
            </w:r>
          </w:p>
        </w:tc>
      </w:tr>
      <w:tr>
        <w:trPr>
          <w:trHeight w:val="41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1200" w:type="dxa"/>
            <w:vAlign w:val="bottom"/>
            <w:gridSpan w:val="2"/>
          </w:tcPr>
          <w:p>
            <w:pPr>
              <w:spacing w:after="0" w:line="202" w:lineRule="exact"/>
              <w:rPr>
                <w:sz w:val="20"/>
                <w:szCs w:val="20"/>
                <w:color w:val="auto"/>
              </w:rPr>
            </w:pPr>
            <w:r>
              <w:rPr>
                <w:rFonts w:ascii="Arial" w:cs="Arial" w:eastAsia="Arial" w:hAnsi="Arial"/>
                <w:sz w:val="18"/>
                <w:szCs w:val="18"/>
                <w:color w:val="auto"/>
              </w:rPr>
              <w:t>Item 5</w:t>
            </w:r>
          </w:p>
        </w:tc>
        <w:tc>
          <w:tcPr>
            <w:tcW w:w="9140" w:type="dxa"/>
            <w:vAlign w:val="bottom"/>
            <w:gridSpan w:val="20"/>
          </w:tcPr>
          <w:p>
            <w:pPr>
              <w:spacing w:after="0" w:line="202"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8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63</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40" w:type="dxa"/>
            <w:vAlign w:val="bottom"/>
            <w:gridSpan w:val="20"/>
          </w:tcPr>
          <w:p>
            <w:pPr>
              <w:spacing w:after="0"/>
              <w:rPr>
                <w:sz w:val="20"/>
                <w:szCs w:val="20"/>
                <w:color w:val="auto"/>
              </w:rPr>
            </w:pPr>
            <w:r>
              <w:rPr>
                <w:rFonts w:ascii="Arial" w:cs="Arial" w:eastAsia="Arial" w:hAnsi="Arial"/>
                <w:sz w:val="18"/>
                <w:szCs w:val="18"/>
                <w:color w:val="0000FF"/>
              </w:rPr>
              <w:t>[Reserved]</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63</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1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64</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914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68</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140" w:type="dxa"/>
            <w:vAlign w:val="bottom"/>
            <w:gridSpan w:val="20"/>
          </w:tcPr>
          <w:p>
            <w:pPr>
              <w:spacing w:after="0"/>
              <w:rPr>
                <w:sz w:val="20"/>
                <w:szCs w:val="20"/>
                <w:color w:val="auto"/>
              </w:rPr>
            </w:pPr>
            <w:r>
              <w:rPr>
                <w:rFonts w:ascii="Arial" w:cs="Arial" w:eastAsia="Arial" w:hAnsi="Arial"/>
                <w:sz w:val="18"/>
                <w:szCs w:val="18"/>
                <w:color w:val="0000FF"/>
              </w:rPr>
              <w:t>Financial Statements and Supplementary Data</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69</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140" w:type="dxa"/>
            <w:vAlign w:val="bottom"/>
            <w:gridSpan w:val="20"/>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90</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14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90</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14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91</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914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91</w:t>
            </w:r>
          </w:p>
        </w:tc>
      </w:tr>
      <w:tr>
        <w:trPr>
          <w:trHeight w:val="41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2"/>
        </w:trPr>
        <w:tc>
          <w:tcPr>
            <w:tcW w:w="1200" w:type="dxa"/>
            <w:vAlign w:val="bottom"/>
            <w:gridSpan w:val="2"/>
          </w:tcPr>
          <w:p>
            <w:pPr>
              <w:spacing w:after="0" w:line="202" w:lineRule="exact"/>
              <w:rPr>
                <w:sz w:val="20"/>
                <w:szCs w:val="20"/>
                <w:color w:val="auto"/>
              </w:rPr>
            </w:pPr>
            <w:r>
              <w:rPr>
                <w:rFonts w:ascii="Arial" w:cs="Arial" w:eastAsia="Arial" w:hAnsi="Arial"/>
                <w:sz w:val="18"/>
                <w:szCs w:val="18"/>
                <w:color w:val="auto"/>
              </w:rPr>
              <w:t>Item 10</w:t>
            </w:r>
          </w:p>
        </w:tc>
        <w:tc>
          <w:tcPr>
            <w:tcW w:w="9140" w:type="dxa"/>
            <w:vAlign w:val="bottom"/>
            <w:gridSpan w:val="20"/>
          </w:tcPr>
          <w:p>
            <w:pPr>
              <w:spacing w:after="0" w:line="202" w:lineRule="exact"/>
              <w:rPr>
                <w:sz w:val="20"/>
                <w:szCs w:val="20"/>
                <w:color w:val="auto"/>
              </w:rPr>
            </w:pPr>
            <w:r>
              <w:rPr>
                <w:rFonts w:ascii="Arial" w:cs="Arial" w:eastAsia="Arial" w:hAnsi="Arial"/>
                <w:sz w:val="18"/>
                <w:szCs w:val="18"/>
                <w:color w:val="0000FF"/>
              </w:rPr>
              <w:t>Directors, Executive Officers and Corporate Governance</w:t>
            </w:r>
          </w:p>
        </w:tc>
        <w:tc>
          <w:tcPr>
            <w:tcW w:w="8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92</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7"/>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140" w:type="dxa"/>
            <w:vAlign w:val="bottom"/>
            <w:gridSpan w:val="20"/>
          </w:tcPr>
          <w:p>
            <w:pPr>
              <w:spacing w:after="0"/>
              <w:rPr>
                <w:sz w:val="20"/>
                <w:szCs w:val="20"/>
                <w:color w:val="auto"/>
              </w:rPr>
            </w:pPr>
            <w:r>
              <w:rPr>
                <w:rFonts w:ascii="Arial" w:cs="Arial" w:eastAsia="Arial" w:hAnsi="Arial"/>
                <w:sz w:val="18"/>
                <w:szCs w:val="18"/>
                <w:color w:val="0000FF"/>
              </w:rPr>
              <w:t>Executive Compensation</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92</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7"/>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140" w:type="dxa"/>
            <w:vAlign w:val="bottom"/>
            <w:gridSpan w:val="20"/>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92</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914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93</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140" w:type="dxa"/>
            <w:vAlign w:val="bottom"/>
            <w:gridSpan w:val="20"/>
          </w:tcPr>
          <w:p>
            <w:pPr>
              <w:spacing w:after="0"/>
              <w:rPr>
                <w:sz w:val="20"/>
                <w:szCs w:val="20"/>
                <w:color w:val="auto"/>
              </w:rPr>
            </w:pPr>
            <w:r>
              <w:rPr>
                <w:rFonts w:ascii="Arial" w:cs="Arial" w:eastAsia="Arial" w:hAnsi="Arial"/>
                <w:sz w:val="18"/>
                <w:szCs w:val="18"/>
                <w:color w:val="0000FF"/>
              </w:rPr>
              <w:t>Principal Accountant Fees and Services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93</w:t>
            </w:r>
          </w:p>
        </w:tc>
      </w:tr>
      <w:tr>
        <w:trPr>
          <w:trHeight w:val="41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2"/>
        </w:trPr>
        <w:tc>
          <w:tcPr>
            <w:tcW w:w="1200" w:type="dxa"/>
            <w:vAlign w:val="bottom"/>
            <w:gridSpan w:val="2"/>
          </w:tcPr>
          <w:p>
            <w:pPr>
              <w:spacing w:after="0" w:line="202" w:lineRule="exact"/>
              <w:rPr>
                <w:sz w:val="20"/>
                <w:szCs w:val="20"/>
                <w:color w:val="auto"/>
              </w:rPr>
            </w:pPr>
            <w:r>
              <w:rPr>
                <w:rFonts w:ascii="Arial" w:cs="Arial" w:eastAsia="Arial" w:hAnsi="Arial"/>
                <w:sz w:val="18"/>
                <w:szCs w:val="18"/>
                <w:color w:val="auto"/>
              </w:rPr>
              <w:t>Item 15</w:t>
            </w:r>
          </w:p>
        </w:tc>
        <w:tc>
          <w:tcPr>
            <w:tcW w:w="9140" w:type="dxa"/>
            <w:vAlign w:val="bottom"/>
            <w:gridSpan w:val="20"/>
          </w:tcPr>
          <w:p>
            <w:pPr>
              <w:spacing w:after="0" w:line="202" w:lineRule="exact"/>
              <w:rPr>
                <w:sz w:val="20"/>
                <w:szCs w:val="20"/>
                <w:color w:val="auto"/>
              </w:rPr>
            </w:pPr>
            <w:r>
              <w:rPr>
                <w:rFonts w:ascii="Arial" w:cs="Arial" w:eastAsia="Arial" w:hAnsi="Arial"/>
                <w:sz w:val="18"/>
                <w:szCs w:val="18"/>
                <w:color w:val="0000FF"/>
              </w:rPr>
              <w:t>Exhibits and Financial Statement Schedules</w:t>
            </w:r>
          </w:p>
        </w:tc>
        <w:tc>
          <w:tcPr>
            <w:tcW w:w="8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94</w:t>
            </w:r>
          </w:p>
        </w:tc>
      </w:tr>
      <w:tr>
        <w:trPr>
          <w:trHeight w:val="372"/>
        </w:trPr>
        <w:tc>
          <w:tcPr>
            <w:tcW w:w="1200" w:type="dxa"/>
            <w:vAlign w:val="bottom"/>
            <w:gridSpan w:val="2"/>
          </w:tcPr>
          <w:p>
            <w:pPr>
              <w:spacing w:after="0"/>
              <w:rPr>
                <w:sz w:val="20"/>
                <w:szCs w:val="20"/>
                <w:color w:val="auto"/>
              </w:rPr>
            </w:pPr>
            <w:r>
              <w:rPr>
                <w:rFonts w:ascii="Arial" w:cs="Arial" w:eastAsia="Arial" w:hAnsi="Arial"/>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97</w:t>
            </w:r>
          </w:p>
        </w:tc>
      </w:tr>
      <w:tr>
        <w:trPr>
          <w:trHeight w:val="20"/>
        </w:trPr>
        <w:tc>
          <w:tcPr>
            <w:tcW w:w="8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right="200" w:firstLine="562"/>
        <w:spacing w:after="0" w:line="263" w:lineRule="auto"/>
        <w:rPr>
          <w:sz w:val="20"/>
          <w:szCs w:val="20"/>
          <w:color w:val="auto"/>
        </w:rPr>
      </w:pPr>
      <w:r>
        <w:rPr>
          <w:rFonts w:ascii="Arial" w:cs="Arial" w:eastAsia="Arial" w:hAnsi="Arial"/>
          <w:sz w:val="18"/>
          <w:szCs w:val="18"/>
          <w:color w:val="auto"/>
        </w:rPr>
        <w:t>MediciNova, Inc. (the “Company”) is filing this Amendment No. 1 on Form 10-K/A (the “Amendment”) to replace and supersede, in its entirety, the Company’s original Annual Report on Form 10-K for the year ended December 31, 2022 (the “Original Form 10-K”), as filed with the Securities and Exchange Commission on February 16, 2023.</w:t>
      </w:r>
    </w:p>
    <w:p>
      <w:pPr>
        <w:spacing w:after="0" w:line="76" w:lineRule="exact"/>
        <w:rPr>
          <w:sz w:val="20"/>
          <w:szCs w:val="20"/>
          <w:color w:val="auto"/>
        </w:rPr>
      </w:pPr>
    </w:p>
    <w:p>
      <w:pPr>
        <w:ind w:right="20" w:firstLine="562"/>
        <w:spacing w:after="0" w:line="275" w:lineRule="auto"/>
        <w:rPr>
          <w:sz w:val="20"/>
          <w:szCs w:val="20"/>
          <w:color w:val="auto"/>
        </w:rPr>
      </w:pPr>
      <w:r>
        <w:rPr>
          <w:rFonts w:ascii="Arial" w:cs="Arial" w:eastAsia="Arial" w:hAnsi="Arial"/>
          <w:sz w:val="17"/>
          <w:szCs w:val="17"/>
          <w:color w:val="auto"/>
        </w:rPr>
        <w:t>This Amendment is being filed for the sole purpose of including the certification required to be filed as Exhibit 31.2 (the Certification of the Principal Financial Officer pursuant to Section 302 of the Sarbanes-Oxley Act of 2022) that was inadvertently omitted from the Original Form 10-K. The Original Form 10-K inadvertently included the certification filed as Exhibit 32.1 (the Certification of the Principal Executive Officer pursuant to Section 906 of the Sarbanes-Oxley Act of 2022) instead. Additionally, each of the certifications pursuant to Section 302 and Section 906 of the Sarbanes-Oxley Act of 2002 included in the Original Form 10-K have been updated to reflect the filing date of this Amendment.</w:t>
      </w:r>
    </w:p>
    <w:p>
      <w:pPr>
        <w:spacing w:after="0" w:line="68" w:lineRule="exact"/>
        <w:rPr>
          <w:sz w:val="20"/>
          <w:szCs w:val="20"/>
          <w:color w:val="auto"/>
        </w:rPr>
      </w:pPr>
    </w:p>
    <w:p>
      <w:pPr>
        <w:ind w:firstLine="562"/>
        <w:spacing w:after="0" w:line="263" w:lineRule="auto"/>
        <w:rPr>
          <w:sz w:val="20"/>
          <w:szCs w:val="20"/>
          <w:color w:val="auto"/>
        </w:rPr>
      </w:pPr>
      <w:r>
        <w:rPr>
          <w:rFonts w:ascii="Arial" w:cs="Arial" w:eastAsia="Arial" w:hAnsi="Arial"/>
          <w:sz w:val="18"/>
          <w:szCs w:val="18"/>
          <w:color w:val="auto"/>
        </w:rPr>
        <w:t>Except as expressly set forth herein, this Amendment does not reflect events occuring after the date of the Original Form 10-K filing, and this Amendment does not modify, amend or update any of the financial information or any other information set forth in the Original Form 10-K. Other than the changes to the exhibits described above, all other information in the Original Form 10-K remains unchanged.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710"/>
        <w:spacing w:after="0" w:line="255" w:lineRule="auto"/>
        <w:rPr>
          <w:sz w:val="20"/>
          <w:szCs w:val="20"/>
          <w:color w:val="auto"/>
        </w:rPr>
      </w:pPr>
      <w:r>
        <w:rPr>
          <w:rFonts w:ascii="Arial" w:cs="Arial" w:eastAsia="Arial" w:hAnsi="Arial"/>
          <w:sz w:val="18"/>
          <w:szCs w:val="18"/>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84" w:lineRule="exact"/>
        <w:rPr>
          <w:sz w:val="20"/>
          <w:szCs w:val="20"/>
          <w:color w:val="auto"/>
        </w:rPr>
      </w:pPr>
    </w:p>
    <w:p>
      <w:pPr>
        <w:jc w:val="both"/>
        <w:ind w:firstLine="710"/>
        <w:spacing w:after="0" w:line="272" w:lineRule="auto"/>
        <w:rPr>
          <w:sz w:val="20"/>
          <w:szCs w:val="20"/>
          <w:color w:val="auto"/>
        </w:rPr>
      </w:pPr>
      <w:r>
        <w:rPr>
          <w:rFonts w:ascii="Arial" w:cs="Arial" w:eastAsia="Arial" w:hAnsi="Arial"/>
          <w:sz w:val="17"/>
          <w:szCs w:val="17"/>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239" w:lineRule="exact"/>
        <w:rPr>
          <w:sz w:val="20"/>
          <w:szCs w:val="20"/>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238" w:lineRule="exact"/>
        <w:rPr>
          <w:rFonts w:ascii="Arial" w:cs="Arial" w:eastAsia="Arial" w:hAnsi="Arial"/>
          <w:sz w:val="18"/>
          <w:szCs w:val="18"/>
          <w:color w:val="auto"/>
        </w:rPr>
      </w:pPr>
    </w:p>
    <w:p>
      <w:pPr>
        <w:ind w:left="1320" w:right="460" w:hanging="369"/>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FDA or foreign regulatory approval for our product candidates in a timely manner;</w:t>
      </w:r>
    </w:p>
    <w:p>
      <w:pPr>
        <w:spacing w:after="0" w:line="197" w:lineRule="exact"/>
        <w:rPr>
          <w:rFonts w:ascii="Arial" w:cs="Arial" w:eastAsia="Arial" w:hAnsi="Arial"/>
          <w:sz w:val="18"/>
          <w:szCs w:val="18"/>
          <w:color w:val="auto"/>
        </w:rPr>
      </w:pPr>
    </w:p>
    <w:p>
      <w:pPr>
        <w:ind w:left="1320" w:right="100" w:hanging="369"/>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183"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238" w:lineRule="exact"/>
        <w:rPr>
          <w:rFonts w:ascii="Arial" w:cs="Arial" w:eastAsia="Arial" w:hAnsi="Arial"/>
          <w:sz w:val="18"/>
          <w:szCs w:val="18"/>
          <w:color w:val="auto"/>
        </w:rPr>
      </w:pPr>
    </w:p>
    <w:p>
      <w:pPr>
        <w:ind w:left="1320" w:right="260" w:hanging="369"/>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183"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252" w:lineRule="exact"/>
        <w:rPr>
          <w:rFonts w:ascii="Arial" w:cs="Arial" w:eastAsia="Arial" w:hAnsi="Arial"/>
          <w:sz w:val="18"/>
          <w:szCs w:val="18"/>
          <w:color w:val="auto"/>
        </w:rPr>
      </w:pPr>
    </w:p>
    <w:p>
      <w:pPr>
        <w:ind w:left="1320" w:right="740" w:hanging="369"/>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which has led to key employees becoming ill for a period of time;</w:t>
      </w:r>
    </w:p>
    <w:p>
      <w:pPr>
        <w:spacing w:after="0" w:line="183"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250" w:lineRule="exact"/>
        <w:rPr>
          <w:rFonts w:ascii="Arial" w:cs="Arial" w:eastAsia="Arial" w:hAnsi="Arial"/>
          <w:sz w:val="17"/>
          <w:szCs w:val="17"/>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requires otherwise, references in this Annual Report on Form 10-K to “MediciNova,” “we,” “us” and “our” refer to MediciNova, Inc.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The following is a summary of the principal risks and uncertainties that could adversely affect our business, cash flows, financial condition and/or results of operations, and these adverse impacts may be material. This summary is qualified in its entirety by reference to the more detailed descriptions of the risks and uncertainties included in this Item 1A below and you should read this summary together with those more detailed descriptions.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principal risks and uncertainties relate to, among other things: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our Industry:</w:t>
      </w:r>
    </w:p>
    <w:p>
      <w:pPr>
        <w:spacing w:after="0" w:line="239"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significant operating losses we have incurred and expect to incur for the foreseeable future;</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the capital necessary to fund our operations;</w:t>
      </w:r>
    </w:p>
    <w:p>
      <w:pPr>
        <w:spacing w:after="0" w:line="238"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have any products that are approved for commercial sale and do not expect to generate any revenues from product sales for the foreseeable future, if ever;</w:t>
      </w:r>
    </w:p>
    <w:p>
      <w:pPr>
        <w:spacing w:after="0" w:line="183" w:lineRule="exact"/>
        <w:rPr>
          <w:rFonts w:ascii="Arial" w:cs="Arial" w:eastAsia="Arial" w:hAnsi="Arial"/>
          <w:sz w:val="18"/>
          <w:szCs w:val="18"/>
          <w:color w:val="auto"/>
        </w:rPr>
      </w:pPr>
    </w:p>
    <w:p>
      <w:pPr>
        <w:ind w:left="760" w:right="54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the success of our MN-166 (ibudilast) and MN-001 (tipelukast) product candidates and uncertainty that these product candidates will receive regulatory approval or be successfully commercialized;</w:t>
      </w:r>
    </w:p>
    <w:p>
      <w:pPr>
        <w:spacing w:after="0" w:line="197"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complexity and uncertainty relating to progressing product candidates through the various stages of clinical trials and obtaining regulatory approval;</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71" w:right="439" w:bottom="1440" w:gutter="0" w:footer="0" w:header="0"/>
        </w:sectPr>
      </w:pPr>
    </w:p>
    <w:bookmarkStart w:id="5" w:name="page6"/>
    <w:bookmarkEnd w:id="5"/>
    <w:p>
      <w:pPr>
        <w:ind w:left="380" w:hanging="378"/>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attempts to develop MN-001 (tipelukast) in NASH, NAFLD, and IPF may detract from our efforts to develop other product candidates;</w:t>
      </w:r>
    </w:p>
    <w:p>
      <w:pPr>
        <w:spacing w:after="0" w:line="263" w:lineRule="exact"/>
        <w:rPr>
          <w:rFonts w:ascii="Arial" w:cs="Arial" w:eastAsia="Arial" w:hAnsi="Arial"/>
          <w:sz w:val="17"/>
          <w:szCs w:val="17"/>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complexity, high cost and uncertainty of obtaining regulatory approval;</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stringent regulation of our product candidates;</w:t>
      </w:r>
    </w:p>
    <w:p>
      <w:pPr>
        <w:spacing w:after="0" w:line="238" w:lineRule="exact"/>
        <w:rPr>
          <w:rFonts w:ascii="Arial" w:cs="Arial" w:eastAsia="Arial" w:hAnsi="Arial"/>
          <w:sz w:val="18"/>
          <w:szCs w:val="18"/>
          <w:color w:val="auto"/>
        </w:rPr>
      </w:pPr>
    </w:p>
    <w:p>
      <w:pPr>
        <w:ind w:left="380" w:right="600" w:hanging="37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development and regulatory difficulties even if we are successful in receiving regulatory approval of one or more of our product candidates;</w:t>
      </w:r>
    </w:p>
    <w:p>
      <w:pPr>
        <w:spacing w:after="0" w:line="197" w:lineRule="exact"/>
        <w:rPr>
          <w:rFonts w:ascii="Arial" w:cs="Arial" w:eastAsia="Arial" w:hAnsi="Arial"/>
          <w:sz w:val="18"/>
          <w:szCs w:val="18"/>
          <w:color w:val="auto"/>
        </w:rPr>
      </w:pPr>
    </w:p>
    <w:p>
      <w:pPr>
        <w:ind w:left="380" w:right="1060" w:hanging="37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undesirable side effects of any product candidate experienced during clinical trials could delay or prevent regulatory approval or commercialization or limit its commercial potential;</w:t>
      </w:r>
    </w:p>
    <w:p>
      <w:pPr>
        <w:spacing w:after="0" w:line="183"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commencement or completion of clinical trials, or suspension or termination of our clinical trials;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rights to develop and market any of our product candidates;</w:t>
      </w:r>
    </w:p>
    <w:p>
      <w:pPr>
        <w:spacing w:after="0" w:line="25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the ongoing COVID-19 pandemic or any other illness or communicable disease, or any other public health crisis on our business;</w:t>
      </w:r>
    </w:p>
    <w:p>
      <w:pPr>
        <w:spacing w:after="0" w:line="261" w:lineRule="exact"/>
        <w:rPr>
          <w:rFonts w:ascii="Arial" w:cs="Arial" w:eastAsia="Arial" w:hAnsi="Arial"/>
          <w:sz w:val="16"/>
          <w:szCs w:val="16"/>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strategic collaborations with third parties to develop and commercialize product candidates;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w:t>
      </w:r>
    </w:p>
    <w:p>
      <w:pPr>
        <w:spacing w:after="0" w:line="25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party manufacturers to produce our product candidates;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or our third-party manufacturer's ability to manufacture our product candidates in commercial quantities;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 availability of materials necessary to manufacture our product candidates;</w:t>
      </w:r>
    </w:p>
    <w:p>
      <w:pPr>
        <w:spacing w:after="0" w:line="25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acceptance among physicians, patients and the medical community of our product candidates;</w:t>
      </w:r>
    </w:p>
    <w:p>
      <w:pPr>
        <w:spacing w:after="0" w:line="238" w:lineRule="exact"/>
        <w:rPr>
          <w:rFonts w:ascii="Arial" w:cs="Arial" w:eastAsia="Arial" w:hAnsi="Arial"/>
          <w:sz w:val="18"/>
          <w:szCs w:val="18"/>
          <w:color w:val="auto"/>
        </w:rPr>
      </w:pPr>
    </w:p>
    <w:p>
      <w:pPr>
        <w:ind w:left="380" w:right="120" w:hanging="37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users of our products to obtain adequate coverage of and reimbursement for our products from government and other third party payers;</w:t>
      </w:r>
    </w:p>
    <w:p>
      <w:pPr>
        <w:spacing w:after="0" w:line="183"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motivate and attract key personnel;</w:t>
      </w:r>
    </w:p>
    <w:p>
      <w:pPr>
        <w:spacing w:after="0" w:line="25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sales, marketing and distribution capabilities;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health care reform measures could adversely affect our business;</w:t>
      </w:r>
    </w:p>
    <w:p>
      <w:pPr>
        <w:spacing w:after="0" w:line="18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700" w:top="571" w:right="519" w:bottom="1440" w:gutter="0" w:footer="0" w:header="0"/>
        </w:sectPr>
      </w:pPr>
    </w:p>
    <w:bookmarkStart w:id="6" w:name="page7"/>
    <w:bookmarkEnd w:id="6"/>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product liability lawsuits against us;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fluctuations in our results of operations;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and management attention required to operate as a public company;</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technology systems failures, network disruptions, breaches in data security and computer crime and cyber-attacks;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complexity of operating our business and marketing our products internationally;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Risks Related to Our Intellectual Property</w:t>
      </w:r>
      <w:r>
        <w:rPr>
          <w:rFonts w:ascii="Arial" w:cs="Arial" w:eastAsia="Arial" w:hAnsi="Arial"/>
          <w:sz w:val="18"/>
          <w:szCs w:val="18"/>
          <w:color w:val="auto"/>
        </w:rPr>
        <w:t>:</w:t>
      </w:r>
    </w:p>
    <w:p>
      <w:pPr>
        <w:spacing w:after="0" w:line="239"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compete depends on the adequate protection of our proprietary rights;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disclosure of our trade secrets and other proprietary information;</w:t>
      </w:r>
    </w:p>
    <w:p>
      <w:pPr>
        <w:spacing w:after="0" w:line="252"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uncertainties of any dispute concerning the infringement or misappropriation of our proprietary rights or the proprietary rights of others, including trade secrets;</w:t>
      </w:r>
    </w:p>
    <w:p>
      <w:pPr>
        <w:spacing w:after="0" w:line="26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Risks Related to the Securities Markets and Investments in Our Common Stock</w:t>
      </w:r>
    </w:p>
    <w:p>
      <w:pPr>
        <w:spacing w:after="0" w:line="239"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delisting of our common stock on the NASDAQ Global Market or the Standard Market of the Tokyo Stock Exchange;</w:t>
      </w:r>
    </w:p>
    <w:p>
      <w:pPr>
        <w:spacing w:after="0" w:line="238" w:lineRule="exact"/>
        <w:rPr>
          <w:rFonts w:ascii="Arial" w:cs="Arial" w:eastAsia="Arial" w:hAnsi="Arial"/>
          <w:sz w:val="18"/>
          <w:szCs w:val="18"/>
          <w:color w:val="auto"/>
        </w:rPr>
      </w:pPr>
    </w:p>
    <w:p>
      <w:pPr>
        <w:ind w:left="760" w:right="24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of substantial dilution to our existing stockholders and/or the decline in price of our common stock if we were to sell additional shares of our common stock, including under our existing at-the-market issuance sales agreement;</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and management distraction if we were to face securities class action litigation; and</w:t>
      </w:r>
    </w:p>
    <w:p>
      <w:pPr>
        <w:spacing w:after="0" w:line="252"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anti-takeover provisions in our charter documents and under Delaware law may make it difficult for third parties to acquire us or remove and replace our directors and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and idiopathic pulmonary fibrosis (IPF). Our pipeline also includes MN-221 (bedoradrine) for the treatment of acute exacerbation of asthma and MN-029 (denibulin) for solid tumor cancers. MN-166 (ibudilast) is in development for several different neurological diseases and other diseases as described below.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Progressive Multiple Sclerosis:</w:t>
      </w:r>
    </w:p>
    <w:p>
      <w:pPr>
        <w:spacing w:after="0" w:line="117" w:lineRule="exact"/>
        <w:rPr>
          <w:sz w:val="20"/>
          <w:szCs w:val="20"/>
          <w:color w:val="auto"/>
        </w:rPr>
      </w:pPr>
    </w:p>
    <w:p>
      <w:pPr>
        <w:jc w:val="both"/>
        <w:ind w:right="520" w:firstLine="572"/>
        <w:spacing w:after="0" w:line="263" w:lineRule="auto"/>
        <w:rPr>
          <w:sz w:val="20"/>
          <w:szCs w:val="20"/>
          <w:color w:val="auto"/>
        </w:rPr>
      </w:pPr>
      <w:r>
        <w:rPr>
          <w:rFonts w:ascii="Arial" w:cs="Arial" w:eastAsia="Arial" w:hAnsi="Arial"/>
          <w:sz w:val="18"/>
          <w:szCs w:val="18"/>
          <w:color w:val="auto"/>
        </w:rPr>
        <w:t>We completed a Phase 2b clinical trial of MN-166 (ibudilast) for the treatment of relapsing multiple sclerosis (MS), in which positive safety and neuroprotective efficacy indicators were observed. The data from this trial indicated that MN-166 (ibudilast) may have potential in the treatment of progressive MS.</w:t>
      </w:r>
    </w:p>
    <w:p>
      <w:pPr>
        <w:spacing w:after="0" w:line="143" w:lineRule="exact"/>
        <w:rPr>
          <w:sz w:val="20"/>
          <w:szCs w:val="20"/>
          <w:color w:val="auto"/>
        </w:rPr>
      </w:pPr>
    </w:p>
    <w:p>
      <w:pPr>
        <w:ind w:firstLine="572"/>
        <w:spacing w:after="0" w:line="267" w:lineRule="auto"/>
        <w:rPr>
          <w:sz w:val="20"/>
          <w:szCs w:val="20"/>
          <w:color w:val="auto"/>
        </w:rPr>
      </w:pPr>
      <w:r>
        <w:rPr>
          <w:rFonts w:ascii="Arial" w:cs="Arial" w:eastAsia="Arial" w:hAnsi="Arial"/>
          <w:sz w:val="17"/>
          <w:szCs w:val="17"/>
          <w:color w:val="auto"/>
        </w:rPr>
        <w:t xml:space="preserve">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This progressive MS trial, known as SPRINT-MS,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 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which showed that the trends for reduction in the risk of confirmed disability progression were highest for the subgroup of subjects with Secondary Progressive MS without Relapse, in which MN-166 (ibudilast) demonstrated a 46% risk reduction compared to placebo. Additional data from the completed SPRINT-MS Phase 2b trial of MN-166 (ibudilast) in progressive MS was presented in May 2019 at the American Academy of Neurology (AAN) 71st Annual Meeting in Philadelphia, Pennsylvania. In November 2020, we announced that positive Optical Coherence Tomography (OCT) results from the SPRINT-MS Phase 2b trial of MN-166 (ibudilast) in progressive MS were published in </w:t>
      </w:r>
      <w:r>
        <w:rPr>
          <w:rFonts w:ascii="Arial" w:cs="Arial" w:eastAsia="Arial" w:hAnsi="Arial"/>
          <w:sz w:val="17"/>
          <w:szCs w:val="17"/>
          <w:i w:val="1"/>
          <w:iCs w:val="1"/>
          <w:color w:val="auto"/>
        </w:rPr>
        <w:t>Multiple Sclerosis Journal</w:t>
      </w:r>
      <w:r>
        <w:rPr>
          <w:rFonts w:ascii="Arial" w:cs="Arial" w:eastAsia="Arial" w:hAnsi="Arial"/>
          <w:sz w:val="17"/>
          <w:szCs w:val="17"/>
          <w:color w:val="auto"/>
        </w:rPr>
        <w:t>. In July 2021, we received a Notice of Allowance from the U.S. Patent and Trademark Office for a new patent which covers MN-166 (ibudilast) for the treatment of an ophthalmic disease/disorder or injury associated with a neurodegenerative disease/disorder or a neuro-ophthalmologic disorder.</w:t>
      </w:r>
    </w:p>
    <w:p>
      <w:pPr>
        <w:spacing w:after="0" w:line="161" w:lineRule="exact"/>
        <w:rPr>
          <w:sz w:val="20"/>
          <w:szCs w:val="20"/>
          <w:color w:val="auto"/>
        </w:rPr>
      </w:pPr>
    </w:p>
    <w:p>
      <w:pPr>
        <w:ind w:right="640" w:firstLine="572"/>
        <w:spacing w:after="0" w:line="277" w:lineRule="auto"/>
        <w:rPr>
          <w:sz w:val="20"/>
          <w:szCs w:val="20"/>
          <w:color w:val="auto"/>
        </w:rPr>
      </w:pPr>
      <w:r>
        <w:rPr>
          <w:rFonts w:ascii="Arial" w:cs="Arial" w:eastAsia="Arial" w:hAnsi="Arial"/>
          <w:sz w:val="18"/>
          <w:szCs w:val="18"/>
          <w:color w:val="auto"/>
        </w:rPr>
        <w:t>The United States Food and Drug Administration (FDA) has granted Fast Track designation for the development of MN-166 (ibudilast) for the treatment of patients with progressive 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Amyotrophic Lateral Sclerosis (ALS):</w:t>
      </w:r>
    </w:p>
    <w:p>
      <w:pPr>
        <w:spacing w:after="0" w:line="117" w:lineRule="exact"/>
        <w:rPr>
          <w:sz w:val="20"/>
          <w:szCs w:val="20"/>
          <w:color w:val="auto"/>
        </w:rPr>
      </w:pPr>
    </w:p>
    <w:p>
      <w:pPr>
        <w:ind w:right="180" w:firstLine="683"/>
        <w:spacing w:after="0" w:line="253" w:lineRule="auto"/>
        <w:rPr>
          <w:sz w:val="20"/>
          <w:szCs w:val="20"/>
          <w:color w:val="auto"/>
        </w:rPr>
      </w:pPr>
      <w:r>
        <w:rPr>
          <w:rFonts w:ascii="Arial" w:cs="Arial" w:eastAsia="Arial" w:hAnsi="Arial"/>
          <w:sz w:val="18"/>
          <w:szCs w:val="18"/>
          <w:color w:val="auto"/>
        </w:rPr>
        <w:t>We initiated a clinical trial of MN-166 (ibudilast) in amyotrophic lateral sclerosis (ALS) in the second half of 2014, and this trial was completed during the second half of 2017. In December 2017, we announced positive top-line results from this trial. The trial achieved the primary endpoint of safety and tolerability. In addition, there was a higher rate of responders on the Amyotrophic Lateral Sclerosis Functional Rating Scale-Revised (ALSFRS-R) total score, a measure of functional activity, in the MN-166 (ibudilast) group compared to the placebo group. In September 2018, we received feedback from the FDA regarding our clinical development plan for MN-166 (ibudilast) in ALS. In January 2019, we received a Notice of Allowance from the U.S. Patent and Trademark Office for a new patent which covers the combination of MN-166 (ibudilast) and riluzole for the treatment of ALS and other neurodegenerative diseases. In April 2019, we announced that the FDA completed its review of the protocol and determined that we may proceed with a Phase 2b/3 clinical trial of MN-166 (ibudilast) in ALS. In June 2019, we announced a kick-off meeting for the Phase 2b/3 clinical trial of MN-166 (ibudilast) in ALS. In December 2019, we announced that additional analyses of the completed clinical trial of MN-166 (ibudilast)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right="180"/>
        <w:spacing w:after="0" w:line="263" w:lineRule="auto"/>
        <w:rPr>
          <w:sz w:val="20"/>
          <w:szCs w:val="20"/>
          <w:color w:val="auto"/>
        </w:rPr>
      </w:pPr>
      <w:r>
        <w:rPr>
          <w:rFonts w:ascii="Arial" w:cs="Arial" w:eastAsia="Arial" w:hAnsi="Arial"/>
          <w:sz w:val="18"/>
          <w:szCs w:val="18"/>
          <w:color w:val="auto"/>
        </w:rPr>
        <w:t>ALS was presented at the 30th International Symposium on ALS/MND (amyotrophic lateral sclerosis/motor neurone disease) in Perth, Australia. In December 2021, we announced that a poster with an overview of our ongoing Phase 2b/3 clinical trial of MN-166 (ibudilast) in ALS was presented at the 32nd International Symposium on ALS/MND.</w:t>
      </w:r>
    </w:p>
    <w:p>
      <w:pPr>
        <w:spacing w:after="0" w:line="143" w:lineRule="exact"/>
        <w:rPr>
          <w:sz w:val="20"/>
          <w:szCs w:val="20"/>
          <w:color w:val="auto"/>
        </w:rPr>
      </w:pPr>
    </w:p>
    <w:p>
      <w:pPr>
        <w:ind w:right="100" w:firstLine="572"/>
        <w:spacing w:after="0" w:line="263" w:lineRule="auto"/>
        <w:rPr>
          <w:sz w:val="20"/>
          <w:szCs w:val="20"/>
          <w:color w:val="auto"/>
        </w:rPr>
      </w:pPr>
      <w:r>
        <w:rPr>
          <w:rFonts w:ascii="Arial" w:cs="Arial" w:eastAsia="Arial" w:hAnsi="Arial"/>
          <w:sz w:val="18"/>
          <w:szCs w:val="18"/>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Substance Dependence and Addiction:</w:t>
      </w:r>
    </w:p>
    <w:p>
      <w:pPr>
        <w:spacing w:after="0" w:line="117" w:lineRule="exact"/>
        <w:rPr>
          <w:sz w:val="20"/>
          <w:szCs w:val="20"/>
          <w:color w:val="auto"/>
        </w:rPr>
      </w:pPr>
    </w:p>
    <w:p>
      <w:pPr>
        <w:ind w:firstLine="572"/>
        <w:spacing w:after="0" w:line="275" w:lineRule="auto"/>
        <w:rPr>
          <w:sz w:val="20"/>
          <w:szCs w:val="20"/>
          <w:color w:val="auto"/>
        </w:rPr>
      </w:pPr>
      <w:r>
        <w:rPr>
          <w:rFonts w:ascii="Arial" w:cs="Arial" w:eastAsia="Arial" w:hAnsi="Arial"/>
          <w:sz w:val="17"/>
          <w:szCs w:val="17"/>
          <w:color w:val="auto"/>
        </w:rPr>
        <w:t>In the area of addiction, the National Institute on Drug Abuse (NIDA) funded a Phase 2 clinical trial of MN-166 (ibudilast) for the treatment of methamphetamine addiction. In collaboration with the University of California, Los Angeles (UCLA), this clinical trial commenced in 2013 and enrollment was completed in September 2017.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for evaluating MN-166 (ibudilast) in methamphetamine use disorder and this trial is ongoing.</w:t>
      </w:r>
    </w:p>
    <w:p>
      <w:pPr>
        <w:spacing w:after="0" w:line="149" w:lineRule="exact"/>
        <w:rPr>
          <w:sz w:val="20"/>
          <w:szCs w:val="20"/>
          <w:color w:val="auto"/>
        </w:rPr>
      </w:pPr>
    </w:p>
    <w:p>
      <w:pPr>
        <w:ind w:right="60" w:firstLine="572"/>
        <w:spacing w:after="0" w:line="257" w:lineRule="auto"/>
        <w:rPr>
          <w:sz w:val="20"/>
          <w:szCs w:val="20"/>
          <w:color w:val="auto"/>
        </w:rPr>
      </w:pPr>
      <w:r>
        <w:rPr>
          <w:rFonts w:ascii="Arial" w:cs="Arial" w:eastAsia="Arial" w:hAnsi="Arial"/>
          <w:sz w:val="18"/>
          <w:szCs w:val="18"/>
          <w:color w:val="auto"/>
        </w:rPr>
        <w:t>Investigators at Columbia University and the New York State Psychiatric Institute (NYSPI) previously completed a Phase 1b/2a clinical trial of MN-166 (ibudilast) in opioid withdrawal that was funded by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w:t>
      </w:r>
    </w:p>
    <w:p>
      <w:pPr>
        <w:spacing w:after="0" w:line="147" w:lineRule="exact"/>
        <w:rPr>
          <w:sz w:val="20"/>
          <w:szCs w:val="20"/>
          <w:color w:val="auto"/>
        </w:rPr>
      </w:pPr>
    </w:p>
    <w:p>
      <w:pPr>
        <w:ind w:right="120" w:firstLine="572"/>
        <w:spacing w:after="0" w:line="268" w:lineRule="auto"/>
        <w:rPr>
          <w:sz w:val="20"/>
          <w:szCs w:val="20"/>
          <w:color w:val="auto"/>
        </w:rPr>
      </w:pPr>
      <w:r>
        <w:rPr>
          <w:rFonts w:ascii="Arial" w:cs="Arial" w:eastAsia="Arial" w:hAnsi="Arial"/>
          <w:sz w:val="17"/>
          <w:szCs w:val="17"/>
          <w:color w:val="auto"/>
        </w:rPr>
        <w:t xml:space="preserve">Researchers at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 In May 2018, we announced a new NIDA-funded clinical trial of MN-166 (ibudilast) in alcohol dependence and withdrawal in collaboration with researchers at UCLA. This clinical trial has been completed and positive findings were presented at the American Psychological Association 2020 Annual Convention which was held online in August 2020. Results from this clinical trial were published in June 2021 in Nature’s </w:t>
      </w:r>
      <w:r>
        <w:rPr>
          <w:rFonts w:ascii="Arial" w:cs="Arial" w:eastAsia="Arial" w:hAnsi="Arial"/>
          <w:sz w:val="17"/>
          <w:szCs w:val="17"/>
          <w:i w:val="1"/>
          <w:iCs w:val="1"/>
          <w:color w:val="auto"/>
        </w:rPr>
        <w:t>Translational Psychiatry.</w:t>
      </w:r>
      <w:r>
        <w:rPr>
          <w:rFonts w:ascii="Arial" w:cs="Arial" w:eastAsia="Arial" w:hAnsi="Arial"/>
          <w:sz w:val="17"/>
          <w:szCs w:val="17"/>
          <w:color w:val="auto"/>
        </w:rPr>
        <w:t xml:space="preserve"> In August 2018, we announced a new NIAAA-funded Phase 2b clinical trial of MN-166 (ibudilast) which will evaluate heavy drinking days in subjects with alcohol dependence in collaboration with researchers at UCLA and this trial is ongoing. In February 2022, we announced that MN-166 (ibudilast) was discussed as one of the promising pharmacological agents for the treatment of alcohol use disorder in the journal </w:t>
      </w:r>
      <w:r>
        <w:rPr>
          <w:rFonts w:ascii="Arial" w:cs="Arial" w:eastAsia="Arial" w:hAnsi="Arial"/>
          <w:sz w:val="17"/>
          <w:szCs w:val="17"/>
          <w:i w:val="1"/>
          <w:iCs w:val="1"/>
          <w:color w:val="auto"/>
        </w:rPr>
        <w:t>Drugs</w:t>
      </w:r>
      <w:r>
        <w:rPr>
          <w:rFonts w:ascii="Arial" w:cs="Arial" w:eastAsia="Arial" w:hAnsi="Arial"/>
          <w:sz w:val="17"/>
          <w:szCs w:val="17"/>
          <w:color w:val="auto"/>
        </w:rPr>
        <w:t xml:space="preserve">. In April 2022, we announced that a secondary analysis of a Phase 2 clinical trial of MN-166 (ibudilast) in alcohol use disorder was published in the journal </w:t>
      </w:r>
      <w:r>
        <w:rPr>
          <w:rFonts w:ascii="Arial" w:cs="Arial" w:eastAsia="Arial" w:hAnsi="Arial"/>
          <w:sz w:val="17"/>
          <w:szCs w:val="17"/>
          <w:i w:val="1"/>
          <w:iCs w:val="1"/>
          <w:color w:val="auto"/>
        </w:rPr>
        <w:t>Alcoholism: Clinical and Experimental Research</w:t>
      </w:r>
      <w:r>
        <w:rPr>
          <w:rFonts w:ascii="Arial" w:cs="Arial" w:eastAsia="Arial" w:hAnsi="Arial"/>
          <w:sz w:val="17"/>
          <w:szCs w:val="17"/>
          <w:color w:val="auto"/>
        </w:rPr>
        <w:t xml:space="preserve">. In December 2022, we announced that positive results from a secondary analysis of a Phase 2 trial of MN-166 (ibudilast) in alcohol use disorder were published in </w:t>
      </w:r>
      <w:r>
        <w:rPr>
          <w:rFonts w:ascii="Arial" w:cs="Arial" w:eastAsia="Arial" w:hAnsi="Arial"/>
          <w:sz w:val="17"/>
          <w:szCs w:val="17"/>
          <w:i w:val="1"/>
          <w:iCs w:val="1"/>
          <w:color w:val="auto"/>
        </w:rPr>
        <w:t>The American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Drug and Alcohol Abuse</w:t>
      </w:r>
      <w:r>
        <w:rPr>
          <w:rFonts w:ascii="Arial" w:cs="Arial" w:eastAsia="Arial" w:hAnsi="Arial"/>
          <w:sz w:val="17"/>
          <w:szCs w:val="17"/>
          <w:color w:val="auto"/>
        </w:rPr>
        <w:t>. In January 2023, we announced that the Phase 2b clinical trial of MN-166 (ibudilast) for the treatment of alcohol use disorder</w:t>
      </w:r>
      <w:r>
        <w:rPr>
          <w:rFonts w:ascii="Arial" w:cs="Arial" w:eastAsia="Arial" w:hAnsi="Arial"/>
          <w:sz w:val="17"/>
          <w:szCs w:val="17"/>
          <w:i w:val="1"/>
          <w:iCs w:val="1"/>
          <w:color w:val="auto"/>
        </w:rPr>
        <w:t xml:space="preserve"> </w:t>
      </w:r>
      <w:r>
        <w:rPr>
          <w:rFonts w:ascii="Arial" w:cs="Arial" w:eastAsia="Arial" w:hAnsi="Arial"/>
          <w:sz w:val="17"/>
          <w:szCs w:val="17"/>
          <w:color w:val="auto"/>
        </w:rPr>
        <w:t>had completed enrollment.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right="640" w:firstLine="572"/>
        <w:spacing w:after="0" w:line="255" w:lineRule="auto"/>
        <w:rPr>
          <w:sz w:val="20"/>
          <w:szCs w:val="20"/>
          <w:color w:val="auto"/>
        </w:rPr>
      </w:pPr>
      <w:r>
        <w:rPr>
          <w:rFonts w:ascii="Arial" w:cs="Arial" w:eastAsia="Arial" w:hAnsi="Arial"/>
          <w:sz w:val="18"/>
          <w:szCs w:val="18"/>
          <w:i w:val="1"/>
          <w:iCs w:val="1"/>
          <w:color w:val="auto"/>
        </w:rPr>
        <w:t xml:space="preserve">Chemotherapy-Induced Peripheral Neuropathy: </w:t>
      </w:r>
      <w:r>
        <w:rPr>
          <w:rFonts w:ascii="Arial" w:cs="Arial" w:eastAsia="Arial" w:hAnsi="Arial"/>
          <w:sz w:val="18"/>
          <w:szCs w:val="18"/>
          <w:color w:val="auto"/>
        </w:rPr>
        <w:t>In March 2018, we announced plans to initiate a clinical trial to evaluate MN-166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(ibudilast) as a treatment for prevention of chemotherapy-induced peripheral neuropathy (CIPN) which was funded by the University of Sydney Concord Cancer Centre in Australia. In September 2020, we announced that positive clinical findings from this clinical trial were published in </w:t>
      </w:r>
      <w:r>
        <w:rPr>
          <w:rFonts w:ascii="Arial" w:cs="Arial" w:eastAsia="Arial" w:hAnsi="Arial"/>
          <w:sz w:val="18"/>
          <w:szCs w:val="18"/>
          <w:i w:val="1"/>
          <w:iCs w:val="1"/>
          <w:color w:val="auto"/>
        </w:rPr>
        <w:t>Cancer Chemotherapy and Pharmacology</w:t>
      </w:r>
      <w:r>
        <w:rPr>
          <w:rFonts w:ascii="Arial" w:cs="Arial" w:eastAsia="Arial" w:hAnsi="Arial"/>
          <w:sz w:val="18"/>
          <w:szCs w:val="18"/>
          <w:color w:val="auto"/>
        </w:rPr>
        <w:t>. In October 2020, we announced plans to initiate a multi-center, placebo-controlled, randomized Phase</w:t>
      </w:r>
      <w:r>
        <w:rPr>
          <w:rFonts w:ascii="Arial" w:cs="Arial" w:eastAsia="Arial" w:hAnsi="Arial"/>
          <w:sz w:val="18"/>
          <w:szCs w:val="18"/>
          <w:i w:val="1"/>
          <w:iCs w:val="1"/>
          <w:color w:val="auto"/>
        </w:rPr>
        <w:t xml:space="preserve"> </w:t>
      </w:r>
      <w:r>
        <w:rPr>
          <w:rFonts w:ascii="Arial" w:cs="Arial" w:eastAsia="Arial" w:hAnsi="Arial"/>
          <w:sz w:val="18"/>
          <w:szCs w:val="18"/>
          <w:color w:val="auto"/>
        </w:rPr>
        <w:t>2b trial to evaluate MN-166 (ibudilast) in CIPN, which is funded by the Australasian Gastro-Intestinal Trials Group (AGITG), and this trial is ongoing.</w:t>
      </w:r>
    </w:p>
    <w:p>
      <w:pPr>
        <w:spacing w:after="0" w:line="165" w:lineRule="exact"/>
        <w:rPr>
          <w:sz w:val="20"/>
          <w:szCs w:val="20"/>
          <w:color w:val="auto"/>
        </w:rPr>
      </w:pPr>
    </w:p>
    <w:p>
      <w:pPr>
        <w:ind w:right="120" w:firstLine="572"/>
        <w:spacing w:after="0" w:line="255" w:lineRule="auto"/>
        <w:rPr>
          <w:sz w:val="20"/>
          <w:szCs w:val="20"/>
          <w:color w:val="auto"/>
        </w:rPr>
      </w:pPr>
      <w:r>
        <w:rPr>
          <w:rFonts w:ascii="Arial" w:cs="Arial" w:eastAsia="Arial" w:hAnsi="Arial"/>
          <w:sz w:val="18"/>
          <w:szCs w:val="18"/>
          <w:i w:val="1"/>
          <w:iCs w:val="1"/>
          <w:color w:val="auto"/>
        </w:rPr>
        <w:t xml:space="preserve">Degenerative Cervical Myelopathy: </w:t>
      </w:r>
      <w:r>
        <w:rPr>
          <w:rFonts w:ascii="Arial" w:cs="Arial" w:eastAsia="Arial" w:hAnsi="Arial"/>
          <w:sz w:val="18"/>
          <w:szCs w:val="18"/>
          <w:color w:val="auto"/>
        </w:rPr>
        <w:t>In August 2018, we announced plans to initiate a clinical trial of MN-166 (ibudilast) in degenerative cervical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myelopathy (DCM) in collaboration with the University of Cambridge. The trial is funded by a grant from the National Institute for Health Research (NIHR) in the United Kingdom (UK). In May 2019, we announced our participation at the Kick-off Meeting for the Phase 3 clinical trial in DCM, “REgeneration in CErvical DEgenerative Myelopathy (RECEDE Myelopathy)” in collaboration with University of Cambridge researchers. In February 2022, we announced that MN-166 (ibudilast) was discussed as a potential beneficial pharmacological agent for the treatment of DCM in </w:t>
      </w:r>
      <w:r>
        <w:rPr>
          <w:rFonts w:ascii="Arial" w:cs="Arial" w:eastAsia="Arial" w:hAnsi="Arial"/>
          <w:sz w:val="18"/>
          <w:szCs w:val="18"/>
          <w:i w:val="1"/>
          <w:iCs w:val="1"/>
          <w:color w:val="auto"/>
        </w:rPr>
        <w:t>Global Spine</w:t>
      </w:r>
      <w:r>
        <w:rPr>
          <w:rFonts w:ascii="Arial" w:cs="Arial" w:eastAsia="Arial" w:hAnsi="Arial"/>
          <w:sz w:val="18"/>
          <w:szCs w:val="18"/>
          <w:color w:val="auto"/>
        </w:rPr>
        <w:t xml:space="preserve"> </w:t>
      </w:r>
      <w:r>
        <w:rPr>
          <w:rFonts w:ascii="Arial" w:cs="Arial" w:eastAsia="Arial" w:hAnsi="Arial"/>
          <w:sz w:val="18"/>
          <w:szCs w:val="18"/>
          <w:i w:val="1"/>
          <w:iCs w:val="1"/>
          <w:color w:val="auto"/>
        </w:rPr>
        <w:t>Journal</w:t>
      </w:r>
      <w:r>
        <w:rPr>
          <w:rFonts w:ascii="Arial" w:cs="Arial" w:eastAsia="Arial" w:hAnsi="Arial"/>
          <w:sz w:val="18"/>
          <w:szCs w:val="18"/>
          <w:color w:val="auto"/>
        </w:rPr>
        <w:t>.</w:t>
      </w:r>
    </w:p>
    <w:p>
      <w:pPr>
        <w:spacing w:after="0" w:line="152" w:lineRule="exact"/>
        <w:rPr>
          <w:sz w:val="20"/>
          <w:szCs w:val="20"/>
          <w:color w:val="auto"/>
        </w:rPr>
      </w:pPr>
    </w:p>
    <w:p>
      <w:pPr>
        <w:ind w:firstLine="572"/>
        <w:spacing w:after="0" w:line="286" w:lineRule="auto"/>
        <w:rPr>
          <w:sz w:val="20"/>
          <w:szCs w:val="20"/>
          <w:color w:val="auto"/>
        </w:rPr>
      </w:pPr>
      <w:r>
        <w:rPr>
          <w:rFonts w:ascii="Arial" w:cs="Arial" w:eastAsia="Arial" w:hAnsi="Arial"/>
          <w:sz w:val="16"/>
          <w:szCs w:val="16"/>
          <w:i w:val="1"/>
          <w:iCs w:val="1"/>
          <w:color w:val="auto"/>
        </w:rPr>
        <w:t xml:space="preserve">Glioblastoma: </w:t>
      </w:r>
      <w:r>
        <w:rPr>
          <w:rFonts w:ascii="Arial" w:cs="Arial" w:eastAsia="Arial" w:hAnsi="Arial"/>
          <w:sz w:val="16"/>
          <w:szCs w:val="16"/>
          <w:color w:val="auto"/>
        </w:rPr>
        <w:t>We have initiated clinical development to evaluate MN-166 (ibudilast) for the treatment of glioblastoma. In June 2017,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announced positive results from an animal model study that examined the potential clinical efficacy of MN-166 (ibudilast) for the treatment of glioblastoma. These results were presented at the 2017 American Society of Clinical Oncology (ASCO) Annual Meeting. In May 2018, we announced that the Investigational New Drug Application (IND) for MN-166 (ibudilast) for treatment of glioblastoma was accepted and opened with the FDA.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for the treatment of glioblastoma at the Dana-Farber Cancer Institute in Boston and this trial is ongoing. In February 2019, we announced that </w:t>
      </w:r>
      <w:r>
        <w:rPr>
          <w:rFonts w:ascii="Arial" w:cs="Arial" w:eastAsia="Arial" w:hAnsi="Arial"/>
          <w:sz w:val="16"/>
          <w:szCs w:val="16"/>
          <w:i w:val="1"/>
          <w:iCs w:val="1"/>
          <w:color w:val="auto"/>
        </w:rPr>
        <w:t>Scientific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Reports </w:t>
      </w:r>
      <w:r>
        <w:rPr>
          <w:rFonts w:ascii="Arial" w:cs="Arial" w:eastAsia="Arial" w:hAnsi="Arial"/>
          <w:sz w:val="16"/>
          <w:szCs w:val="16"/>
          <w:color w:val="auto"/>
        </w:rPr>
        <w:t>published results from the animal model study evaluating MN-166 (ibudilast) in glioblastoma. In June 2020, we announced that positive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preclinical findings were published in </w:t>
      </w:r>
      <w:r>
        <w:rPr>
          <w:rFonts w:ascii="Arial" w:cs="Arial" w:eastAsia="Arial" w:hAnsi="Arial"/>
          <w:sz w:val="16"/>
          <w:szCs w:val="16"/>
          <w:i w:val="1"/>
          <w:iCs w:val="1"/>
          <w:color w:val="auto"/>
        </w:rPr>
        <w:t>Frontiers in Immunology</w:t>
      </w:r>
      <w:r>
        <w:rPr>
          <w:rFonts w:ascii="Arial" w:cs="Arial" w:eastAsia="Arial" w:hAnsi="Arial"/>
          <w:sz w:val="16"/>
          <w:szCs w:val="16"/>
          <w:color w:val="auto"/>
        </w:rPr>
        <w:t xml:space="preserve"> regarding the prospect of MN-166 (ibudilast) as an adjunctive treatment for glioblastoma. In August 2021, we announced 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the subjects were progression-free at six months. In April 2022, we announced that data demonstrating that MN-166 (ibudilast) prevents metastasis in a uveal melanoma (UM) animal model was published in the journal </w:t>
      </w:r>
      <w:r>
        <w:rPr>
          <w:rFonts w:ascii="Arial" w:cs="Arial" w:eastAsia="Arial" w:hAnsi="Arial"/>
          <w:sz w:val="16"/>
          <w:szCs w:val="16"/>
          <w:i w:val="1"/>
          <w:iCs w:val="1"/>
          <w:color w:val="auto"/>
        </w:rPr>
        <w:t>Molecular Cancer Research</w:t>
      </w:r>
      <w:r>
        <w:rPr>
          <w:rFonts w:ascii="Arial" w:cs="Arial" w:eastAsia="Arial" w:hAnsi="Arial"/>
          <w:sz w:val="16"/>
          <w:szCs w:val="16"/>
          <w:color w:val="auto"/>
        </w:rPr>
        <w:t>. In January 2023, we announced that the Phase 2 clinical trial evaluating MN-166 (ibudilast) in combination with temozolomide in glioblastoma at the Dana-Farber Cancer Institute has completed enrollment.</w:t>
      </w:r>
    </w:p>
    <w:p>
      <w:pPr>
        <w:spacing w:after="0" w:line="127" w:lineRule="exact"/>
        <w:rPr>
          <w:sz w:val="20"/>
          <w:szCs w:val="20"/>
          <w:color w:val="auto"/>
        </w:rPr>
      </w:pPr>
    </w:p>
    <w:p>
      <w:pPr>
        <w:ind w:right="40" w:firstLine="683"/>
        <w:spacing w:after="0" w:line="289" w:lineRule="auto"/>
        <w:rPr>
          <w:sz w:val="20"/>
          <w:szCs w:val="20"/>
          <w:color w:val="auto"/>
        </w:rPr>
      </w:pPr>
      <w:r>
        <w:rPr>
          <w:rFonts w:ascii="Arial" w:cs="Arial" w:eastAsia="Arial" w:hAnsi="Arial"/>
          <w:sz w:val="16"/>
          <w:szCs w:val="16"/>
          <w:i w:val="1"/>
          <w:iCs w:val="1"/>
          <w:color w:val="auto"/>
        </w:rPr>
        <w:t xml:space="preserve">Prevention of Acute Respiratory Distress Syndrome in patients with COVID-19: </w:t>
      </w:r>
      <w:r>
        <w:rPr>
          <w:rFonts w:ascii="Arial" w:cs="Arial" w:eastAsia="Arial" w:hAnsi="Arial"/>
          <w:sz w:val="16"/>
          <w:szCs w:val="16"/>
          <w:color w:val="auto"/>
        </w:rPr>
        <w:t>In March 2020, we announced plans to initiate development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MN-166 (ibudilast) for severe pneumonia and acute respiratory distress syndrome (ARDS) based on positive results of a preclinical study in an animal model of ARDS.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 In August 2021, we announced completion of 75% of planned enrollment in this Phase 2 clinical trial. In April 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The trial also</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10" w:name="page11"/>
    <w:bookmarkEnd w:id="10"/>
    <w:p>
      <w:pPr>
        <w:ind w:right="180"/>
        <w:spacing w:after="0" w:line="259" w:lineRule="auto"/>
        <w:rPr>
          <w:sz w:val="20"/>
          <w:szCs w:val="20"/>
          <w:color w:val="auto"/>
        </w:rPr>
      </w:pPr>
      <w:r>
        <w:rPr>
          <w:rFonts w:ascii="Arial" w:cs="Arial" w:eastAsia="Arial" w:hAnsi="Arial"/>
          <w:sz w:val="18"/>
          <w:szCs w:val="18"/>
          <w:color w:val="auto"/>
        </w:rPr>
        <w:t>achieved statistical significance for the proportion of subjects discharged from the hospital. There were two deaths in the placebo group and no deaths in the MN-166 (ibudilast) group. In July 2022, we announced the initiation of a first-in-human clinical study to evaluate a new parenteral (injectable) formulation of MN-166 (ibudilast). In January 2023, we announced that this Phase I clinical trial of MN-166 (ibudilast) 10 mg intravenous (IV) infusion in healthy volunteers was completed with a favorable safety profile and was well tolerated.</w:t>
      </w:r>
    </w:p>
    <w:p>
      <w:pPr>
        <w:spacing w:after="0" w:line="160" w:lineRule="exact"/>
        <w:rPr>
          <w:sz w:val="20"/>
          <w:szCs w:val="20"/>
          <w:color w:val="auto"/>
        </w:rPr>
      </w:pPr>
    </w:p>
    <w:p>
      <w:pPr>
        <w:ind w:right="20" w:firstLine="683"/>
        <w:spacing w:after="0" w:line="290" w:lineRule="auto"/>
        <w:rPr>
          <w:sz w:val="20"/>
          <w:szCs w:val="20"/>
          <w:color w:val="auto"/>
        </w:rPr>
      </w:pPr>
      <w:r>
        <w:rPr>
          <w:rFonts w:ascii="Arial" w:cs="Arial" w:eastAsia="Arial" w:hAnsi="Arial"/>
          <w:sz w:val="16"/>
          <w:szCs w:val="16"/>
          <w:i w:val="1"/>
          <w:iCs w:val="1"/>
          <w:color w:val="auto"/>
        </w:rPr>
        <w:t xml:space="preserve">Chlorine Gas-Induced Lung Injury: </w:t>
      </w:r>
      <w:r>
        <w:rPr>
          <w:rFonts w:ascii="Arial" w:cs="Arial" w:eastAsia="Arial" w:hAnsi="Arial"/>
          <w:sz w:val="16"/>
          <w:szCs w:val="16"/>
          <w:color w:val="auto"/>
        </w:rPr>
        <w:t>In March 2021, we announced a partnership with the Biomedical Advanced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(BARDA), part of the Office of the Assistant Secretary for Preparedness and Response at the U.S. Department of Health and Human Services, to develop MN-166 (ibudilast) as a potential medical countermeasure (MCM) against chlorine gas-induced lung damage such as acute respiratory distress syndrome (ARDS) and acute lung injury (ALI). BARDA agreed to provide federal funding for proof-of-concept studies of MN-166 (ibudilast) in preclinical models of chlorine gas-induced acute lung injury under Contract No. 75A50121C00022. In June 2021, we announced initiation of a sheep study to investigate MN-166 (ibudilast) in an ovine model of chlorine-induced acute lung injury and this study is ongoing. In June 2021, we also announced a mouse study to investigate the efficacy of MN-166 (ibudilast) in a murine model of chlorine-induced lung injury and lethality. In June 2022, we announced a modification to our contract with BARDA in which the contract was amended to extend the period of performance until March 2023.</w:t>
      </w:r>
    </w:p>
    <w:p>
      <w:pPr>
        <w:spacing w:after="0" w:line="125" w:lineRule="exact"/>
        <w:rPr>
          <w:sz w:val="20"/>
          <w:szCs w:val="20"/>
          <w:color w:val="auto"/>
        </w:rPr>
      </w:pPr>
    </w:p>
    <w:p>
      <w:pPr>
        <w:ind w:right="120" w:firstLine="539"/>
        <w:spacing w:after="0" w:line="259" w:lineRule="auto"/>
        <w:rPr>
          <w:sz w:val="20"/>
          <w:szCs w:val="20"/>
          <w:color w:val="auto"/>
        </w:rPr>
      </w:pPr>
      <w:r>
        <w:rPr>
          <w:rFonts w:ascii="Arial" w:cs="Arial" w:eastAsia="Arial" w:hAnsi="Arial"/>
          <w:sz w:val="18"/>
          <w:szCs w:val="18"/>
          <w:i w:val="1"/>
          <w:iCs w:val="1"/>
          <w:color w:val="auto"/>
        </w:rPr>
        <w:t xml:space="preserve">Long COVID: </w:t>
      </w:r>
      <w:r>
        <w:rPr>
          <w:rFonts w:ascii="Arial" w:cs="Arial" w:eastAsia="Arial" w:hAnsi="Arial"/>
          <w:sz w:val="18"/>
          <w:szCs w:val="18"/>
          <w:color w:val="auto"/>
        </w:rPr>
        <w:t>In August 2022, we announced plans to participate in RECLAIM (Recovering from COVID-19 Lingering Symptoms Adaptive</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Integrative Medicine Trial), a grant-funded, multi-center, randomized,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MN-001 (tipelukast) is in development for fibrotic and other diseases as described below.</w:t>
      </w:r>
    </w:p>
    <w:p>
      <w:pPr>
        <w:spacing w:after="0" w:line="198" w:lineRule="exact"/>
        <w:rPr>
          <w:sz w:val="20"/>
          <w:szCs w:val="20"/>
          <w:color w:val="auto"/>
        </w:rPr>
      </w:pPr>
    </w:p>
    <w:p>
      <w:pPr>
        <w:ind w:left="20" w:firstLine="544"/>
        <w:spacing w:after="0" w:line="268" w:lineRule="auto"/>
        <w:rPr>
          <w:sz w:val="20"/>
          <w:szCs w:val="20"/>
          <w:color w:val="auto"/>
        </w:rPr>
      </w:pPr>
      <w:r>
        <w:rPr>
          <w:rFonts w:ascii="Arial" w:cs="Arial" w:eastAsia="Arial" w:hAnsi="Arial"/>
          <w:sz w:val="17"/>
          <w:szCs w:val="17"/>
          <w:i w:val="1"/>
          <w:iCs w:val="1"/>
          <w:color w:val="auto"/>
        </w:rPr>
        <w:t xml:space="preserve">Nonalcoholic Steatohepatitis (NASH) and Nonalcoholic Fatty Liver Disease (NAFLD): </w:t>
      </w:r>
      <w:r>
        <w:rPr>
          <w:rFonts w:ascii="Arial" w:cs="Arial" w:eastAsia="Arial" w:hAnsi="Arial"/>
          <w:sz w:val="17"/>
          <w:szCs w:val="17"/>
          <w:color w:val="auto"/>
        </w:rPr>
        <w:t>We announced positive results of MN-001 (tipelukast) in</w:t>
      </w:r>
      <w:r>
        <w:rPr>
          <w:rFonts w:ascii="Arial" w:cs="Arial" w:eastAsia="Arial" w:hAnsi="Arial"/>
          <w:sz w:val="17"/>
          <w:szCs w:val="17"/>
          <w:i w:val="1"/>
          <w:iCs w:val="1"/>
          <w:color w:val="auto"/>
        </w:rPr>
        <w:t xml:space="preserve"> </w:t>
      </w:r>
      <w:r>
        <w:rPr>
          <w:rFonts w:ascii="Arial" w:cs="Arial" w:eastAsia="Arial" w:hAnsi="Arial"/>
          <w:sz w:val="17"/>
          <w:szCs w:val="17"/>
          <w:color w:val="auto"/>
        </w:rPr>
        <w:t>two different NASH mouse models in 2014 and we opened the IND (Investigational New Drug) application for MN-001 (tipelukast) for the treatment of NASH with the FDA in 2015. The FDA subsequently granted Fast Track designation to MN-001 (tipelukast) for the treatment of patients with NASH with fibrosis. We then initiated a clinical trial to investigate MN-001 (tipelukast) for the treatment of hypertriglyceridemia in NASH and NAFLD patients. In April 2018, we announced that we would terminate this trial early after positive results from an interim analysis in which MN-001 (tipelukast) significantly reduced mean serum triglycerides, a primary endpoint. This data was presented at the International Liver Congress 2018, the 53rd annual meeting of the European Association for the Study of the Liver (EASL) in Paris, France in April 2018. 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 In November 2021, we announced new findings from a study that investigated the mechanism by which MN-001 (tipelukast) alters triglyceride metabolism in hepatocytes at the Annual Meeting of the American Association for the Study of Liver Diseases (AASLD). In April 2022, we announced that the FDA completed its review of a proposed Phase 2 clinical trial to evaluate MN-001 (tipelukast) for the treatment of patients with NAFLD, type 2 diabetes mellitus, and hypertriglyceridemia and the study may proceed. In July 2022, we announced the initiation of a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w:t>
      </w:r>
    </w:p>
    <w:p>
      <w:pPr>
        <w:spacing w:after="0" w:line="180" w:lineRule="exact"/>
        <w:rPr>
          <w:sz w:val="20"/>
          <w:szCs w:val="20"/>
          <w:color w:val="auto"/>
        </w:rPr>
      </w:pPr>
    </w:p>
    <w:p>
      <w:pPr>
        <w:ind w:left="40" w:right="720" w:firstLine="650"/>
        <w:spacing w:after="0" w:line="263" w:lineRule="auto"/>
        <w:rPr>
          <w:sz w:val="20"/>
          <w:szCs w:val="20"/>
          <w:color w:val="auto"/>
        </w:rPr>
      </w:pPr>
      <w:r>
        <w:rPr>
          <w:rFonts w:ascii="Arial" w:cs="Arial" w:eastAsia="Arial" w:hAnsi="Arial"/>
          <w:sz w:val="18"/>
          <w:szCs w:val="18"/>
          <w:i w:val="1"/>
          <w:iCs w:val="1"/>
          <w:color w:val="auto"/>
        </w:rPr>
        <w:t xml:space="preserve">Idiopathic Pulmonary Fibrosis (IPF): </w:t>
      </w:r>
      <w:r>
        <w:rPr>
          <w:rFonts w:ascii="Arial" w:cs="Arial" w:eastAsia="Arial" w:hAnsi="Arial"/>
          <w:sz w:val="18"/>
          <w:szCs w:val="18"/>
          <w:color w:val="auto"/>
        </w:rPr>
        <w:t>In 2014, we announced positive results of MN-001 (tipelukast) in a mouse model of pulmonary</w:t>
      </w:r>
      <w:r>
        <w:rPr>
          <w:rFonts w:ascii="Arial" w:cs="Arial" w:eastAsia="Arial" w:hAnsi="Arial"/>
          <w:sz w:val="18"/>
          <w:szCs w:val="18"/>
          <w:i w:val="1"/>
          <w:iCs w:val="1"/>
          <w:color w:val="auto"/>
        </w:rPr>
        <w:t xml:space="preserve"> </w:t>
      </w:r>
      <w:r>
        <w:rPr>
          <w:rFonts w:ascii="Arial" w:cs="Arial" w:eastAsia="Arial" w:hAnsi="Arial"/>
          <w:sz w:val="18"/>
          <w:szCs w:val="18"/>
          <w:color w:val="auto"/>
        </w:rPr>
        <w:t>fibrosis. The FDA subsequently granted Orphan-Drug designation to MN-001 (tipelukast) for treatment of IPF which will provide seven years of marketing exclusivity if MN-001 (tipelukast)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1" w:name="page12"/>
    <w:bookmarkEnd w:id="11"/>
    <w:p>
      <w:pPr>
        <w:ind w:left="40" w:right="260"/>
        <w:spacing w:after="0" w:line="273" w:lineRule="auto"/>
        <w:rPr>
          <w:sz w:val="20"/>
          <w:szCs w:val="20"/>
          <w:color w:val="auto"/>
        </w:rPr>
      </w:pPr>
      <w:r>
        <w:rPr>
          <w:rFonts w:ascii="Arial" w:cs="Arial" w:eastAsia="Arial" w:hAnsi="Arial"/>
          <w:sz w:val="17"/>
          <w:szCs w:val="17"/>
          <w:color w:val="auto"/>
        </w:rPr>
        <w:t>is approved for IPF. The FDA granted Fast Track designation to MN-001 (tipelukast) for the treatment of patients with IPF in September 2015. We then initiated a Phase 2 clinical trial of MN-001 (tipelukast) to treat IPF and we announced results of this trial in August 2021. Although there were no clinically meaningful trends in favor of MN-001 (tipelukast) for the majority of the clinical outcome measures in this small study, there were no worsening IPF events (acute IPF exacerbation or hospitalization due to respiratory symptoms) in the MN-001 (tipelukast) group compared to one worsening IPF event in the placebo group. MN-001 (tipelukast) demonstrated a substantial reduction in LOXL2, a biomarker for IPF, whereas LOXL2 increased in the placebo group. MN-001 (tipelukast) was safe and well tolerated.</w:t>
      </w:r>
    </w:p>
    <w:p>
      <w:pPr>
        <w:spacing w:after="0" w:line="178" w:lineRule="exact"/>
        <w:rPr>
          <w:sz w:val="20"/>
          <w:szCs w:val="20"/>
          <w:color w:val="auto"/>
        </w:rPr>
      </w:pPr>
    </w:p>
    <w:p>
      <w:pPr>
        <w:ind w:firstLine="572"/>
        <w:spacing w:after="0" w:line="255" w:lineRule="auto"/>
        <w:rPr>
          <w:sz w:val="20"/>
          <w:szCs w:val="20"/>
          <w:color w:val="auto"/>
        </w:rPr>
      </w:pPr>
      <w:r>
        <w:rPr>
          <w:rFonts w:ascii="Arial" w:cs="Arial" w:eastAsia="Arial" w:hAnsi="Arial"/>
          <w:sz w:val="18"/>
          <w:szCs w:val="18"/>
          <w:color w:val="auto"/>
        </w:rPr>
        <w:t>We completed a Phase 2 clinical trial of MN-221 (bedoradrine) for the treatment of acute exacerbations of asthma treated in the emergency room and conducted an End-of-Phase 2 meeting with the FDA in October 2012. In that meeting, the FDA identified the risk/benefit profile of MN-221 (bedoradrine) as a focal point for further development and advised that a clinical outcome, such as a reduction in hospitalizations, would need to be a primary endpoint in a pivotal trial. We believe the appropriate clinical development for MN-221 (bedoradrine) would involve conducting dose regimen and acute exacerbations of asthma trial design optimization studies prior to commencing pivotal trials. We are working to identify a partner for financial support before further clinical development is commenced.</w:t>
      </w:r>
    </w:p>
    <w:p>
      <w:pPr>
        <w:spacing w:after="0" w:line="192" w:lineRule="exact"/>
        <w:rPr>
          <w:sz w:val="20"/>
          <w:szCs w:val="20"/>
          <w:color w:val="auto"/>
        </w:rPr>
      </w:pPr>
    </w:p>
    <w:p>
      <w:pPr>
        <w:ind w:right="200" w:firstLine="572"/>
        <w:spacing w:after="0" w:line="279" w:lineRule="auto"/>
        <w:rPr>
          <w:sz w:val="20"/>
          <w:szCs w:val="20"/>
          <w:color w:val="auto"/>
        </w:rPr>
      </w:pPr>
      <w:r>
        <w:rPr>
          <w:rFonts w:ascii="Arial" w:cs="Arial" w:eastAsia="Arial" w:hAnsi="Arial"/>
          <w:sz w:val="17"/>
          <w:szCs w:val="17"/>
          <w:color w:val="auto"/>
        </w:rPr>
        <w:t>We acquired licenses to MN-166 (ibudilast), MN-001 (tipelukast), MN-221 (bedoradrine), and MN-029 (denibulin) for the development of these product candidates. The MN-221 (bedoradrine) license agreement was terminated in October 2022. We have pursued development of these product candidates in various indications including COVID-19, progressive MS, ALS, chemotherapy-induced peripheral neuropathy, degenerative cervical myelopathy, glioblastoma, various addictions, NASH and NAFLD, IPF, acute exacerbations of asthma, and solid tumor cancers.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00" w:firstLine="560"/>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84" w:lineRule="exact"/>
        <w:rPr>
          <w:sz w:val="20"/>
          <w:szCs w:val="20"/>
          <w:color w:val="auto"/>
        </w:rPr>
      </w:pPr>
    </w:p>
    <w:p>
      <w:pPr>
        <w:ind w:left="1300" w:hanging="35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211" w:lineRule="exact"/>
        <w:rPr>
          <w:sz w:val="20"/>
          <w:szCs w:val="20"/>
          <w:color w:val="auto"/>
        </w:rPr>
      </w:pPr>
    </w:p>
    <w:p>
      <w:pPr>
        <w:ind w:left="1320" w:hanging="37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184" w:lineRule="exact"/>
        <w:rPr>
          <w:sz w:val="20"/>
          <w:szCs w:val="20"/>
          <w:color w:val="auto"/>
        </w:rPr>
      </w:pPr>
    </w:p>
    <w:p>
      <w:pPr>
        <w:ind w:left="1300" w:right="1000" w:hanging="358"/>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Our Product Candidates and Programs</w:t>
      </w:r>
    </w:p>
    <w:p>
      <w:pPr>
        <w:spacing w:after="0" w:line="121" w:lineRule="exact"/>
        <w:rPr>
          <w:sz w:val="20"/>
          <w:szCs w:val="20"/>
          <w:color w:val="auto"/>
        </w:rPr>
      </w:pPr>
    </w:p>
    <w:p>
      <w:pPr>
        <w:ind w:right="20" w:firstLine="560"/>
        <w:spacing w:after="0" w:line="263"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43" w:lineRule="exact"/>
        <w:rPr>
          <w:sz w:val="20"/>
          <w:szCs w:val="20"/>
          <w:color w:val="auto"/>
        </w:rPr>
      </w:pPr>
    </w:p>
    <w:p>
      <w:pPr>
        <w:ind w:right="360" w:firstLine="560"/>
        <w:spacing w:after="0" w:line="311" w:lineRule="auto"/>
        <w:rPr>
          <w:sz w:val="20"/>
          <w:szCs w:val="20"/>
          <w:color w:val="auto"/>
        </w:rPr>
      </w:pPr>
      <w:r>
        <w:rPr>
          <w:rFonts w:ascii="Arial" w:cs="Arial" w:eastAsia="Arial" w:hAnsi="Arial"/>
          <w:sz w:val="16"/>
          <w:szCs w:val="16"/>
          <w:color w:val="auto"/>
        </w:rPr>
        <w:t>Our product acquisitions have focused primarily on product candidates with significant preclinical and early clinical testing data that have been developed by the licensors outside of the United States. We utilize the existing data in preparing IND Applications or their foreign equivalents, and in designing and implementing additional preclinical or clinical trials to advance the development programs in the United States or abroad.</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are the details of our product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17" w:lineRule="exact"/>
        <w:rPr>
          <w:sz w:val="20"/>
          <w:szCs w:val="20"/>
          <w:color w:val="auto"/>
        </w:rPr>
      </w:pPr>
    </w:p>
    <w:p>
      <w:pPr>
        <w:ind w:right="20" w:firstLine="572"/>
        <w:spacing w:after="0" w:line="255" w:lineRule="auto"/>
        <w:rPr>
          <w:sz w:val="20"/>
          <w:szCs w:val="20"/>
          <w:color w:val="auto"/>
        </w:rPr>
      </w:pPr>
      <w:r>
        <w:rPr>
          <w:rFonts w:ascii="Arial" w:cs="Arial" w:eastAsia="Arial" w:hAnsi="Arial"/>
          <w:sz w:val="18"/>
          <w:szCs w:val="18"/>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20 years in Japan and Korea for the treatment of asthma and post-stroke dizziness, we are developing MN-166 (ibudilast) for the treatment of progressive MS, ALS, chemotherapy-induced peripheral neuropathy, degenerative cervical myelopathy, glioblastoma, substance dependence, and prevention of acute respiratory distress syndrome. We licensed MN-166 (ibudilast) from Kyorin Pharmaceuticals (Kyorin) in 2004.</w:t>
      </w:r>
    </w:p>
    <w:p>
      <w:pPr>
        <w:spacing w:after="0" w:line="152" w:lineRule="exact"/>
        <w:rPr>
          <w:sz w:val="20"/>
          <w:szCs w:val="20"/>
          <w:color w:val="auto"/>
        </w:rPr>
      </w:pPr>
    </w:p>
    <w:p>
      <w:pPr>
        <w:ind w:right="140" w:firstLine="572"/>
        <w:spacing w:after="0" w:line="255" w:lineRule="auto"/>
        <w:rPr>
          <w:sz w:val="20"/>
          <w:szCs w:val="20"/>
          <w:color w:val="auto"/>
        </w:rPr>
      </w:pPr>
      <w:r>
        <w:rPr>
          <w:rFonts w:ascii="Arial" w:cs="Arial" w:eastAsia="Arial" w:hAnsi="Arial"/>
          <w:sz w:val="18"/>
          <w:szCs w:val="18"/>
          <w:color w:val="auto"/>
        </w:rPr>
        <w:t>The FDA has granted Fast Track designations to MN-166 (ibudilast) for three separate indications: the treatment of progressive MS, the treatment of ALS, and the treatment of methamphetamine dependence.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52" w:lineRule="exact"/>
        <w:rPr>
          <w:sz w:val="20"/>
          <w:szCs w:val="20"/>
          <w:color w:val="auto"/>
        </w:rPr>
      </w:pPr>
    </w:p>
    <w:p>
      <w:pPr>
        <w:ind w:right="40" w:firstLine="572"/>
        <w:spacing w:after="0" w:line="279" w:lineRule="auto"/>
        <w:rPr>
          <w:sz w:val="20"/>
          <w:szCs w:val="20"/>
          <w:color w:val="auto"/>
        </w:rPr>
      </w:pPr>
      <w:r>
        <w:rPr>
          <w:rFonts w:ascii="Arial" w:cs="Arial" w:eastAsia="Arial" w:hAnsi="Arial"/>
          <w:sz w:val="17"/>
          <w:szCs w:val="17"/>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ten years of marketing exclusivity if it is approved for ALS in Europe. The FDA has also granted Orphan-Drug designation to MN-166 (ibudilast) as adjunctive therapy to temozolomide for the treatment of glioblastoma.</w:t>
      </w:r>
    </w:p>
    <w:p>
      <w:pPr>
        <w:spacing w:after="0" w:line="144" w:lineRule="exact"/>
        <w:rPr>
          <w:sz w:val="20"/>
          <w:szCs w:val="20"/>
          <w:color w:val="auto"/>
        </w:rPr>
      </w:pPr>
    </w:p>
    <w:p>
      <w:pPr>
        <w:ind w:right="260" w:firstLine="605"/>
        <w:spacing w:after="0" w:line="259" w:lineRule="auto"/>
        <w:rPr>
          <w:sz w:val="20"/>
          <w:szCs w:val="20"/>
          <w:color w:val="auto"/>
        </w:rPr>
      </w:pPr>
      <w:r>
        <w:rPr>
          <w:rFonts w:ascii="Arial" w:cs="Arial" w:eastAsia="Arial" w:hAnsi="Arial"/>
          <w:sz w:val="18"/>
          <w:szCs w:val="18"/>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for the treatment of glioblastoma, for the treatment of drug addiction or dependence, and for the treatment of neuropathic pain.</w:t>
      </w:r>
    </w:p>
    <w:p>
      <w:pPr>
        <w:spacing w:after="0" w:line="146" w:lineRule="exact"/>
        <w:rPr>
          <w:sz w:val="20"/>
          <w:szCs w:val="20"/>
          <w:color w:val="auto"/>
        </w:rPr>
      </w:pPr>
    </w:p>
    <w:p>
      <w:pPr>
        <w:ind w:firstLine="572"/>
        <w:spacing w:after="0" w:line="255" w:lineRule="auto"/>
        <w:rPr>
          <w:sz w:val="20"/>
          <w:szCs w:val="20"/>
          <w:color w:val="auto"/>
        </w:rPr>
      </w:pPr>
      <w:r>
        <w:rPr>
          <w:rFonts w:ascii="Arial" w:cs="Arial" w:eastAsia="Arial" w:hAnsi="Arial"/>
          <w:sz w:val="18"/>
          <w:szCs w:val="18"/>
          <w:i w:val="1"/>
          <w:iCs w:val="1"/>
          <w:color w:val="auto"/>
        </w:rPr>
        <w:t xml:space="preserve">Progressive Multiple Sclerosis: </w:t>
      </w:r>
      <w:r>
        <w:rPr>
          <w:rFonts w:ascii="Arial" w:cs="Arial" w:eastAsia="Arial" w:hAnsi="Arial"/>
          <w:sz w:val="18"/>
          <w:szCs w:val="18"/>
          <w:color w:val="auto"/>
        </w:rPr>
        <w:t>MS is a complex disease with predominantly unknown etiology and affects approximately 2.8 million people</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according to the National Multiple Sclerosis Society, or NMSS. Also, according to NMSS, approximately 85 percent of people with MS are initially diagnosed with relapsing-remitting MS, or RRMS, and some people who are initially diagnosed with RRMS will eventually transition to secondary progressive MS, or SPMS. About 15 percent of people with MS are diagnosed with primary progressive MS, or PPMS. There is only one approved drug for PPMS and it is administered by intravenous infusion. Although several drugs have been approved for SPMS with relapses, there are no approved drugs generally considered safe and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line="342" w:lineRule="auto"/>
        <w:rPr>
          <w:sz w:val="20"/>
          <w:szCs w:val="20"/>
          <w:color w:val="auto"/>
        </w:rPr>
      </w:pPr>
      <w:r>
        <w:rPr>
          <w:rFonts w:ascii="Arial" w:cs="Arial" w:eastAsia="Arial" w:hAnsi="Arial"/>
          <w:sz w:val="16"/>
          <w:szCs w:val="16"/>
          <w:color w:val="auto"/>
        </w:rPr>
        <w:t>efficacious for SPMS in the absence of relapses. There is a significant medical need for a safe, effective, and conveniently administered therapy for patients with PPMS and SPMS and the unmet medical need is highest in patients with SPMS without relapses. MN-166 (ibudilast) may meet these needs.</w:t>
      </w:r>
    </w:p>
    <w:p>
      <w:pPr>
        <w:spacing w:after="0" w:line="97" w:lineRule="exact"/>
        <w:rPr>
          <w:sz w:val="20"/>
          <w:szCs w:val="20"/>
          <w:color w:val="auto"/>
        </w:rPr>
      </w:pPr>
    </w:p>
    <w:p>
      <w:pPr>
        <w:ind w:right="40" w:firstLine="560"/>
        <w:spacing w:after="0" w:line="269" w:lineRule="auto"/>
        <w:rPr>
          <w:sz w:val="20"/>
          <w:szCs w:val="20"/>
          <w:color w:val="auto"/>
        </w:rPr>
      </w:pPr>
      <w:r>
        <w:rPr>
          <w:rFonts w:ascii="Arial" w:cs="Arial" w:eastAsia="Arial" w:hAnsi="Arial"/>
          <w:sz w:val="17"/>
          <w:szCs w:val="17"/>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 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w:t>
      </w:r>
    </w:p>
    <w:p>
      <w:pPr>
        <w:spacing w:after="0" w:line="141" w:lineRule="exact"/>
        <w:rPr>
          <w:sz w:val="20"/>
          <w:szCs w:val="20"/>
          <w:color w:val="auto"/>
        </w:rPr>
      </w:pPr>
    </w:p>
    <w:p>
      <w:pPr>
        <w:ind w:firstLine="560"/>
        <w:spacing w:after="0" w:line="268" w:lineRule="auto"/>
        <w:rPr>
          <w:sz w:val="20"/>
          <w:szCs w:val="20"/>
          <w:color w:val="auto"/>
        </w:rPr>
      </w:pPr>
      <w:r>
        <w:rPr>
          <w:rFonts w:ascii="Arial" w:cs="Arial" w:eastAsia="Arial" w:hAnsi="Arial"/>
          <w:sz w:val="17"/>
          <w:szCs w:val="17"/>
          <w:color w:val="auto"/>
        </w:rPr>
        <w:t xml:space="preserve">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The purpose of the subgroup analysis was to provide information about which types of progressive MS subjects responded best to MN-166 (ibudilast) treatment in terms of the clinically significant endpoint of the risk of confirmed disability progression compared to placebo, as measured by EDSS. The trends for reduction in the risk of confirmed disability progression were highest for the subgroup of subjects with Secondary Progressive MS without Relapse, in which MN-166 (ibudilast) demonstrated a 46% risk reduction compared to placebo as indicated by the hazard ratio of 0.538. Additional data from the completed SPRINT-MS Phase 2b trial of MN-166 (ibudilast) in progressive MS was presented in May 2019 at the American Academy of Neurology (AAN) 71st Annual Meeting in Philadelphia. In November 2020, we announced that positive Optical Coherence Tomography (OCT) results from the SPRINT-MS Phase 2b trial of MN-166 (ibudilast) in progressive MS were published in </w:t>
      </w:r>
      <w:r>
        <w:rPr>
          <w:rFonts w:ascii="Arial" w:cs="Arial" w:eastAsia="Arial" w:hAnsi="Arial"/>
          <w:sz w:val="17"/>
          <w:szCs w:val="17"/>
          <w:i w:val="1"/>
          <w:iCs w:val="1"/>
          <w:color w:val="auto"/>
        </w:rPr>
        <w:t>Multiple Sclerosis Journal</w:t>
      </w:r>
      <w:r>
        <w:rPr>
          <w:rFonts w:ascii="Arial" w:cs="Arial" w:eastAsia="Arial" w:hAnsi="Arial"/>
          <w:sz w:val="17"/>
          <w:szCs w:val="17"/>
          <w:color w:val="auto"/>
        </w:rPr>
        <w:t>. OCT measures included macular volume, pRNFL (peripapillary retinal nerve fiber layer) thickness, and ganglion cell-inner plexiform (GCIP) layer thickness. All of these OCT measures showed less loss of retinal tissue for MN-166 (ibudilast) compared to placebo. In July 2021, we received a Notice of Allowance from the U.S. Patent and Trademark Office for a new patent which covers MN-166 (ibudilast) for the treatment of an ophthalmic disease/disorder or injury associated with a neurodegenerative disease/disorder or a neuro-ophthalmologic disorder. We were granted Fast Track designation from the FDA for MN-166 (ibudilast) for the treatment of progressive MS in 2016.</w:t>
      </w:r>
    </w:p>
    <w:p>
      <w:pPr>
        <w:spacing w:after="0" w:line="144" w:lineRule="exact"/>
        <w:rPr>
          <w:sz w:val="20"/>
          <w:szCs w:val="20"/>
          <w:color w:val="auto"/>
        </w:rPr>
      </w:pPr>
    </w:p>
    <w:p>
      <w:pPr>
        <w:ind w:right="180" w:firstLine="560"/>
        <w:spacing w:after="0" w:line="257" w:lineRule="auto"/>
        <w:rPr>
          <w:sz w:val="20"/>
          <w:szCs w:val="20"/>
          <w:color w:val="auto"/>
        </w:rPr>
      </w:pPr>
      <w:r>
        <w:rPr>
          <w:rFonts w:ascii="Arial" w:cs="Arial" w:eastAsia="Arial" w:hAnsi="Arial"/>
          <w:sz w:val="18"/>
          <w:szCs w:val="18"/>
          <w:i w:val="1"/>
          <w:iCs w:val="1"/>
          <w:color w:val="auto"/>
        </w:rPr>
        <w:t xml:space="preserve">Amyotrophic Lateral Sclerosis (ALS): </w:t>
      </w:r>
      <w:r>
        <w:rPr>
          <w:rFonts w:ascii="Arial" w:cs="Arial" w:eastAsia="Arial" w:hAnsi="Arial"/>
          <w:sz w:val="18"/>
          <w:szCs w:val="18"/>
          <w:color w:val="auto"/>
        </w:rPr>
        <w:t>ALS, also known as Lou Gehrig’s disease, is a progressive neurodegenerative disease that affects nerve</w:t>
      </w:r>
      <w:r>
        <w:rPr>
          <w:rFonts w:ascii="Arial" w:cs="Arial" w:eastAsia="Arial" w:hAnsi="Arial"/>
          <w:sz w:val="18"/>
          <w:szCs w:val="18"/>
          <w:i w:val="1"/>
          <w:iCs w:val="1"/>
          <w:color w:val="auto"/>
        </w:rPr>
        <w:t xml:space="preserve"> </w:t>
      </w:r>
      <w:r>
        <w:rPr>
          <w:rFonts w:ascii="Arial" w:cs="Arial" w:eastAsia="Arial" w:hAnsi="Arial"/>
          <w:sz w:val="18"/>
          <w:szCs w:val="18"/>
          <w:color w:val="auto"/>
        </w:rPr>
        <w:t>cells in the brain and the spinal cord. The nerves lose the ability to trigger specific muscles, which causes the muscles to become weak. As a result, ALS affects voluntary movement and patients in the later stages of the disease may become totally paralyzed. Mean survival time of an ALS patient is three to five years. According to the ALS Association, there are at least 16,000 ALS patients in the United States and approximately 5,000 people in the United States are diagnosed with ALS each year.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4" w:name="page15"/>
    <w:bookmarkEnd w:id="14"/>
    <w:p>
      <w:pPr>
        <w:ind w:right="120" w:firstLine="560"/>
        <w:spacing w:after="0" w:line="255" w:lineRule="auto"/>
        <w:rPr>
          <w:sz w:val="20"/>
          <w:szCs w:val="20"/>
          <w:color w:val="auto"/>
        </w:rPr>
      </w:pPr>
      <w:r>
        <w:rPr>
          <w:rFonts w:ascii="Arial" w:cs="Arial" w:eastAsia="Arial" w:hAnsi="Arial"/>
          <w:sz w:val="18"/>
          <w:szCs w:val="18"/>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 placebo when administered in combination with riluzole in subjects with ALS, as well as several efficacy endpoints. Subject enrollment began in October 2014. In April 2016, we announced that interim efficacy data from a mid-study analysis of the clinical trial of MN-166 (ibudilast) in ALS was presented at the American Academy of Neurology (AAN) 68th Annual Meeting.</w:t>
      </w:r>
    </w:p>
    <w:p>
      <w:pPr>
        <w:spacing w:after="0" w:line="165" w:lineRule="exact"/>
        <w:rPr>
          <w:sz w:val="20"/>
          <w:szCs w:val="20"/>
          <w:color w:val="auto"/>
        </w:rPr>
      </w:pPr>
    </w:p>
    <w:p>
      <w:pPr>
        <w:ind w:right="60" w:firstLine="669"/>
        <w:spacing w:after="0" w:line="285" w:lineRule="auto"/>
        <w:rPr>
          <w:sz w:val="20"/>
          <w:szCs w:val="20"/>
          <w:color w:val="auto"/>
        </w:rPr>
      </w:pPr>
      <w:r>
        <w:rPr>
          <w:rFonts w:ascii="Arial" w:cs="Arial" w:eastAsia="Arial" w:hAnsi="Arial"/>
          <w:sz w:val="16"/>
          <w:szCs w:val="16"/>
          <w:color w:val="auto"/>
        </w:rPr>
        <w:t>In December 2017, we announced positive top-line results from the ALS trial at Carolinas Neuromuscular/ALS-MDA Center.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 In July 2018, we announced data from ad-hoc subgroup analyses in subjects who had either bulbar onset or upper limb onset in the ALS trial at Carolinas Neuromuscular/ALS-MDA Center. In September 2018, we received feedback from the FDA regarding our clinical development plan for MN-166 (ibudilast) in ALS. In April 2019, we announced that the FDA completed its review of the protocol and determined that we may proceed with a Phase 2b/3 clinical trial of MN-166 (ibudilast) in ALS. In June 2019, we announced that a kick-off meeting for the Phase 2b/3 clinical trial of MN-166 (ibudilast) in ALS was held our headquarters in La Jolla, California. In December 2019, we announced that additional analyses of the completed clinical trial of MN-166 (ibudilast) in ALS was presented at the 30th International Symposium on ALS/MND (amyotrophic lateral sclerosis/motor neurone disease) in Perth, Australia. These analyses evaluated the potential background factors of patients’ characteristics that could reasonably predict both ALS disease progression and treatment efficacy. The results of these analyses indicate that the efficacy of MN-166 (ibudilast) is expected to be more robust in patients with a short ALS history. We have incorporated the conclusions from these analyses into the design of our Phase 2b/3 clinical trial. In December 2021, we announced that a poster with an overview of our ongoing Phase 2b/3 clinical trial of MN-166 (ibudilast) in ALS was presented at the 32nd International Symposium on ALS/MND.</w:t>
      </w:r>
    </w:p>
    <w:p>
      <w:pPr>
        <w:spacing w:after="0" w:line="176"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In December 2015, we announced that the FDA granted Fast Track designation to MN-166 (ibudilast) for the treatment of patients with ALS. In March 2016, we announced that we received a Notice of Allowance from the United States Patent and Trademark Office (PTO) for a new patent which covers MN-166 (ibudilast) for the treatment of ALS.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 In January 2019, we received a Notice of Allowance from the U.S. PTO for a new patent which covers the combination of MN-166 (ibudilast) and riluzole for the treatment of ALS and other neurodegenerative diseases.</w:t>
      </w:r>
    </w:p>
    <w:p>
      <w:pPr>
        <w:spacing w:after="0" w:line="195" w:lineRule="exact"/>
        <w:rPr>
          <w:sz w:val="20"/>
          <w:szCs w:val="20"/>
          <w:color w:val="auto"/>
        </w:rPr>
      </w:pPr>
    </w:p>
    <w:p>
      <w:pPr>
        <w:ind w:right="140" w:firstLine="560"/>
        <w:spacing w:after="0" w:line="257" w:lineRule="auto"/>
        <w:rPr>
          <w:sz w:val="20"/>
          <w:szCs w:val="20"/>
          <w:color w:val="auto"/>
        </w:rPr>
      </w:pPr>
      <w:r>
        <w:rPr>
          <w:rFonts w:ascii="Arial" w:cs="Arial" w:eastAsia="Arial" w:hAnsi="Arial"/>
          <w:sz w:val="18"/>
          <w:szCs w:val="18"/>
          <w:color w:val="auto"/>
        </w:rPr>
        <w:t>In February 2016, we entered into an agreement to collaborate with Massachusetts General Hospital (MGH) to study the effects of MN-166 (ibudilast) on reducing brain microglial activation in ALS subjects measured by a positron emission tomography (PET) biomarker. Results of this clinical trial, which we refer to as the ALS / Biomarker study, were presented at the 30th International Symposium on ALS/MND (amyotrophic lateral sclerosis/motor neurone disease) in Perth, Australia in December 2019. In this small study, there was no detectable effect on PBR28-PET uptake or serum NFl but there was a significant reduction in serum MIF, a marker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neuroinflammation. However, because of the open-label design of this study, there was no placebo group to compare with the MN-166 (ibudilast) group, so it is not possible to draw any definitive conclusions from this study.</w:t>
      </w:r>
    </w:p>
    <w:p>
      <w:pPr>
        <w:spacing w:after="0" w:line="170" w:lineRule="exact"/>
        <w:rPr>
          <w:sz w:val="20"/>
          <w:szCs w:val="20"/>
          <w:color w:val="auto"/>
        </w:rPr>
      </w:pPr>
    </w:p>
    <w:p>
      <w:pPr>
        <w:ind w:right="60" w:firstLine="560"/>
        <w:spacing w:after="0" w:line="268" w:lineRule="auto"/>
        <w:rPr>
          <w:sz w:val="20"/>
          <w:szCs w:val="20"/>
          <w:color w:val="auto"/>
        </w:rPr>
      </w:pPr>
      <w:r>
        <w:rPr>
          <w:rFonts w:ascii="Arial" w:cs="Arial" w:eastAsia="Arial" w:hAnsi="Arial"/>
          <w:sz w:val="17"/>
          <w:szCs w:val="17"/>
          <w:i w:val="1"/>
          <w:iCs w:val="1"/>
          <w:color w:val="auto"/>
        </w:rPr>
        <w:t xml:space="preserve">Methamphetamine Addiction: </w:t>
      </w:r>
      <w:r>
        <w:rPr>
          <w:rFonts w:ascii="Arial" w:cs="Arial" w:eastAsia="Arial" w:hAnsi="Arial"/>
          <w:sz w:val="17"/>
          <w:szCs w:val="17"/>
          <w:color w:val="auto"/>
        </w:rPr>
        <w:t>Methamphetamine is a central nervous system stimulant drug that is similar in structure to amphetamine. It is a</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 II drug, meaning that it has high abuse potential and low therapeutic potential. According to the Substance Abuse and Mental Health Services Administration’s (SAMHSA) 2021 National Survey on Drug Use and Health, there are approximately 1.6 million people aged 12 or older with methamphetamine use disorder in the United States. The Rand Corporation has estimated that the economic burden of methamphetamine use in the United States is approximately $23.4 billion. Currently, there is no pharmaceutical treatment approved for methamphetamine dependence. Based on non-clinical results of the effects of MN-166 (ibudilast) in an animal model of methamphetamine relapse, investigators at UCLA conducted a Phase 1b clinical trial funded by NIDA to examine the safety and preliminary efficacy of MN-166 (ibudilast) in non-treatment-seeking, methamphetamine-dependent users in an inpatient trial that was completed in 2012. Subsequently, UCLA investigators received NIDA grant funding for a Phase 2 clinical trial to evaluate MN-166 (ibudilast) in methamphetamine-dependent users in an outpatient trial setting that commenced in 2013.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to evaluate MN-166 (ibudilast) in methamphetamine use disorder and this study is ongoing. We were granted Fast Track designation from the FDA for MN-166 (ibudilast) for the treatment of methamphetamine dependence in 2013.</w:t>
      </w:r>
    </w:p>
    <w:p>
      <w:pPr>
        <w:spacing w:after="0" w:line="186" w:lineRule="exact"/>
        <w:rPr>
          <w:sz w:val="20"/>
          <w:szCs w:val="20"/>
          <w:color w:val="auto"/>
        </w:rPr>
      </w:pPr>
    </w:p>
    <w:p>
      <w:pPr>
        <w:ind w:firstLine="572"/>
        <w:spacing w:after="0" w:line="269" w:lineRule="auto"/>
        <w:rPr>
          <w:sz w:val="20"/>
          <w:szCs w:val="20"/>
          <w:color w:val="auto"/>
        </w:rPr>
      </w:pPr>
      <w:r>
        <w:rPr>
          <w:rFonts w:ascii="Arial" w:cs="Arial" w:eastAsia="Arial" w:hAnsi="Arial"/>
          <w:sz w:val="17"/>
          <w:szCs w:val="17"/>
          <w:i w:val="1"/>
          <w:iCs w:val="1"/>
          <w:color w:val="auto"/>
        </w:rPr>
        <w:t xml:space="preserve">Opioid Withdrawal and Dependency: </w:t>
      </w:r>
      <w:r>
        <w:rPr>
          <w:rFonts w:ascii="Arial" w:cs="Arial" w:eastAsia="Arial" w:hAnsi="Arial"/>
          <w:sz w:val="17"/>
          <w:szCs w:val="17"/>
          <w:color w:val="auto"/>
        </w:rPr>
        <w:t>According to the SAMHSA’s 2021 National Survey on Drug Use and Health, there are approximately 5.0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people aged 12 or older with prescription pain reliever use disorder and approximately 1.0 million people aged 12 or older with heroin use disorder in the United States. Access to prescription opioids has recently become more difficult due to more stringent policies on prescribing opioids. An unintended consequence of this policy is increased use of heroin. Heroin is attractive to prescription opioid addicts because it is less expensive and more accessible than prescription opioids. Heroin poses serious health issues, such as risk of HIV and Hepatitis C infection, overdose, and death. There is an urgent, significant unmet medical need for a safe, effective non-addictive, non-opioid therapy for the treatment of prescription opioid and heroin addiction. Investigators at Columbia University and NYSPI previously completed a NIDA-funded, randomized, double-blind, placebo-controlled in-unit Phase 1b/2a clinical trial to evaluate the ability of MN-166 (ibudilast) to reduce opioid withdrawal symptoms in humans. Subsequently, investigators at Columbia University and NYSPI conducted a NIDA-funded Phase 2a clinical trial of MN-166 (ibudilast) for the treatment of prescription opioid or heroin dependence. In March 2016, we announced that positive findings from the results of this completed study in opioid dependence were presented at the Behavior, Biology and Chemistry: Translational Research in Addiction Meeting.</w:t>
      </w:r>
    </w:p>
    <w:p>
      <w:pPr>
        <w:spacing w:after="0" w:line="182" w:lineRule="exact"/>
        <w:rPr>
          <w:sz w:val="20"/>
          <w:szCs w:val="20"/>
          <w:color w:val="auto"/>
        </w:rPr>
      </w:pPr>
    </w:p>
    <w:p>
      <w:pPr>
        <w:ind w:right="20" w:firstLine="560"/>
        <w:spacing w:after="0" w:line="263" w:lineRule="auto"/>
        <w:rPr>
          <w:sz w:val="20"/>
          <w:szCs w:val="20"/>
          <w:color w:val="auto"/>
        </w:rPr>
      </w:pPr>
      <w:r>
        <w:rPr>
          <w:rFonts w:ascii="Arial" w:cs="Arial" w:eastAsia="Arial" w:hAnsi="Arial"/>
          <w:sz w:val="17"/>
          <w:szCs w:val="17"/>
          <w:i w:val="1"/>
          <w:iCs w:val="1"/>
          <w:color w:val="auto"/>
        </w:rPr>
        <w:t xml:space="preserve">Alcohol Addiction: </w:t>
      </w:r>
      <w:r>
        <w:rPr>
          <w:rFonts w:ascii="Arial" w:cs="Arial" w:eastAsia="Arial" w:hAnsi="Arial"/>
          <w:sz w:val="17"/>
          <w:szCs w:val="17"/>
          <w:color w:val="auto"/>
        </w:rPr>
        <w:t>According to SAMHSA’s 2021 National Survey on Drug Use and Health, there are approximately 29.5 million people aged 12</w:t>
      </w:r>
      <w:r>
        <w:rPr>
          <w:rFonts w:ascii="Arial" w:cs="Arial" w:eastAsia="Arial" w:hAnsi="Arial"/>
          <w:sz w:val="17"/>
          <w:szCs w:val="17"/>
          <w:i w:val="1"/>
          <w:iCs w:val="1"/>
          <w:color w:val="auto"/>
        </w:rPr>
        <w:t xml:space="preserve"> </w:t>
      </w:r>
      <w:r>
        <w:rPr>
          <w:rFonts w:ascii="Arial" w:cs="Arial" w:eastAsia="Arial" w:hAnsi="Arial"/>
          <w:sz w:val="17"/>
          <w:szCs w:val="17"/>
          <w:color w:val="auto"/>
        </w:rPr>
        <w:t>or older in the United States with alcohol use disorder. The Centers for Disease Control and Prevention (CDC) has reported that excessive alcohol use costs the United States $249 billion per year. Medicines that have been approved by the FDA to treat alcohol dependence include Antabuse</w:t>
      </w:r>
      <w:r>
        <w:rPr>
          <w:rFonts w:ascii="Arial" w:cs="Arial" w:eastAsia="Arial" w:hAnsi="Arial"/>
          <w:sz w:val="23"/>
          <w:szCs w:val="23"/>
          <w:color w:val="auto"/>
          <w:vertAlign w:val="superscript"/>
        </w:rPr>
        <w:t>®</w:t>
      </w:r>
      <w:r>
        <w:rPr>
          <w:rFonts w:ascii="Arial" w:cs="Arial" w:eastAsia="Arial" w:hAnsi="Arial"/>
          <w:sz w:val="17"/>
          <w:szCs w:val="17"/>
          <w:color w:val="auto"/>
        </w:rPr>
        <w:t>, Vivitrol</w:t>
      </w:r>
      <w:r>
        <w:rPr>
          <w:rFonts w:ascii="Arial" w:cs="Arial" w:eastAsia="Arial" w:hAnsi="Arial"/>
          <w:sz w:val="23"/>
          <w:szCs w:val="23"/>
          <w:color w:val="auto"/>
          <w:vertAlign w:val="superscript"/>
        </w:rPr>
        <w:t>®</w:t>
      </w:r>
      <w:r>
        <w:rPr>
          <w:rFonts w:ascii="Arial" w:cs="Arial" w:eastAsia="Arial" w:hAnsi="Arial"/>
          <w:sz w:val="17"/>
          <w:szCs w:val="17"/>
          <w:color w:val="auto"/>
        </w:rPr>
        <w:t>, Campral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Revia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However, the search for a safe and effective drug remains elusive due to limited success of these FDA-approved compounds (Witkiewitz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2012). In a non-clinical trial (Bell </w:t>
      </w:r>
      <w:r>
        <w:rPr>
          <w:rFonts w:ascii="Arial" w:cs="Arial" w:eastAsia="Arial" w:hAnsi="Arial"/>
          <w:sz w:val="17"/>
          <w:szCs w:val="17"/>
          <w:i w:val="1"/>
          <w:iCs w:val="1"/>
          <w:color w:val="auto"/>
        </w:rPr>
        <w:t>et al</w:t>
      </w:r>
      <w:r>
        <w:rPr>
          <w:rFonts w:ascii="Arial" w:cs="Arial" w:eastAsia="Arial" w:hAnsi="Arial"/>
          <w:sz w:val="17"/>
          <w:szCs w:val="17"/>
          <w:color w:val="auto"/>
        </w:rPr>
        <w:t>., 2013), MN-166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conduct a study to evaluate MN-166 (ibudilast) with a randomized, double-blind, placebo-controlled within-subject crossover design to determine the safety, tolerability and initial human laboratory efficacy of MN-166 (ibudilast) in a sample of 24 non-treatment seeking individuals with either alcohol abuse or dependence. Results of the alcohol dependence study were presented at the American College of Neuropsychopharmacology (ACNP)’s 54th Annual Meeting in December 2015. MN-166 (ibudilast), but not placebo, significantly decreased basal, daily alcohol craving over the course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 w:name="page17"/>
    <w:bookmarkEnd w:id="16"/>
    <w:p>
      <w:pPr>
        <w:ind w:right="60"/>
        <w:spacing w:after="0" w:line="267" w:lineRule="auto"/>
        <w:rPr>
          <w:sz w:val="20"/>
          <w:szCs w:val="20"/>
          <w:color w:val="auto"/>
        </w:rPr>
      </w:pPr>
      <w:r>
        <w:rPr>
          <w:rFonts w:ascii="Arial" w:cs="Arial" w:eastAsia="Arial" w:hAnsi="Arial"/>
          <w:sz w:val="17"/>
          <w:szCs w:val="17"/>
          <w:color w:val="auto"/>
        </w:rPr>
        <w:t xml:space="preserve">the study (p&lt;0.05). MN-166 (ibudilast) did not affect cue- and stress-induced alcohol craving. However, MN-166 (ibudilast) increased positive mood during both the cue reactivity and stress procedures. MN-166 (ibudilast) was safe and well-tolerated during the study. In May 2018, we announced plans to initiate an NIH-funded clinical trial of MN-166 (ibudilast) in alcohol dependence and withdrawal in collaboration with researchers at UCLA. This study was a randomized, double-blind, placebo-controlled Phase 2 trial to evaluate the effect of 14 days of ibudilast treatment on mood, heavy drinking, and neural reward signals in 52 patients with alcohol use disorder (AUD). Positive results of this Phase 2 clinical trial were presented at the American Psychological Association 2020 Annual Convention which was held online in August 2020. Results from this clinical trial were published in June 2021 in Nature’s </w:t>
      </w:r>
      <w:r>
        <w:rPr>
          <w:rFonts w:ascii="Arial" w:cs="Arial" w:eastAsia="Arial" w:hAnsi="Arial"/>
          <w:sz w:val="17"/>
          <w:szCs w:val="17"/>
          <w:i w:val="1"/>
          <w:iCs w:val="1"/>
          <w:color w:val="auto"/>
        </w:rPr>
        <w:t>Translational Psychiatry</w:t>
      </w:r>
      <w:r>
        <w:rPr>
          <w:rFonts w:ascii="Arial" w:cs="Arial" w:eastAsia="Arial" w:hAnsi="Arial"/>
          <w:sz w:val="17"/>
          <w:szCs w:val="17"/>
          <w:color w:val="auto"/>
        </w:rPr>
        <w:t xml:space="preserve"> which included the following: (1) MN-166 (ibudilast) did not have a significant effect on negative mood; (2) MN-166 (ibudilast), relative to placebo, reduced the odds of heavy drinking across time by 45% (p=0.04); (3) MN-166 (ibudilast) attenuated alcohol cue-elicited activation in the ventral striatum (VS) (i.e. reduced the rewarding response to alcohol in the brain) compared to placebo (p=0.01); (4) alcohol cue-elicited activation in the VS predicted subsequent drinking in the MN-166 (ibudilast) group (p=0.02), such that individuals who had attenuated VS activation and took MN-166 (ibudilast) had the fewest number of drinks per drinking day in the week following the scan; and (5) MN-166 (ibudilast) reduced alcohol craving compared to placebo on non-drinking days (p=0.02). These findings extend preclinical and human laboratory studies of the utility of ibudilast to treat AUD and suggest a biobehavioral mechanism through which ibudilast acts, namely, by reducing the rewarding response to alcohol cues in the brain leading to a reduction in heavy drinking. In August 2018, we announced a new NIAAA-funded Phase 2b clinical trial of MN-166 (ibudilast) in alcohol dependence in collaboration with researchers at UCLA. This clinical trial, which is currently ongoing, is evaluating whether MN-166 (ibudilast) will decrease the percentage of heavy drinking days (defined as ≥ 5 drinks for men and ≥ 4 drinks for women), as compared to placebo, over the course of the 12-week trial.</w:t>
      </w:r>
    </w:p>
    <w:p>
      <w:pPr>
        <w:spacing w:after="0" w:line="191" w:lineRule="exact"/>
        <w:rPr>
          <w:sz w:val="20"/>
          <w:szCs w:val="20"/>
          <w:color w:val="auto"/>
        </w:rPr>
      </w:pPr>
    </w:p>
    <w:p>
      <w:pPr>
        <w:ind w:right="80" w:firstLine="539"/>
        <w:spacing w:after="0" w:line="288" w:lineRule="auto"/>
        <w:rPr>
          <w:sz w:val="20"/>
          <w:szCs w:val="20"/>
          <w:color w:val="auto"/>
        </w:rPr>
      </w:pPr>
      <w:r>
        <w:rPr>
          <w:rFonts w:ascii="Arial" w:cs="Arial" w:eastAsia="Arial" w:hAnsi="Arial"/>
          <w:sz w:val="16"/>
          <w:szCs w:val="16"/>
          <w:color w:val="auto"/>
        </w:rPr>
        <w:t xml:space="preserve">In February 2022, we announced that MN-166 (ibudilast) was discussed as one of the promising pharmacological agents for the treatment of AUD in the journal </w:t>
      </w:r>
      <w:r>
        <w:rPr>
          <w:rFonts w:ascii="Arial" w:cs="Arial" w:eastAsia="Arial" w:hAnsi="Arial"/>
          <w:sz w:val="16"/>
          <w:szCs w:val="16"/>
          <w:i w:val="1"/>
          <w:iCs w:val="1"/>
          <w:color w:val="auto"/>
        </w:rPr>
        <w:t>Drugs</w:t>
      </w:r>
      <w:r>
        <w:rPr>
          <w:rFonts w:ascii="Arial" w:cs="Arial" w:eastAsia="Arial" w:hAnsi="Arial"/>
          <w:sz w:val="16"/>
          <w:szCs w:val="16"/>
          <w:color w:val="auto"/>
        </w:rPr>
        <w:t xml:space="preserve">. The publication, which was written by researchers at UCLA, discussed the beneficial effects of MN-166 (ibudilast) in treating AUD and noted that these effects are thought to be driven by its anti-inflammatory and pro-neurotrophic properties. In April 2022, we announced that a secondary analysis of a Phase 2 clinical trial of MN-166 (ibudilast) in AUD was published in the journal </w:t>
      </w:r>
      <w:r>
        <w:rPr>
          <w:rFonts w:ascii="Arial" w:cs="Arial" w:eastAsia="Arial" w:hAnsi="Arial"/>
          <w:sz w:val="16"/>
          <w:szCs w:val="16"/>
          <w:i w:val="1"/>
          <w:iCs w:val="1"/>
          <w:color w:val="auto"/>
        </w:rPr>
        <w:t>Alcoholism: Clinical and Experimental Research</w:t>
      </w:r>
      <w:r>
        <w:rPr>
          <w:rFonts w:ascii="Arial" w:cs="Arial" w:eastAsia="Arial" w:hAnsi="Arial"/>
          <w:sz w:val="16"/>
          <w:szCs w:val="16"/>
          <w:color w:val="auto"/>
        </w:rPr>
        <w:t xml:space="preserve">. The publication, which was written by researchers at UCLA, discussed the results of the secondary analysis and noted that reductions in alcohol craving may represent a primary mechanism of MN-166 (ibudilast). In December 2022, we announced that positive results from a secondary analysis of a Phase 2 trial of MN-166 (ibudilast) in AUD were published in </w:t>
      </w:r>
      <w:r>
        <w:rPr>
          <w:rFonts w:ascii="Arial" w:cs="Arial" w:eastAsia="Arial" w:hAnsi="Arial"/>
          <w:sz w:val="16"/>
          <w:szCs w:val="16"/>
          <w:i w:val="1"/>
          <w:iCs w:val="1"/>
          <w:color w:val="auto"/>
        </w:rPr>
        <w:t>The American Journal of Drug and Alcohol Abuse</w:t>
      </w:r>
      <w:r>
        <w:rPr>
          <w:rFonts w:ascii="Arial" w:cs="Arial" w:eastAsia="Arial" w:hAnsi="Arial"/>
          <w:sz w:val="16"/>
          <w:szCs w:val="16"/>
          <w:color w:val="auto"/>
        </w:rPr>
        <w:t>. These results showed that the high baseline C-reactive protein (CRP) group, i.e. the participants with high inflammation, who received MN-166 (ibudilast) had significantly fewer drinks per drinking day compared to the low baseline CRP group who received MN-166 (ibudilast) (p = 0.007). In January 2023, we announced that the Phase 2b clinical trial of MN-166 (ibudilast) for the treatment of alcohol use disorder had completed enrollment.</w:t>
      </w:r>
    </w:p>
    <w:p>
      <w:pPr>
        <w:spacing w:after="0" w:line="168" w:lineRule="exact"/>
        <w:rPr>
          <w:sz w:val="20"/>
          <w:szCs w:val="20"/>
          <w:color w:val="auto"/>
        </w:rPr>
      </w:pPr>
    </w:p>
    <w:p>
      <w:pPr>
        <w:ind w:firstLine="560"/>
        <w:spacing w:after="0" w:line="289" w:lineRule="auto"/>
        <w:rPr>
          <w:sz w:val="20"/>
          <w:szCs w:val="20"/>
          <w:color w:val="auto"/>
        </w:rPr>
      </w:pPr>
      <w:r>
        <w:rPr>
          <w:rFonts w:ascii="Arial" w:cs="Arial" w:eastAsia="Arial" w:hAnsi="Arial"/>
          <w:sz w:val="16"/>
          <w:szCs w:val="16"/>
          <w:i w:val="1"/>
          <w:iCs w:val="1"/>
          <w:color w:val="auto"/>
        </w:rPr>
        <w:t xml:space="preserve">Chemotherapy-Induced Peripheral Neuropathy: </w:t>
      </w:r>
      <w:r>
        <w:rPr>
          <w:rFonts w:ascii="Arial" w:cs="Arial" w:eastAsia="Arial" w:hAnsi="Arial"/>
          <w:sz w:val="16"/>
          <w:szCs w:val="16"/>
          <w:color w:val="auto"/>
        </w:rPr>
        <w:t>Peripheral neuropathy is a set of symptoms caused by damage to peripheral nerves, the nerves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away from the brain and spinal cord. Some of the chemotherapy and other drugs used to treat cancer can damage peripheral nerves which carry sensations to the brain and control the movement of the arms and legs. This damage results in chemotherapy-induced peripheral neuropathy (CIPN) which can be a disabling side effect of cancer treatment. Common symptoms of CIPN include pain, burning, tingling, loss of feeling, coordination and balance problems, muscle weakness, trouble swallowing and passing urine, constipation, and blood pressure changes. Severe CIPN may require chemotherapy dose reduction or cessation. According to a meta-analysis which included more than 4,000 patients, CIPN prevalence was 68% when measured in the first month after chemotherapy, 60% at 3 months, and 30% at 6 months or more (“Incidence, prevalence, and predictors of chemotherapy-induced peripheral neuropathy: A systematic review and meta-analysis,” Seretny M et al 2014). In March 2018, we announced plans to initiate a clinical trial to evaluate MN-166 (ibudilast) as a treatment for prevention of CIPN which was funded by the University of Sydney Concord Cancer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p>
      <w:pPr>
        <w:ind w:right="80"/>
        <w:spacing w:after="0" w:line="269" w:lineRule="auto"/>
        <w:rPr>
          <w:sz w:val="20"/>
          <w:szCs w:val="20"/>
          <w:color w:val="auto"/>
        </w:rPr>
      </w:pPr>
      <w:r>
        <w:rPr>
          <w:rFonts w:ascii="Arial" w:cs="Arial" w:eastAsia="Arial" w:hAnsi="Arial"/>
          <w:sz w:val="17"/>
          <w:szCs w:val="17"/>
          <w:color w:val="auto"/>
        </w:rPr>
        <w:t xml:space="preserve">Centre in Australia. This open-label, sequential cross-over pilot study assessed acute neurotoxicity, CIPN, and drug interactions of MN-166 (ibudilast) in patients with metastatic gastrointestinal cancer (colorectal cancer and upper gastrointestinal cancers) who were receiving oxaliplatin. In September 2020, we announced that positive clinical findings from this clinical trial were published in </w:t>
      </w:r>
      <w:r>
        <w:rPr>
          <w:rFonts w:ascii="Arial" w:cs="Arial" w:eastAsia="Arial" w:hAnsi="Arial"/>
          <w:sz w:val="17"/>
          <w:szCs w:val="17"/>
          <w:i w:val="1"/>
          <w:iCs w:val="1"/>
          <w:color w:val="auto"/>
        </w:rPr>
        <w:t>Cancer Chemotherapy and Pharmacology</w:t>
      </w:r>
      <w:r>
        <w:rPr>
          <w:rFonts w:ascii="Arial" w:cs="Arial" w:eastAsia="Arial" w:hAnsi="Arial"/>
          <w:sz w:val="17"/>
          <w:szCs w:val="17"/>
          <w:color w:val="auto"/>
        </w:rPr>
        <w:t>. Co-administration of MN-166 (ibudilast) with oxaliplatin resulted in improvement or stabilization of oxaliplatin-induced neurotoxicity in the majority of participants treated with oxaliplatin. According to the Oxaliplatin-Specific Neurotoxicity Scale (OSNS) assessments, 12 out of 14 participants reported acute neurotoxicity (Grade 1 or 2) in both cycles. Of those, ten out of 12 participants were unchanged and two participants had improved symptoms from Grade 2 to Grade 1 with MN-166 (ibudilast) co-treatment. Acute neurotoxicity, which predicts chronic CIPN, is expected to worsen in patients with continued chemotherapy. Pharmacokinetic analysis indicated no effect of MN-166 (ibudilast) on systemic exposure of oxaliplatin. In October 2020, we announced plans to initiate a multi-center, placebo-controlled, randomized Phase 2b trial to evaluate MN-166 (ibudilast) in CIPN, which is funded by the Australasian Gastro-Intestinal Trials Group (AGITG). This clinical trial is evaluating MN-166 (ibudilast) as a potential treatment to reduce acute neurotoxicity severity and CIPN in patients with metastatic colorectal cancer.</w:t>
      </w:r>
    </w:p>
    <w:p>
      <w:pPr>
        <w:spacing w:after="0" w:line="182" w:lineRule="exact"/>
        <w:rPr>
          <w:sz w:val="20"/>
          <w:szCs w:val="20"/>
          <w:color w:val="auto"/>
        </w:rPr>
      </w:pPr>
    </w:p>
    <w:p>
      <w:pPr>
        <w:ind w:right="120" w:firstLine="560"/>
        <w:spacing w:after="0" w:line="267" w:lineRule="auto"/>
        <w:rPr>
          <w:sz w:val="20"/>
          <w:szCs w:val="20"/>
          <w:color w:val="auto"/>
        </w:rPr>
      </w:pPr>
      <w:r>
        <w:rPr>
          <w:rFonts w:ascii="Arial" w:cs="Arial" w:eastAsia="Arial" w:hAnsi="Arial"/>
          <w:sz w:val="17"/>
          <w:szCs w:val="17"/>
          <w:i w:val="1"/>
          <w:iCs w:val="1"/>
          <w:color w:val="auto"/>
        </w:rPr>
        <w:t xml:space="preserve">Degenerative Cervical Myelopathy: </w:t>
      </w:r>
      <w:r>
        <w:rPr>
          <w:rFonts w:ascii="Arial" w:cs="Arial" w:eastAsia="Arial" w:hAnsi="Arial"/>
          <w:sz w:val="17"/>
          <w:szCs w:val="17"/>
          <w:color w:val="auto"/>
        </w:rPr>
        <w:t>Degenerative cervical myelopathy (DCM), also known as cervical spondylotic myelopathy, involves spinal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cord dysfunction from compression in the neck. Degenerative cervical myelopathy is the most common form of spinal cord impairment in adults and results in disability and reduced quality of life. Patients report neurological symptoms such as pain and numbness in limbs, poor coordination, imbalance, and bladder problems. According to the American Association of Neurological Surgeons, more than 200,000 cervical procedures are performed each year to relieve compression on the spinal cord or nerve roots. There are no pharmaceuticals approved for the treatment of DCM. In August 2018, we announced plans to initiate a clinical trial of MN-166 (ibudilast) in DCM in collaboration with the University of Cambridge. The trial, which is funded by a grant from the National Institute for Health Research (NIHR) in the United Kingdom (UK), is evaluating MN-166 (ibudilast) as an adjuvant treatment for DCM following spinal surgery to determine whether MN-166 (ibudilast) is more effective than placebo in improving outcomes after spinal surgery. The two co-primary endpoints are (1) the modified Japanese Orthopaedic Association (mJOA) Score, which evaluates motor dysfunction in upper and lower extremities, loss of sensation, and bladder sphincter dysfunction, at six months after surgery; and (2) Visual Analogue Scale (VAS) measure of neck pain at six months after surgery. In May 2019, we announced our participation at the Kick-off Meeting for this Phase 3 clinical trial in DCM, “REgeneration in CErvical DEgenerative Myelopathy (RECEDE Myelopathy)” in collaboration with University of Cambridge researchers. In February 2022, we announced that MN-166 (ibudilast) was discussed as a potential beneficial pharmacological agent for the treatment of DCM in </w:t>
      </w:r>
      <w:r>
        <w:rPr>
          <w:rFonts w:ascii="Arial" w:cs="Arial" w:eastAsia="Arial" w:hAnsi="Arial"/>
          <w:sz w:val="17"/>
          <w:szCs w:val="17"/>
          <w:i w:val="1"/>
          <w:iCs w:val="1"/>
          <w:color w:val="auto"/>
        </w:rPr>
        <w:t>Global Spine</w:t>
      </w:r>
      <w:r>
        <w:rPr>
          <w:rFonts w:ascii="Arial" w:cs="Arial" w:eastAsia="Arial" w:hAnsi="Arial"/>
          <w:sz w:val="17"/>
          <w:szCs w:val="17"/>
          <w:color w:val="auto"/>
        </w:rPr>
        <w:t xml:space="preserve"> </w:t>
      </w:r>
      <w:r>
        <w:rPr>
          <w:rFonts w:ascii="Arial" w:cs="Arial" w:eastAsia="Arial" w:hAnsi="Arial"/>
          <w:sz w:val="17"/>
          <w:szCs w:val="17"/>
          <w:i w:val="1"/>
          <w:iCs w:val="1"/>
          <w:color w:val="auto"/>
        </w:rPr>
        <w:t>Journal</w:t>
      </w:r>
      <w:r>
        <w:rPr>
          <w:rFonts w:ascii="Arial" w:cs="Arial" w:eastAsia="Arial" w:hAnsi="Arial"/>
          <w:sz w:val="17"/>
          <w:szCs w:val="17"/>
          <w:color w:val="auto"/>
        </w:rPr>
        <w:t>. The publication, which was written by researchers at the University of Cambridge, discussed contemporary therapies that may hold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value and the attributes of MN-166 (ibudilast) that support its use in DCM. The publication noted that the combination of anti-inflammatory, neuroprotective, and neuroregenerative properties of MN-166 (ibudilast) leads to attenuation of glial cell activation and is the basis for the ongoing RECEDE Myelopathy trial.</w:t>
      </w:r>
    </w:p>
    <w:p>
      <w:pPr>
        <w:spacing w:after="0" w:line="191" w:lineRule="exact"/>
        <w:rPr>
          <w:sz w:val="20"/>
          <w:szCs w:val="20"/>
          <w:color w:val="auto"/>
        </w:rPr>
      </w:pPr>
    </w:p>
    <w:p>
      <w:pPr>
        <w:ind w:firstLine="665"/>
        <w:spacing w:after="0" w:line="253" w:lineRule="auto"/>
        <w:rPr>
          <w:sz w:val="20"/>
          <w:szCs w:val="20"/>
          <w:color w:val="auto"/>
        </w:rPr>
      </w:pPr>
      <w:r>
        <w:rPr>
          <w:rFonts w:ascii="Arial" w:cs="Arial" w:eastAsia="Arial" w:hAnsi="Arial"/>
          <w:sz w:val="18"/>
          <w:szCs w:val="18"/>
          <w:i w:val="1"/>
          <w:iCs w:val="1"/>
          <w:color w:val="auto"/>
        </w:rPr>
        <w:t xml:space="preserve">Glioblastoma: </w:t>
      </w:r>
      <w:r>
        <w:rPr>
          <w:rFonts w:ascii="Arial" w:cs="Arial" w:eastAsia="Arial" w:hAnsi="Arial"/>
          <w:sz w:val="18"/>
          <w:szCs w:val="18"/>
          <w:color w:val="auto"/>
        </w:rPr>
        <w:t>According to the American Association of Neurological Surgeons, glioblastoma is an aggressive brain tumor that develops from</w:t>
      </w:r>
      <w:r>
        <w:rPr>
          <w:rFonts w:ascii="Arial" w:cs="Arial" w:eastAsia="Arial" w:hAnsi="Arial"/>
          <w:sz w:val="18"/>
          <w:szCs w:val="18"/>
          <w:i w:val="1"/>
          <w:iCs w:val="1"/>
          <w:color w:val="auto"/>
        </w:rPr>
        <w:t xml:space="preserve"> </w:t>
      </w:r>
      <w:r>
        <w:rPr>
          <w:rFonts w:ascii="Arial" w:cs="Arial" w:eastAsia="Arial" w:hAnsi="Arial"/>
          <w:sz w:val="18"/>
          <w:szCs w:val="18"/>
          <w:color w:val="auto"/>
        </w:rPr>
        <w:t>glial cells (astrocytes and oligodendrocytes), grows rapidly, and commonly spreads into nearby brain tissue. The American Brain Tumor Association reports that glioblastomas represent about 14% of all primary brain tumors. More than 12,000 cases of glioblastoma are diagnosed each year in the U.S. Median survival is approximately 11-15 months for adults with more aggressive glioblastoma (IDH-wildtype) who receive standard treatment (surgery, temozolomide, and radiation therapy). In June 2017, we announced positive results from an animal model study that examined the potential clinical efficacy of MN-166 (ibudilast) for the treatment of glioblastoma which were presented at the 2017 American Society of Clinical Oncology (ASCO) Annual Meeting. Results of the glioblastoma mouse model study showed that median survival was higher in the group that received combination treatment with MN-166 (ibudilast) plus temozolomide compared to the group that received temozolomide alone. In May 2018, we announced that the Investigational New Drug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ind w:right="60"/>
        <w:spacing w:after="0" w:line="217" w:lineRule="exact"/>
        <w:rPr>
          <w:sz w:val="20"/>
          <w:szCs w:val="20"/>
          <w:color w:val="auto"/>
        </w:rPr>
      </w:pPr>
      <w:r>
        <w:rPr>
          <w:rFonts w:ascii="Arial" w:cs="Arial" w:eastAsia="Arial" w:hAnsi="Arial"/>
          <w:sz w:val="16"/>
          <w:szCs w:val="16"/>
          <w:color w:val="auto"/>
        </w:rPr>
        <w:t>Application (IND) for MN-166 (ibudilast) for treatment of glioblastoma was accepted and opened with the FDA. We were also informed by the FDA that the proposed clinical investigation of MN-166 (ibudilast) in combination with temozolomide for treatment of glioblastoma may proceed.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Temodar</w:t>
      </w:r>
      <w:r>
        <w:rPr>
          <w:rFonts w:ascii="MS PGothic" w:cs="MS PGothic" w:eastAsia="MS PGothic" w:hAnsi="MS PGothic"/>
          <w:sz w:val="16"/>
          <w:szCs w:val="16"/>
          <w:color w:val="auto"/>
        </w:rPr>
        <w:t>‑</w:t>
      </w:r>
      <w:r>
        <w:rPr>
          <w:rFonts w:ascii="Arial" w:cs="Arial" w:eastAsia="Arial" w:hAnsi="Arial"/>
          <w:sz w:val="16"/>
          <w:szCs w:val="16"/>
          <w:color w:val="auto"/>
        </w:rPr>
        <w:t xml:space="preserve">®) for the treatment of glioblastoma at the Dana-Farber Cancer Institute in Boston. In February 2019, we announced that </w:t>
      </w:r>
      <w:r>
        <w:rPr>
          <w:rFonts w:ascii="Arial" w:cs="Arial" w:eastAsia="Arial" w:hAnsi="Arial"/>
          <w:sz w:val="16"/>
          <w:szCs w:val="16"/>
          <w:i w:val="1"/>
          <w:iCs w:val="1"/>
          <w:color w:val="auto"/>
        </w:rPr>
        <w:t>Scientific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Reports </w:t>
      </w:r>
      <w:r>
        <w:rPr>
          <w:rFonts w:ascii="Arial" w:cs="Arial" w:eastAsia="Arial" w:hAnsi="Arial"/>
          <w:sz w:val="16"/>
          <w:szCs w:val="16"/>
          <w:color w:val="auto"/>
        </w:rPr>
        <w:t>published results from the animal model study evaluating MN-166 (ibudilast) in glioblastoma. The article, “Ibudilast sensitizes glioblastoma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temozolomide by targeting Macrophage Migration Inhibitory Factor (MIF),” is the first publication reporting the potential clinical utility of MN-166 (ibudilast) for glioblastoma. In June 2020, we announced that positive preclinical findings were published in </w:t>
      </w:r>
      <w:r>
        <w:rPr>
          <w:rFonts w:ascii="Arial" w:cs="Arial" w:eastAsia="Arial" w:hAnsi="Arial"/>
          <w:sz w:val="16"/>
          <w:szCs w:val="16"/>
          <w:i w:val="1"/>
          <w:iCs w:val="1"/>
          <w:color w:val="auto"/>
        </w:rPr>
        <w:t>Frontiers in Immunology</w:t>
      </w:r>
      <w:r>
        <w:rPr>
          <w:rFonts w:ascii="Arial" w:cs="Arial" w:eastAsia="Arial" w:hAnsi="Arial"/>
          <w:sz w:val="16"/>
          <w:szCs w:val="16"/>
          <w:color w:val="auto"/>
        </w:rPr>
        <w:t xml:space="preserve"> regarding the prospect of MN-166 (ibudilast) as an adjunctive treatment for glioblastoma. The publication, entitled “Glioblastoma myeloid-derived suppressor cell subsets express differential macrophage migration inhibitory factor receptor profiles that can be targeted to reduce immune suppression”, was based on our collaboration with the Cleveland Clinic. In August 2021, we announced 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subjects were progression-free at six months. In January 2023, we announced that the Phase 2 clinical trial evaluating MN-166 (ibudilast) in combination with temozolomide in glioblastoma at the Dana-Farber Cancer Institute has completed enrollment.</w:t>
      </w:r>
    </w:p>
    <w:p>
      <w:pPr>
        <w:spacing w:after="0" w:line="202" w:lineRule="exact"/>
        <w:rPr>
          <w:sz w:val="20"/>
          <w:szCs w:val="20"/>
          <w:color w:val="auto"/>
        </w:rPr>
      </w:pPr>
    </w:p>
    <w:p>
      <w:pPr>
        <w:ind w:right="60" w:firstLine="539"/>
        <w:spacing w:after="0" w:line="275" w:lineRule="auto"/>
        <w:rPr>
          <w:sz w:val="20"/>
          <w:szCs w:val="20"/>
          <w:color w:val="auto"/>
        </w:rPr>
      </w:pPr>
      <w:r>
        <w:rPr>
          <w:rFonts w:ascii="Arial" w:cs="Arial" w:eastAsia="Arial" w:hAnsi="Arial"/>
          <w:sz w:val="17"/>
          <w:szCs w:val="17"/>
          <w:color w:val="auto"/>
        </w:rPr>
        <w:t xml:space="preserve">In April 2022, we announced that data demonstrating that MN-166 (ibudilast) prevents metastasis in a uveal melanoma (UM) animal model was published in the journal </w:t>
      </w:r>
      <w:r>
        <w:rPr>
          <w:rFonts w:ascii="Arial" w:cs="Arial" w:eastAsia="Arial" w:hAnsi="Arial"/>
          <w:sz w:val="17"/>
          <w:szCs w:val="17"/>
          <w:i w:val="1"/>
          <w:iCs w:val="1"/>
          <w:color w:val="auto"/>
        </w:rPr>
        <w:t>Molecular Cancer Research</w:t>
      </w:r>
      <w:r>
        <w:rPr>
          <w:rFonts w:ascii="Arial" w:cs="Arial" w:eastAsia="Arial" w:hAnsi="Arial"/>
          <w:sz w:val="17"/>
          <w:szCs w:val="17"/>
          <w:color w:val="auto"/>
        </w:rPr>
        <w:t>. The publication, which was written by researchers at Columbia University Medical Center, discussed the metastatic UM mouse model study in which quantified bioluminescence signal intensity in the abdominal region was dramatically reduced by MN-166 (ibudilast) treatment (p&lt;0.05). The publication also noted that histological analysis of the liver tissues of control mice showed the presence of tumor cell clusters which were not present in the liver tissues of mice treated with MN-166 (ibudilast).</w:t>
      </w:r>
    </w:p>
    <w:p>
      <w:pPr>
        <w:spacing w:after="0" w:line="176" w:lineRule="exact"/>
        <w:rPr>
          <w:sz w:val="20"/>
          <w:szCs w:val="20"/>
          <w:color w:val="auto"/>
        </w:rPr>
      </w:pPr>
    </w:p>
    <w:p>
      <w:pPr>
        <w:ind w:firstLine="554"/>
        <w:spacing w:after="0" w:line="268" w:lineRule="auto"/>
        <w:rPr>
          <w:sz w:val="20"/>
          <w:szCs w:val="20"/>
          <w:color w:val="auto"/>
        </w:rPr>
      </w:pPr>
      <w:r>
        <w:rPr>
          <w:rFonts w:ascii="Arial" w:cs="Arial" w:eastAsia="Arial" w:hAnsi="Arial"/>
          <w:sz w:val="17"/>
          <w:szCs w:val="17"/>
          <w:i w:val="1"/>
          <w:iCs w:val="1"/>
          <w:color w:val="auto"/>
        </w:rPr>
        <w:t xml:space="preserve">Prevention of Acute Respiratory Distress Syndrome (ARDS) in patients with COVID-19: </w:t>
      </w:r>
      <w:r>
        <w:rPr>
          <w:rFonts w:ascii="Arial" w:cs="Arial" w:eastAsia="Arial" w:hAnsi="Arial"/>
          <w:sz w:val="17"/>
          <w:szCs w:val="17"/>
          <w:color w:val="auto"/>
        </w:rPr>
        <w:t>ARDS is a serious lung condition that causes low blood</w:t>
      </w:r>
      <w:r>
        <w:rPr>
          <w:rFonts w:ascii="Arial" w:cs="Arial" w:eastAsia="Arial" w:hAnsi="Arial"/>
          <w:sz w:val="17"/>
          <w:szCs w:val="17"/>
          <w:i w:val="1"/>
          <w:iCs w:val="1"/>
          <w:color w:val="auto"/>
        </w:rPr>
        <w:t xml:space="preserve"> </w:t>
      </w:r>
      <w:r>
        <w:rPr>
          <w:rFonts w:ascii="Arial" w:cs="Arial" w:eastAsia="Arial" w:hAnsi="Arial"/>
          <w:sz w:val="17"/>
          <w:szCs w:val="17"/>
          <w:color w:val="auto"/>
        </w:rPr>
        <w:t>oxygen. Difficulty breathing is usually the first symptom of ARDS. Infections are the most common risk factors for ARDS and these infections may include influenza, coronavirus, or other viruses. According to the ARDS Foundation, there are an estimated 150,000 ARDS cases per year in the U.S. and the rate of death is approximately 40% for ARDS patients. In March 2020, we announced plans to initiate development of MN-166 (ibudilast) for severe pneumonia and ARDS based on positive results of a preclinical study in an animal model of ARDS (Yang et al., 2020). Results of this preclinical study showed that MN-166 (ibudilast) treatment reversed histological changes observed in the ARDS mouse model including inflammation, hemorrhage, alveolar congestion, and alveolar wall edema. Importantly, pulmonary edema was significantly reduced by MN-166 (ibudilast) treatment (p&lt;0.001). In addition, MN-166 (ibudilast) significantly reduced the levels of inflammatory cytokines including TNF-alpha (p&lt;0.001), IL-1beta (p&lt;0.001), IL-6 (p&lt;0.001), and MCP-1 (p&lt;0.001) in a dose-dependent manner, indicating that ibudilast suppressed the inflammatory response. Results of this study also suggest that MN-166 (ibudilast) protects against pulmonary injury by attenuating cell apoptosis in lung tissue. In addition to data from the animal model of ARDS, MN-166 (ibudilast) has been identified as a compound with potential anti-SARS-CoV-2 activity in an in vitro study which screened 1,520 compounds for SARS-CoV-2 replication inhibition (Touret et al., 2020).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right="60"/>
        <w:spacing w:after="0" w:line="268" w:lineRule="auto"/>
        <w:rPr>
          <w:sz w:val="20"/>
          <w:szCs w:val="20"/>
          <w:color w:val="auto"/>
        </w:rPr>
      </w:pPr>
      <w:r>
        <w:rPr>
          <w:rFonts w:ascii="Arial" w:cs="Arial" w:eastAsia="Arial" w:hAnsi="Arial"/>
          <w:sz w:val="17"/>
          <w:szCs w:val="17"/>
          <w:color w:val="auto"/>
        </w:rPr>
        <w:t>In August 2021, we announced completion of 75% of planned enrollment in this Phase 2 clinical trial. In April 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at Day 7, with 71% of subjects in the MN-166 (ibudilast) group and 35% of subjects in the placebo group free of respiratory failure at Day 7 (p=0.02). For the co-primary endpoint of clinical status (i.e., improvement on NIAID scale) at Day 7, 71% of subjects in the MN-166 (ibudilast) group and 47% of subjects in the placebo group had improved clinical status at Day 7 (p=0.08). The trial achieved statistical significance for the proportion of subjects discharged from the hospital with 65% of subjects in the MN-166 (ibudilast) group and 29% of subjects in the placebo group discharged from the hospital at Day 7 (p=0.02). In addition, 0% of subjects in the MN-166 (ibudilast) group and 24% of subjects in the placebo group had worsened clinical status at Day 7 (p=0.05). There were two deaths in the placebo group and no deaths in the MN-166 (ibudilast) group. There were no serious adverse events related to MN-166 (ibudilast). In July 2022, we announced the initiation of a first-in-human clinical study to evaluate a new parenteral (injectable) formulation of MN-166 (ibudilast). This formulation will provide an additional option for health care providers to administer MN-166 (ibudilast) in addition to the oral formulation. In January 2023, we announced that the Phase I clinical trial of MN-166 (ibudilast) 10 mg intravenous (IV) infusion in healthy volunteers was completed with a favorable safety profile and was well tolerated.</w:t>
      </w:r>
    </w:p>
    <w:p>
      <w:pPr>
        <w:spacing w:after="0" w:line="184" w:lineRule="exact"/>
        <w:rPr>
          <w:sz w:val="20"/>
          <w:szCs w:val="20"/>
          <w:color w:val="auto"/>
        </w:rPr>
      </w:pPr>
    </w:p>
    <w:p>
      <w:pPr>
        <w:ind w:firstLine="665"/>
        <w:spacing w:after="0" w:line="268" w:lineRule="auto"/>
        <w:rPr>
          <w:sz w:val="20"/>
          <w:szCs w:val="20"/>
          <w:color w:val="auto"/>
        </w:rPr>
      </w:pPr>
      <w:r>
        <w:rPr>
          <w:rFonts w:ascii="Arial" w:cs="Arial" w:eastAsia="Arial" w:hAnsi="Arial"/>
          <w:sz w:val="17"/>
          <w:szCs w:val="17"/>
          <w:i w:val="1"/>
          <w:iCs w:val="1"/>
          <w:color w:val="auto"/>
        </w:rPr>
        <w:t xml:space="preserve">Chlorine Gas-Induced Lung Injury: </w:t>
      </w:r>
      <w:r>
        <w:rPr>
          <w:rFonts w:ascii="Arial" w:cs="Arial" w:eastAsia="Arial" w:hAnsi="Arial"/>
          <w:sz w:val="17"/>
          <w:szCs w:val="17"/>
          <w:color w:val="auto"/>
        </w:rPr>
        <w:t>In March 2021, we announced a partnership with the Biomedical Advanced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(BARDA), part of the Office of the Assistant Secretary for Preparedness and Response at the U.S. Department of Health and Human Services, to develop MN-166 (ibudilast) as a potential medical countermeasure (MCM) against chlorine gas-induced lung damage such as acute respiratory distress syndrome (ARDS) and acute lung injury (ALI). Under the Division of Research, Innovation, and Ventures’ (DRIVe) Repurposing Drugs in Response to Chemical Threats (ReDIRECT) program, BARDA agreed to provide federal funding for proof-of-concept studies of MN-166 (ibudilast) in preclinical models of chlorine gas-induced acute lung injury under Contract No. 75A50121C00022. MN-166 (ibudilast) was the first compound to receive BARDA’s development support through the DRIVe ReDIRECT program. In June 2021, we announced initiation of a sheep study to investigate MN-166 (ibudilast) in an ovine model of chlorine-induced acute lung injury. Following treatment of the sheep with MN-166 (ibudilast) or control, the study will evaluate pulmonary function, lung injury and edema formation, cardiopulmonary hemodynamics, and systemic vascular permeability. In June 2021, we also announced a mouse study to investigate the efficacy of MN-166 (ibudilast) in a murine model of chlorine-induced lung injury and lethality. After mice are exposed to chlorine gas and treated with MN-166 (ibudilast) or control, the study will evaluate survival, clinical outcomes, body weights, lung weights, and upper respiratory tract histopathology. In June 2022, we announced a modification to our contract with BARDA in which the contract was amended to extend the period of performance until March 2023.</w:t>
      </w:r>
    </w:p>
    <w:p>
      <w:pPr>
        <w:spacing w:after="0" w:line="186" w:lineRule="exact"/>
        <w:rPr>
          <w:sz w:val="20"/>
          <w:szCs w:val="20"/>
          <w:color w:val="auto"/>
        </w:rPr>
      </w:pPr>
    </w:p>
    <w:p>
      <w:pPr>
        <w:ind w:right="80" w:firstLine="665"/>
        <w:spacing w:after="0" w:line="275" w:lineRule="auto"/>
        <w:rPr>
          <w:sz w:val="20"/>
          <w:szCs w:val="20"/>
          <w:color w:val="auto"/>
        </w:rPr>
      </w:pPr>
      <w:r>
        <w:rPr>
          <w:rFonts w:ascii="Arial" w:cs="Arial" w:eastAsia="Arial" w:hAnsi="Arial"/>
          <w:sz w:val="17"/>
          <w:szCs w:val="17"/>
          <w:i w:val="1"/>
          <w:iCs w:val="1"/>
          <w:color w:val="auto"/>
        </w:rPr>
        <w:t xml:space="preserve">Long COVID: </w:t>
      </w:r>
      <w:r>
        <w:rPr>
          <w:rFonts w:ascii="Arial" w:cs="Arial" w:eastAsia="Arial" w:hAnsi="Arial"/>
          <w:sz w:val="17"/>
          <w:szCs w:val="17"/>
          <w:color w:val="auto"/>
        </w:rPr>
        <w:t>In August 2022, we announced plans to participate in RECLAIM (Recovering from COVID-19 Lingering Symptoms Adaptive</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Integrative Medicine Trial), a grant-funded, multi-center, randomized, clinical trial to evaluate MN-166 (ibudilast) and other therapies for the treatment of Long COVID, the lingering symptoms of COVID-19. We reached an agreement to collaborate with the University Health Network, an academic health sciences center located in Toronto, which has the largest hospital-based research program in Canada. In February 2023, we announced that Health Canada completed its review of the clinical trial application and granted authorization to commence the RECLAIM trial.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MN-221 (bedoradrine)</w:t>
      </w:r>
    </w:p>
    <w:p>
      <w:pPr>
        <w:spacing w:after="0" w:line="117" w:lineRule="exact"/>
        <w:rPr>
          <w:sz w:val="20"/>
          <w:szCs w:val="20"/>
          <w:color w:val="auto"/>
        </w:rPr>
      </w:pPr>
    </w:p>
    <w:p>
      <w:pPr>
        <w:ind w:right="100" w:firstLine="560"/>
        <w:spacing w:after="0" w:line="255" w:lineRule="auto"/>
        <w:rPr>
          <w:sz w:val="20"/>
          <w:szCs w:val="20"/>
          <w:color w:val="auto"/>
        </w:rPr>
      </w:pPr>
      <w:r>
        <w:rPr>
          <w:rFonts w:ascii="Arial" w:cs="Arial" w:eastAsia="Arial" w:hAnsi="Arial"/>
          <w:sz w:val="18"/>
          <w:szCs w:val="18"/>
          <w:color w:val="auto"/>
        </w:rPr>
        <w:t>MN-221 (bedoradrine) is a novel, highly selective beta-2-adrenergic receptor agonist which has been developed for the treatment of acute exacerbations of asthma. We licensed MN-221 (bedoradrine) from Kissei Pharmaceutical Co., Ltd. (Kissei) in February 2004. In October 2022, we terminated this license agreement and we now have no further financial obligation to Kissei.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Arial" w:cs="Arial" w:eastAsia="Arial" w:hAnsi="Arial"/>
          <w:sz w:val="18"/>
          <w:szCs w:val="18"/>
          <w:i w:val="1"/>
          <w:iCs w:val="1"/>
          <w:color w:val="auto"/>
        </w:rPr>
        <w:t>e.g.</w:t>
      </w:r>
      <w:r>
        <w:rPr>
          <w:rFonts w:ascii="Arial" w:cs="Arial" w:eastAsia="Arial" w:hAnsi="Arial"/>
          <w:sz w:val="18"/>
          <w:szCs w:val="18"/>
          <w:color w:val="auto"/>
        </w:rPr>
        <w:t xml:space="preserve"> increased heart rate).</w:t>
      </w:r>
    </w:p>
    <w:p>
      <w:pPr>
        <w:spacing w:after="0" w:line="192" w:lineRule="exact"/>
        <w:rPr>
          <w:sz w:val="20"/>
          <w:szCs w:val="20"/>
          <w:color w:val="auto"/>
        </w:rPr>
      </w:pPr>
    </w:p>
    <w:p>
      <w:pPr>
        <w:ind w:firstLine="554"/>
        <w:spacing w:after="0" w:line="229" w:lineRule="auto"/>
        <w:rPr>
          <w:sz w:val="20"/>
          <w:szCs w:val="20"/>
          <w:color w:val="auto"/>
        </w:rPr>
      </w:pPr>
      <w:r>
        <w:rPr>
          <w:rFonts w:ascii="Arial" w:cs="Arial" w:eastAsia="Arial" w:hAnsi="Arial"/>
          <w:sz w:val="18"/>
          <w:szCs w:val="18"/>
          <w:color w:val="auto"/>
        </w:rPr>
        <w:t>MN-221 (bedoradrine) is designed to treat acute exacerbations of asthma via intravenous (i.v.) infusion, bypassing constricted airways to deliver the drug to the lungs. Preclinical studies showed MN-221 (bedoradrine) to have a high affinity for the ß</w:t>
      </w:r>
      <w:r>
        <w:rPr>
          <w:rFonts w:ascii="Arial" w:cs="Arial" w:eastAsia="Arial" w:hAnsi="Arial"/>
          <w:sz w:val="24"/>
          <w:szCs w:val="24"/>
          <w:color w:val="auto"/>
          <w:vertAlign w:val="subscript"/>
        </w:rPr>
        <w:t>2</w:t>
      </w:r>
      <w:r>
        <w:rPr>
          <w:rFonts w:ascii="Arial" w:cs="Arial" w:eastAsia="Arial" w:hAnsi="Arial"/>
          <w:sz w:val="18"/>
          <w:szCs w:val="18"/>
          <w:color w:val="auto"/>
        </w:rPr>
        <w:t xml:space="preserve"> -adrenergic receptor, found primarily in the lungs, and a much lower affinity for the ß</w:t>
      </w:r>
      <w:r>
        <w:rPr>
          <w:rFonts w:ascii="Arial" w:cs="Arial" w:eastAsia="Arial" w:hAnsi="Arial"/>
          <w:sz w:val="24"/>
          <w:szCs w:val="24"/>
          <w:color w:val="auto"/>
          <w:vertAlign w:val="subscript"/>
        </w:rPr>
        <w:t>1</w:t>
      </w:r>
      <w:r>
        <w:rPr>
          <w:rFonts w:ascii="Arial" w:cs="Arial" w:eastAsia="Arial" w:hAnsi="Arial"/>
          <w:sz w:val="18"/>
          <w:szCs w:val="18"/>
          <w:color w:val="auto"/>
        </w:rPr>
        <w:t xml:space="preserve"> -adrenergic receptor found primarily in cardiac tissue. MN-221 (bedoradrine)’s improved delivery to the lungs and its cardiac safety profile has potential to help fill an unmet need for patients with acute exacerbations of asthma, helping them to breathe easier and avoid a costly hospital stay.</w:t>
      </w:r>
    </w:p>
    <w:p>
      <w:pPr>
        <w:spacing w:after="0" w:line="204" w:lineRule="exact"/>
        <w:rPr>
          <w:sz w:val="20"/>
          <w:szCs w:val="20"/>
          <w:color w:val="auto"/>
        </w:rPr>
      </w:pPr>
    </w:p>
    <w:p>
      <w:pPr>
        <w:ind w:right="440" w:firstLine="560"/>
        <w:spacing w:after="0" w:line="277" w:lineRule="auto"/>
        <w:rPr>
          <w:sz w:val="20"/>
          <w:szCs w:val="20"/>
          <w:color w:val="auto"/>
        </w:rPr>
      </w:pPr>
      <w:r>
        <w:rPr>
          <w:rFonts w:ascii="Arial" w:cs="Arial" w:eastAsia="Arial" w:hAnsi="Arial"/>
          <w:sz w:val="18"/>
          <w:szCs w:val="18"/>
          <w:i w:val="1"/>
          <w:iCs w:val="1"/>
          <w:color w:val="auto"/>
        </w:rPr>
        <w:t xml:space="preserve">Acute Exacerbation of Asthma: </w:t>
      </w:r>
      <w:r>
        <w:rPr>
          <w:rFonts w:ascii="Arial" w:cs="Arial" w:eastAsia="Arial" w:hAnsi="Arial"/>
          <w:sz w:val="18"/>
          <w:szCs w:val="18"/>
          <w:color w:val="auto"/>
        </w:rPr>
        <w:t>According to the most recent data available from the United States National Center for Health Statistics, there</w:t>
      </w:r>
      <w:r>
        <w:rPr>
          <w:rFonts w:ascii="Arial" w:cs="Arial" w:eastAsia="Arial" w:hAnsi="Arial"/>
          <w:sz w:val="18"/>
          <w:szCs w:val="18"/>
          <w:i w:val="1"/>
          <w:iCs w:val="1"/>
          <w:color w:val="auto"/>
        </w:rPr>
        <w:t xml:space="preserve"> </w:t>
      </w:r>
      <w:r>
        <w:rPr>
          <w:rFonts w:ascii="Arial" w:cs="Arial" w:eastAsia="Arial" w:hAnsi="Arial"/>
          <w:sz w:val="18"/>
          <w:szCs w:val="18"/>
          <w:color w:val="auto"/>
        </w:rPr>
        <w:t>were 1.84 million emergency department visits due to asthma in 2019 and 3,524 deaths due to asthma in 2019.</w:t>
      </w:r>
    </w:p>
    <w:p>
      <w:pPr>
        <w:spacing w:after="0" w:line="170" w:lineRule="exact"/>
        <w:rPr>
          <w:sz w:val="20"/>
          <w:szCs w:val="20"/>
          <w:color w:val="auto"/>
        </w:rPr>
      </w:pPr>
    </w:p>
    <w:p>
      <w:pPr>
        <w:ind w:right="20" w:firstLine="572"/>
        <w:spacing w:after="0" w:line="269" w:lineRule="auto"/>
        <w:rPr>
          <w:sz w:val="20"/>
          <w:szCs w:val="20"/>
          <w:color w:val="auto"/>
        </w:rPr>
      </w:pPr>
      <w:r>
        <w:rPr>
          <w:rFonts w:ascii="Arial" w:cs="Arial" w:eastAsia="Arial" w:hAnsi="Arial"/>
          <w:sz w:val="17"/>
          <w:szCs w:val="17"/>
          <w:color w:val="auto"/>
        </w:rPr>
        <w:t>We completed a Phase 2b randomized, double-blind, placebo-controlled clinical trial which evaluated MN-221 (bedoradrine) in 175 patients with acute exacerbations of asthma in the emergency department setting. MN-221 (bedoradrine) did not statistically meet the primary endpoint, improvement in FEV1 (Forced Expiratory Volume in One Second) compared to placebo. However, MN-221 (bedoradrine) treatment demonstrated statistically significant improvements in endpoints associated with Dyspnea Index scores. MN-221 (bedoradrine) treatment significantly increased (improved) the change from baseline in Dyspnea Index scale score over Hours 0-3 compared to placebo (based on AUC [0-3 hr], p =0.0405), significantly increased the change from baseline in Dyspnea Index scale scores at Hour 2 compared to placebo (based on mean score, p = 0.0042), and significantly increased the percentage of subjects who had improvement in the Dyspnea Index score ≥ 1 point at Hour 2 compared to placebo (p = 0.0323). A post-hoc analysis was performed to evaluate the Treatment Failure rate defined as the number of subjects who were either hospitalized or who returned to the emergency department during the course of the study. In subjects who received corticosteroids greater than 3 hours prior to study drug infusion, the number of treatment failures was significantly greater in the placebo group (74%) versus the MN-221 (bedoradrine) group (43%), p=0.0489. No safety/tolerability issues of clinical significance were observed.</w:t>
      </w:r>
    </w:p>
    <w:p>
      <w:pPr>
        <w:spacing w:after="0" w:line="182" w:lineRule="exact"/>
        <w:rPr>
          <w:sz w:val="20"/>
          <w:szCs w:val="20"/>
          <w:color w:val="auto"/>
        </w:rPr>
      </w:pPr>
    </w:p>
    <w:p>
      <w:pPr>
        <w:ind w:right="80" w:firstLine="560"/>
        <w:spacing w:after="0" w:line="301" w:lineRule="auto"/>
        <w:rPr>
          <w:sz w:val="20"/>
          <w:szCs w:val="20"/>
          <w:color w:val="auto"/>
        </w:rPr>
      </w:pPr>
      <w:r>
        <w:rPr>
          <w:rFonts w:ascii="Arial" w:cs="Arial" w:eastAsia="Arial" w:hAnsi="Arial"/>
          <w:sz w:val="16"/>
          <w:szCs w:val="16"/>
          <w:color w:val="auto"/>
        </w:rPr>
        <w:t>In October 2012, we met with the FDA to review future development of this product candidate. The FDA identified the risk/benefit profile of MN-221 (bedoradrine) as a focal point for further development and advised that a clinical outcome, such as a reduction in hospitalizations, would need to be a primary endpoint in a pivotal trial. We have decided that any future MN-221 (bedoradrine) development will be designed based on the feedback received from the FDA and that any future MN-221 (bedoradrine) clinical trial development for asthma will be partner-dependent from a funding perspective.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117" w:lineRule="exact"/>
        <w:rPr>
          <w:sz w:val="20"/>
          <w:szCs w:val="20"/>
          <w:color w:val="auto"/>
        </w:rPr>
      </w:pPr>
    </w:p>
    <w:p>
      <w:pPr>
        <w:ind w:right="20" w:firstLine="572"/>
        <w:spacing w:after="0" w:line="255" w:lineRule="auto"/>
        <w:rPr>
          <w:sz w:val="20"/>
          <w:szCs w:val="20"/>
          <w:color w:val="auto"/>
        </w:rPr>
      </w:pPr>
      <w:r>
        <w:rPr>
          <w:rFonts w:ascii="Arial" w:cs="Arial" w:eastAsia="Arial" w:hAnsi="Arial"/>
          <w:sz w:val="18"/>
          <w:szCs w:val="18"/>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the inhibitory effect of MN-001 (tipelukast)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right="60"/>
        <w:spacing w:after="0" w:line="259" w:lineRule="auto"/>
        <w:rPr>
          <w:sz w:val="20"/>
          <w:szCs w:val="20"/>
          <w:color w:val="auto"/>
        </w:rPr>
      </w:pPr>
      <w:r>
        <w:rPr>
          <w:rFonts w:ascii="Arial" w:cs="Arial" w:eastAsia="Arial" w:hAnsi="Arial"/>
          <w:sz w:val="18"/>
          <w:szCs w:val="18"/>
          <w:color w:val="auto"/>
        </w:rPr>
        <w:t>promote inflammation including CCR2 and MCP-1. In addition, histopathological data shows that MN-001 (tipelukast) reduces fibrosis in multiple animal models. We licensed MN-001 (tipelukast) from Kyorin in 2002. In addition to granting MN-001 (tipelukast) Fast Track designation for the treatment of NASH with fibrosis, the FDA has also granted MN-001 (tipelukast) Orphan-Drug designation and Fast Track designation for the treatment of idiopathic pulmonary fibrosis (IPF).</w:t>
      </w:r>
    </w:p>
    <w:p>
      <w:pPr>
        <w:spacing w:after="0" w:line="187" w:lineRule="exact"/>
        <w:rPr>
          <w:sz w:val="20"/>
          <w:szCs w:val="20"/>
          <w:color w:val="auto"/>
        </w:rPr>
      </w:pPr>
    </w:p>
    <w:p>
      <w:pPr>
        <w:ind w:right="280" w:firstLine="560"/>
        <w:spacing w:after="0" w:line="308" w:lineRule="auto"/>
        <w:rPr>
          <w:sz w:val="20"/>
          <w:szCs w:val="20"/>
          <w:color w:val="auto"/>
        </w:rPr>
      </w:pPr>
      <w:r>
        <w:rPr>
          <w:rFonts w:ascii="Arial" w:cs="Arial" w:eastAsia="Arial" w:hAnsi="Arial"/>
          <w:sz w:val="17"/>
          <w:szCs w:val="17"/>
          <w:color w:val="auto"/>
        </w:rPr>
        <w:t>Previously, we evaluated MN-001 (tipelukast) for its potential clinical efficacy in asthma and completed a Phase 2 study in asthma with positive results. MN-001 (tipelukast) has been administered to more than 600 subjects and is considered generally safe and well-tolerated.</w:t>
      </w:r>
    </w:p>
    <w:p>
      <w:pPr>
        <w:spacing w:after="0" w:line="146" w:lineRule="exact"/>
        <w:rPr>
          <w:sz w:val="20"/>
          <w:szCs w:val="20"/>
          <w:color w:val="auto"/>
        </w:rPr>
      </w:pPr>
    </w:p>
    <w:p>
      <w:pPr>
        <w:ind w:right="40" w:firstLine="572"/>
        <w:spacing w:after="0" w:line="271" w:lineRule="auto"/>
        <w:rPr>
          <w:sz w:val="20"/>
          <w:szCs w:val="20"/>
          <w:color w:val="auto"/>
        </w:rPr>
      </w:pPr>
      <w:r>
        <w:rPr>
          <w:rFonts w:ascii="Arial" w:cs="Arial" w:eastAsia="Arial" w:hAnsi="Arial"/>
          <w:sz w:val="17"/>
          <w:szCs w:val="17"/>
          <w:i w:val="1"/>
          <w:iCs w:val="1"/>
          <w:color w:val="auto"/>
        </w:rPr>
        <w:t>Nonalcoholic Steatohepatitis (NASH) and Nonalcoholic Fatty Liver Disease (NAFLD)</w:t>
      </w:r>
      <w:r>
        <w:rPr>
          <w:rFonts w:ascii="Arial" w:cs="Arial" w:eastAsia="Arial" w:hAnsi="Arial"/>
          <w:sz w:val="17"/>
          <w:szCs w:val="17"/>
          <w:color w:val="auto"/>
        </w:rPr>
        <w:t>: Nonalcoholic fatty liver disease (NAFLD) is a condition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there is fat in the liver. Some individuals with NAFLD can develop nonalcoholic steatohepatitis (NASH), a condition in which there is fat in the liver along with inflammation and damage to liver cells. NASH is a common liver disease that resembles alcoholic liver disease but occurs in people who drink little or no alcohol. According to the United States National Institute of Diabetes and Digestive and Kidney Diseases (NIDDK), NASH prevalence in adults in the United States is 1.5 - 6.5%, and approximately 24% of U.S. adults have nonalcoholic fatty liver disease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pharmaceutical treatment approved for NAFLD or NASH.</w:t>
      </w:r>
    </w:p>
    <w:p>
      <w:pPr>
        <w:spacing w:after="0" w:line="178" w:lineRule="exact"/>
        <w:rPr>
          <w:sz w:val="20"/>
          <w:szCs w:val="20"/>
          <w:color w:val="auto"/>
        </w:rPr>
      </w:pPr>
    </w:p>
    <w:p>
      <w:pPr>
        <w:ind w:firstLine="560"/>
        <w:spacing w:after="0" w:line="268" w:lineRule="auto"/>
        <w:rPr>
          <w:sz w:val="20"/>
          <w:szCs w:val="20"/>
          <w:color w:val="auto"/>
        </w:rPr>
      </w:pPr>
      <w:r>
        <w:rPr>
          <w:rFonts w:ascii="Arial" w:cs="Arial" w:eastAsia="Arial" w:hAnsi="Arial"/>
          <w:sz w:val="17"/>
          <w:szCs w:val="17"/>
          <w:color w:val="auto"/>
        </w:rPr>
        <w:t>We completed a pre-clinical study evaluating the potential clinical efficacy of MN-001 (tipelukast)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the anti-fibrotic properties of MN-001 (tipelukast).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(tipelukast)-treated group (p&lt;0.001). Collectively, these results provided compelling evidence that MN-001 (tipelukast) warrants further evaluation for the treatment of NASH in humans.</w:t>
      </w:r>
    </w:p>
    <w:p>
      <w:pPr>
        <w:spacing w:after="0" w:line="182" w:lineRule="exact"/>
        <w:rPr>
          <w:sz w:val="20"/>
          <w:szCs w:val="20"/>
          <w:color w:val="auto"/>
        </w:rPr>
      </w:pPr>
    </w:p>
    <w:p>
      <w:pPr>
        <w:ind w:right="20" w:firstLine="572"/>
        <w:spacing w:after="0" w:line="257" w:lineRule="auto"/>
        <w:rPr>
          <w:sz w:val="20"/>
          <w:szCs w:val="20"/>
          <w:color w:val="auto"/>
        </w:rPr>
      </w:pPr>
      <w:r>
        <w:rPr>
          <w:rFonts w:ascii="Arial" w:cs="Arial" w:eastAsia="Arial" w:hAnsi="Arial"/>
          <w:sz w:val="18"/>
          <w:szCs w:val="18"/>
          <w:color w:val="auto"/>
        </w:rPr>
        <w:t>We have an open IND and the FDA has approved three different Phase 2 clinical trial protocols for MN-001 (tipelukast) for the treatment of NASH and NAFLD in the United States. In April 2018, we announced that we would terminate early the Phase 2 clinical trial of MN-001 (tipelukast) in NASH and NAFLD patients with hypertriglyceridemia based on the significant positive results from an interim analysis. This data was presented at the International Liver Congress 2018, the 53rd annual meeting of the European Association for the Study of the Liver (EASL) in Paris, France in April 2018. MN-001 (tipelukast) significantly reduced mean serum triglycerides 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t>135.7 mg/dL, resulting in a 41.3% reduction (p=0.02), which includes the data from the 15 subjects who completed eight weeks of treatment. Excluding one outlier with an extremely high triglyceride level of 1288 mg/dL before treatment, MN-001 (tipelukast) significantly reduced mean serum triglycerides by 74.9 mg/dL, resulting in a 28.8% reduction (p=0.00006). The FDA has granted Fast Track designation to MN-001 (tipelukast) for the treatment of patients with NASH with fibrosis.</w:t>
      </w:r>
    </w:p>
    <w:p>
      <w:pPr>
        <w:spacing w:after="0" w:line="187" w:lineRule="exact"/>
        <w:rPr>
          <w:sz w:val="20"/>
          <w:szCs w:val="20"/>
          <w:color w:val="auto"/>
        </w:rPr>
      </w:pPr>
    </w:p>
    <w:p>
      <w:pPr>
        <w:ind w:right="20" w:firstLine="572"/>
        <w:spacing w:after="0" w:line="269" w:lineRule="auto"/>
        <w:rPr>
          <w:sz w:val="20"/>
          <w:szCs w:val="20"/>
          <w:color w:val="auto"/>
        </w:rPr>
      </w:pPr>
      <w:r>
        <w:rPr>
          <w:rFonts w:ascii="Arial" w:cs="Arial" w:eastAsia="Arial" w:hAnsi="Arial"/>
          <w:sz w:val="17"/>
          <w:szCs w:val="17"/>
          <w:color w:val="auto"/>
        </w:rPr>
        <w:t>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 MN-001 attenuated TGFβ1 induced HSC activation, TGFβ1 mediated increase in HSC motility and contractility, and fibrogenic signaling in a mouse acute carbon tetrachloride (CCl4)-induced liver injury model. These data provide additional scientific evidence to support MN-001’s anti-fibrotic effects in the liver. In November 2021, we announced new findings from a study that investigated the mechanism by which MN-001 (tipelukast) alters triglyceride metabolism in hepatocytes at the Annual Meeting of the American Association for the Study of Liver Diseases (AASLD). This study found that MN-001 (tipelukast) had an inhibitory effect on triglyceride synthesis in HepG2 cells derived from human hepatocellular carcinoma samples. The expression of CD36, one of the fatty acid transporters involved in the uptake of arachidonic acid into liver cells, was suppressed by adding MN-001 (tipelukast). This suggests that MN-001 (tipelukast) reduces triglyceride synthesis by inhibiting arachidonic acid uptake into hepatocytes. CD36 enhances cellular fatty acid uptake in the liver and is known to be involved in the pathogenesis of fatty liver.</w:t>
      </w:r>
    </w:p>
    <w:p>
      <w:pPr>
        <w:spacing w:after="0" w:line="185" w:lineRule="exact"/>
        <w:rPr>
          <w:sz w:val="20"/>
          <w:szCs w:val="20"/>
          <w:color w:val="auto"/>
        </w:rPr>
      </w:pPr>
    </w:p>
    <w:p>
      <w:pPr>
        <w:ind w:firstLine="539"/>
        <w:spacing w:after="0" w:line="287" w:lineRule="auto"/>
        <w:rPr>
          <w:sz w:val="20"/>
          <w:szCs w:val="20"/>
          <w:color w:val="auto"/>
        </w:rPr>
      </w:pPr>
      <w:r>
        <w:rPr>
          <w:rFonts w:ascii="Arial" w:cs="Arial" w:eastAsia="Arial" w:hAnsi="Arial"/>
          <w:sz w:val="16"/>
          <w:szCs w:val="16"/>
          <w:color w:val="auto"/>
        </w:rPr>
        <w:t>In April 2022, we announced that the FDA completed its review of a proposed Phase 2 clinical trial to evaluate MN-001 (tipelukast) for the treatment of patients with NAFLD, type 2 diabetes mellitus, and hypertriglyceridemia and the study may proceed. This multi-center, two-arm, randomized, double-blind, placebo-controlled Phase 2 trial will evaluate MN-001 (tipelukast) vs. placebo in approximately 40 patients in the U.S. Patients will be randomized 1:1 to receive either 500 mg/day of MN-001 (tipelukast) or placebo for 24 weeks. The co-primary endpoints are (1) change from baseline in liver fat content measured by MRI Proton Density Fat Fraction (MRI-PDFF) at Week 24, and (2) change from baseline in fasting serum triglycerides at Week 24. In July 2022, we announced the initiation of this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 Compared to subjects without Type 2 diabetes mellitus (T2DM), the T2DM group showed a greater reduction in serum triglyceride levels at Week 8 (50.8% reduction for with T2DM versus 17.8% reduction for without T2DM, p=0.098). Mean HDL increase was significantly greater in subjects with T2DM than subjects without T2DM at Week 8 (15.8% versus 1.0%, p&lt;0.0002). In comparison to subjects without T2DM, the T2DM group showed a greater reduction in serum LDL levels at Week 8 (15.4% versus 6.7%).</w:t>
      </w:r>
    </w:p>
    <w:p>
      <w:pPr>
        <w:spacing w:after="0" w:line="168" w:lineRule="exact"/>
        <w:rPr>
          <w:sz w:val="20"/>
          <w:szCs w:val="20"/>
          <w:color w:val="auto"/>
        </w:rPr>
      </w:pPr>
    </w:p>
    <w:p>
      <w:pPr>
        <w:ind w:right="280" w:firstLine="560"/>
        <w:spacing w:after="0" w:line="257" w:lineRule="auto"/>
        <w:rPr>
          <w:sz w:val="20"/>
          <w:szCs w:val="20"/>
          <w:color w:val="auto"/>
        </w:rPr>
      </w:pPr>
      <w:r>
        <w:rPr>
          <w:rFonts w:ascii="Arial" w:cs="Arial" w:eastAsia="Arial" w:hAnsi="Arial"/>
          <w:sz w:val="18"/>
          <w:szCs w:val="18"/>
          <w:i w:val="1"/>
          <w:iCs w:val="1"/>
          <w:color w:val="auto"/>
        </w:rPr>
        <w:t xml:space="preserve">Idiopathic Pulmonary Fibrosis (IPF): </w:t>
      </w:r>
      <w:r>
        <w:rPr>
          <w:rFonts w:ascii="Arial" w:cs="Arial" w:eastAsia="Arial" w:hAnsi="Arial"/>
          <w:sz w:val="18"/>
          <w:szCs w:val="18"/>
          <w:color w:val="auto"/>
        </w:rPr>
        <w:t>Pulmonary fibrosis (PF) is a progressive disease characterized by scarring of the lungs that thickens the</w:t>
      </w:r>
      <w:r>
        <w:rPr>
          <w:rFonts w:ascii="Arial" w:cs="Arial" w:eastAsia="Arial" w:hAnsi="Arial"/>
          <w:sz w:val="18"/>
          <w:szCs w:val="18"/>
          <w:i w:val="1"/>
          <w:iCs w:val="1"/>
          <w:color w:val="auto"/>
        </w:rPr>
        <w:t xml:space="preserve"> </w:t>
      </w:r>
      <w:r>
        <w:rPr>
          <w:rFonts w:ascii="Arial" w:cs="Arial" w:eastAsia="Arial" w:hAnsi="Arial"/>
          <w:sz w:val="18"/>
          <w:szCs w:val="18"/>
          <w:color w:val="auto"/>
        </w:rPr>
        <w:t>lining, causing an irreversible loss of the tissue's ability to transport oxygen. The causes of PF vary and can be due to anti-cancer drug therapy or exposure to chemicals. Idiopathic pulmonary fibrosis (IPF) is one type of PF without a clear cause. According to the U.S. National Library of Medicine, IPF affects approximately 100,000 people in the United States, and 30,000 to 40,000 new cases are diagnosed annually. The prognosis for IPF is poor and most IPF patients survive only three to five years after diagnosis.</w:t>
      </w:r>
    </w:p>
    <w:p>
      <w:pPr>
        <w:spacing w:after="0" w:line="188" w:lineRule="exact"/>
        <w:rPr>
          <w:sz w:val="20"/>
          <w:szCs w:val="20"/>
          <w:color w:val="auto"/>
        </w:rPr>
      </w:pPr>
    </w:p>
    <w:p>
      <w:pPr>
        <w:ind w:right="280" w:firstLine="560"/>
        <w:spacing w:after="0" w:line="279" w:lineRule="auto"/>
        <w:rPr>
          <w:sz w:val="20"/>
          <w:szCs w:val="20"/>
          <w:color w:val="auto"/>
        </w:rPr>
      </w:pPr>
      <w:r>
        <w:rPr>
          <w:rFonts w:ascii="Arial" w:cs="Arial" w:eastAsia="Arial" w:hAnsi="Arial"/>
          <w:sz w:val="17"/>
          <w:szCs w:val="17"/>
          <w:color w:val="auto"/>
        </w:rPr>
        <w:t>We completed a pre-clinical study evaluating the potential clinical efficacy of MN-001 (tipelukast) for the treatment of pulmonary fibrosis. MN-001 (tipelukast), which was administered orally once daily (30, 100 and 300 mg/kg) for two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140"/>
        <w:spacing w:after="0" w:line="259" w:lineRule="auto"/>
        <w:rPr>
          <w:sz w:val="20"/>
          <w:szCs w:val="20"/>
          <w:color w:val="auto"/>
        </w:rPr>
      </w:pPr>
      <w:r>
        <w:rPr>
          <w:rFonts w:ascii="Arial" w:cs="Arial" w:eastAsia="Arial" w:hAnsi="Arial"/>
          <w:sz w:val="18"/>
          <w:szCs w:val="18"/>
          <w:color w:val="auto"/>
        </w:rPr>
        <w:t>tissue. MN-001 (tipelukast) significantly decreased the Ashcroft score compared to the Vehicle-treated group (p&lt;0.05) after two weeks of treatment and MN-001 (tipelukast) reduced lung density when compared to the Vehicle-treated group. Moreover, lung hydroxyproline content was significantly reduced compared to the Vehicle-treated group (p&lt;0.01). These results show that treatment with MN-001 (tipelukast) has significant anti-fibrogenic effects in bleomycin-induced pulmonary fibrosis in mice.</w:t>
      </w:r>
    </w:p>
    <w:p>
      <w:pPr>
        <w:spacing w:after="0" w:line="187" w:lineRule="exact"/>
        <w:rPr>
          <w:sz w:val="20"/>
          <w:szCs w:val="20"/>
          <w:color w:val="auto"/>
        </w:rPr>
      </w:pPr>
    </w:p>
    <w:p>
      <w:pPr>
        <w:ind w:right="160" w:firstLine="572"/>
        <w:spacing w:after="0" w:line="290" w:lineRule="auto"/>
        <w:rPr>
          <w:sz w:val="20"/>
          <w:szCs w:val="20"/>
          <w:color w:val="auto"/>
        </w:rPr>
      </w:pPr>
      <w:r>
        <w:rPr>
          <w:rFonts w:ascii="Arial" w:cs="Arial" w:eastAsia="Arial" w:hAnsi="Arial"/>
          <w:sz w:val="16"/>
          <w:szCs w:val="16"/>
          <w:color w:val="auto"/>
        </w:rPr>
        <w:t>We have an open IND and the FDA approved a Phase 2 clinical trial protocol for MN-001 (tipelukast) for the treatment of IPF. A Phase 2 clinical trial of MN-001 (tipelukast) in IPF was completed at Penn State and we announced results of this trial in August 2021. Although there were no clinically meaningful trends in favor of MN-001 (tipelukast) for the majority of the clinical outcome measures in this small study of 15 subjects, there were no worsening IPF events (acute IPF exacerbation or hospitalization due to respiratory symptoms) in the MN-001 (tipelukast) group compared to one worsening IPF event in the placebo group. MN-001 (tipelukast) demonstrated a substantial reduction in LOXL2, a biomarker for IPF, whereas LOXL2 increased in the placebo group. MN-001 (tipelukast) was safe and well tolerated. The FDA has granted Orphan-Drug designation to MN-001 (tipelukast) for treatment of IPF. Orphan-Drug designation will provide seven years of marketing exclusivity for MN-001 (tipelukast) for the treatment of IPF if it is approved for this indication. The FDA has also granted Fast Track designation to MN-001 (tipelukast) for the treatment of patients with IPF.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117" w:lineRule="exact"/>
        <w:rPr>
          <w:sz w:val="20"/>
          <w:szCs w:val="20"/>
          <w:color w:val="auto"/>
        </w:rPr>
      </w:pPr>
    </w:p>
    <w:p>
      <w:pPr>
        <w:ind w:right="220" w:firstLine="560"/>
        <w:spacing w:after="0" w:line="259" w:lineRule="auto"/>
        <w:rPr>
          <w:sz w:val="20"/>
          <w:szCs w:val="20"/>
          <w:color w:val="auto"/>
        </w:rPr>
      </w:pPr>
      <w:r>
        <w:rPr>
          <w:rFonts w:ascii="Arial" w:cs="Arial" w:eastAsia="Arial" w:hAnsi="Arial"/>
          <w:sz w:val="18"/>
          <w:szCs w:val="18"/>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(denibulin) from Angiogene Pharmaceuticals, Ltd. (Angiogene) in 2002.</w:t>
      </w:r>
    </w:p>
    <w:p>
      <w:pPr>
        <w:spacing w:after="0" w:line="187" w:lineRule="exact"/>
        <w:rPr>
          <w:sz w:val="20"/>
          <w:szCs w:val="20"/>
          <w:color w:val="auto"/>
        </w:rPr>
      </w:pPr>
    </w:p>
    <w:p>
      <w:pPr>
        <w:ind w:right="120" w:firstLine="572"/>
        <w:spacing w:after="0" w:line="254" w:lineRule="auto"/>
        <w:rPr>
          <w:sz w:val="20"/>
          <w:szCs w:val="20"/>
          <w:color w:val="auto"/>
        </w:rPr>
      </w:pPr>
      <w:r>
        <w:rPr>
          <w:rFonts w:ascii="Arial" w:cs="Arial" w:eastAsia="Arial" w:hAnsi="Arial"/>
          <w:sz w:val="18"/>
          <w:szCs w:val="18"/>
          <w:color w:val="auto"/>
        </w:rPr>
        <w:t>Several preclinical pharmacology studies have assessed the mechanism of action and anti-tumor activity of MN-029 (denibulin) in vivo in rodent models of breast adenocarcinoma, colon carcinoma, lung carcinoma and KHT sarcoma. In these studies, MN-029 (denibulin) damaged poorly formed tumor blood vessels by weakening tumor blood vessel walls and causing leakage, clotting and eventual vascular shutdown within the tumor, in addition to the direct effect over tumor cells. These studies suggest that MN-029 (denibulin)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(denibulin) was well-tolerated at doses that reduced tumor blood flow.</w:t>
      </w:r>
    </w:p>
    <w:p>
      <w:pPr>
        <w:spacing w:after="0" w:line="195" w:lineRule="exact"/>
        <w:rPr>
          <w:sz w:val="20"/>
          <w:szCs w:val="20"/>
          <w:color w:val="auto"/>
        </w:rPr>
      </w:pPr>
    </w:p>
    <w:p>
      <w:pPr>
        <w:ind w:firstLine="560"/>
        <w:spacing w:after="0" w:line="284" w:lineRule="auto"/>
        <w:rPr>
          <w:sz w:val="20"/>
          <w:szCs w:val="20"/>
          <w:color w:val="auto"/>
        </w:rPr>
      </w:pPr>
      <w:r>
        <w:rPr>
          <w:rFonts w:ascii="Arial" w:cs="Arial" w:eastAsia="Arial" w:hAnsi="Arial"/>
          <w:sz w:val="16"/>
          <w:szCs w:val="16"/>
          <w:color w:val="auto"/>
        </w:rPr>
        <w:t>The first Phase 1 trial determined the safety, tolerability, and maximum tolerated dose (MTD) level of single doses of MN-029 (denibulin) given every three weeks in 34 subjects with refractory cancer. The MTD was determined to be 180 mg/m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 chemotherapies - vomiting, nausea, diarrhea, and fatigue. There was a total of nine serious adverse events (SAEs) and study discontinuations due to AEs. In a preliminary evaluation of anti-tumor activity, no patient had a complete response or partial response; however stable disease was seen in 12 patients. MN-029 (denibulin) had a desired vascular effect in seven of 11 patients that were administered drug at dose levels of ≥120 mg/m</w:t>
      </w:r>
      <w:r>
        <w:rPr>
          <w:rFonts w:ascii="Arial" w:cs="Arial" w:eastAsia="Arial" w:hAnsi="Arial"/>
          <w:sz w:val="21"/>
          <w:szCs w:val="21"/>
          <w:color w:val="auto"/>
          <w:vertAlign w:val="superscript"/>
        </w:rPr>
        <w:t>2</w:t>
      </w:r>
      <w:r>
        <w:rPr>
          <w:rFonts w:ascii="Arial" w:cs="Arial" w:eastAsia="Arial" w:hAnsi="Arial"/>
          <w:sz w:val="16"/>
          <w:szCs w:val="16"/>
          <w:color w:val="auto"/>
        </w:rPr>
        <w:t>. Nine patients continued into extended cycles of treatment.</w:t>
      </w:r>
    </w:p>
    <w:p>
      <w:pPr>
        <w:spacing w:after="0" w:line="95" w:lineRule="exact"/>
        <w:rPr>
          <w:sz w:val="20"/>
          <w:szCs w:val="20"/>
          <w:color w:val="auto"/>
        </w:rPr>
      </w:pPr>
    </w:p>
    <w:p>
      <w:pPr>
        <w:ind w:right="200" w:firstLine="572"/>
        <w:spacing w:after="0" w:line="279" w:lineRule="auto"/>
        <w:rPr>
          <w:sz w:val="20"/>
          <w:szCs w:val="20"/>
          <w:color w:val="auto"/>
        </w:rPr>
      </w:pPr>
      <w:r>
        <w:rPr>
          <w:rFonts w:ascii="Arial" w:cs="Arial" w:eastAsia="Arial" w:hAnsi="Arial"/>
          <w:sz w:val="17"/>
          <w:szCs w:val="17"/>
          <w:color w:val="auto"/>
        </w:rPr>
        <w:t>The second Phase 1 study was conducted to determine the safety, tolerability and MTD of single doses of MN-029 (denibulin) given every seven days for a total of three doses (Days 1, 8 and 15), followed by 13-day recovery (Days 16-28) in subjects with advanced/metastatic solid tumor cancer. Subjects who tolerated treatment with MN-029 (denibulin) could receive additional cycles. All 20 subjects reported at least one AE related to the study drug. The most common AEs considered related to the study drug were vomiting, nausea, arthralgia and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right="180"/>
        <w:spacing w:after="0" w:line="279" w:lineRule="auto"/>
        <w:rPr>
          <w:sz w:val="20"/>
          <w:szCs w:val="20"/>
          <w:color w:val="auto"/>
        </w:rPr>
      </w:pPr>
      <w:r>
        <w:rPr>
          <w:rFonts w:ascii="Arial" w:cs="Arial" w:eastAsia="Arial" w:hAnsi="Arial"/>
          <w:sz w:val="17"/>
          <w:szCs w:val="17"/>
          <w:color w:val="auto"/>
        </w:rPr>
        <w:t>headache. There were no clinically significant changes in routine laboratory assessments, vital signs, or ECG monitoring. There was one SAE considered unrelated to the study drug. Consistent with the previous Phase 1 trial, MN-029 (denibulin) up to dose levels of 180 mg/m2 appeared to be safe and well tolerated. One subject had a partial response which lasted for 74 days. Stable disease was observed in seven subjects. The results suggested an effect of MN-029 (denibulin) on vascular perfusion; however, a larger sample size is warranted.</w:t>
      </w:r>
    </w:p>
    <w:p>
      <w:pPr>
        <w:spacing w:after="0" w:line="171" w:lineRule="exact"/>
        <w:rPr>
          <w:sz w:val="20"/>
          <w:szCs w:val="20"/>
          <w:color w:val="auto"/>
        </w:rPr>
      </w:pPr>
    </w:p>
    <w:p>
      <w:pPr>
        <w:ind w:right="20" w:firstLine="572"/>
        <w:spacing w:after="0" w:line="259" w:lineRule="auto"/>
        <w:rPr>
          <w:sz w:val="20"/>
          <w:szCs w:val="20"/>
          <w:color w:val="auto"/>
        </w:rPr>
      </w:pPr>
      <w:r>
        <w:rPr>
          <w:rFonts w:ascii="Arial" w:cs="Arial" w:eastAsia="Arial" w:hAnsi="Arial"/>
          <w:sz w:val="18"/>
          <w:szCs w:val="18"/>
          <w:color w:val="auto"/>
        </w:rPr>
        <w:t>In January 2014, we were granted a new patent from the United States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most of them have been granted.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Table 1: MN-166 (ibudilast) Clinical Trials and Programs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Indication</w:t>
            </w:r>
          </w:p>
        </w:tc>
        <w:tc>
          <w:tcPr>
            <w:tcW w:w="1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Study</w:t>
            </w:r>
          </w:p>
        </w:tc>
        <w:tc>
          <w:tcPr>
            <w:tcW w:w="120" w:type="dxa"/>
            <w:vAlign w:val="bottom"/>
          </w:tcPr>
          <w:p>
            <w:pPr>
              <w:spacing w:after="0"/>
              <w:rPr>
                <w:sz w:val="20"/>
                <w:szCs w:val="20"/>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Institution and Funding Agency(s)</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Status</w:t>
            </w:r>
          </w:p>
        </w:tc>
      </w:tr>
      <w:tr>
        <w:trPr>
          <w:trHeight w:val="674"/>
        </w:trPr>
        <w:tc>
          <w:tcPr>
            <w:tcW w:w="2040" w:type="dxa"/>
            <w:vAlign w:val="bottom"/>
          </w:tcPr>
          <w:p>
            <w:pPr>
              <w:ind w:left="20"/>
              <w:spacing w:after="0"/>
              <w:rPr>
                <w:sz w:val="20"/>
                <w:szCs w:val="20"/>
                <w:color w:val="auto"/>
              </w:rPr>
            </w:pPr>
            <w:r>
              <w:rPr>
                <w:rFonts w:ascii="Arial" w:cs="Arial" w:eastAsia="Arial" w:hAnsi="Arial"/>
                <w:sz w:val="18"/>
                <w:szCs w:val="18"/>
                <w:color w:val="auto"/>
              </w:rPr>
              <w:t>COVID-19</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Multicenter</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4"/>
              </w:rPr>
              <w:t>Controlled, Parallel Group Study to Evaluate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4"/>
              </w:rPr>
              <w:t>the Efficacy, Safety, Tolerability, Biomarkers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8"/>
              </w:rPr>
              <w:t>and PK of MN-166 (Ibudilast) in COVID-19</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Subjects at Risk for Developing ARDS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34"/>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Controlled Study to Evaluate the Safety,</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Tolerability and Activity of Ibudilast (MN-</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rPr>
              <w:t>Primary Progressive and</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166) in Subjects with Progressive Multiple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Cleveland Clinic / Multicenter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rPr>
              <w:t>Secondary Progressive</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Sclerosis</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w w:val="96"/>
              </w:rPr>
              <w:t>National Institute on Neurological Diseases</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rPr>
              <w:t>Multiple Sclerosis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and Stroke</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904"/>
        </w:trPr>
        <w:tc>
          <w:tcPr>
            <w:tcW w:w="2040" w:type="dxa"/>
            <w:vAlign w:val="bottom"/>
          </w:tcPr>
          <w:p>
            <w:pPr>
              <w:ind w:left="20"/>
              <w:spacing w:after="0"/>
              <w:rPr>
                <w:sz w:val="20"/>
                <w:szCs w:val="20"/>
                <w:color w:val="auto"/>
              </w:rPr>
            </w:pPr>
            <w:r>
              <w:rPr>
                <w:rFonts w:ascii="Arial" w:cs="Arial" w:eastAsia="Arial" w:hAnsi="Arial"/>
                <w:sz w:val="18"/>
                <w:szCs w:val="18"/>
                <w:color w:val="auto"/>
              </w:rPr>
              <w:t>Amyotrophic Lateral</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3"/>
              </w:rPr>
              <w:t>A Single-Center, Randomized, Double-Blind,</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w w:val="91"/>
              </w:rPr>
              <w:t>Carolinas HealthCare System Neurosciences</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rPr>
              <w:t>Sclerosis (ALS)</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6"/>
              </w:rPr>
              <w:t>Placebo-Controlled, Six Month Clinical Trial</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Institute</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Followed by an Open-Label Extension to</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3"/>
              </w:rPr>
              <w:t>Evaluate the Safety, Tolerability, and Clinical</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6"/>
              </w:rPr>
              <w:t>Endpoint Responsiveness of Ibudilast (MN-</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166) in Subjects with Amyotrophic Lateral</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Sclerosis (ALS)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09"/>
        </w:trPr>
        <w:tc>
          <w:tcPr>
            <w:tcW w:w="2040" w:type="dxa"/>
            <w:vAlign w:val="bottom"/>
          </w:tcPr>
          <w:p>
            <w:pPr>
              <w:ind w:left="20"/>
              <w:spacing w:after="0"/>
              <w:rPr>
                <w:sz w:val="20"/>
                <w:szCs w:val="20"/>
                <w:color w:val="auto"/>
              </w:rPr>
            </w:pPr>
            <w:r>
              <w:rPr>
                <w:rFonts w:ascii="Arial" w:cs="Arial" w:eastAsia="Arial" w:hAnsi="Arial"/>
                <w:sz w:val="18"/>
                <w:szCs w:val="18"/>
                <w:color w:val="auto"/>
              </w:rPr>
              <w:t>ALS / Biomarker</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 Biomarker Study to Evaluate MN-166</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Massachusetts General Hospital</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(ibudilast) in Subjects with Amyotrophic</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Literal Sclerosis (ALS)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left="20"/>
        <w:spacing w:after="0"/>
        <w:tabs>
          <w:tab w:leader="none" w:pos="2140" w:val="left"/>
          <w:tab w:leader="none" w:pos="5640" w:val="left"/>
          <w:tab w:leader="none" w:pos="9100" w:val="left"/>
        </w:tabs>
        <w:rPr>
          <w:sz w:val="20"/>
          <w:szCs w:val="20"/>
          <w:color w:val="auto"/>
        </w:rPr>
      </w:pPr>
      <w:r>
        <w:rPr>
          <w:rFonts w:ascii="Arial" w:cs="Arial" w:eastAsia="Arial" w:hAnsi="Arial"/>
          <w:sz w:val="18"/>
          <w:szCs w:val="18"/>
          <w:color w:val="auto"/>
        </w:rPr>
        <w:t>Amyotrophic Lateral</w:t>
      </w:r>
      <w:r>
        <w:rPr>
          <w:sz w:val="20"/>
          <w:szCs w:val="20"/>
          <w:color w:val="auto"/>
        </w:rPr>
        <w:tab/>
      </w:r>
      <w:r>
        <w:rPr>
          <w:rFonts w:ascii="Arial" w:cs="Arial" w:eastAsia="Arial" w:hAnsi="Arial"/>
          <w:sz w:val="18"/>
          <w:szCs w:val="18"/>
          <w:color w:val="auto"/>
        </w:rPr>
        <w:t>A Phase 2b/3, Multi-Center, Randomized,</w:t>
      </w:r>
      <w:r>
        <w:rPr>
          <w:sz w:val="20"/>
          <w:szCs w:val="20"/>
          <w:color w:val="auto"/>
        </w:rPr>
        <w:tab/>
      </w:r>
      <w:r>
        <w:rPr>
          <w:rFonts w:ascii="Arial" w:cs="Arial" w:eastAsia="Arial" w:hAnsi="Arial"/>
          <w:sz w:val="18"/>
          <w:szCs w:val="18"/>
          <w:color w:val="auto"/>
        </w:rPr>
        <w:t>Multicenter</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ind w:left="20"/>
        <w:spacing w:after="0"/>
        <w:tabs>
          <w:tab w:leader="none" w:pos="2140" w:val="left"/>
          <w:tab w:leader="none" w:pos="5640" w:val="left"/>
        </w:tabs>
        <w:rPr>
          <w:sz w:val="20"/>
          <w:szCs w:val="20"/>
          <w:color w:val="auto"/>
        </w:rPr>
      </w:pPr>
      <w:r>
        <w:rPr>
          <w:rFonts w:ascii="Arial" w:cs="Arial" w:eastAsia="Arial" w:hAnsi="Arial"/>
          <w:sz w:val="18"/>
          <w:szCs w:val="18"/>
          <w:color w:val="auto"/>
        </w:rPr>
        <w:t>Sclerosis (ALS)</w:t>
      </w:r>
      <w:r>
        <w:rPr>
          <w:sz w:val="20"/>
          <w:szCs w:val="20"/>
          <w:color w:val="auto"/>
        </w:rPr>
        <w:tab/>
      </w:r>
      <w:r>
        <w:rPr>
          <w:rFonts w:ascii="Arial" w:cs="Arial" w:eastAsia="Arial" w:hAnsi="Arial"/>
          <w:sz w:val="18"/>
          <w:szCs w:val="18"/>
          <w:color w:val="auto"/>
        </w:rPr>
        <w:t>Double-Blind, Placebo-Controlled, 12 Month</w:t>
      </w:r>
      <w:r>
        <w:rPr>
          <w:sz w:val="20"/>
          <w:szCs w:val="20"/>
          <w:color w:val="auto"/>
        </w:rPr>
        <w:tab/>
      </w:r>
      <w:r>
        <w:rPr>
          <w:rFonts w:ascii="Arial" w:cs="Arial" w:eastAsia="Arial" w:hAnsi="Arial"/>
          <w:sz w:val="17"/>
          <w:szCs w:val="17"/>
          <w:color w:val="auto"/>
        </w:rPr>
        <w:t>MediciNova, Inc.</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Clinical Trial to Evaluate the Efficacy and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Safety of MN-166 (ibudilast) Followed by an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Open-Label Extension in Subjects with</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Amyotrophic Lateral Sclerosis</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Degenerative Cervical</w:t>
      </w:r>
      <w:r>
        <w:rPr>
          <w:sz w:val="20"/>
          <w:szCs w:val="20"/>
          <w:color w:val="auto"/>
        </w:rPr>
        <w:tab/>
      </w:r>
      <w:r>
        <w:rPr>
          <w:rFonts w:ascii="Arial" w:cs="Arial" w:eastAsia="Arial" w:hAnsi="Arial"/>
          <w:sz w:val="16"/>
          <w:szCs w:val="16"/>
          <w:color w:val="auto"/>
        </w:rPr>
        <w:t>A multi-centre, double-blind, randomized,</w:t>
      </w:r>
    </w:p>
    <w:p>
      <w:pPr>
        <w:spacing w:after="0" w:line="23"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6"/>
          <w:szCs w:val="16"/>
          <w:color w:val="auto"/>
        </w:rPr>
        <w:t>Myelopathy</w:t>
      </w:r>
      <w:r>
        <w:rPr>
          <w:sz w:val="20"/>
          <w:szCs w:val="20"/>
          <w:color w:val="auto"/>
        </w:rPr>
        <w:tab/>
      </w:r>
      <w:r>
        <w:rPr>
          <w:rFonts w:ascii="Arial" w:cs="Arial" w:eastAsia="Arial" w:hAnsi="Arial"/>
          <w:sz w:val="16"/>
          <w:szCs w:val="16"/>
          <w:color w:val="auto"/>
        </w:rPr>
        <w:t>placebo-controlled trial assessing the efficacy</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of Ibudilast as an adjuvant treatment to</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decompressive surgery for degenerative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cervical myelopathy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Chemotherapy-Induced</w:t>
      </w:r>
      <w:r>
        <w:rPr>
          <w:sz w:val="20"/>
          <w:szCs w:val="20"/>
          <w:color w:val="auto"/>
        </w:rPr>
        <w:tab/>
      </w:r>
      <w:r>
        <w:rPr>
          <w:rFonts w:ascii="Arial" w:cs="Arial" w:eastAsia="Arial" w:hAnsi="Arial"/>
          <w:sz w:val="16"/>
          <w:szCs w:val="16"/>
          <w:color w:val="auto"/>
        </w:rPr>
        <w:t>A pilot study evaluating the impact of</w:t>
      </w:r>
    </w:p>
    <w:p>
      <w:pPr>
        <w:spacing w:after="0" w:line="23"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Peripheral Neuropathy</w:t>
      </w:r>
      <w:r>
        <w:rPr>
          <w:sz w:val="20"/>
          <w:szCs w:val="20"/>
          <w:color w:val="auto"/>
        </w:rPr>
        <w:tab/>
      </w:r>
      <w:r>
        <w:rPr>
          <w:rFonts w:ascii="Arial" w:cs="Arial" w:eastAsia="Arial" w:hAnsi="Arial"/>
          <w:sz w:val="16"/>
          <w:szCs w:val="16"/>
          <w:color w:val="auto"/>
        </w:rPr>
        <w:t>ibudilast on prevention of chemotherapy-</w:t>
      </w:r>
    </w:p>
    <w:p>
      <w:pPr>
        <w:spacing w:after="0" w:line="9" w:lineRule="exact"/>
        <w:rPr>
          <w:sz w:val="20"/>
          <w:szCs w:val="20"/>
          <w:color w:val="auto"/>
        </w:rPr>
      </w:pPr>
    </w:p>
    <w:p>
      <w:pPr>
        <w:ind w:left="2160" w:right="40"/>
        <w:spacing w:after="0" w:line="302" w:lineRule="auto"/>
        <w:rPr>
          <w:sz w:val="20"/>
          <w:szCs w:val="20"/>
          <w:color w:val="auto"/>
        </w:rPr>
      </w:pPr>
      <w:r>
        <w:rPr>
          <w:rFonts w:ascii="Arial" w:cs="Arial" w:eastAsia="Arial" w:hAnsi="Arial"/>
          <w:sz w:val="16"/>
          <w:szCs w:val="16"/>
          <w:color w:val="auto"/>
        </w:rPr>
        <w:t>induced acute neurotoxicity and evaluating pharmacokinetics with oxaliplatin in gastro-intestinal cancer patients receiving oxaliplatin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Chemotherapy-Induced</w:t>
      </w:r>
      <w:r>
        <w:rPr>
          <w:sz w:val="20"/>
          <w:szCs w:val="20"/>
          <w:color w:val="auto"/>
        </w:rPr>
        <w:tab/>
      </w:r>
      <w:r>
        <w:rPr>
          <w:rFonts w:ascii="Arial" w:cs="Arial" w:eastAsia="Arial" w:hAnsi="Arial"/>
          <w:sz w:val="16"/>
          <w:szCs w:val="16"/>
          <w:color w:val="auto"/>
        </w:rPr>
        <w:t>Can Oxaliplatin neurotoxicity be reduced with</w:t>
      </w:r>
    </w:p>
    <w:p>
      <w:pPr>
        <w:spacing w:after="0" w:line="23"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Peripheral Neuropathy</w:t>
      </w:r>
      <w:r>
        <w:rPr>
          <w:sz w:val="20"/>
          <w:szCs w:val="20"/>
          <w:color w:val="auto"/>
        </w:rPr>
        <w:tab/>
      </w:r>
      <w:r>
        <w:rPr>
          <w:rFonts w:ascii="Arial" w:cs="Arial" w:eastAsia="Arial" w:hAnsi="Arial"/>
          <w:sz w:val="16"/>
          <w:szCs w:val="16"/>
          <w:color w:val="auto"/>
        </w:rPr>
        <w:t>ibudilast in people with metastatic colorectal</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cancer – a phase II randomized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7"/>
          <w:szCs w:val="17"/>
          <w:color w:val="auto"/>
        </w:rPr>
        <w:t>Glioblastoma</w:t>
      </w:r>
      <w:r>
        <w:rPr>
          <w:sz w:val="20"/>
          <w:szCs w:val="20"/>
          <w:color w:val="auto"/>
        </w:rPr>
        <w:tab/>
      </w:r>
      <w:r>
        <w:rPr>
          <w:rFonts w:ascii="Arial" w:cs="Arial" w:eastAsia="Arial" w:hAnsi="Arial"/>
          <w:sz w:val="17"/>
          <w:szCs w:val="17"/>
          <w:color w:val="auto"/>
        </w:rPr>
        <w:t>Phase 1b/2a Multi-center, Open-label, Dose</w:t>
      </w:r>
    </w:p>
    <w:p>
      <w:pPr>
        <w:spacing w:after="0" w:line="35" w:lineRule="exact"/>
        <w:rPr>
          <w:sz w:val="20"/>
          <w:szCs w:val="20"/>
          <w:color w:val="auto"/>
        </w:rPr>
      </w:pPr>
    </w:p>
    <w:p>
      <w:pPr>
        <w:ind w:left="2160" w:right="200"/>
        <w:spacing w:after="0" w:line="295" w:lineRule="auto"/>
        <w:rPr>
          <w:sz w:val="20"/>
          <w:szCs w:val="20"/>
          <w:color w:val="auto"/>
        </w:rPr>
      </w:pPr>
      <w:r>
        <w:rPr>
          <w:rFonts w:ascii="Arial" w:cs="Arial" w:eastAsia="Arial" w:hAnsi="Arial"/>
          <w:sz w:val="16"/>
          <w:szCs w:val="16"/>
          <w:color w:val="auto"/>
        </w:rPr>
        <w:t>Escalation Study to Evaluate the Safety, Tolerability and Efficacy of MN-166 (ibudilast) and Temozolomide Combination Treatment in Patients With Glioblastoma</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Substance Dependence /</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University of Cambridge / Multicenter</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for Health Research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(NIHR) in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University of Sydney</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Concord Cancer Centre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University of Sydney</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ind w:right="2280"/>
        <w:spacing w:after="0" w:line="260" w:lineRule="auto"/>
        <w:rPr>
          <w:sz w:val="20"/>
          <w:szCs w:val="20"/>
          <w:color w:val="auto"/>
        </w:rPr>
      </w:pPr>
      <w:r>
        <w:rPr>
          <w:rFonts w:ascii="Arial" w:cs="Arial" w:eastAsia="Arial" w:hAnsi="Arial"/>
          <w:sz w:val="18"/>
          <w:szCs w:val="18"/>
          <w:color w:val="auto"/>
        </w:rPr>
        <w:t>Australasian Gastro-Intestinal Trials Group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Dana-Farber Cancer Institute</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522" w:lineRule="exact"/>
        <w:rPr>
          <w:sz w:val="20"/>
          <w:szCs w:val="20"/>
          <w:color w:val="auto"/>
        </w:rPr>
      </w:pPr>
    </w:p>
    <w:p>
      <w:pPr>
        <w:sectPr>
          <w:pgSz w:w="11900" w:h="16838" w:orient="portrait"/>
          <w:cols w:equalWidth="0" w:num="2">
            <w:col w:w="5520" w:space="140"/>
            <w:col w:w="5580"/>
          </w:cols>
          <w:pgMar w:left="320" w:top="355"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ind w:left="20"/>
              <w:spacing w:after="0"/>
              <w:rPr>
                <w:sz w:val="20"/>
                <w:szCs w:val="20"/>
                <w:color w:val="auto"/>
              </w:rPr>
            </w:pPr>
            <w:r>
              <w:rPr>
                <w:rFonts w:ascii="Arial" w:cs="Arial" w:eastAsia="Arial" w:hAnsi="Arial"/>
                <w:sz w:val="18"/>
                <w:szCs w:val="18"/>
                <w:color w:val="auto"/>
              </w:rPr>
              <w:t>Methamphetamine</w:t>
            </w:r>
          </w:p>
        </w:tc>
        <w:tc>
          <w:tcPr>
            <w:tcW w:w="3300" w:type="dxa"/>
            <w:vAlign w:val="bottom"/>
          </w:tcPr>
          <w:p>
            <w:pPr>
              <w:ind w:left="400"/>
              <w:spacing w:after="0"/>
              <w:rPr>
                <w:sz w:val="20"/>
                <w:szCs w:val="20"/>
                <w:color w:val="auto"/>
              </w:rPr>
            </w:pPr>
            <w:r>
              <w:rPr>
                <w:rFonts w:ascii="Arial" w:cs="Arial" w:eastAsia="Arial" w:hAnsi="Arial"/>
                <w:sz w:val="18"/>
                <w:szCs w:val="18"/>
                <w:color w:val="auto"/>
              </w:rPr>
              <w:t>Randomized Trial of Ibudilast for</w:t>
            </w:r>
          </w:p>
        </w:tc>
        <w:tc>
          <w:tcPr>
            <w:tcW w:w="3520" w:type="dxa"/>
            <w:vAlign w:val="bottom"/>
          </w:tcPr>
          <w:p>
            <w:pPr>
              <w:ind w:left="600"/>
              <w:spacing w:after="0"/>
              <w:rPr>
                <w:sz w:val="20"/>
                <w:szCs w:val="20"/>
                <w:color w:val="auto"/>
              </w:rPr>
            </w:pPr>
            <w:r>
              <w:rPr>
                <w:rFonts w:ascii="Arial" w:cs="Arial" w:eastAsia="Arial" w:hAnsi="Arial"/>
                <w:sz w:val="18"/>
                <w:szCs w:val="18"/>
                <w:color w:val="auto"/>
              </w:rPr>
              <w:t>UCLA</w:t>
            </w:r>
          </w:p>
        </w:tc>
        <w:tc>
          <w:tcPr>
            <w:tcW w:w="2660" w:type="dxa"/>
            <w:vAlign w:val="bottom"/>
          </w:tcPr>
          <w:p>
            <w:pPr>
              <w:ind w:left="540"/>
              <w:spacing w:after="0"/>
              <w:rPr>
                <w:sz w:val="20"/>
                <w:szCs w:val="20"/>
                <w:color w:val="auto"/>
              </w:rPr>
            </w:pPr>
            <w:r>
              <w:rPr>
                <w:rFonts w:ascii="Arial" w:cs="Arial" w:eastAsia="Arial" w:hAnsi="Arial"/>
                <w:sz w:val="18"/>
                <w:szCs w:val="18"/>
                <w:color w:val="auto"/>
              </w:rPr>
              <w:t>Completed</w:t>
            </w: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Dependence</w:t>
            </w:r>
          </w:p>
        </w:tc>
        <w:tc>
          <w:tcPr>
            <w:tcW w:w="3300" w:type="dxa"/>
            <w:vAlign w:val="bottom"/>
          </w:tcPr>
          <w:p>
            <w:pPr>
              <w:ind w:left="400"/>
              <w:spacing w:after="0"/>
              <w:rPr>
                <w:sz w:val="20"/>
                <w:szCs w:val="20"/>
                <w:color w:val="auto"/>
              </w:rPr>
            </w:pPr>
            <w:r>
              <w:rPr>
                <w:rFonts w:ascii="Arial" w:cs="Arial" w:eastAsia="Arial" w:hAnsi="Arial"/>
                <w:sz w:val="18"/>
                <w:szCs w:val="18"/>
                <w:color w:val="auto"/>
              </w:rPr>
              <w:t>Methamphetamine Dependence</w:t>
            </w:r>
          </w:p>
        </w:tc>
        <w:tc>
          <w:tcPr>
            <w:tcW w:w="3520" w:type="dxa"/>
            <w:vAlign w:val="bottom"/>
          </w:tcPr>
          <w:p>
            <w:pPr>
              <w:ind w:left="600"/>
              <w:spacing w:after="0"/>
              <w:rPr>
                <w:sz w:val="20"/>
                <w:szCs w:val="20"/>
                <w:color w:val="auto"/>
              </w:rPr>
            </w:pPr>
            <w:r>
              <w:rPr>
                <w:rFonts w:ascii="Arial" w:cs="Arial" w:eastAsia="Arial" w:hAnsi="Arial"/>
                <w:sz w:val="18"/>
                <w:szCs w:val="18"/>
                <w:color w:val="auto"/>
              </w:rPr>
              <w:t>National Institute on Drug Abuse</w:t>
            </w:r>
          </w:p>
        </w:tc>
        <w:tc>
          <w:tcPr>
            <w:tcW w:w="2660" w:type="dxa"/>
            <w:vAlign w:val="bottom"/>
          </w:tcPr>
          <w:p>
            <w:pPr>
              <w:spacing w:after="0"/>
              <w:rPr>
                <w:sz w:val="20"/>
                <w:szCs w:val="20"/>
                <w:color w:val="auto"/>
              </w:rPr>
            </w:pPr>
          </w:p>
        </w:tc>
      </w:tr>
      <w:tr>
        <w:trPr>
          <w:trHeight w:val="837"/>
        </w:trPr>
        <w:tc>
          <w:tcPr>
            <w:tcW w:w="1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20" w:type="dxa"/>
            <w:vAlign w:val="bottom"/>
          </w:tcPr>
          <w:p>
            <w:pPr>
              <w:jc w:val="right"/>
              <w:ind w:right="2770"/>
              <w:spacing w:after="0"/>
              <w:rPr>
                <w:sz w:val="20"/>
                <w:szCs w:val="20"/>
                <w:color w:val="auto"/>
              </w:rPr>
            </w:pPr>
            <w:r>
              <w:rPr>
                <w:rFonts w:ascii="Arial" w:cs="Arial" w:eastAsia="Arial" w:hAnsi="Arial"/>
                <w:sz w:val="18"/>
                <w:szCs w:val="18"/>
                <w:color w:val="auto"/>
              </w:rPr>
              <w:t>25</w:t>
            </w:r>
          </w:p>
        </w:tc>
        <w:tc>
          <w:tcPr>
            <w:tcW w:w="2660" w:type="dxa"/>
            <w:vAlign w:val="bottom"/>
          </w:tcPr>
          <w:p>
            <w:pPr>
              <w:spacing w:after="0"/>
              <w:rPr>
                <w:sz w:val="24"/>
                <w:szCs w:val="24"/>
                <w:color w:val="auto"/>
              </w:rPr>
            </w:pPr>
          </w:p>
        </w:tc>
      </w:tr>
      <w:tr>
        <w:trPr>
          <w:trHeight w:val="115"/>
        </w:trPr>
        <w:tc>
          <w:tcPr>
            <w:tcW w:w="17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26" w:name="page27"/>
    <w:bookmarkEnd w:id="26"/>
    <w:p>
      <w:pPr>
        <w:ind w:left="20"/>
        <w:spacing w:after="0"/>
        <w:tabs>
          <w:tab w:leader="none" w:pos="2140" w:val="left"/>
        </w:tabs>
        <w:rPr>
          <w:sz w:val="20"/>
          <w:szCs w:val="20"/>
          <w:color w:val="auto"/>
        </w:rPr>
      </w:pPr>
      <w:r>
        <w:rPr>
          <w:rFonts w:ascii="Arial" w:cs="Arial" w:eastAsia="Arial" w:hAnsi="Arial"/>
          <w:sz w:val="17"/>
          <w:szCs w:val="17"/>
          <w:color w:val="auto"/>
        </w:rPr>
        <w:t>Methamphetamine</w:t>
      </w:r>
      <w:r>
        <w:rPr>
          <w:sz w:val="20"/>
          <w:szCs w:val="20"/>
          <w:color w:val="auto"/>
        </w:rPr>
        <w:tab/>
      </w:r>
      <w:r>
        <w:rPr>
          <w:rFonts w:ascii="Arial" w:cs="Arial" w:eastAsia="Arial" w:hAnsi="Arial"/>
          <w:sz w:val="17"/>
          <w:szCs w:val="17"/>
          <w:color w:val="auto"/>
        </w:rPr>
        <w:t>Effect of Ibudilast on Neuroinflammation in</w:t>
      </w:r>
    </w:p>
    <w:p>
      <w:pPr>
        <w:spacing w:after="0" w:line="35"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Dependence / Biomarker</w:t>
      </w:r>
      <w:r>
        <w:rPr>
          <w:sz w:val="20"/>
          <w:szCs w:val="20"/>
          <w:color w:val="auto"/>
        </w:rPr>
        <w:tab/>
      </w:r>
      <w:r>
        <w:rPr>
          <w:rFonts w:ascii="Arial" w:cs="Arial" w:eastAsia="Arial" w:hAnsi="Arial"/>
          <w:sz w:val="16"/>
          <w:szCs w:val="16"/>
          <w:color w:val="auto"/>
        </w:rPr>
        <w:t>Methamphetamine Users</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Opioid Dependence</w:t>
      </w:r>
      <w:r>
        <w:rPr>
          <w:sz w:val="20"/>
          <w:szCs w:val="20"/>
          <w:color w:val="auto"/>
        </w:rPr>
        <w:tab/>
      </w:r>
      <w:r>
        <w:rPr>
          <w:rFonts w:ascii="Arial" w:cs="Arial" w:eastAsia="Arial" w:hAnsi="Arial"/>
          <w:sz w:val="17"/>
          <w:szCs w:val="17"/>
          <w:color w:val="auto"/>
        </w:rPr>
        <w:t>Effects of Ibudilast (MN-166), a Glial</w:t>
      </w:r>
    </w:p>
    <w:p>
      <w:pPr>
        <w:spacing w:after="0" w:line="23" w:lineRule="exact"/>
        <w:rPr>
          <w:sz w:val="20"/>
          <w:szCs w:val="20"/>
          <w:color w:val="auto"/>
        </w:rPr>
      </w:pPr>
    </w:p>
    <w:p>
      <w:pPr>
        <w:ind w:left="2160" w:right="240"/>
        <w:spacing w:after="0" w:line="290" w:lineRule="auto"/>
        <w:rPr>
          <w:sz w:val="20"/>
          <w:szCs w:val="20"/>
          <w:color w:val="auto"/>
        </w:rPr>
      </w:pPr>
      <w:r>
        <w:rPr>
          <w:rFonts w:ascii="Arial" w:cs="Arial" w:eastAsia="Arial" w:hAnsi="Arial"/>
          <w:sz w:val="17"/>
          <w:szCs w:val="17"/>
          <w:color w:val="auto"/>
        </w:rPr>
        <w:t>Activation Inhibitor, on Oxycodone Self-Administration in Opioid Abusers</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Alcohol Dependence</w:t>
      </w:r>
      <w:r>
        <w:rPr>
          <w:sz w:val="20"/>
          <w:szCs w:val="20"/>
          <w:color w:val="auto"/>
        </w:rPr>
        <w:tab/>
      </w:r>
      <w:r>
        <w:rPr>
          <w:rFonts w:ascii="Arial" w:cs="Arial" w:eastAsia="Arial" w:hAnsi="Arial"/>
          <w:sz w:val="16"/>
          <w:szCs w:val="16"/>
          <w:color w:val="auto"/>
        </w:rPr>
        <w:t>Development of Ibudilast (MN-166) as</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 Novel Treatment for Alcoholism</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Alcohol Dependence and</w:t>
      </w:r>
      <w:r>
        <w:rPr>
          <w:sz w:val="20"/>
          <w:szCs w:val="20"/>
          <w:color w:val="auto"/>
        </w:rPr>
        <w:tab/>
      </w:r>
      <w:r>
        <w:rPr>
          <w:rFonts w:ascii="Arial" w:cs="Arial" w:eastAsia="Arial" w:hAnsi="Arial"/>
          <w:sz w:val="16"/>
          <w:szCs w:val="16"/>
          <w:color w:val="auto"/>
        </w:rPr>
        <w:t>Ibudilast (MN-166) and Withdrawal-Related</w:t>
      </w:r>
    </w:p>
    <w:p>
      <w:pPr>
        <w:spacing w:after="0" w:line="23"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Withdrawal</w:t>
      </w:r>
      <w:r>
        <w:rPr>
          <w:sz w:val="20"/>
          <w:szCs w:val="20"/>
          <w:color w:val="auto"/>
        </w:rPr>
        <w:tab/>
      </w:r>
      <w:r>
        <w:rPr>
          <w:rFonts w:ascii="Arial" w:cs="Arial" w:eastAsia="Arial" w:hAnsi="Arial"/>
          <w:sz w:val="18"/>
          <w:szCs w:val="18"/>
          <w:color w:val="auto"/>
        </w:rPr>
        <w:t>Dysphoria</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Alcohol Dependence</w:t>
      </w:r>
      <w:r>
        <w:rPr>
          <w:sz w:val="20"/>
          <w:szCs w:val="20"/>
          <w:color w:val="auto"/>
        </w:rPr>
        <w:tab/>
      </w:r>
      <w:r>
        <w:rPr>
          <w:rFonts w:ascii="Arial" w:cs="Arial" w:eastAsia="Arial" w:hAnsi="Arial"/>
          <w:sz w:val="16"/>
          <w:szCs w:val="16"/>
          <w:color w:val="auto"/>
        </w:rPr>
        <w:t>Ibudilast (MN-166) for the Treatment of</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Alcohol Use Disorder</w:t>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color w:val="auto"/>
        </w:rPr>
        <w:t>Oregon Health &amp; Science University</w:t>
      </w:r>
      <w:r>
        <w:rPr>
          <w:sz w:val="20"/>
          <w:szCs w:val="20"/>
          <w:color w:val="auto"/>
        </w:rPr>
        <w:tab/>
      </w:r>
      <w:r>
        <w:rPr>
          <w:rFonts w:ascii="Arial" w:cs="Arial" w:eastAsia="Arial" w:hAnsi="Arial"/>
          <w:sz w:val="16"/>
          <w:szCs w:val="16"/>
          <w:color w:val="auto"/>
        </w:rPr>
        <w:t>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Columbia University / NYSPI</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00" w:lineRule="exact"/>
        <w:rPr>
          <w:sz w:val="20"/>
          <w:szCs w:val="20"/>
          <w:color w:val="auto"/>
        </w:rPr>
      </w:pPr>
    </w:p>
    <w:p>
      <w:pPr>
        <w:spacing w:after="0" w:line="321"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UCLA</w:t>
      </w:r>
      <w:r>
        <w:rPr>
          <w:sz w:val="20"/>
          <w:szCs w:val="20"/>
          <w:color w:val="auto"/>
        </w:rPr>
        <w:tab/>
      </w:r>
      <w:r>
        <w:rPr>
          <w:rFonts w:ascii="Arial" w:cs="Arial" w:eastAsia="Arial" w:hAnsi="Arial"/>
          <w:sz w:val="16"/>
          <w:szCs w:val="16"/>
          <w:color w:val="auto"/>
        </w:rPr>
        <w:t>Completed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Alcoholism</w:t>
      </w:r>
    </w:p>
    <w:p>
      <w:pPr>
        <w:spacing w:after="0" w:line="292"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UCLA</w:t>
      </w:r>
      <w:r>
        <w:rPr>
          <w:sz w:val="20"/>
          <w:szCs w:val="20"/>
          <w:color w:val="auto"/>
        </w:rPr>
        <w:tab/>
      </w:r>
      <w:r>
        <w:rPr>
          <w:rFonts w:ascii="Arial" w:cs="Arial" w:eastAsia="Arial" w:hAnsi="Arial"/>
          <w:sz w:val="16"/>
          <w:szCs w:val="16"/>
          <w:color w:val="auto"/>
        </w:rPr>
        <w:t>Completed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200" w:lineRule="exact"/>
        <w:rPr>
          <w:sz w:val="20"/>
          <w:szCs w:val="20"/>
          <w:color w:val="auto"/>
        </w:rPr>
      </w:pPr>
    </w:p>
    <w:p>
      <w:pPr>
        <w:spacing w:after="0" w:line="227"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UCLA</w:t>
      </w:r>
      <w:r>
        <w:rPr>
          <w:sz w:val="20"/>
          <w:szCs w:val="20"/>
          <w:color w:val="auto"/>
        </w:rPr>
        <w:tab/>
      </w:r>
      <w:r>
        <w:rPr>
          <w:rFonts w:ascii="Arial" w:cs="Arial" w:eastAsia="Arial" w:hAnsi="Arial"/>
          <w:sz w:val="18"/>
          <w:szCs w:val="18"/>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Alcoholism</w:t>
      </w:r>
    </w:p>
    <w:p>
      <w:pPr>
        <w:spacing w:after="0" w:line="200" w:lineRule="exact"/>
        <w:rPr>
          <w:sz w:val="20"/>
          <w:szCs w:val="20"/>
          <w:color w:val="auto"/>
        </w:rPr>
      </w:pPr>
    </w:p>
    <w:p>
      <w:pPr>
        <w:sectPr>
          <w:pgSz w:w="11900" w:h="16838" w:orient="portrait"/>
          <w:cols w:equalWidth="0" w:num="2">
            <w:col w:w="5380" w:space="280"/>
            <w:col w:w="5520"/>
          </w:cols>
          <w:pgMar w:left="320" w:top="355" w:right="399"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currently have no marketing and sales capabilities and we expect to rely on strategic partners to commercialize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40" w:firstLine="560"/>
        <w:spacing w:after="0" w:line="257" w:lineRule="auto"/>
        <w:rPr>
          <w:sz w:val="20"/>
          <w:szCs w:val="20"/>
          <w:color w:val="auto"/>
        </w:rPr>
      </w:pPr>
      <w:r>
        <w:rPr>
          <w:rFonts w:ascii="Arial" w:cs="Arial" w:eastAsia="Arial" w:hAnsi="Arial"/>
          <w:sz w:val="18"/>
          <w:szCs w:val="18"/>
          <w:color w:val="auto"/>
        </w:rPr>
        <w:t>We rely on third parties to manufacture bulk active pharmaceutical ingredients (API) and finished investigational products for research, development, preclinical and clinical trials. We expect to continue to rely on third 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88" w:lineRule="exact"/>
        <w:rPr>
          <w:sz w:val="20"/>
          <w:szCs w:val="20"/>
          <w:color w:val="auto"/>
        </w:rPr>
      </w:pPr>
    </w:p>
    <w:p>
      <w:pPr>
        <w:ind w:firstLine="560"/>
        <w:spacing w:after="0" w:line="235" w:lineRule="auto"/>
        <w:rPr>
          <w:sz w:val="20"/>
          <w:szCs w:val="20"/>
          <w:color w:val="auto"/>
        </w:rPr>
      </w:pPr>
      <w:r>
        <w:rPr>
          <w:rFonts w:ascii="Arial" w:cs="Arial" w:eastAsia="Arial" w:hAnsi="Arial"/>
          <w:sz w:val="18"/>
          <w:szCs w:val="18"/>
          <w:color w:val="auto"/>
        </w:rPr>
        <w:t>For the MN-166 (ibudilast) development program, we have historically sourced and imported delayed-release ibudilast capsules, marketed in Japan as Pinatos</w:t>
      </w:r>
      <w:r>
        <w:rPr>
          <w:rFonts w:ascii="Arial" w:cs="Arial" w:eastAsia="Arial" w:hAnsi="Arial"/>
          <w:sz w:val="24"/>
          <w:szCs w:val="24"/>
          <w:color w:val="auto"/>
          <w:vertAlign w:val="superscript"/>
        </w:rPr>
        <w:t>®</w:t>
      </w:r>
      <w:r>
        <w:rPr>
          <w:rFonts w:ascii="Arial" w:cs="Arial" w:eastAsia="Arial" w:hAnsi="Arial"/>
          <w:sz w:val="18"/>
          <w:szCs w:val="18"/>
          <w:color w:val="auto"/>
        </w:rPr>
        <w:t>, from Taisho Pharmaceutical Co., Ltd. (Taisho). In addition, we use contract manufacturers to manufacture API and finished product for the MN-166 (ibudilast) development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21" w:lineRule="exact"/>
        <w:rPr>
          <w:sz w:val="20"/>
          <w:szCs w:val="20"/>
          <w:color w:val="auto"/>
        </w:rPr>
      </w:pPr>
    </w:p>
    <w:p>
      <w:pPr>
        <w:jc w:val="both"/>
        <w:ind w:right="120" w:firstLine="560"/>
        <w:spacing w:after="0" w:line="287" w:lineRule="auto"/>
        <w:rPr>
          <w:sz w:val="20"/>
          <w:szCs w:val="20"/>
          <w:color w:val="auto"/>
        </w:rPr>
      </w:pPr>
      <w:r>
        <w:rPr>
          <w:rFonts w:ascii="Arial" w:cs="Arial" w:eastAsia="Arial" w:hAnsi="Arial"/>
          <w:sz w:val="16"/>
          <w:szCs w:val="16"/>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 our licensors.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hold 32 issued U.S. patents and have filed 12 additional U.S. patent applications. We also hold 89 issued foreign patents and 31 pending foreign patent applications corresponding to these U.S. patents and patent applications. We are not aware of any third party infringement of the patents owned or licensed by us and are not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type w:val="continuous"/>
        </w:sectPr>
      </w:pPr>
    </w:p>
    <w:bookmarkStart w:id="27" w:name="page28"/>
    <w:bookmarkEnd w:id="27"/>
    <w:p>
      <w:pPr>
        <w:ind w:right="260"/>
        <w:spacing w:after="0" w:line="277" w:lineRule="auto"/>
        <w:rPr>
          <w:sz w:val="20"/>
          <w:szCs w:val="20"/>
          <w:color w:val="auto"/>
        </w:rPr>
      </w:pPr>
      <w:r>
        <w:rPr>
          <w:rFonts w:ascii="Arial" w:cs="Arial" w:eastAsia="Arial" w:hAnsi="Arial"/>
          <w:sz w:val="18"/>
          <w:szCs w:val="18"/>
          <w:color w:val="auto"/>
        </w:rPr>
        <w:t>party to any material claims by third parties of infringement by us of such third parties’ intellectual property rights. The following is a description of our existing license agreements and intellectual property rights for each of our clinical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17" w:lineRule="exact"/>
        <w:rPr>
          <w:sz w:val="20"/>
          <w:szCs w:val="20"/>
          <w:color w:val="auto"/>
        </w:rPr>
      </w:pPr>
    </w:p>
    <w:p>
      <w:pPr>
        <w:ind w:right="20" w:firstLine="572"/>
        <w:spacing w:after="0" w:line="271" w:lineRule="auto"/>
        <w:rPr>
          <w:sz w:val="20"/>
          <w:szCs w:val="20"/>
          <w:color w:val="auto"/>
        </w:rPr>
      </w:pPr>
      <w:r>
        <w:rPr>
          <w:rFonts w:ascii="Arial" w:cs="Arial" w:eastAsia="Arial" w:hAnsi="Arial"/>
          <w:sz w:val="17"/>
          <w:szCs w:val="17"/>
          <w:color w:val="auto"/>
        </w:rPr>
        <w:t>On October 22, 2004, we entered into an exclusive license agreement with Kyorin for the development and commercialization of MN-166 (ibudilast). Kyorin is a fully integrated Japanese pharmaceutical company and is listed on the Tokyo Stock Exchange. We obtained an exclusive, worldwide (excluding Japan, China, South Korea and Taiwan), sub-licensable license to the patent rights related to MN-166 (ibudilast) for the treatment of MS, except for ophthalmic solution formulations. MN-166 (ibudilast) is not covered by a composition of matter patent. The United States method of use patent for MN-166 (ibudilast) in MS underlying the license expired on August 10, 2018. Corresponding method of use patents in certain foreign countries also expired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78" w:lineRule="exact"/>
        <w:rPr>
          <w:sz w:val="20"/>
          <w:szCs w:val="20"/>
          <w:color w:val="auto"/>
        </w:rPr>
      </w:pPr>
    </w:p>
    <w:p>
      <w:pPr>
        <w:ind w:right="460" w:firstLine="560"/>
        <w:spacing w:after="0" w:line="263"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84" w:lineRule="exact"/>
        <w:rPr>
          <w:sz w:val="20"/>
          <w:szCs w:val="20"/>
          <w:color w:val="auto"/>
        </w:rPr>
      </w:pPr>
    </w:p>
    <w:p>
      <w:pPr>
        <w:ind w:right="120" w:firstLine="554"/>
        <w:spacing w:after="0" w:line="275"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6" w:lineRule="exact"/>
        <w:rPr>
          <w:sz w:val="20"/>
          <w:szCs w:val="20"/>
          <w:color w:val="auto"/>
        </w:rPr>
      </w:pPr>
    </w:p>
    <w:p>
      <w:pPr>
        <w:ind w:right="360" w:firstLine="560"/>
        <w:spacing w:after="0" w:line="308" w:lineRule="auto"/>
        <w:rPr>
          <w:sz w:val="20"/>
          <w:szCs w:val="20"/>
          <w:color w:val="auto"/>
        </w:rPr>
      </w:pPr>
      <w:r>
        <w:rPr>
          <w:rFonts w:ascii="Arial" w:cs="Arial" w:eastAsia="Arial" w:hAnsi="Arial"/>
          <w:sz w:val="17"/>
          <w:szCs w:val="17"/>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46" w:lineRule="exact"/>
        <w:rPr>
          <w:sz w:val="20"/>
          <w:szCs w:val="20"/>
          <w:color w:val="auto"/>
        </w:rPr>
      </w:pPr>
    </w:p>
    <w:p>
      <w:pPr>
        <w:ind w:right="660" w:firstLine="560"/>
        <w:spacing w:after="0" w:line="311" w:lineRule="auto"/>
        <w:rPr>
          <w:sz w:val="20"/>
          <w:szCs w:val="20"/>
          <w:color w:val="auto"/>
        </w:rPr>
      </w:pPr>
      <w:r>
        <w:rPr>
          <w:rFonts w:ascii="Arial" w:cs="Arial" w:eastAsia="Arial" w:hAnsi="Arial"/>
          <w:sz w:val="16"/>
          <w:szCs w:val="16"/>
          <w:color w:val="auto"/>
        </w:rPr>
        <w:t>We own, co-own or hold licenses to 15 issued U.S. patents and 11 pending U.S. patent applications as well as 39 issued foreign patents and 23 pending foreign patent applications covering MN-166 (ibudilast) and its analogs. These patents and patent applications are related to our development portfolio and are primarily directed to methods of treating various indications using MN-166 (ibudilast) and its analogs.</w:t>
      </w:r>
    </w:p>
    <w:p>
      <w:pPr>
        <w:spacing w:after="0" w:line="149" w:lineRule="exact"/>
        <w:rPr>
          <w:sz w:val="20"/>
          <w:szCs w:val="20"/>
          <w:color w:val="auto"/>
        </w:rPr>
      </w:pPr>
    </w:p>
    <w:p>
      <w:pPr>
        <w:ind w:firstLine="572"/>
        <w:spacing w:after="0" w:line="289" w:lineRule="auto"/>
        <w:rPr>
          <w:sz w:val="20"/>
          <w:szCs w:val="20"/>
          <w:color w:val="auto"/>
        </w:rPr>
      </w:pPr>
      <w:r>
        <w:rPr>
          <w:rFonts w:ascii="Arial" w:cs="Arial" w:eastAsia="Arial" w:hAnsi="Arial"/>
          <w:sz w:val="16"/>
          <w:szCs w:val="16"/>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We have been granted a U.S. patent which covers the combination of MN-166 (ibudilast) and interferon-beta for the treatment of progressive MS, including both PPMS and SPMS, and it expires no earlier than October 2039. We have been granted a U.S. patent which covers the use of MN-166 (ibudilast) for the treatment of amyotrophic lateral sclerosis (ALS) and it expires no earlier than January 2029. We have been granted a U.S. patent which covers the combination of MN-166 (ibudilast) and riluzole for the treatment of ALS and other neurodegenerative diseases and it expires no earlier than November 2035. Counterparts of this patent application have been granted in certain foreign jurisdictions. We have been granted two U.S. patents which cover the use of MN-166 (ibudilast) as part of a combination treatment for glioblastoma and these patents expire no earlier than February 2039. We have been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line="275" w:lineRule="auto"/>
        <w:rPr>
          <w:sz w:val="20"/>
          <w:szCs w:val="20"/>
          <w:color w:val="auto"/>
        </w:rPr>
      </w:pPr>
      <w:r>
        <w:rPr>
          <w:rFonts w:ascii="Arial" w:cs="Arial" w:eastAsia="Arial" w:hAnsi="Arial"/>
          <w:sz w:val="17"/>
          <w:szCs w:val="17"/>
          <w:color w:val="auto"/>
        </w:rPr>
        <w:t>granted a U.S. patent which covers the use of MN-166 (ibudilast) for the treatment of drug addiction or drug dependence or withdrawal syndrome and it expires no earlier than January 2030. Counterparts of this patent application have been granted in certain foreign jurisdictions. We have been granted a U.S. patent which covers the use of MN-166 (ibudilast) for the treatment of neuropathic pain and it expires no earlier than December 2025. We have been granted a U.S. patent which covers the use of MN-166 (ibudilast) for the treatment of an ophthalmic disease/disorder or injury associated with a neurodegenerative disease/disorder or a neuro-ophthalmologic disorder and it expires no earlier than October 2039.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117" w:lineRule="exact"/>
        <w:rPr>
          <w:sz w:val="20"/>
          <w:szCs w:val="20"/>
          <w:color w:val="auto"/>
        </w:rPr>
      </w:pPr>
    </w:p>
    <w:p>
      <w:pPr>
        <w:ind w:right="120" w:firstLine="572"/>
        <w:spacing w:after="0" w:line="279" w:lineRule="auto"/>
        <w:rPr>
          <w:sz w:val="20"/>
          <w:szCs w:val="20"/>
          <w:color w:val="auto"/>
        </w:rPr>
      </w:pPr>
      <w:r>
        <w:rPr>
          <w:rFonts w:ascii="Arial" w:cs="Arial" w:eastAsia="Arial" w:hAnsi="Arial"/>
          <w:sz w:val="17"/>
          <w:szCs w:val="17"/>
          <w:color w:val="auto"/>
        </w:rPr>
        <w:t>On February 25, 2004, we entered into an exclusive license agreement with Kissei for the development and commercialization of MN-221 (bedoradrine). In October 2022, we terminated this license agreement and we now have no further financial obligation to Kissei. Following termination of the license agreement, Kissei transferred to us the drug master file for MN-221 (bedoradrine), all related communications with FDA and all related ownership rights. We have no further obligations to Kissei in connection with developing and commercializing MN-221 (bedoradrine).</w:t>
      </w:r>
    </w:p>
    <w:p>
      <w:pPr>
        <w:spacing w:after="0" w:line="171" w:lineRule="exact"/>
        <w:rPr>
          <w:sz w:val="20"/>
          <w:szCs w:val="20"/>
          <w:color w:val="auto"/>
        </w:rPr>
      </w:pPr>
    </w:p>
    <w:p>
      <w:pPr>
        <w:ind w:right="40" w:firstLine="572"/>
        <w:spacing w:after="0" w:line="255" w:lineRule="auto"/>
        <w:rPr>
          <w:sz w:val="20"/>
          <w:szCs w:val="20"/>
          <w:color w:val="auto"/>
        </w:rPr>
      </w:pPr>
      <w:r>
        <w:rPr>
          <w:rFonts w:ascii="Arial" w:cs="Arial" w:eastAsia="Arial" w:hAnsi="Arial"/>
          <w:sz w:val="18"/>
          <w:szCs w:val="18"/>
          <w:color w:val="auto"/>
        </w:rPr>
        <w:t>In addition to the previously licensed patents, we have filed patent applications in the United States and certain foreign countries regarding additional uses and formulations of MN-221 (bedoradrine). We have been granted a U.S. patent which covers the use of MN-221 (bedoradrine)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We have been granted a U.S. patent that covers the use of MN-221 (bedoradrine) for the treatment of irritable bowel syndrome and it expires no earlier than April 2031.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117" w:lineRule="exact"/>
        <w:rPr>
          <w:sz w:val="20"/>
          <w:szCs w:val="20"/>
          <w:color w:val="auto"/>
        </w:rPr>
      </w:pPr>
    </w:p>
    <w:p>
      <w:pPr>
        <w:ind w:right="40" w:firstLine="560"/>
        <w:spacing w:after="0" w:line="269" w:lineRule="auto"/>
        <w:rPr>
          <w:sz w:val="20"/>
          <w:szCs w:val="20"/>
          <w:color w:val="auto"/>
        </w:rPr>
      </w:pPr>
      <w:r>
        <w:rPr>
          <w:rFonts w:ascii="Arial" w:cs="Arial" w:eastAsia="Arial" w:hAnsi="Arial"/>
          <w:sz w:val="17"/>
          <w:szCs w:val="17"/>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included an exclusive, sub-licensable license under two U.S. patents and certain corresponding patents in foreign countries. The United States composition of matter patent for MN-001 (tipelukast) underlying the license expired on February 23, 2009, and the United States composition of matter patent for MN-002 underlying the license expired on December 30, 2011. Foreign composition of matter patents for MN-001 (tipelukast) and MN-002 have also expired. We have been granted 14 U.S. patents and 41 foreign patents covering certain compositions, uses and manufacturing processes associated with MN-001 (tipelukast) and MN-002. Uses covered by these U.S.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182" w:lineRule="exact"/>
        <w:rPr>
          <w:sz w:val="20"/>
          <w:szCs w:val="20"/>
          <w:color w:val="auto"/>
        </w:rPr>
      </w:pPr>
    </w:p>
    <w:p>
      <w:pPr>
        <w:ind w:right="260" w:firstLine="560"/>
        <w:spacing w:after="0" w:line="255" w:lineRule="auto"/>
        <w:rPr>
          <w:sz w:val="20"/>
          <w:szCs w:val="20"/>
          <w:color w:val="auto"/>
        </w:rPr>
      </w:pPr>
      <w:r>
        <w:rPr>
          <w:rFonts w:ascii="Arial" w:cs="Arial" w:eastAsia="Arial" w:hAnsi="Arial"/>
          <w:sz w:val="18"/>
          <w:szCs w:val="18"/>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right="100" w:firstLine="560"/>
        <w:spacing w:after="0" w:line="275"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6" w:lineRule="exact"/>
        <w:rPr>
          <w:sz w:val="20"/>
          <w:szCs w:val="20"/>
          <w:color w:val="auto"/>
        </w:rPr>
      </w:pPr>
    </w:p>
    <w:p>
      <w:pPr>
        <w:ind w:right="140" w:firstLine="560"/>
        <w:spacing w:after="0" w:line="308" w:lineRule="auto"/>
        <w:rPr>
          <w:sz w:val="20"/>
          <w:szCs w:val="20"/>
          <w:color w:val="auto"/>
        </w:rPr>
      </w:pPr>
      <w:r>
        <w:rPr>
          <w:rFonts w:ascii="Arial" w:cs="Arial" w:eastAsia="Arial" w:hAnsi="Arial"/>
          <w:sz w:val="17"/>
          <w:szCs w:val="17"/>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117" w:lineRule="exact"/>
        <w:rPr>
          <w:sz w:val="20"/>
          <w:szCs w:val="20"/>
          <w:color w:val="auto"/>
        </w:rPr>
      </w:pPr>
    </w:p>
    <w:p>
      <w:pPr>
        <w:ind w:firstLine="560"/>
        <w:spacing w:after="0" w:line="272" w:lineRule="auto"/>
        <w:rPr>
          <w:sz w:val="20"/>
          <w:szCs w:val="20"/>
          <w:color w:val="auto"/>
        </w:rPr>
      </w:pPr>
      <w:r>
        <w:rPr>
          <w:rFonts w:ascii="Arial" w:cs="Arial" w:eastAsia="Arial" w:hAnsi="Arial"/>
          <w:sz w:val="17"/>
          <w:szCs w:val="17"/>
          <w:color w:val="auto"/>
        </w:rPr>
        <w:t>On June 19, 2002, we entered into an exclusive license agreement with Angiogene, a privately held, British drug discovery company, for the development and commercialization of the ANG-600 series of compounds. We obtained an exclusive, worldwide, sub-licensable license to the patent rights and know-how related to the ANG-600 series of compounds disclosed in and included or covered by these patents for all indications. MN-029 (denibulin)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 and patents have been granted in some of those countries.</w:t>
      </w:r>
    </w:p>
    <w:p>
      <w:pPr>
        <w:spacing w:after="0" w:line="177" w:lineRule="exact"/>
        <w:rPr>
          <w:sz w:val="20"/>
          <w:szCs w:val="20"/>
          <w:color w:val="auto"/>
        </w:rPr>
      </w:pPr>
    </w:p>
    <w:p>
      <w:pPr>
        <w:ind w:right="440" w:firstLine="560"/>
        <w:spacing w:after="0" w:line="308" w:lineRule="auto"/>
        <w:rPr>
          <w:sz w:val="20"/>
          <w:szCs w:val="20"/>
          <w:color w:val="auto"/>
        </w:rPr>
      </w:pPr>
      <w:r>
        <w:rPr>
          <w:rFonts w:ascii="Arial" w:cs="Arial" w:eastAsia="Arial" w:hAnsi="Arial"/>
          <w:sz w:val="17"/>
          <w:szCs w:val="17"/>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46" w:lineRule="exact"/>
        <w:rPr>
          <w:sz w:val="20"/>
          <w:szCs w:val="20"/>
          <w:color w:val="auto"/>
        </w:rPr>
      </w:pPr>
    </w:p>
    <w:p>
      <w:pPr>
        <w:ind w:right="140" w:firstLine="560"/>
        <w:spacing w:after="0" w:line="277" w:lineRule="auto"/>
        <w:rPr>
          <w:sz w:val="20"/>
          <w:szCs w:val="20"/>
          <w:color w:val="auto"/>
        </w:rPr>
      </w:pPr>
      <w:r>
        <w:rPr>
          <w:rFonts w:ascii="Arial" w:cs="Arial" w:eastAsia="Arial" w:hAnsi="Arial"/>
          <w:sz w:val="18"/>
          <w:szCs w:val="18"/>
          <w:color w:val="auto"/>
        </w:rPr>
        <w:t>The term of this agreement is determined on a country-by-country basis and extends until the earlier of the expiration of the last Angiogene patent (or equivalent) under license which has a valid claim or 15 years from the date of first commercial sale.</w:t>
      </w:r>
    </w:p>
    <w:p>
      <w:pPr>
        <w:spacing w:after="0" w:line="170" w:lineRule="exact"/>
        <w:rPr>
          <w:sz w:val="20"/>
          <w:szCs w:val="20"/>
          <w:color w:val="auto"/>
        </w:rPr>
      </w:pPr>
    </w:p>
    <w:p>
      <w:pPr>
        <w:ind w:right="60" w:firstLine="560"/>
        <w:spacing w:after="0" w:line="308" w:lineRule="auto"/>
        <w:rPr>
          <w:sz w:val="20"/>
          <w:szCs w:val="20"/>
          <w:color w:val="auto"/>
        </w:rPr>
      </w:pPr>
      <w:r>
        <w:rPr>
          <w:rFonts w:ascii="Arial" w:cs="Arial" w:eastAsia="Arial" w:hAnsi="Arial"/>
          <w:sz w:val="17"/>
          <w:szCs w:val="17"/>
          <w:color w:val="auto"/>
        </w:rPr>
        <w:t>Under the license agreement, we have paid Angiogene $1.4 million to date and are obligated to make payments of up to $16.5 million based on the achievement of clinical and regulatory milestones. We are also obligated to pay a royalty on net sales of the licensed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0" w:firstLine="560"/>
        <w:spacing w:after="0" w:line="288" w:lineRule="auto"/>
        <w:rPr>
          <w:sz w:val="20"/>
          <w:szCs w:val="20"/>
          <w:color w:val="auto"/>
        </w:rPr>
      </w:pPr>
      <w:r>
        <w:rPr>
          <w:rFonts w:ascii="Arial" w:cs="Arial" w:eastAsia="Arial" w:hAnsi="Arial"/>
          <w:sz w:val="16"/>
          <w:szCs w:val="16"/>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ind w:right="640"/>
        <w:spacing w:after="0" w:line="263" w:lineRule="auto"/>
        <w:rPr>
          <w:sz w:val="20"/>
          <w:szCs w:val="20"/>
          <w:color w:val="auto"/>
        </w:rPr>
      </w:pPr>
      <w:r>
        <w:rPr>
          <w:rFonts w:ascii="Arial" w:cs="Arial" w:eastAsia="Arial" w:hAnsi="Arial"/>
          <w:sz w:val="18"/>
          <w:szCs w:val="18"/>
          <w:color w:val="auto"/>
        </w:rPr>
        <w:t>may infringe patents or other rights, which may require us to obtain a license to such patents or other rights. We are not aware of any third party infringements of patents we hold or have licensed and have not received any material claims by third parties of infringement by us of such parties’ intellectual property rights.</w:t>
      </w:r>
    </w:p>
    <w:p>
      <w:pPr>
        <w:spacing w:after="0" w:line="184" w:lineRule="exact"/>
        <w:rPr>
          <w:sz w:val="20"/>
          <w:szCs w:val="20"/>
          <w:color w:val="auto"/>
        </w:rPr>
      </w:pPr>
    </w:p>
    <w:p>
      <w:pPr>
        <w:ind w:right="40" w:firstLine="560"/>
        <w:spacing w:after="0" w:line="271" w:lineRule="auto"/>
        <w:rPr>
          <w:sz w:val="20"/>
          <w:szCs w:val="20"/>
          <w:color w:val="auto"/>
        </w:rPr>
      </w:pPr>
      <w:r>
        <w:rPr>
          <w:rFonts w:ascii="Arial" w:cs="Arial" w:eastAsia="Arial" w:hAnsi="Arial"/>
          <w:sz w:val="17"/>
          <w:szCs w:val="17"/>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treating progressive MS with MN-166 (ibudilast), the method of treating ALS with MN-166 (ibudilast), the method of treating glioblastoma with MN-166 (ibudilast) as part of a combination therapy,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178" w:lineRule="exact"/>
        <w:rPr>
          <w:sz w:val="20"/>
          <w:szCs w:val="20"/>
          <w:color w:val="auto"/>
        </w:rPr>
      </w:pPr>
    </w:p>
    <w:p>
      <w:pPr>
        <w:ind w:firstLine="560"/>
        <w:spacing w:after="0" w:line="255" w:lineRule="auto"/>
        <w:rPr>
          <w:sz w:val="20"/>
          <w:szCs w:val="20"/>
          <w:color w:val="auto"/>
        </w:rPr>
      </w:pPr>
      <w:r>
        <w:rPr>
          <w:rFonts w:ascii="Arial" w:cs="Arial" w:eastAsia="Arial" w:hAnsi="Arial"/>
          <w:sz w:val="18"/>
          <w:szCs w:val="18"/>
          <w:color w:val="auto"/>
        </w:rPr>
        <w:t>In addition, if we develop certain products that are not covered by any patents, we will be dependent on obtaining market exclusivity under the new chemical entity exclusivity provisions of the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or foregone royalties in the event of generic competition.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72"/>
        <w:spacing w:after="0" w:line="270" w:lineRule="auto"/>
        <w:rPr>
          <w:sz w:val="20"/>
          <w:szCs w:val="20"/>
          <w:color w:val="auto"/>
        </w:rPr>
      </w:pPr>
      <w:r>
        <w:rPr>
          <w:rFonts w:ascii="Arial" w:cs="Arial" w:eastAsia="Arial" w:hAnsi="Arial"/>
          <w:sz w:val="17"/>
          <w:szCs w:val="17"/>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1" w:lineRule="exact"/>
        <w:rPr>
          <w:sz w:val="20"/>
          <w:szCs w:val="20"/>
          <w:color w:val="auto"/>
        </w:rPr>
      </w:pPr>
    </w:p>
    <w:p>
      <w:pPr>
        <w:ind w:right="240" w:firstLine="560"/>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MN-166 (ibudilast) for Progressive Multiple Sclerosis (Progressive MS)</w:t>
      </w:r>
    </w:p>
    <w:p>
      <w:pPr>
        <w:spacing w:after="0" w:line="117" w:lineRule="exact"/>
        <w:rPr>
          <w:sz w:val="20"/>
          <w:szCs w:val="20"/>
          <w:color w:val="auto"/>
        </w:rPr>
      </w:pPr>
    </w:p>
    <w:p>
      <w:pPr>
        <w:jc w:val="both"/>
        <w:ind w:right="140" w:firstLine="672"/>
        <w:spacing w:after="0" w:line="255" w:lineRule="auto"/>
        <w:rPr>
          <w:sz w:val="20"/>
          <w:szCs w:val="20"/>
          <w:color w:val="auto"/>
        </w:rPr>
      </w:pPr>
      <w:r>
        <w:rPr>
          <w:rFonts w:ascii="Arial" w:cs="Arial" w:eastAsia="Arial" w:hAnsi="Arial"/>
          <w:sz w:val="18"/>
          <w:szCs w:val="18"/>
          <w:color w:val="auto"/>
        </w:rPr>
        <w:t>Our MN-166 (ibudilast) product candidate is in development for the treatment of progressive MS. Mitoxantrone is approved for the treatment of secondary progressive MS but it cannot be used on a long-term basis because of the potential for cardiac toxicity. Mayzent (siponimod), Mavenclad (cladribine), Vumerity (diroximel fumarate), Zeposia (ozanimod), Kesimpta (ofatumumab), Bafiertam (monomethyl fumarate), Ponvory (ponesimod), and Briumvi (ublituximab-xiiy) are approved for the treatment of secondary progressive MS with relapses. Ocrevus (ocrelizumab) is approved for the treatment of primary progressive MS. Other programs in clinical development for progressive MS include Sanofi’s tolebrutinib, Roche’s fenebrutinib, and AB Science’s masitinib.</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Amyotrophic Lateral Sclerosis (ALS)</w:t>
      </w:r>
    </w:p>
    <w:p>
      <w:pPr>
        <w:spacing w:after="0" w:line="117" w:lineRule="exact"/>
        <w:rPr>
          <w:sz w:val="20"/>
          <w:szCs w:val="20"/>
          <w:color w:val="auto"/>
        </w:rPr>
      </w:pPr>
    </w:p>
    <w:p>
      <w:pPr>
        <w:ind w:firstLine="672"/>
        <w:spacing w:after="0" w:line="259" w:lineRule="auto"/>
        <w:rPr>
          <w:sz w:val="20"/>
          <w:szCs w:val="20"/>
          <w:color w:val="auto"/>
        </w:rPr>
      </w:pPr>
      <w:r>
        <w:rPr>
          <w:rFonts w:ascii="Arial" w:cs="Arial" w:eastAsia="Arial" w:hAnsi="Arial"/>
          <w:sz w:val="18"/>
          <w:szCs w:val="18"/>
          <w:color w:val="auto"/>
        </w:rPr>
        <w:t>Our MN-166 (ibudilast) product candidate is also in development for the treatment of ALS. Generic riluzole, which is also sold under the brand names Rilutek and Tiglutik, Radicava (edaravone), and Relyvrio (sodium phenylbutyrate and taurursodiol) are approved for the treatment of ALS. We are aware of additional compounds in clinical development for the treatment of ALS at other companies including Cytokinetics, BrainStorm Cell Therapeutics, AB Science, Biogen, Ionis Pharmaceuticals, Biohaven Pharmaceuticals, and Clene.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Substance Dependence and Addiction</w:t>
      </w:r>
    </w:p>
    <w:p>
      <w:pPr>
        <w:spacing w:after="0" w:line="117" w:lineRule="exact"/>
        <w:rPr>
          <w:sz w:val="20"/>
          <w:szCs w:val="20"/>
          <w:color w:val="auto"/>
        </w:rPr>
      </w:pPr>
    </w:p>
    <w:p>
      <w:pPr>
        <w:ind w:right="60" w:firstLine="672"/>
        <w:spacing w:after="0" w:line="287" w:lineRule="auto"/>
        <w:rPr>
          <w:sz w:val="20"/>
          <w:szCs w:val="20"/>
          <w:color w:val="auto"/>
        </w:rPr>
      </w:pPr>
      <w:r>
        <w:rPr>
          <w:rFonts w:ascii="Arial" w:cs="Arial" w:eastAsia="Arial" w:hAnsi="Arial"/>
          <w:sz w:val="16"/>
          <w:szCs w:val="16"/>
          <w:color w:val="auto"/>
        </w:rPr>
        <w:t>Our MN-166 (ibudilast) product candidate is also in development for the treatment of opioid dependence, methamphetamine addiction, and alcohol dependence. Current treatments for opioid withdrawal symptoms include narcotics such as generic methadone and Indivior, Inc.’s Suboxone Film (buprenorphine + the opioid antagonist naloxone). Other products approved for opioid dependence include Alkermes’s Vivitrol (naltrexone monthly injection), Orexo’s Zubsolv (buprenorphine and naloxone), and Indivior’s Sublocade (buprenorphine extended-release injection). In December 2018, Braeburn announced tentative FDA approval of BRIXADI, an extended-release weekly and monthly injectable buprenorphine product, for the treatment of moderate to severe opioid use disorder. In December 2022, Braeburn announced that the New Drug Application (NDA) resubmission for BRIXADI was accepted by the FDA with a PDUFA action date set for May 23, 2023. Limited non-narcotic drug candidates for opioid withdrawal symptoms exist. US WorldMeds, LLC’s Lucemyra (lofexidine) is a central alpha-2 adrenergic agonist approved for mitigation of opioid withdrawal symptoms to facilitate abrupt opioid discontinuation. There are no pharmaceuticals currently approved for the treatment of methamphetamine addiction. Approved treatments for alcohol dependence include Antabuse (disulfiram), Vivitrol (naltrexone), and generic acamprosate. We are aware of additional treatments in development for the treatment of alcohol dependence at other companies including Opiant Pharmaceuticals.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Chemotherapy-Induced Peripheral Neuropathy</w:t>
      </w:r>
    </w:p>
    <w:p>
      <w:pPr>
        <w:spacing w:after="0" w:line="117" w:lineRule="exact"/>
        <w:rPr>
          <w:sz w:val="20"/>
          <w:szCs w:val="20"/>
          <w:color w:val="auto"/>
        </w:rPr>
      </w:pPr>
    </w:p>
    <w:p>
      <w:pPr>
        <w:jc w:val="both"/>
        <w:ind w:right="220" w:firstLine="560"/>
        <w:spacing w:after="0" w:line="263" w:lineRule="auto"/>
        <w:rPr>
          <w:sz w:val="20"/>
          <w:szCs w:val="20"/>
          <w:color w:val="auto"/>
        </w:rPr>
      </w:pPr>
      <w:r>
        <w:rPr>
          <w:rFonts w:ascii="Arial" w:cs="Arial" w:eastAsia="Arial" w:hAnsi="Arial"/>
          <w:sz w:val="18"/>
          <w:szCs w:val="18"/>
          <w:color w:val="auto"/>
        </w:rPr>
        <w:t>Our MN-166 (ibudilast) product candidate is also in development for the treatment of chemotherapy-induced peripheral neuropathy. There are no pharmaceuticals currently approved for the treatment of chemotherapy-induced peripheral neuropathy. Duloxetine is sometimes used off-label for this indication.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Degenerative Cervical Myelopathy</w:t>
      </w:r>
    </w:p>
    <w:p>
      <w:pPr>
        <w:spacing w:after="0" w:line="117" w:lineRule="exact"/>
        <w:rPr>
          <w:sz w:val="20"/>
          <w:szCs w:val="20"/>
          <w:color w:val="auto"/>
        </w:rPr>
      </w:pPr>
    </w:p>
    <w:p>
      <w:pPr>
        <w:ind w:right="840" w:firstLine="560"/>
        <w:spacing w:after="0" w:line="277" w:lineRule="auto"/>
        <w:rPr>
          <w:sz w:val="20"/>
          <w:szCs w:val="20"/>
          <w:color w:val="auto"/>
        </w:rPr>
      </w:pPr>
      <w:r>
        <w:rPr>
          <w:rFonts w:ascii="Arial" w:cs="Arial" w:eastAsia="Arial" w:hAnsi="Arial"/>
          <w:sz w:val="18"/>
          <w:szCs w:val="18"/>
          <w:color w:val="auto"/>
        </w:rPr>
        <w:t>Our MN-166 (ibudilast) product candidate is also in development for the treatment of degenerative cervical myelopathy. There are no pharmaceuticals currently approved for the treatment of degenerative cervical myelopathy.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57" w:right="5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MN-166 (ibudilast) for Glioblastoma</w:t>
      </w:r>
    </w:p>
    <w:p>
      <w:pPr>
        <w:spacing w:after="0" w:line="117" w:lineRule="exact"/>
        <w:rPr>
          <w:sz w:val="20"/>
          <w:szCs w:val="20"/>
          <w:color w:val="auto"/>
        </w:rPr>
      </w:pPr>
    </w:p>
    <w:p>
      <w:pPr>
        <w:ind w:firstLine="659"/>
        <w:spacing w:after="0" w:line="301" w:lineRule="auto"/>
        <w:rPr>
          <w:sz w:val="20"/>
          <w:szCs w:val="20"/>
          <w:color w:val="auto"/>
        </w:rPr>
      </w:pPr>
      <w:r>
        <w:rPr>
          <w:rFonts w:ascii="Arial" w:cs="Arial" w:eastAsia="Arial" w:hAnsi="Arial"/>
          <w:sz w:val="16"/>
          <w:szCs w:val="16"/>
          <w:color w:val="auto"/>
        </w:rPr>
        <w:t>We have initiated clinical development of our MN-166 (ibudilast) product candidate for the treatment of glioblastoma. Surgery, radiation, and chemotherapy with the drug temozolomide is the current standard of treatment for glioblastoma. GLIADEL® WAFER (carmustine implant) and AVASTIN® (bevacizumab) are also approved for the treatment for glioblastoma. We are aware of additional compounds in development for the treatment of glioblastoma at other companies including Kazia Therapeutics, Kintara Therapeutics, Denovo Biopharma, and Laminar Pharmaceuticals.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Prevention of Acute Respiratory Distress Syndrome (ARDS) in patients with COVID-19</w:t>
      </w:r>
    </w:p>
    <w:p>
      <w:pPr>
        <w:spacing w:after="0" w:line="117" w:lineRule="exact"/>
        <w:rPr>
          <w:sz w:val="20"/>
          <w:szCs w:val="20"/>
          <w:color w:val="auto"/>
        </w:rPr>
      </w:pPr>
    </w:p>
    <w:p>
      <w:pPr>
        <w:ind w:right="20" w:firstLine="659"/>
        <w:spacing w:after="0" w:line="267" w:lineRule="auto"/>
        <w:rPr>
          <w:sz w:val="20"/>
          <w:szCs w:val="20"/>
          <w:color w:val="auto"/>
        </w:rPr>
      </w:pPr>
      <w:r>
        <w:rPr>
          <w:rFonts w:ascii="Arial" w:cs="Arial" w:eastAsia="Arial" w:hAnsi="Arial"/>
          <w:sz w:val="17"/>
          <w:szCs w:val="17"/>
          <w:color w:val="auto"/>
        </w:rPr>
        <w:t>Our MN-166 (ibudilast) product candidate is also in development for the prevention of ARDS in patients with COVID-19. While we are not aware of any other therapeutics that are in development specifically for this indication, we are aware of other therapeutics approved or in development for the treatment COVID-19. In October 2020, Gilead Sciences announced FDA approval of its antiviral drug Veklury (remdesivir) for the treatment of patients with COVID-19 requiring hospitalization. In November 2020, the FDA granted Emergency Use Authorization (EUA) for Eli Lilly's investigational neutralizing antibody bamlanivimab (LY-CoV555) for the treatment of COVID-19 patients at high risk for progressing to severe COVID-19 and/or hospitalization. In November 2020, Eli Lilly and Incyte announced that the FDA issued an EUA for the distribution and emergency use of baricitinib to be used in combination with remdesivir in hospitalized COVID-19 patients. In November 2020, Regeneron Pharmaceuticals announced that its multi-antibody therapy casirivimab and imdevimab administered together received EUA from the FDA for the treatment of COVID-19. In February 2021, the FDA issued an EUA for Eli Lilly's bamlanivimab and etesevimab, administered together, for the treatment of COVID-19 patients who are at high risk for progression to severe COVID-19. In May 2021, the FDA issued an EUA for GlaxoSmithKline’s sotrovimab for the treatment of COVID-19 patients who are at high risk for progression to severe COVID-19. In June 2021, the FDA issued an EUA for Roche’s Actemra (tocilizumab) for the treatment of hospitalized COVID-19 patients. In December 2021, Pfizer announced that the FDA granted an EUA for PAXLOVID (nirmatrelvir tablets and ritonavir tablets) for the treatment of mild to moderate COVID-19 in adults and pediatric patients (12 years of age and older weighing at least 40 kg) who are at high risk for progression to severe COVID-19. In December 2021, Merck and Ridgeback Biotherapeutics announced that the FDA granted an EUA for molnupiravir, an investigational oral antiviral, to treat mild to moderate COVID-19 in adults who are at high risk for progression to severe COVID-19 and for whom alternative COVID-19 treatment options authorized by the FDA are not accessible or clinically appropriate. In February 2022, the FDA issued an EUA for Eli Lilly's bebtelovimab for the treatment of mild to moderate COVID-19 in adults and pediatric patients who are at high risk for progression to severe COVID-19 and for whom alternative COVID-19 treatment options are not accessible or clinically appropriate. In November 2022, the FDA issued an EUA for Swedish Orphan Biovitrum's Kineret (anakinra) for the treatment of hospitalized COVID-19 adults with pneumonia requiring supplemental oxygen who are at risk for progressing to severe respiratory failure and are likely to have an elevated plasma soluble urokinase plasminogen activator receptor (suPAR). We are aware of additional treatments in development for the treatment of COVID-19 at other companies including Merck and AstraZeneca.</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MN-221 (bedoradrine) for Acute Exacerbations of Asthma</w:t>
      </w:r>
    </w:p>
    <w:p>
      <w:pPr>
        <w:spacing w:after="0" w:line="117" w:lineRule="exact"/>
        <w:rPr>
          <w:sz w:val="20"/>
          <w:szCs w:val="20"/>
          <w:color w:val="auto"/>
        </w:rPr>
      </w:pPr>
    </w:p>
    <w:p>
      <w:pPr>
        <w:jc w:val="both"/>
        <w:ind w:right="380" w:firstLine="560"/>
        <w:spacing w:after="0" w:line="259" w:lineRule="auto"/>
        <w:rPr>
          <w:sz w:val="20"/>
          <w:szCs w:val="20"/>
          <w:color w:val="auto"/>
        </w:rPr>
      </w:pPr>
      <w:r>
        <w:rPr>
          <w:rFonts w:ascii="Arial" w:cs="Arial" w:eastAsia="Arial" w:hAnsi="Arial"/>
          <w:sz w:val="18"/>
          <w:szCs w:val="18"/>
          <w:color w:val="auto"/>
        </w:rPr>
        <w:t>Our MN-221 (bedoradrine) product candidate has been developed for the treatment of acute exacerbations of asthma in the emergency room setting. The current standard of care for acute exacerbations of asthma is inhaled albuterol (a beta-2-adrenergic receptor agonist), inhaled ipratropium (an anticholinergic) and oral or injected corticosteroids. In addition, subcutaneously administered terbutaline (a beta-2-adrenergic receptor agonist) is sometimes used to treat this condition, particularly in pediatric patients.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Nonalcoholic Steatohepatitis (NASH) and Nonalcoholic Fatty Liver Disease (NAFLD)</w:t>
      </w:r>
    </w:p>
    <w:p>
      <w:pPr>
        <w:spacing w:after="0" w:line="131" w:lineRule="exact"/>
        <w:rPr>
          <w:sz w:val="20"/>
          <w:szCs w:val="20"/>
          <w:color w:val="auto"/>
        </w:rPr>
      </w:pPr>
    </w:p>
    <w:p>
      <w:pPr>
        <w:ind w:firstLine="560"/>
        <w:spacing w:after="0" w:line="259" w:lineRule="auto"/>
        <w:rPr>
          <w:sz w:val="20"/>
          <w:szCs w:val="20"/>
          <w:color w:val="auto"/>
        </w:rPr>
      </w:pPr>
      <w:r>
        <w:rPr>
          <w:rFonts w:ascii="Arial" w:cs="Arial" w:eastAsia="Arial" w:hAnsi="Arial"/>
          <w:sz w:val="18"/>
          <w:szCs w:val="18"/>
          <w:color w:val="auto"/>
        </w:rPr>
        <w:t>Our MN-001 (tipelukast) product candidate has been developed for the treatment of NASH and NAFLD. There are currently no pharmaceuticals approved for the treatment of NASH or NAFLD. We are aware of compounds in clinical development for the treatment of NASH or NAFLD at other companies including Intercept Pharmaceuticals, Galectin Therapeutics, Gilead Sciences, Galmed Pharmaceuticals, Bristol-Myers Squibb, Pfizer, Novartis, Novo Nordisk, Merck, and Madrigal Pharmaceuticals.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Idiopathic Pulmonary Fibrosis (IPF)</w:t>
      </w:r>
    </w:p>
    <w:p>
      <w:pPr>
        <w:spacing w:after="0" w:line="131" w:lineRule="exact"/>
        <w:rPr>
          <w:sz w:val="20"/>
          <w:szCs w:val="20"/>
          <w:color w:val="auto"/>
        </w:rPr>
      </w:pPr>
    </w:p>
    <w:p>
      <w:pPr>
        <w:jc w:val="both"/>
        <w:ind w:firstLine="560"/>
        <w:spacing w:after="0" w:line="263" w:lineRule="auto"/>
        <w:rPr>
          <w:sz w:val="20"/>
          <w:szCs w:val="20"/>
          <w:color w:val="auto"/>
        </w:rPr>
      </w:pPr>
      <w:r>
        <w:rPr>
          <w:rFonts w:ascii="Arial" w:cs="Arial" w:eastAsia="Arial" w:hAnsi="Arial"/>
          <w:sz w:val="18"/>
          <w:szCs w:val="18"/>
          <w:color w:val="auto"/>
        </w:rPr>
        <w:t>Our MN-001 (tipelukast) product candidate is in development for the treatment of IPF. Products approved in the United States for treatment of IPF include Roche’s (formerly InterMune) Esbriet (pirfenidone) and Boehringer Ingelheim’s OFEV (nintedanib). Companies working on clinical development programs for treatment of IPF include Roche, United Therapeutics, and FibroGen.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 for Solid Tumor Cancer</w:t>
      </w:r>
    </w:p>
    <w:p>
      <w:pPr>
        <w:spacing w:after="0" w:line="131" w:lineRule="exact"/>
        <w:rPr>
          <w:sz w:val="20"/>
          <w:szCs w:val="20"/>
          <w:color w:val="auto"/>
        </w:rPr>
      </w:pPr>
    </w:p>
    <w:p>
      <w:pPr>
        <w:ind w:right="60" w:firstLine="560"/>
        <w:spacing w:after="0" w:line="254" w:lineRule="auto"/>
        <w:rPr>
          <w:sz w:val="20"/>
          <w:szCs w:val="20"/>
          <w:color w:val="auto"/>
        </w:rPr>
      </w:pPr>
      <w:r>
        <w:rPr>
          <w:rFonts w:ascii="Arial" w:cs="Arial" w:eastAsia="Arial" w:hAnsi="Arial"/>
          <w:sz w:val="18"/>
          <w:szCs w:val="18"/>
          <w:color w:val="auto"/>
        </w:rPr>
        <w:t>Our MN-029 (denibulin) product candidate has been developed for the treatment of solid tumor cancers. Roche’s Kadcyla, a HER2-targeted antibody and microtubule inhibitor conjugate, is approved for treatment of patients with HER2-positive metastatic breast cancer who previously were treated with trastuzumab and a taxane. Bayer’s Stivarga, a kinase inhibitor approved for metastatic colorectal cancer, was also approved for patients with advanced, unresectable (not subject to surgical removal) or metastatic gastrointestinal stromal tumor. Other drugs approved for solid tumor cancers include Roche’s Avastin and Xeloda, Amgen’s Xgeva, Pfizer’s Sutent, and Novartis’s Afinitor. We are aware of additional compounds in development for the treatment of solid tumor cancers at companies including Eli Lilly, Roche, Novartis, Pfizer, Sanofi, Amgen, Bayer, Merck, AstraZeneca, AbbVie and Bristol-Myers Squibb.</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35" w:lineRule="exact"/>
        <w:rPr>
          <w:sz w:val="20"/>
          <w:szCs w:val="20"/>
          <w:color w:val="auto"/>
        </w:rPr>
      </w:pPr>
    </w:p>
    <w:p>
      <w:pPr>
        <w:ind w:right="20" w:firstLine="560"/>
        <w:spacing w:after="0" w:line="254" w:lineRule="auto"/>
        <w:rPr>
          <w:sz w:val="20"/>
          <w:szCs w:val="20"/>
          <w:color w:val="auto"/>
        </w:rPr>
      </w:pPr>
      <w:r>
        <w:rPr>
          <w:rFonts w:ascii="Arial" w:cs="Arial" w:eastAsia="Arial" w:hAnsi="Arial"/>
          <w:sz w:val="18"/>
          <w:szCs w:val="18"/>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 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United States Regulatory Approval</w:t>
      </w:r>
    </w:p>
    <w:p>
      <w:pPr>
        <w:spacing w:after="0" w:line="117" w:lineRule="exact"/>
        <w:rPr>
          <w:sz w:val="20"/>
          <w:szCs w:val="20"/>
          <w:color w:val="auto"/>
        </w:rPr>
      </w:pPr>
    </w:p>
    <w:p>
      <w:pPr>
        <w:ind w:right="40" w:firstLine="560"/>
        <w:spacing w:after="0" w:line="275"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the United States, drugs and drug testing are regulated by the FDA under the Federal Food, Drug and Cosmetic Act, or FDCA,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state and local government authorities. All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90" w:lineRule="exact"/>
        <w:rPr>
          <w:sz w:val="20"/>
          <w:szCs w:val="20"/>
          <w:color w:val="auto"/>
        </w:rPr>
      </w:pPr>
    </w:p>
    <w:p>
      <w:pPr>
        <w:ind w:left="1320" w:hanging="37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nonclinical laboratory, animal studies, and formulation studies;</w:t>
      </w:r>
    </w:p>
    <w:p>
      <w:pPr>
        <w:spacing w:after="0" w:line="252" w:lineRule="exact"/>
        <w:rPr>
          <w:rFonts w:ascii="Arial" w:cs="Arial" w:eastAsia="Arial" w:hAnsi="Arial"/>
          <w:sz w:val="18"/>
          <w:szCs w:val="18"/>
          <w:color w:val="auto"/>
        </w:rPr>
      </w:pPr>
    </w:p>
    <w:p>
      <w:pPr>
        <w:ind w:left="1320" w:hanging="37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human clinical trials may begin in the United States;</w:t>
      </w:r>
    </w:p>
    <w:p>
      <w:pPr>
        <w:spacing w:after="0" w:line="238" w:lineRule="exact"/>
        <w:rPr>
          <w:rFonts w:ascii="Arial" w:cs="Arial" w:eastAsia="Arial" w:hAnsi="Arial"/>
          <w:sz w:val="18"/>
          <w:szCs w:val="18"/>
          <w:color w:val="auto"/>
        </w:rPr>
      </w:pPr>
    </w:p>
    <w:p>
      <w:pPr>
        <w:ind w:left="1320" w:right="320" w:hanging="378"/>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183" w:lineRule="exact"/>
        <w:rPr>
          <w:rFonts w:ascii="Arial" w:cs="Arial" w:eastAsia="Arial" w:hAnsi="Arial"/>
          <w:sz w:val="18"/>
          <w:szCs w:val="18"/>
          <w:color w:val="auto"/>
        </w:rPr>
      </w:pPr>
    </w:p>
    <w:p>
      <w:pPr>
        <w:ind w:left="1320" w:hanging="37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accompanied by a substantial user fee;</w:t>
      </w:r>
    </w:p>
    <w:p>
      <w:pPr>
        <w:spacing w:after="0" w:line="252" w:lineRule="exact"/>
        <w:rPr>
          <w:rFonts w:ascii="Arial" w:cs="Arial" w:eastAsia="Arial" w:hAnsi="Arial"/>
          <w:sz w:val="18"/>
          <w:szCs w:val="18"/>
          <w:color w:val="auto"/>
        </w:rPr>
      </w:pPr>
    </w:p>
    <w:p>
      <w:pPr>
        <w:ind w:left="1320" w:hanging="378"/>
        <w:spacing w:after="0" w:line="263"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197" w:lineRule="exact"/>
        <w:rPr>
          <w:rFonts w:ascii="Arial" w:cs="Arial" w:eastAsia="Arial" w:hAnsi="Arial"/>
          <w:sz w:val="18"/>
          <w:szCs w:val="18"/>
          <w:color w:val="auto"/>
        </w:rPr>
      </w:pPr>
    </w:p>
    <w:p>
      <w:pPr>
        <w:ind w:left="1320" w:right="300" w:hanging="378"/>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70" w:lineRule="exact"/>
        <w:rPr>
          <w:sz w:val="20"/>
          <w:szCs w:val="20"/>
          <w:color w:val="auto"/>
        </w:rPr>
      </w:pPr>
    </w:p>
    <w:p>
      <w:pPr>
        <w:ind w:right="160" w:firstLine="560"/>
        <w:spacing w:after="0" w:line="259"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87" w:lineRule="exact"/>
        <w:rPr>
          <w:sz w:val="20"/>
          <w:szCs w:val="20"/>
          <w:color w:val="auto"/>
        </w:rPr>
      </w:pPr>
    </w:p>
    <w:p>
      <w:pPr>
        <w:ind w:right="160" w:firstLine="560"/>
        <w:spacing w:after="0" w:line="301"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57" w:lineRule="exact"/>
        <w:rPr>
          <w:sz w:val="20"/>
          <w:szCs w:val="20"/>
          <w:color w:val="auto"/>
        </w:rPr>
      </w:pPr>
    </w:p>
    <w:p>
      <w:pPr>
        <w:ind w:right="60" w:firstLine="560"/>
        <w:spacing w:after="0" w:line="255"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 days</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260" w:firstLine="560"/>
        <w:spacing w:after="0" w:line="263"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239" w:lineRule="exact"/>
        <w:rPr>
          <w:sz w:val="20"/>
          <w:szCs w:val="20"/>
          <w:color w:val="auto"/>
        </w:rPr>
      </w:pPr>
    </w:p>
    <w:p>
      <w:pPr>
        <w:ind w:left="1320" w:hanging="376"/>
        <w:spacing w:after="0" w:line="286" w:lineRule="auto"/>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Phase 1: The drug candidate is initially introduced into a small number of healthy human subjects or patients and tested for safety, dosage tolerance, absorption, distribution, excretion and metabolism. If the investigational product is considered too inherently toxic to ethically administer to healthy volunteers, the initial human testing is often conducted in the target population.</w:t>
      </w:r>
    </w:p>
    <w:p>
      <w:pPr>
        <w:spacing w:after="0" w:line="192" w:lineRule="exact"/>
        <w:rPr>
          <w:rFonts w:ascii="Arial" w:cs="Arial" w:eastAsia="Arial" w:hAnsi="Arial"/>
          <w:sz w:val="17"/>
          <w:szCs w:val="17"/>
          <w:color w:val="auto"/>
        </w:rPr>
      </w:pPr>
    </w:p>
    <w:p>
      <w:pPr>
        <w:ind w:left="1320" w:right="680" w:hanging="376"/>
        <w:spacing w:after="0" w:line="342" w:lineRule="auto"/>
        <w:tabs>
          <w:tab w:leader="none" w:pos="1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137" w:lineRule="exact"/>
        <w:rPr>
          <w:rFonts w:ascii="Arial" w:cs="Arial" w:eastAsia="Arial" w:hAnsi="Arial"/>
          <w:sz w:val="16"/>
          <w:szCs w:val="16"/>
          <w:color w:val="auto"/>
        </w:rPr>
      </w:pPr>
    </w:p>
    <w:p>
      <w:pPr>
        <w:ind w:left="1320" w:right="260" w:hanging="376"/>
        <w:spacing w:after="0" w:line="259"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87" w:lineRule="exact"/>
        <w:rPr>
          <w:sz w:val="20"/>
          <w:szCs w:val="20"/>
          <w:color w:val="auto"/>
        </w:rPr>
      </w:pPr>
    </w:p>
    <w:p>
      <w:pPr>
        <w:ind w:right="340" w:firstLine="560"/>
        <w:spacing w:after="0" w:line="308" w:lineRule="auto"/>
        <w:rPr>
          <w:sz w:val="20"/>
          <w:szCs w:val="20"/>
          <w:color w:val="auto"/>
        </w:rPr>
      </w:pPr>
      <w:r>
        <w:rPr>
          <w:rFonts w:ascii="Arial" w:cs="Arial" w:eastAsia="Arial" w:hAnsi="Arial"/>
          <w:sz w:val="17"/>
          <w:szCs w:val="17"/>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46" w:lineRule="exact"/>
        <w:rPr>
          <w:sz w:val="20"/>
          <w:szCs w:val="20"/>
          <w:color w:val="auto"/>
        </w:rPr>
      </w:pPr>
    </w:p>
    <w:p>
      <w:pPr>
        <w:ind w:right="160" w:firstLine="560"/>
        <w:spacing w:after="0" w:line="254" w:lineRule="auto"/>
        <w:rPr>
          <w:sz w:val="20"/>
          <w:szCs w:val="20"/>
          <w:color w:val="auto"/>
        </w:rPr>
      </w:pPr>
      <w:r>
        <w:rPr>
          <w:rFonts w:ascii="Arial" w:cs="Arial" w:eastAsia="Arial" w:hAnsi="Arial"/>
          <w:sz w:val="18"/>
          <w:szCs w:val="18"/>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95" w:lineRule="exact"/>
        <w:rPr>
          <w:sz w:val="20"/>
          <w:szCs w:val="20"/>
          <w:color w:val="auto"/>
        </w:rPr>
      </w:pPr>
    </w:p>
    <w:p>
      <w:pPr>
        <w:ind w:right="40" w:firstLine="560"/>
        <w:spacing w:after="0" w:line="291" w:lineRule="auto"/>
        <w:rPr>
          <w:sz w:val="20"/>
          <w:szCs w:val="20"/>
          <w:color w:val="auto"/>
        </w:rPr>
      </w:pPr>
      <w:r>
        <w:rPr>
          <w:rFonts w:ascii="Arial" w:cs="Arial" w:eastAsia="Arial" w:hAnsi="Arial"/>
          <w:sz w:val="16"/>
          <w:szCs w:val="16"/>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66" w:lineRule="exact"/>
        <w:rPr>
          <w:sz w:val="20"/>
          <w:szCs w:val="20"/>
          <w:color w:val="auto"/>
        </w:rPr>
      </w:pPr>
    </w:p>
    <w:p>
      <w:pPr>
        <w:ind w:right="560" w:firstLine="560"/>
        <w:spacing w:after="0" w:line="279" w:lineRule="auto"/>
        <w:rPr>
          <w:sz w:val="20"/>
          <w:szCs w:val="20"/>
          <w:color w:val="auto"/>
        </w:rPr>
      </w:pPr>
      <w:r>
        <w:rPr>
          <w:rFonts w:ascii="Arial" w:cs="Arial" w:eastAsia="Arial" w:hAnsi="Arial"/>
          <w:sz w:val="17"/>
          <w:szCs w:val="17"/>
          <w:i w:val="1"/>
          <w:iCs w:val="1"/>
          <w:color w:val="auto"/>
        </w:rPr>
        <w:t xml:space="preserve">Fast track designation: </w:t>
      </w:r>
      <w:r>
        <w:rPr>
          <w:rFonts w:ascii="Arial" w:cs="Arial" w:eastAsia="Arial" w:hAnsi="Arial"/>
          <w:sz w:val="17"/>
          <w:szCs w:val="17"/>
          <w:color w:val="auto"/>
        </w:rPr>
        <w:t>The FDA has a Fast Track program that is intended to expedite or facilitate the process for reviewing new drugs and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right="520"/>
        <w:spacing w:after="0" w:line="311" w:lineRule="auto"/>
        <w:rPr>
          <w:sz w:val="20"/>
          <w:szCs w:val="20"/>
          <w:color w:val="auto"/>
        </w:rPr>
      </w:pPr>
      <w:r>
        <w:rPr>
          <w:rFonts w:ascii="Arial" w:cs="Arial" w:eastAsia="Arial" w:hAnsi="Arial"/>
          <w:sz w:val="16"/>
          <w:szCs w:val="16"/>
          <w:color w:val="auto"/>
        </w:rPr>
        <w:t>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49" w:lineRule="exact"/>
        <w:rPr>
          <w:sz w:val="20"/>
          <w:szCs w:val="20"/>
          <w:color w:val="auto"/>
        </w:rPr>
      </w:pPr>
    </w:p>
    <w:p>
      <w:pPr>
        <w:ind w:firstLine="560"/>
        <w:spacing w:after="0" w:line="287" w:lineRule="auto"/>
        <w:rPr>
          <w:sz w:val="20"/>
          <w:szCs w:val="20"/>
          <w:color w:val="auto"/>
        </w:rPr>
      </w:pPr>
      <w:r>
        <w:rPr>
          <w:rFonts w:ascii="Arial" w:cs="Arial" w:eastAsia="Arial" w:hAnsi="Arial"/>
          <w:sz w:val="16"/>
          <w:szCs w:val="16"/>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68" w:lineRule="exact"/>
        <w:rPr>
          <w:sz w:val="20"/>
          <w:szCs w:val="20"/>
          <w:color w:val="auto"/>
        </w:rPr>
      </w:pPr>
    </w:p>
    <w:p>
      <w:pPr>
        <w:ind w:right="40" w:firstLine="560"/>
        <w:spacing w:after="0" w:line="269" w:lineRule="auto"/>
        <w:rPr>
          <w:sz w:val="20"/>
          <w:szCs w:val="20"/>
          <w:color w:val="auto"/>
        </w:rPr>
      </w:pPr>
      <w:r>
        <w:rPr>
          <w:rFonts w:ascii="Arial" w:cs="Arial" w:eastAsia="Arial" w:hAnsi="Arial"/>
          <w:sz w:val="17"/>
          <w:szCs w:val="17"/>
          <w:i w:val="1"/>
          <w:iCs w:val="1"/>
          <w:color w:val="auto"/>
        </w:rPr>
        <w:t xml:space="preserve">United States patent term restoration and marketing exclusivity: </w:t>
      </w:r>
      <w:r>
        <w:rPr>
          <w:rFonts w:ascii="Arial" w:cs="Arial" w:eastAsia="Arial" w:hAnsi="Arial"/>
          <w:sz w:val="17"/>
          <w:szCs w:val="17"/>
          <w:color w:val="auto"/>
        </w:rPr>
        <w:t>Depending upon the timing, duration and specifics of the FDA approval of a drug</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 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82" w:lineRule="exact"/>
        <w:rPr>
          <w:sz w:val="20"/>
          <w:szCs w:val="20"/>
          <w:color w:val="auto"/>
        </w:rPr>
      </w:pPr>
    </w:p>
    <w:p>
      <w:pPr>
        <w:ind w:right="80" w:firstLine="560"/>
        <w:spacing w:after="0" w:line="253" w:lineRule="auto"/>
        <w:rPr>
          <w:sz w:val="20"/>
          <w:szCs w:val="20"/>
          <w:color w:val="auto"/>
        </w:rPr>
      </w:pPr>
      <w:r>
        <w:rPr>
          <w:rFonts w:ascii="Arial" w:cs="Arial" w:eastAsia="Arial" w:hAnsi="Arial"/>
          <w:sz w:val="18"/>
          <w:szCs w:val="18"/>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7" w:name="page38"/>
    <w:bookmarkEnd w:id="37"/>
    <w:p>
      <w:pPr>
        <w:spacing w:after="0" w:line="271" w:lineRule="auto"/>
        <w:rPr>
          <w:sz w:val="20"/>
          <w:szCs w:val="20"/>
          <w:color w:val="auto"/>
        </w:rPr>
      </w:pPr>
      <w:r>
        <w:rPr>
          <w:rFonts w:ascii="Arial" w:cs="Arial" w:eastAsia="Arial" w:hAnsi="Arial"/>
          <w:sz w:val="17"/>
          <w:szCs w:val="17"/>
          <w:color w:val="auto"/>
        </w:rPr>
        <w:t>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the preclinical studies and adequate and well-controlled 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8" w:lineRule="exact"/>
        <w:rPr>
          <w:sz w:val="20"/>
          <w:szCs w:val="20"/>
          <w:color w:val="auto"/>
        </w:rPr>
      </w:pPr>
    </w:p>
    <w:p>
      <w:pPr>
        <w:ind w:right="320" w:firstLine="560"/>
        <w:spacing w:after="0" w:line="342" w:lineRule="auto"/>
        <w:rPr>
          <w:sz w:val="20"/>
          <w:szCs w:val="20"/>
          <w:color w:val="auto"/>
        </w:rPr>
      </w:pPr>
      <w:r>
        <w:rPr>
          <w:rFonts w:ascii="Arial" w:cs="Arial" w:eastAsia="Arial" w:hAnsi="Arial"/>
          <w:sz w:val="16"/>
          <w:szCs w:val="16"/>
          <w:i w:val="1"/>
          <w:iCs w:val="1"/>
          <w:color w:val="auto"/>
        </w:rPr>
        <w:t xml:space="preserve">Regulation outside the United States: </w:t>
      </w:r>
      <w:r>
        <w:rPr>
          <w:rFonts w:ascii="Arial" w:cs="Arial" w:eastAsia="Arial" w:hAnsi="Arial"/>
          <w:sz w:val="16"/>
          <w:szCs w:val="16"/>
          <w:color w:val="auto"/>
        </w:rPr>
        <w:t>In addition to regulations in the United States, we and our strategic alliance partners will be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regulations in other jurisdictions governing, among other things, clinical trials and any commercial sales and distribution of our products.</w:t>
      </w:r>
    </w:p>
    <w:p>
      <w:pPr>
        <w:spacing w:after="0" w:line="124" w:lineRule="exact"/>
        <w:rPr>
          <w:sz w:val="20"/>
          <w:szCs w:val="20"/>
          <w:color w:val="auto"/>
        </w:rPr>
      </w:pPr>
    </w:p>
    <w:p>
      <w:pPr>
        <w:ind w:right="80" w:firstLine="560"/>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92" w:lineRule="exact"/>
        <w:rPr>
          <w:sz w:val="20"/>
          <w:szCs w:val="20"/>
          <w:color w:val="auto"/>
        </w:rPr>
      </w:pPr>
    </w:p>
    <w:p>
      <w:pPr>
        <w:jc w:val="both"/>
        <w:ind w:firstLine="560"/>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ind w:right="40" w:firstLine="560"/>
        <w:spacing w:after="0" w:line="263"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except for, among other things, country-specific document requirements.</w:t>
      </w:r>
    </w:p>
    <w:p>
      <w:pPr>
        <w:spacing w:after="0" w:line="184" w:lineRule="exact"/>
        <w:rPr>
          <w:sz w:val="20"/>
          <w:szCs w:val="20"/>
          <w:color w:val="auto"/>
        </w:rPr>
      </w:pPr>
    </w:p>
    <w:p>
      <w:pPr>
        <w:jc w:val="both"/>
        <w:ind w:right="140" w:firstLine="560"/>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49" w:lineRule="exact"/>
        <w:rPr>
          <w:sz w:val="20"/>
          <w:szCs w:val="20"/>
          <w:color w:val="auto"/>
        </w:rPr>
      </w:pPr>
    </w:p>
    <w:p>
      <w:pPr>
        <w:ind w:right="640" w:firstLine="560"/>
        <w:spacing w:after="0" w:line="263" w:lineRule="auto"/>
        <w:rPr>
          <w:sz w:val="20"/>
          <w:szCs w:val="20"/>
          <w:color w:val="auto"/>
        </w:rPr>
      </w:pPr>
      <w:r>
        <w:rPr>
          <w:rFonts w:ascii="Arial" w:cs="Arial" w:eastAsia="Arial" w:hAnsi="Arial"/>
          <w:sz w:val="18"/>
          <w:szCs w:val="18"/>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35" w:lineRule="exact"/>
        <w:rPr>
          <w:sz w:val="20"/>
          <w:szCs w:val="20"/>
          <w:color w:val="auto"/>
        </w:rPr>
      </w:pPr>
    </w:p>
    <w:p>
      <w:pPr>
        <w:ind w:firstLine="560"/>
        <w:spacing w:after="0" w:line="263"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We have 13 employees as of the date of this report, all of which are full-time. We believe that our relations with our employees are good, and we have no history of work stoppages.</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Company Information</w:t>
      </w:r>
    </w:p>
    <w:p>
      <w:pPr>
        <w:spacing w:after="0" w:line="135" w:lineRule="exact"/>
        <w:rPr>
          <w:sz w:val="20"/>
          <w:szCs w:val="20"/>
          <w:color w:val="auto"/>
        </w:rPr>
      </w:pPr>
    </w:p>
    <w:p>
      <w:pPr>
        <w:ind w:right="160" w:firstLine="560"/>
        <w:spacing w:after="0" w:line="259" w:lineRule="auto"/>
        <w:rPr>
          <w:sz w:val="20"/>
          <w:szCs w:val="20"/>
          <w:color w:val="auto"/>
        </w:rPr>
      </w:pPr>
      <w:r>
        <w:rPr>
          <w:rFonts w:ascii="Arial" w:cs="Arial" w:eastAsia="Arial" w:hAnsi="Arial"/>
          <w:sz w:val="18"/>
          <w:szCs w:val="18"/>
          <w:color w:val="auto"/>
        </w:rPr>
        <w:t>We were originally incorporated in the State of Delaware in September 2000. Our principal executive offices are located at 4275 Executive Square, Suite 300, La Jolla, CA 92037. Our telephone number is 858-373-1500. Our website is www.medicinova.com, which includes links to reports we have filed with the Securities and Exchange Commission (SEC). The information contained in, or that can be accessed through, our website is not part of, and is not incorporated into,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40"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have incurred significant net losses since our inception in September 2000. For the year ended December 31, 2022 and 2021, we had a net loss of $14.1 million and $10.1 million. As of December 31, 2022 and December 31, 2021, our accumulated deficit was $407.1 million and $393.1 million. We expect to incur substantial net losses for the next several years as we continue to develop certain of our existing product candidates, and over the long-term if we expand our research and development programs and acquire or in-license products, technologies or businesses that are complementary to our own. Additionally, the net losses we incur may fluctuate significantly from quarter to quarter such that a period-to-period comparison of our results of operations may not be a good indicator of our future performance. As of December 31, 2022, we had available cash and cash equivalents of $18.5 million, investments of $40.0 million and working capital of $55.8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future cash requirements will also depend on many factors, including:</w:t>
      </w:r>
    </w:p>
    <w:p>
      <w:pPr>
        <w:spacing w:after="0" w:line="252"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25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agreements and other arrangements;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9" w:name="page40"/>
    <w:bookmarkEnd w:id="39"/>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252"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0"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We expect our research and development expenses to increase moderately in 2023 relative to 2022 as we continue development of MN-166 (ibudilast), MN-001 (tipelukast), and any other future product candidates.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46"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If we have taxable income in the future, utilization of the net operating losses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 We have not completed an ownership change analysis since 2011.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will need to obtain additional funding to complete the development and any commercialization of our product candidates, if approved. If we fail to obtain this capital necessary to fund our operations, we will be forced to significantly delay, scale back or eliminate some or all of our clinical or regulatory activities or other operations.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consumed substantial amounts of capital since our inception in September 2000.</w:t>
      </w:r>
    </w:p>
    <w:p>
      <w:pPr>
        <w:spacing w:after="0" w:line="198"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We expect to manage the maturities of our investments to be able to fund our cash needs for operations and, as of the date of this report, we believe we have sufficient working capital to fund operations at least through the end of 2024. 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or at all.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currently generate no revenues from sales of any products and may never generate any revenues from product sales or be profitable in the foreseeable future, if ever.</w:t>
      </w:r>
    </w:p>
    <w:p>
      <w:pPr>
        <w:spacing w:after="0" w:line="62"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To date, we have funded our operations primarily from sales of our securities and, to a lesser extent, debt financing. We do not have any products that are approved for commercial sale and do not anticipate generating any product revenue unless and until one of our product candidates receives the regulatory approvals necessary for commercialization in one or more jurisdictions.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right="240"/>
        <w:spacing w:after="0" w:line="277" w:lineRule="auto"/>
        <w:rPr>
          <w:sz w:val="20"/>
          <w:szCs w:val="20"/>
          <w:color w:val="auto"/>
        </w:rPr>
      </w:pPr>
      <w:r>
        <w:rPr>
          <w:rFonts w:ascii="Arial" w:cs="Arial" w:eastAsia="Arial" w:hAnsi="Arial"/>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76"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We currently have no products that are approved for commercial sale and we have never had any products approved for commercial sale.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(NDA) for a product candidate from the FDA or its foreign equivalent from a foreign regulatory authority. Obtaining FDA approval is a lengthy, expensive and uncertain process. To date we have invested a substantial majority of our business efforts and financial resources to the development and commercialization of our MN-166 (ibudilast) and MN-001 (tipelukast) product candidates. Our future success is dependent on our ability to successfully develop, obtain regulatory approval for, and commercialize MN-166 (ibudilast) and MN-001 (tipelukast) and we cannot accurately predict when or if either MN-166 (ibudilast) or MN-001 (tipelukast) will receive regulatory approval. Neither of these product candidates have completed the clinical development process, and therefore we have not submitted an NDA or foreign equivalent or received marketing approval for either product candidate.</w:t>
      </w:r>
    </w:p>
    <w:p>
      <w:pPr>
        <w:spacing w:after="0" w:line="128"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The clinical development program for our product candidates may not lead to commercial products for a number of reasons, including our clinical trials’ failure to demonstrate to the FDA’s satisfaction that the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76"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Our product candidates are subject to the risks of failure inherent in drug development. We will be required to demonstrate through well-controlled clinical trials that our product candidates are safe and effective for use in a diverse population for the relevant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 For example, we may not be able replicate the positive results from our Phase 2 trial of MN-166 (ibudilast) in alcohol use disorder in clinical trials for other indications in the future.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w:t>
      </w:r>
    </w:p>
    <w:p>
      <w:pPr>
        <w:spacing w:after="0" w:line="138"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A number of companies have suffered significant setbacks in the advancement of clinical trials, even after earlier clinical trials have shown promising results and we cannot be certain that we will not face similar setbacks.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1" w:name="page42"/>
    <w:bookmarkEnd w:id="41"/>
    <w:p>
      <w:pPr>
        <w:ind w:right="320"/>
        <w:spacing w:after="0" w:line="277" w:lineRule="auto"/>
        <w:rPr>
          <w:sz w:val="20"/>
          <w:szCs w:val="20"/>
          <w:color w:val="auto"/>
        </w:rPr>
      </w:pPr>
      <w:r>
        <w:rPr>
          <w:rFonts w:ascii="Arial" w:cs="Arial" w:eastAsia="Arial" w:hAnsi="Arial"/>
          <w:sz w:val="18"/>
          <w:szCs w:val="18"/>
          <w:b w:val="1"/>
          <w:bCs w:val="1"/>
          <w:i w:val="1"/>
          <w:iCs w:val="1"/>
          <w:color w:val="auto"/>
        </w:rPr>
        <w:t>Our attempts to develop MN-001 (tipelukast) in NASH, NAFLD and IPF may detract from our efforts to develop other product candidates and may limit the effectiveness of our product development efforts as a whole.</w:t>
      </w:r>
    </w:p>
    <w:p>
      <w:pPr>
        <w:spacing w:after="0" w:line="62" w:lineRule="exact"/>
        <w:rPr>
          <w:sz w:val="20"/>
          <w:szCs w:val="20"/>
          <w:color w:val="auto"/>
        </w:rPr>
      </w:pPr>
    </w:p>
    <w:p>
      <w:pPr>
        <w:ind w:right="220" w:firstLine="374"/>
        <w:spacing w:after="0" w:line="308" w:lineRule="auto"/>
        <w:rPr>
          <w:sz w:val="20"/>
          <w:szCs w:val="20"/>
          <w:color w:val="auto"/>
        </w:rPr>
      </w:pPr>
      <w:r>
        <w:rPr>
          <w:rFonts w:ascii="Arial" w:cs="Arial" w:eastAsia="Arial" w:hAnsi="Arial"/>
          <w:sz w:val="17"/>
          <w:szCs w:val="17"/>
          <w:color w:val="auto"/>
        </w:rPr>
        <w:t>We have decided to pursue development of MN-001 (tipelukast) in NASH, NAFLD and IPF. These activities may divert financial and management resources from our other product development activities and may limit our ability to complete or continue those other programs.</w:t>
      </w:r>
    </w:p>
    <w:p>
      <w:pPr>
        <w:spacing w:after="0" w:line="146"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In order to commercialize a therapeutic drug successfully, a product candidate must receive regulatory approval after the successful completion of clinical trials, which can be lengthy, complex and costly, have a high risk of failure and can be delayed or terminated at any time.</w:t>
      </w:r>
    </w:p>
    <w:p>
      <w:pPr>
        <w:spacing w:after="0" w:line="6"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 lengthy,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complex, expensive, takes many years and has an uncertain outcome. To date, we have obtained regulatory authorization to conduct clinical trials for our product development programs. INDs were approved by the FDA and are active for our product candidates.</w:t>
      </w:r>
    </w:p>
    <w:p>
      <w:pPr>
        <w:spacing w:after="0" w:line="152"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It may take years to complete the clinical development necessary to commercialize our product candidates,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252"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261" w:lineRule="exact"/>
        <w:rPr>
          <w:rFonts w:ascii="Arial" w:cs="Arial" w:eastAsia="Arial" w:hAnsi="Arial"/>
          <w:sz w:val="16"/>
          <w:szCs w:val="16"/>
          <w:color w:val="auto"/>
        </w:rPr>
      </w:pPr>
    </w:p>
    <w:p>
      <w:pPr>
        <w:ind w:left="760" w:right="140" w:hanging="378"/>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57"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right="160"/>
        <w:spacing w:after="0" w:line="308" w:lineRule="auto"/>
        <w:rPr>
          <w:sz w:val="20"/>
          <w:szCs w:val="20"/>
          <w:color w:val="auto"/>
        </w:rPr>
      </w:pPr>
      <w:r>
        <w:rPr>
          <w:rFonts w:ascii="Arial" w:cs="Arial" w:eastAsia="Arial" w:hAnsi="Arial"/>
          <w:sz w:val="17"/>
          <w:szCs w:val="17"/>
          <w:color w:val="auto"/>
        </w:rPr>
        <w:t>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65"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We, our third 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45"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65"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40"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31"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3" w:name="page44"/>
    <w:bookmarkEnd w:id="43"/>
    <w:p>
      <w:pPr>
        <w:ind w:right="160"/>
        <w:spacing w:after="0" w:line="342" w:lineRule="auto"/>
        <w:rPr>
          <w:sz w:val="20"/>
          <w:szCs w:val="20"/>
          <w:color w:val="auto"/>
        </w:rPr>
      </w:pPr>
      <w:r>
        <w:rPr>
          <w:rFonts w:ascii="Arial" w:cs="Arial" w:eastAsia="Arial" w:hAnsi="Arial"/>
          <w:sz w:val="16"/>
          <w:szCs w:val="16"/>
          <w:color w:val="auto"/>
        </w:rPr>
        <w:t>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83"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205"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38"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candidates that we advance into clinical trials may cause undesirable side effects or have other properties that could delay or prevent regulatory approval or commercialization or limit its commercial potential.</w:t>
      </w:r>
    </w:p>
    <w:p>
      <w:pPr>
        <w:spacing w:after="0" w:line="76"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46"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197"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 larger clinical benefit for approval to offset the risk;</w:t>
      </w:r>
    </w:p>
    <w:p>
      <w:pPr>
        <w:spacing w:after="0" w:line="252" w:lineRule="exact"/>
        <w:rPr>
          <w:rFonts w:ascii="Arial" w:cs="Arial" w:eastAsia="Arial" w:hAnsi="Arial"/>
          <w:sz w:val="18"/>
          <w:szCs w:val="18"/>
          <w:color w:val="auto"/>
        </w:rPr>
      </w:pPr>
    </w:p>
    <w:p>
      <w:pPr>
        <w:ind w:left="760" w:right="62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product;</w:t>
      </w:r>
    </w:p>
    <w:p>
      <w:pPr>
        <w:spacing w:after="0" w:line="183"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63" w:right="419" w:bottom="1440" w:gutter="0" w:footer="0" w:header="0"/>
        </w:sectPr>
      </w:pPr>
    </w:p>
    <w:bookmarkStart w:id="44" w:name="page45"/>
    <w:bookmarkEnd w:id="44"/>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our business model; and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76"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239"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approval to commence or amend a clinical trial;</w:t>
      </w:r>
    </w:p>
    <w:p>
      <w:pPr>
        <w:spacing w:after="0" w:line="252"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252"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85"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In addition, a clinical trial may be delayed, suspended or terminated by us, the FDA or other regulatory authorities due to a number of factors, including:</w:t>
      </w:r>
    </w:p>
    <w:p>
      <w:pPr>
        <w:spacing w:after="0" w:line="170" w:lineRule="exact"/>
        <w:rPr>
          <w:sz w:val="20"/>
          <w:szCs w:val="20"/>
          <w:color w:val="auto"/>
        </w:rPr>
      </w:pPr>
    </w:p>
    <w:p>
      <w:pPr>
        <w:ind w:left="760" w:hanging="378"/>
        <w:spacing w:after="0" w:line="259"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86" w:lineRule="exact"/>
        <w:rPr>
          <w:rFonts w:ascii="Arial" w:cs="Arial" w:eastAsia="Arial" w:hAnsi="Arial"/>
          <w:sz w:val="18"/>
          <w:szCs w:val="18"/>
          <w:color w:val="auto"/>
        </w:rPr>
      </w:pPr>
    </w:p>
    <w:p>
      <w:pPr>
        <w:ind w:left="760" w:right="120" w:hanging="378"/>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5" w:name="page46"/>
    <w:bookmarkEnd w:id="45"/>
    <w:p>
      <w:pPr>
        <w:ind w:left="760" w:right="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225" w:lineRule="exact"/>
        <w:rPr>
          <w:rFonts w:ascii="Arial" w:cs="Arial" w:eastAsia="Arial" w:hAnsi="Arial"/>
          <w:sz w:val="18"/>
          <w:szCs w:val="18"/>
          <w:color w:val="auto"/>
        </w:rPr>
      </w:pPr>
    </w:p>
    <w:p>
      <w:pPr>
        <w:ind w:left="760" w:right="84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clinical trial presents unacceptable health risks;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225" w:lineRule="exact"/>
        <w:rPr>
          <w:rFonts w:ascii="Arial" w:cs="Arial" w:eastAsia="Arial" w:hAnsi="Arial"/>
          <w:sz w:val="18"/>
          <w:szCs w:val="18"/>
          <w:color w:val="auto"/>
        </w:rPr>
      </w:pPr>
    </w:p>
    <w:p>
      <w:pPr>
        <w:ind w:left="760" w:right="360" w:hanging="378"/>
        <w:spacing w:after="0" w:line="342"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23" w:lineRule="exact"/>
        <w:rPr>
          <w:rFonts w:ascii="Arial" w:cs="Arial" w:eastAsia="Arial" w:hAnsi="Arial"/>
          <w:sz w:val="16"/>
          <w:szCs w:val="16"/>
          <w:color w:val="auto"/>
        </w:rPr>
      </w:pPr>
    </w:p>
    <w:p>
      <w:pPr>
        <w:ind w:left="760" w:right="8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30"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license the rights to certain compounds to develop and market our product candidates.</w:t>
      </w:r>
    </w:p>
    <w:p>
      <w:pPr>
        <w:spacing w:after="0" w:line="185"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60"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The ongoing COVID-19 global pandemic has adversely impacted and may materially and adversely impact our business and operations. Any other illness or communicable disease, or any other public health crisis, could also adversely affect our business, results of operations and financial condition.</w:t>
      </w:r>
    </w:p>
    <w:p>
      <w:pPr>
        <w:spacing w:after="0" w:line="76"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In December 2019, an outbreak of COVID-19 began and, in March 2020, the World Health Organization declared COVID-19 a pandemic. The COVID-19 pandemic has negatively impacted the global economy, disrupted global supply chains and created significant volatility and disruption of financial markets. In addition, in response to the COVID-19 pandemic, many state, local and foreign governments put in place quarantines, executive orders, shelter-in-place orders and similar government orders and restrictions in order to control the spread of the disease. Such orders or restrictions resulted in business closures, work stoppages, slowdowns and delays, work-from-home policies, travel restrictions and cancellation of events, among other effects that impacted our business, personnel, personnel at third-party manufacturing facilities and the availability or cost of materials. The ongoing COVID-19 global pandemic has adversely impacted and may materially and adversely impact our business and operations. For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right="20"/>
        <w:spacing w:after="0" w:line="286" w:lineRule="auto"/>
        <w:rPr>
          <w:sz w:val="20"/>
          <w:szCs w:val="20"/>
          <w:color w:val="auto"/>
        </w:rPr>
      </w:pPr>
      <w:r>
        <w:rPr>
          <w:rFonts w:ascii="Arial" w:cs="Arial" w:eastAsia="Arial" w:hAnsi="Arial"/>
          <w:sz w:val="17"/>
          <w:szCs w:val="17"/>
          <w:color w:val="auto"/>
        </w:rPr>
        <w:t>example, we saw a decrease in the number of patient visits at some clinical trial sites, which we believe resulted in slower enrollment in our clinical trials than would have occurred without the pandemic. We could be negatively impacted by any other illness or communicable disease, or any other public health crisis that, like COVID-19 pandemic, results in economic and trade disruptions, including the disruption of global supply chains.</w:t>
      </w:r>
    </w:p>
    <w:p>
      <w:pPr>
        <w:spacing w:after="0" w:line="125" w:lineRule="exact"/>
        <w:rPr>
          <w:sz w:val="20"/>
          <w:szCs w:val="20"/>
          <w:color w:val="auto"/>
        </w:rPr>
      </w:pPr>
    </w:p>
    <w:p>
      <w:pPr>
        <w:ind w:right="80" w:firstLine="794"/>
        <w:spacing w:after="0" w:line="290" w:lineRule="auto"/>
        <w:rPr>
          <w:sz w:val="20"/>
          <w:szCs w:val="20"/>
          <w:color w:val="auto"/>
        </w:rPr>
      </w:pPr>
      <w:r>
        <w:rPr>
          <w:rFonts w:ascii="Arial" w:cs="Arial" w:eastAsia="Arial" w:hAnsi="Arial"/>
          <w:sz w:val="16"/>
          <w:szCs w:val="16"/>
          <w:color w:val="auto"/>
        </w:rPr>
        <w:t>The ultimate impact of the COVID-19 pandemic is highly uncertain and subject to sudden change, despite expiration of most of the mandates and a waning effect of the pandemic. Any future impacts could have a material, adverse impact on our liquidity, capital resources, operations and business and those of the third parties we rely on, and could worsen over time. The extent of the impact of the COVID-19 pandemic on our financial condition, liquidity, and future results of operations, including our ability to continue to advance our product development programs in the expected time frame, will depend on future developments, including the duration and spread of the pandemic and related restrictions on travel and transports, all of which are uncertain and cannot be predicted. While we do not yet know the full extent of the potential future impacts on our business, any of these occurrences could significantly harm our business, results of operations and financial condition. An extended period of global supply chain and economic disruption could also materially affect our business, results of operations, access to sources of liquidity and financial condition.</w:t>
      </w:r>
    </w:p>
    <w:p>
      <w:pPr>
        <w:spacing w:after="0" w:line="16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our competitors develop and market products more rapidly than we do or that are more effective, safer or more affordable than our product candidates, our commercial opportunities may be negatively impacted.</w:t>
      </w:r>
    </w:p>
    <w:p>
      <w:pPr>
        <w:spacing w:after="0" w:line="76"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The biotechnology and pharmaceutical industries are highly competitive and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45"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61"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will depend on strategic collaborations with third party partners to develop and commercialize selected product candidates and will not have control over a number of key elements relating to the development and commercialization of these product candidates if we are able to achieve such third party arrangements.</w:t>
      </w:r>
    </w:p>
    <w:p>
      <w:pPr>
        <w:spacing w:after="0" w:line="76" w:lineRule="exact"/>
        <w:rPr>
          <w:sz w:val="20"/>
          <w:szCs w:val="20"/>
          <w:color w:val="auto"/>
        </w:rPr>
      </w:pPr>
    </w:p>
    <w:p>
      <w:pPr>
        <w:ind w:right="40" w:firstLine="374"/>
        <w:spacing w:after="0" w:line="311" w:lineRule="auto"/>
        <w:rPr>
          <w:sz w:val="20"/>
          <w:szCs w:val="20"/>
          <w:color w:val="auto"/>
        </w:rPr>
      </w:pPr>
      <w:r>
        <w:rPr>
          <w:rFonts w:ascii="Arial" w:cs="Arial" w:eastAsia="Arial" w:hAnsi="Arial"/>
          <w:sz w:val="16"/>
          <w:szCs w:val="16"/>
          <w:color w:val="auto"/>
        </w:rPr>
        <w:t>A key aspect of our strategy is to seek strategic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60" w:firstLine="374"/>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we will not have control over a number of key elements relating to the development and commercialization of these product candidates. Further, our partner may fail to develop or effectively commercialize the product candidate because such partner:</w:t>
      </w:r>
    </w:p>
    <w:p>
      <w:pPr>
        <w:spacing w:after="0" w:line="214" w:lineRule="exact"/>
        <w:rPr>
          <w:sz w:val="20"/>
          <w:szCs w:val="20"/>
          <w:color w:val="auto"/>
        </w:rPr>
      </w:pPr>
    </w:p>
    <w:p>
      <w:pPr>
        <w:ind w:left="1140" w:right="20" w:hanging="383"/>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197"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238"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252"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238"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98"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3" w:lineRule="exact"/>
        <w:rPr>
          <w:sz w:val="20"/>
          <w:szCs w:val="20"/>
          <w:color w:val="auto"/>
        </w:rPr>
      </w:pPr>
    </w:p>
    <w:p>
      <w:pPr>
        <w:ind w:right="240" w:firstLine="374"/>
        <w:spacing w:after="0" w:line="286" w:lineRule="auto"/>
        <w:rPr>
          <w:sz w:val="20"/>
          <w:szCs w:val="20"/>
          <w:color w:val="auto"/>
        </w:rPr>
      </w:pPr>
      <w:r>
        <w:rPr>
          <w:rFonts w:ascii="Arial" w:cs="Arial" w:eastAsia="Arial" w:hAnsi="Arial"/>
          <w:sz w:val="17"/>
          <w:szCs w:val="17"/>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 which may have an adverse effect on our business and prospects.</w:t>
      </w:r>
    </w:p>
    <w:p>
      <w:pPr>
        <w:spacing w:after="0" w:line="92" w:lineRule="exact"/>
        <w:rPr>
          <w:sz w:val="20"/>
          <w:szCs w:val="20"/>
          <w:color w:val="auto"/>
        </w:rPr>
      </w:pPr>
    </w:p>
    <w:p>
      <w:pPr>
        <w:ind w:right="80" w:firstLine="374"/>
        <w:spacing w:after="0" w:line="253" w:lineRule="auto"/>
        <w:rPr>
          <w:sz w:val="20"/>
          <w:szCs w:val="20"/>
          <w:color w:val="auto"/>
        </w:rPr>
      </w:pPr>
      <w:r>
        <w:rPr>
          <w:rFonts w:ascii="Arial" w:cs="Arial" w:eastAsia="Arial" w:hAnsi="Arial"/>
          <w:sz w:val="18"/>
          <w:szCs w:val="18"/>
          <w:color w:val="auto"/>
        </w:rPr>
        <w:t>We do not have the ability to independently conduct our clinical trials. We currently rely extensively on third parties, such as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and/or manage our current clinical trials to ensure that each clinical trial is conducted in accordance with its investigational plan and protocol, we do not have the ability to conduct all aspects of our clinical trials directly for our product candidates. We expect to continue to rely upon third parties to conduct additional clinical trials of potential future product candidates.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56" w:lineRule="exact"/>
        <w:rPr>
          <w:sz w:val="20"/>
          <w:szCs w:val="20"/>
          <w:color w:val="auto"/>
        </w:rPr>
      </w:pPr>
    </w:p>
    <w:p>
      <w:pPr>
        <w:ind w:right="80" w:firstLine="374"/>
        <w:spacing w:after="0" w:line="253" w:lineRule="auto"/>
        <w:rPr>
          <w:sz w:val="20"/>
          <w:szCs w:val="20"/>
          <w:color w:val="auto"/>
        </w:rPr>
      </w:pPr>
      <w:r>
        <w:rPr>
          <w:rFonts w:ascii="Arial" w:cs="Arial" w:eastAsia="Arial" w:hAnsi="Arial"/>
          <w:sz w:val="18"/>
          <w:szCs w:val="18"/>
          <w:color w:val="auto"/>
        </w:rPr>
        <w:t>The FDA requires us and our third parties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these third parties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and other third-party service providers with which we contract for execution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7"/>
          <w:szCs w:val="17"/>
          <w:color w:val="auto"/>
        </w:rPr>
        <w:t>our clinical trials play a significant role in the conduct of the clinical trials and the subsequent collection and analysis of data. Any failure of the CROs and other third-party service providers to meet their obligations could adversely affect clinical development of our product candidates. Moreover, these third parties may have relationships with other commercial entities, some of which may have competitive products under development or currently marketed, and our competitive position could be harmed if they assist our competitors. In addition, the operations of our CROs and other third-party service providers may be constrained or disrupted by the ongoing COVID-19 pandemic.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third party manufacturers to produce our product candidates, which may result in delays in our clinical trials and the commercialization of products, as well as increased costs.</w:t>
      </w:r>
    </w:p>
    <w:p>
      <w:pPr>
        <w:spacing w:after="0" w:line="76" w:lineRule="exact"/>
        <w:rPr>
          <w:sz w:val="20"/>
          <w:szCs w:val="20"/>
          <w:color w:val="auto"/>
        </w:rPr>
      </w:pPr>
    </w:p>
    <w:p>
      <w:pPr>
        <w:ind w:right="180" w:firstLine="374"/>
        <w:spacing w:after="0" w:line="255"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rely, and expect to continue to rely, on third party manufacturers to produce, in collaboration with us, sufficient quantities of our product candidates for clinical trials, and we plan to contract with third 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52" w:lineRule="exact"/>
        <w:rPr>
          <w:sz w:val="20"/>
          <w:szCs w:val="20"/>
          <w:color w:val="auto"/>
        </w:rPr>
      </w:pPr>
    </w:p>
    <w:p>
      <w:pPr>
        <w:ind w:right="40" w:firstLine="374"/>
        <w:spacing w:after="0" w:line="289" w:lineRule="auto"/>
        <w:rPr>
          <w:sz w:val="20"/>
          <w:szCs w:val="20"/>
          <w:color w:val="auto"/>
        </w:rPr>
      </w:pPr>
      <w:r>
        <w:rPr>
          <w:rFonts w:ascii="Arial" w:cs="Arial" w:eastAsia="Arial" w:hAnsi="Arial"/>
          <w:sz w:val="16"/>
          <w:szCs w:val="16"/>
          <w:color w:val="auto"/>
        </w:rPr>
        <w:t>Reliance on third 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 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In addition, the ongoing COVID-19 pandemic may impact our third party manufacturers from producing sufficient quantities of any product candidate.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39"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 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ind w:firstLine="374"/>
        <w:spacing w:after="0" w:line="288"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 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 party manufacturers is difficult. For example, a change in third 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 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or our third-party manufacturers, may not be able to manufacture our product candidates in sufficient quality or commercial quantities, which would delay or prevent us from commercializing our product candidates.</w:t>
      </w:r>
    </w:p>
    <w:p>
      <w:pPr>
        <w:spacing w:after="0" w:line="62" w:lineRule="exact"/>
        <w:rPr>
          <w:sz w:val="20"/>
          <w:szCs w:val="20"/>
          <w:color w:val="auto"/>
        </w:rPr>
      </w:pPr>
    </w:p>
    <w:p>
      <w:pPr>
        <w:ind w:right="120" w:firstLine="374"/>
        <w:spacing w:after="0" w:line="269" w:lineRule="auto"/>
        <w:rPr>
          <w:sz w:val="20"/>
          <w:szCs w:val="20"/>
          <w:color w:val="auto"/>
        </w:rPr>
      </w:pPr>
      <w:r>
        <w:rPr>
          <w:rFonts w:ascii="Arial" w:cs="Arial" w:eastAsia="Arial" w:hAnsi="Arial"/>
          <w:sz w:val="17"/>
          <w:szCs w:val="17"/>
          <w:color w:val="auto"/>
        </w:rPr>
        <w:t>To date, our product candidates have been manufactured in small quantities for preclinical studies and clinical trials. If any of our product candidates is approved by the FDA or comparable regulatory authorities in other countries for commercial sale, we or our third-party manufacturers will need to manufacture such product candidate in larger quantities. We or our third-party manufacturers may not be able to increase successfully the manufacturing capacity for any of our product candidates in a timely or economic manner, or at all. Significant scale-up of manufacturing may require additional validation studies, which the FDA must review and approve. If we or our third-party manufacturers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 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76" w:lineRule="exact"/>
        <w:rPr>
          <w:sz w:val="20"/>
          <w:szCs w:val="20"/>
          <w:color w:val="auto"/>
        </w:rPr>
      </w:pPr>
    </w:p>
    <w:p>
      <w:pPr>
        <w:ind w:right="80" w:firstLine="374"/>
        <w:spacing w:after="0" w:line="289" w:lineRule="auto"/>
        <w:rPr>
          <w:sz w:val="20"/>
          <w:szCs w:val="20"/>
          <w:color w:val="auto"/>
        </w:rPr>
      </w:pPr>
      <w:r>
        <w:rPr>
          <w:rFonts w:ascii="Arial" w:cs="Arial" w:eastAsia="Arial" w:hAnsi="Arial"/>
          <w:sz w:val="16"/>
          <w:szCs w:val="16"/>
          <w:color w:val="auto"/>
        </w:rPr>
        <w:t>We rely on the third party manufacturers of our product candidates to purchase from third 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31"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76"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If any of our product candidates is approved for commercial sale by the FDA or other regulatory authorities, the degree of market acceptance of any approved product by physicians, healthcare professionals and third party payers and our profitability and growth will depend on a number of factors, including:</w:t>
      </w:r>
    </w:p>
    <w:p>
      <w:pPr>
        <w:spacing w:after="0" w:line="197"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demonstration of efficacy and safety;</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third party insurance coverage or reimbursement.</w:t>
      </w:r>
    </w:p>
    <w:p>
      <w:pPr>
        <w:spacing w:after="0" w:line="185"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 party coverage or reimbursement. If any product candidate is approved but does not achieve an adequate level of acceptance by physicians, patients and third party payers, our ability to generate revenues from that product would be substantially reduced. In addition, our efforts to educate the medical community and third party payers on the benefits of our product candidates may require significant resources and may never be successful.</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 party payers, our revenues and profitability will suffer.</w:t>
      </w:r>
    </w:p>
    <w:p>
      <w:pPr>
        <w:spacing w:after="0" w:line="76"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auto"/>
        </w:rPr>
        <w:t>Our ability to commercialize our product candidates, if approved,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 party payers are increasingly challenging the prices charged for medical products and services. We cannot provide any assurances that third party payers will consider our products cost-effective or provide coverage of and reimbursement for our products, in whole or in part.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1" w:name="page52"/>
    <w:bookmarkEnd w:id="51"/>
    <w:p>
      <w:pPr>
        <w:ind w:right="60" w:firstLine="374"/>
        <w:spacing w:after="0" w:line="255"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 party payers may conclude that our products are less safe, less clinically effective or less cost-effective than existing products, and third party payers may not approve our products for coverage and reimbursement. If we are unable to obtain adequate coverage of and reimbursement for our products from third party payers, physicians may limit how much or under what circumstances they will prescribe or administer them. Such reduction or limitation in the use of our products could cause our sales to suffer. Even if third party payers make reimbursement available, payment levels may not be sufficient to make the sale of our products profitable.</w:t>
      </w:r>
    </w:p>
    <w:p>
      <w:pPr>
        <w:spacing w:after="0" w:line="165"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Market acceptance and sales of our current or future product candidates will depend in large part on global reimbursement policies and may be affected by future healthcare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 party payers are pursuing various ways to reduce pharmaceutical costs, including the use of formularies. The market for our products depends on access to such formularies, which are lists of medications for which third 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 party payers, including government payers, are instituting could have a material adverse effect on our ability to operate profitably.</w:t>
      </w:r>
    </w:p>
    <w:p>
      <w:pPr>
        <w:spacing w:after="0" w:line="16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are dependent on our management team, particularly our President and Chief Executive Officer, and our experienced scientific staff, and if we are unable to retain, motivate and attract key personnel, our product development programs may be delayed and we may be unable to develop successfully or commercialize our product candidates.</w:t>
      </w:r>
    </w:p>
    <w:p>
      <w:pPr>
        <w:spacing w:after="0" w:line="76" w:lineRule="exact"/>
        <w:rPr>
          <w:sz w:val="20"/>
          <w:szCs w:val="20"/>
          <w:color w:val="auto"/>
        </w:rPr>
      </w:pPr>
    </w:p>
    <w:p>
      <w:pPr>
        <w:ind w:right="100" w:firstLine="374"/>
        <w:spacing w:after="0" w:line="271" w:lineRule="auto"/>
        <w:rPr>
          <w:sz w:val="20"/>
          <w:szCs w:val="20"/>
          <w:color w:val="auto"/>
        </w:rPr>
      </w:pPr>
      <w:r>
        <w:rPr>
          <w:rFonts w:ascii="Arial" w:cs="Arial" w:eastAsia="Arial" w:hAnsi="Arial"/>
          <w:sz w:val="17"/>
          <w:szCs w:val="17"/>
          <w:color w:val="auto"/>
        </w:rPr>
        <w:t>We are dependent upon the continued services of our executive officers and other key personnel, particularly Yuichi Iwaki, M.D., Ph.D., our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51"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6"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ind w:right="8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62"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17"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 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40"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192"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that our results of operations will fluctuate, which may make it difficult to predict our future performance from period to period.</w:t>
      </w:r>
    </w:p>
    <w:p>
      <w:pPr>
        <w:spacing w:after="0" w:line="142"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97" w:lineRule="exact"/>
        <w:rPr>
          <w:sz w:val="20"/>
          <w:szCs w:val="20"/>
          <w:color w:val="auto"/>
        </w:rPr>
      </w:pPr>
    </w:p>
    <w:p>
      <w:pPr>
        <w:ind w:left="760" w:right="64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83" w:lineRule="exact"/>
        <w:rPr>
          <w:rFonts w:ascii="Arial" w:cs="Arial" w:eastAsia="Arial" w:hAnsi="Arial"/>
          <w:sz w:val="18"/>
          <w:szCs w:val="18"/>
          <w:color w:val="auto"/>
        </w:rPr>
      </w:pPr>
    </w:p>
    <w:p>
      <w:pPr>
        <w:ind w:left="760" w:right="62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right="44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7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24"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The Sarbanes-Oxley Act requires that we (i) maintain effective internal controls for financial reporting and disclosure controls and procedures and (ii) perform an evaluation of our internal control over financial reporting to allow management to report on the effectiveness of those controls, as required by Section 404. Our listing obligations under the Standard Market of the Tokyo Stock Exchange, or TSE, also require that we comply either with Section 404 of the Sarbanes-Oxley Act or equivalent regulations in Japan and we elected to comply with Section 404. Additionally, we are subject to attestation by our independent registered public accounting firm regarding our internal controls over financial reporting as of December 31, 2022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45"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We, or our third-party CROs or other contractors or consultants, may be subject to information technology systems failures, network disruptions, breaches in data security and computer crime and cyber-attacks,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63" w:lineRule="exact"/>
        <w:rPr>
          <w:sz w:val="20"/>
          <w:szCs w:val="20"/>
          <w:color w:val="auto"/>
        </w:rPr>
      </w:pPr>
    </w:p>
    <w:p>
      <w:pPr>
        <w:ind w:right="120" w:firstLine="374"/>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8" w:lineRule="exact"/>
        <w:rPr>
          <w:sz w:val="20"/>
          <w:szCs w:val="20"/>
          <w:color w:val="auto"/>
        </w:rPr>
      </w:pPr>
    </w:p>
    <w:p>
      <w:pPr>
        <w:ind w:right="20" w:firstLine="499"/>
        <w:spacing w:after="0" w:line="253" w:lineRule="auto"/>
        <w:rPr>
          <w:sz w:val="20"/>
          <w:szCs w:val="20"/>
          <w:color w:val="auto"/>
        </w:rPr>
      </w:pPr>
      <w:r>
        <w:rPr>
          <w:rFonts w:ascii="Arial" w:cs="Arial" w:eastAsia="Arial" w:hAnsi="Arial"/>
          <w:sz w:val="18"/>
          <w:szCs w:val="18"/>
          <w:color w:val="auto"/>
        </w:rPr>
        <w:t>Information technology system failures, network disruptions, breaches of data security and sophisticated and targeted computer crime and cyber-attacks could disrupt our operations by impeding our drug development programs, including delays in our regulatory efforts, the manufacture or shipment of products, the processing of transactions or reporting of financial results, or by causing an unintentional disclosure of confidential information.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In the ordinary course of our business, we collect and store sensitive data in our data centers and on our networks, including IP, proprietary business information, and personal information of our business partners and employees. Despite our efforts to protect sensitive, confidential or personal data or information, our facilities and systems and those of our third party service providers may be vulnerable to security breaches, theft, misplaced or lost data, programming</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5" w:name="page56"/>
    <w:bookmarkEnd w:id="55"/>
    <w:p>
      <w:pPr>
        <w:ind w:right="20"/>
        <w:spacing w:after="0" w:line="254" w:lineRule="auto"/>
        <w:rPr>
          <w:sz w:val="20"/>
          <w:szCs w:val="20"/>
          <w:color w:val="auto"/>
        </w:rPr>
      </w:pPr>
      <w:r>
        <w:rPr>
          <w:rFonts w:ascii="Arial" w:cs="Arial" w:eastAsia="Arial" w:hAnsi="Arial"/>
          <w:sz w:val="18"/>
          <w:szCs w:val="18"/>
          <w:color w:val="auto"/>
        </w:rPr>
        <w:t>and/or human errors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While management has taken steps to address these concerns by conducting employee training, implementing certain data and system redundancy, hardening and fail-over along with other network security, comprehensive monitoring of our networks and systems, maintenance of backup and protective systems and other internal control measures, there can be no assurance that the measures we have implemented to date would be sufficient in the event of a system failure, loss of data or security breach. As a result, in the event of such a failure, loss of data or security breach, our financial condition and operating results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and marketing our products internationally could materially adversely affect our business.</w:t>
      </w:r>
    </w:p>
    <w:p>
      <w:pPr>
        <w:spacing w:after="0" w:line="165"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197"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52"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United States and foreign government tariffs, trade restrictions, price and exchange controls and other regulatory requirements;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economic weakness, including inflation, natural disasters, war, events of terrorism or political instability in particular foreign countries;</w:t>
      </w:r>
    </w:p>
    <w:p>
      <w:pPr>
        <w:spacing w:after="0" w:line="263" w:lineRule="exact"/>
        <w:rPr>
          <w:rFonts w:ascii="Arial" w:cs="Arial" w:eastAsia="Arial" w:hAnsi="Arial"/>
          <w:sz w:val="17"/>
          <w:szCs w:val="17"/>
          <w:color w:val="auto"/>
        </w:rPr>
      </w:pPr>
    </w:p>
    <w:p>
      <w:pPr>
        <w:ind w:left="760" w:right="16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regulations and restrictions for employees living or traveling abroad;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238"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43"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17"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(ibudilast), MN-001 (tipelukast), and MN-221 (bedoradrine) product candidates, although we do have patent protection for a 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MN-001 (tipelukast), and MN-221 (bedoradrine)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MN-001 (tipelukast), and MN-221 (bedoradrine) although we have a compound patent for MN-029.</w:t>
      </w:r>
    </w:p>
    <w:p>
      <w:pPr>
        <w:spacing w:after="0" w:line="141"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(tipelukast)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55"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54"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97"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and maintain any required or desirable licenses to use certain technologies of third parties, which may be protected by patents;</w:t>
      </w:r>
    </w:p>
    <w:p>
      <w:pPr>
        <w:spacing w:after="0" w:line="263" w:lineRule="exact"/>
        <w:rPr>
          <w:rFonts w:ascii="Arial" w:cs="Arial" w:eastAsia="Arial" w:hAnsi="Arial"/>
          <w:sz w:val="17"/>
          <w:szCs w:val="17"/>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239"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275"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238" w:lineRule="exact"/>
        <w:rPr>
          <w:rFonts w:ascii="Arial" w:cs="Arial" w:eastAsia="Arial" w:hAnsi="Arial"/>
          <w:sz w:val="18"/>
          <w:szCs w:val="18"/>
          <w:color w:val="auto"/>
        </w:rPr>
      </w:pPr>
    </w:p>
    <w:p>
      <w:pPr>
        <w:ind w:left="760" w:right="8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210" w:lineRule="exact"/>
        <w:rPr>
          <w:rFonts w:ascii="Arial" w:cs="Arial" w:eastAsia="Arial" w:hAnsi="Arial"/>
          <w:sz w:val="18"/>
          <w:szCs w:val="18"/>
          <w:color w:val="auto"/>
        </w:rPr>
      </w:pPr>
    </w:p>
    <w:p>
      <w:pPr>
        <w:ind w:left="760" w:right="60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76" w:lineRule="exact"/>
        <w:rPr>
          <w:sz w:val="20"/>
          <w:szCs w:val="20"/>
          <w:color w:val="auto"/>
        </w:rPr>
      </w:pPr>
    </w:p>
    <w:p>
      <w:pPr>
        <w:ind w:right="60" w:firstLine="374"/>
        <w:spacing w:after="0" w:line="287"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76"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 party patents containing claims covering our product candidates, their methods of use or manufacture do not exist. Moreover, because some patent applications in the United States may be maintained in secrecy until the patents are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8" w:name="page59"/>
    <w:bookmarkEnd w:id="58"/>
    <w:p>
      <w:pPr>
        <w:spacing w:after="0" w:line="269" w:lineRule="auto"/>
        <w:rPr>
          <w:sz w:val="20"/>
          <w:szCs w:val="20"/>
          <w:color w:val="auto"/>
        </w:rPr>
      </w:pPr>
      <w:r>
        <w:rPr>
          <w:rFonts w:ascii="Arial" w:cs="Arial" w:eastAsia="Arial" w:hAnsi="Arial"/>
          <w:sz w:val="17"/>
          <w:szCs w:val="17"/>
          <w:color w:val="auto"/>
        </w:rPr>
        <w:t>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 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199" w:lineRule="exact"/>
        <w:rPr>
          <w:sz w:val="20"/>
          <w:szCs w:val="20"/>
          <w:color w:val="auto"/>
        </w:rPr>
      </w:pPr>
    </w:p>
    <w:p>
      <w:pPr>
        <w:ind w:left="760" w:right="200" w:hanging="378"/>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stock price of our common stock may be volatile or decline regardless of our operating performance, and you may not be able to resell our shares at a profit or at all.</w:t>
      </w:r>
    </w:p>
    <w:p>
      <w:pPr>
        <w:spacing w:after="0" w:line="76" w:lineRule="exact"/>
        <w:rPr>
          <w:sz w:val="20"/>
          <w:szCs w:val="20"/>
          <w:color w:val="auto"/>
        </w:rPr>
      </w:pPr>
    </w:p>
    <w:p>
      <w:pPr>
        <w:jc w:val="both"/>
        <w:ind w:right="340" w:firstLine="374"/>
        <w:spacing w:after="0" w:line="311" w:lineRule="auto"/>
        <w:rPr>
          <w:sz w:val="20"/>
          <w:szCs w:val="20"/>
          <w:color w:val="auto"/>
        </w:rPr>
      </w:pPr>
      <w:r>
        <w:rPr>
          <w:rFonts w:ascii="Arial" w:cs="Arial" w:eastAsia="Arial" w:hAnsi="Arial"/>
          <w:sz w:val="16"/>
          <w:szCs w:val="16"/>
          <w:color w:val="auto"/>
        </w:rPr>
        <w:t>Despite the listing of our common stock on the NASDAQ Global Market and the Standard Market of the Tokyo Stock Exchange in Japan, trading volume in our securities has been light and an active trading market may not develop for our common stock. In 2022, our average trading volume was approximately 61,378 shares per day on the NASDAQ Global Market and approximately 67,690 shares per day on the Standard Market.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9" w:name="page60"/>
    <w:bookmarkEnd w:id="59"/>
    <w:p>
      <w:pPr>
        <w:ind w:right="60" w:firstLine="374"/>
        <w:spacing w:after="0" w:line="257" w:lineRule="auto"/>
        <w:rPr>
          <w:sz w:val="20"/>
          <w:szCs w:val="20"/>
          <w:color w:val="auto"/>
        </w:rPr>
      </w:pPr>
      <w:r>
        <w:rPr>
          <w:rFonts w:ascii="Arial" w:cs="Arial" w:eastAsia="Arial" w:hAnsi="Arial"/>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2022, our common stock has traded as high as approximately $42.00 and as low as approximately $1.30. The following factors, in addition to other risk factors described in this section, may have a significant impact on the market price of our common stock, many of which are beyond our control:</w:t>
      </w:r>
    </w:p>
    <w:p>
      <w:pPr>
        <w:spacing w:after="0" w:line="215" w:lineRule="exact"/>
        <w:rPr>
          <w:sz w:val="20"/>
          <w:szCs w:val="20"/>
          <w:color w:val="auto"/>
        </w:rPr>
      </w:pPr>
    </w:p>
    <w:p>
      <w:pPr>
        <w:ind w:left="760" w:right="10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w:t>
      </w:r>
    </w:p>
    <w:p>
      <w:pPr>
        <w:spacing w:after="0" w:line="197" w:lineRule="exact"/>
        <w:rPr>
          <w:rFonts w:ascii="Arial" w:cs="Arial" w:eastAsia="Arial" w:hAnsi="Arial"/>
          <w:sz w:val="18"/>
          <w:szCs w:val="18"/>
          <w:color w:val="auto"/>
        </w:rPr>
      </w:pPr>
    </w:p>
    <w:p>
      <w:pPr>
        <w:ind w:left="760" w:right="7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COVID-19;</w:t>
      </w:r>
    </w:p>
    <w:p>
      <w:pPr>
        <w:spacing w:after="0" w:line="238"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52" w:lineRule="exact"/>
        <w:rPr>
          <w:rFonts w:ascii="Arial" w:cs="Arial" w:eastAsia="Arial" w:hAnsi="Arial"/>
          <w:sz w:val="18"/>
          <w:szCs w:val="18"/>
          <w:color w:val="auto"/>
        </w:rPr>
      </w:pPr>
    </w:p>
    <w:p>
      <w:pPr>
        <w:ind w:left="760" w:right="4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98"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Broad market and industry factors, as well as economic and political factors, also may materially adversely affect the market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be delisted on the NASDAQ Global Market or the Standard Market of the Tokyo Stock Exchange.</w:t>
      </w:r>
    </w:p>
    <w:p>
      <w:pPr>
        <w:spacing w:after="0" w:line="185"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60" w:name="page61"/>
    <w:bookmarkEnd w:id="60"/>
    <w:p>
      <w:pPr>
        <w:jc w:val="both"/>
        <w:ind w:right="340"/>
        <w:spacing w:after="0" w:line="342" w:lineRule="auto"/>
        <w:rPr>
          <w:sz w:val="20"/>
          <w:szCs w:val="20"/>
          <w:color w:val="auto"/>
        </w:rPr>
      </w:pPr>
      <w:r>
        <w:rPr>
          <w:rFonts w:ascii="Arial" w:cs="Arial" w:eastAsia="Arial" w:hAnsi="Arial"/>
          <w:sz w:val="16"/>
          <w:szCs w:val="16"/>
          <w:color w:val="auto"/>
        </w:rPr>
        <w:t>share price has, in the past, fallen below the required minimum.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sale of additional common stock, including under our existing shelf registration statement and at market issuance sales agreement may cause substantial dilution to our existing stockholders and/or the price of our common stock to decline.</w:t>
      </w:r>
    </w:p>
    <w:p>
      <w:pPr>
        <w:spacing w:after="0" w:line="76" w:lineRule="exact"/>
        <w:rPr>
          <w:sz w:val="20"/>
          <w:szCs w:val="20"/>
          <w:color w:val="auto"/>
        </w:rPr>
      </w:pPr>
    </w:p>
    <w:p>
      <w:pPr>
        <w:ind w:right="80" w:firstLine="374"/>
        <w:spacing w:after="0" w:line="301" w:lineRule="auto"/>
        <w:rPr>
          <w:sz w:val="20"/>
          <w:szCs w:val="20"/>
          <w:color w:val="auto"/>
        </w:rPr>
      </w:pPr>
      <w:r>
        <w:rPr>
          <w:rFonts w:ascii="Arial" w:cs="Arial" w:eastAsia="Arial" w:hAnsi="Arial"/>
          <w:sz w:val="16"/>
          <w:szCs w:val="16"/>
          <w:color w:val="auto"/>
        </w:rPr>
        <w:t>Sales of a substantial number of shares of our common stock could cause our stock price to decline. Sales of a substantial number of shares of our common stock could occur at any time. These sales, or the perception in the market that the holders of a large number of shares intend to sell shares, could reduce the market price of our common stock. As of February 13, 2023, we had 49,046,246 shares of common stock outstanding. Shares held by directors, executive officers and other affiliates will be subject to volume limitations under Rule 144 under the Securities Act and various vesting agreements.</w:t>
      </w:r>
    </w:p>
    <w:p>
      <w:pPr>
        <w:spacing w:after="0" w:line="117"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Further, 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w:t>
      </w:r>
    </w:p>
    <w:p>
      <w:pPr>
        <w:spacing w:after="0" w:line="151"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On August 26, 2022, we filed a shelf registration statement (Shelf Registration Statement) on Form S-3 with the SEC (that was declared effective by the SEC on September 6, 2022), which permits us to offer up to $200.0 million of our common stock, preferred stock, debt securities and warrants in one or more offerings and in any combination, including units from time to time. Our Shelf Registration Statement is intended to provide us with flexibility to raise capital in the future for general corporate purposes. As part of this Shelf Registration Statement, we also entered into an amendment to an at market issuance sales agreement (as amended, the “ATM Agreement”) with B. Riley Securities, Inc. (formerly B. Riley FBR, Inc.) (B. Riley Securities) pursuant to which we may offer and sell common stock through B. Riley Securities from time to time up to an aggregate offering price of $75.0 million</w:t>
      </w:r>
      <w:r>
        <w:rPr>
          <w:rFonts w:ascii="Arial" w:cs="Arial" w:eastAsia="Arial" w:hAnsi="Arial"/>
          <w:sz w:val="16"/>
          <w:szCs w:val="16"/>
          <w:color w:val="0070C0"/>
        </w:rPr>
        <w:t>,</w:t>
      </w:r>
      <w:r>
        <w:rPr>
          <w:rFonts w:ascii="Arial" w:cs="Arial" w:eastAsia="Arial" w:hAnsi="Arial"/>
          <w:sz w:val="16"/>
          <w:szCs w:val="16"/>
          <w:color w:val="auto"/>
        </w:rPr>
        <w:t xml:space="preserve"> of which $10.3 million of our common stock was sold under a previous shelf registration statement on Form S-3, which expired on August 22, 2022 (Prior Shelf Registration Statement). In connection with the ATM Agreement and as part of the Shelf Registration Statement, we filed a prospectus supplement to register up to $64.7 million of our common stock, which represents the remaining shares that we previously registered for sale under the sales agreement and the Prior Shelf Registration Agreement. From time to time, we may sell additional shares of our common stock under the Shelf Registration Statement or the ATM Agreement. Depending upon market liquidity at the time, sales of shares of our common stock under the Shelf Registration Statement or the ATM Agreement may cause the trading price of our common stock to decline and may result in substantial dilution to the interests of other holders of our common stock. The sale of a substantial number of shares of our common stock, including under the Shelf Registration Statement or the ATM Agreement, or anticipation of such sales, could make it more difficult for us to sell equity or equity-related securities in the future at a time and at a price that we might otherwise wish to sell equity or equity-related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117"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61" w:name="page62"/>
    <w:bookmarkEnd w:id="61"/>
    <w:p>
      <w:pPr>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76" w:lineRule="exact"/>
        <w:rPr>
          <w:sz w:val="20"/>
          <w:szCs w:val="20"/>
          <w:color w:val="auto"/>
        </w:rPr>
      </w:pPr>
    </w:p>
    <w:p>
      <w:pPr>
        <w:ind w:right="240" w:firstLine="374"/>
        <w:spacing w:after="0" w:line="286" w:lineRule="auto"/>
        <w:rPr>
          <w:sz w:val="20"/>
          <w:szCs w:val="20"/>
          <w:color w:val="auto"/>
        </w:rPr>
      </w:pPr>
      <w:r>
        <w:rPr>
          <w:rFonts w:ascii="Arial" w:cs="Arial" w:eastAsia="Arial" w:hAnsi="Arial"/>
          <w:sz w:val="17"/>
          <w:szCs w:val="17"/>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25"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76"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214" w:lineRule="exact"/>
        <w:rPr>
          <w:sz w:val="20"/>
          <w:szCs w:val="20"/>
          <w:color w:val="auto"/>
        </w:rPr>
      </w:pPr>
    </w:p>
    <w:p>
      <w:pPr>
        <w:ind w:left="760" w:right="4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183" w:lineRule="exact"/>
        <w:rPr>
          <w:rFonts w:ascii="Arial" w:cs="Arial" w:eastAsia="Arial" w:hAnsi="Arial"/>
          <w:sz w:val="18"/>
          <w:szCs w:val="18"/>
          <w:color w:val="auto"/>
        </w:rPr>
      </w:pPr>
    </w:p>
    <w:p>
      <w:pPr>
        <w:ind w:left="760" w:right="3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238" w:lineRule="exact"/>
        <w:rPr>
          <w:rFonts w:ascii="Arial" w:cs="Arial" w:eastAsia="Arial" w:hAnsi="Arial"/>
          <w:sz w:val="18"/>
          <w:szCs w:val="18"/>
          <w:color w:val="auto"/>
        </w:rPr>
      </w:pPr>
    </w:p>
    <w:p>
      <w:pPr>
        <w:ind w:left="760" w:right="30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197"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66-2/3% stockholder approval; and</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98" w:lineRule="exact"/>
        <w:rPr>
          <w:sz w:val="20"/>
          <w:szCs w:val="20"/>
          <w:color w:val="auto"/>
        </w:rPr>
      </w:pPr>
    </w:p>
    <w:p>
      <w:pPr>
        <w:ind w:firstLine="419"/>
        <w:spacing w:after="0" w:line="296"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In December 2017, we executed a sublease agreement for our San Diego headquarters (Sublease) with Cardinal Health 127 Inc., the sublessor, to which Irvine Company, the master lessor, had provided its consent. The Sublease was for approximately 4,400 square feet and had a term of four years and one month. We have now extended this Sublease for an additional 5 years through January 31, 2027.</w:t>
      </w:r>
    </w:p>
    <w:p>
      <w:pPr>
        <w:spacing w:after="0" w:line="157"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In June 2005, we leased office space in Tokyo, Japan under a non-cancelable operating lease with an original expiration date of May 2013 and an auto-renewal two-year extension. The lease was renewed in May 2021 and has a term of two years with an auto-renewal, two year extension. We have no laboratory, research or manufacturing facilities, and we currently do not plan to purchase or lease any such facilities, as such services are provided to us by third 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Our common stock is listed on the Standard Market of the Tokyo Stock Exchange and trades under the code “4875,” and is listed on the NASDAQ Global Market and trades under the symbol “MNOV.”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80" w:firstLine="374"/>
        <w:spacing w:after="0" w:line="342" w:lineRule="auto"/>
        <w:rPr>
          <w:sz w:val="20"/>
          <w:szCs w:val="20"/>
          <w:color w:val="auto"/>
        </w:rPr>
      </w:pPr>
      <w:r>
        <w:rPr>
          <w:rFonts w:ascii="Arial" w:cs="Arial" w:eastAsia="Arial" w:hAnsi="Arial"/>
          <w:sz w:val="16"/>
          <w:szCs w:val="16"/>
          <w:color w:val="auto"/>
        </w:rPr>
        <w:t>As of February 13, 2023, there were approximately 11 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retain our future earnings, if any, to fund the growth and development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r>
        <w:rPr>
          <w:rFonts w:ascii="Arial" w:cs="Arial" w:eastAsia="Arial" w:hAnsi="Arial"/>
          <w:sz w:val="18"/>
          <w:szCs w:val="18"/>
          <w:color w:val="auto"/>
        </w:rPr>
        <w:t>.</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January 29, 2021, we sold and issued to an investor 3,656,307 shares of our common stock at a price of $5.47 per share for approximately $20 million in cash proceeds, net of approximately $0.1 million in issuance costs, in a private placement pursuant to the terms and conditions of a Securities Purchase Agreement dated as of January 11, 2021 by and between us and such investor.</w:t>
      </w:r>
    </w:p>
    <w:p>
      <w:pPr>
        <w:spacing w:after="0" w:line="14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Such shares were sold and issued without registration under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January 29, 2021 we filed a Registration Statement on Form S-3 to register the 3,656,307 shares of our common stock held by the investor for the resale or other disposition of such shares (Resale Registration Statement). The Resale Registration Statement was declared effective by the SEC on February 10,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(ARDS), and MN-001 (tipelukast) for fibrotic and other diseases such as nonalcoholic fatty liver disease (NAFLD) and idiopathic pulmonary fibrosis (IPF). Our pipeline also includes MN-221 (bedoradrine) for the treatment of acute exacerbation of asthma and MN-029 (denibulin) for solid tumor cancers. We were incorporated in Delaware in September 2000.</w:t>
      </w:r>
    </w:p>
    <w:p>
      <w:pPr>
        <w:spacing w:after="0" w:line="126"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We have incurred significant net losses since our inception. For the year ended December 31, 2022, we had a net loss of $14.1 million. At December 31, 2022, from inception, our accumulated deficit was $407.1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60"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Upon completion of proof-of-concept Phase 2 clinical trials, we intend to discuss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ongoing COVID-19 Pandemic on our Business</w:t>
      </w:r>
    </w:p>
    <w:p>
      <w:pPr>
        <w:spacing w:after="0" w:line="189"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The ongoing COVID-19 pandemic has resulted, and is likely to continue to result, in significant national and global economic disruption and has, and may continue to adversely affect our business. To date, we have experienced certain adverse effects on our business as well as been provided certain opportunities as a result of the pandemic. The pandemic caused a decrease in the number of patient visits at some clinical trial sites which we believe resulted in slower enrollment in our clinical trials than would have occurred without the pandemic. However, we have seen an increase in the number of patient visits compared to earlier in the pandemic and we continue to enroll patients in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trials and the opening of new clinical trial sites, although some of these activities took longer to complete than what we experienced prior to the pandemic.</w:t>
      </w:r>
    </w:p>
    <w:p>
      <w:pPr>
        <w:spacing w:after="0" w:line="138"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The pandemic created certain opportunities for our clinical development and we have pursued those opportunities. Following the outbreak of the pandemic, we designed a clinical trial to evaluate MN-166 (ibudilast) for prevention of acute respiratory distress syndrome (ARDS) caused by COVID-19. In June 2022, we announced positive top-line results from this Phase 2 clinical trial in which MN-166 (ibudilast) demonstrated large improvements compared to placebo for all four clinical endpoints analyzed. Separately, in August 2022, we announced plans to participate in RECLAIM (Recovering from COVID-19 Lingering Symptoms Adaptive Integrative Medicine Trial), a grant-funded clinical trial to evaluate MN-166 (ibudilast) and other therapies for the treatment of Long COVID, the lingering symptoms of COVID-19. In February 2023, we announced that Health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Canada completed its review of the clinical trial application and granted authorization to commence the RECLAIM trial.</w:t>
      </w:r>
    </w:p>
    <w:p>
      <w:pPr>
        <w:spacing w:after="0" w:line="198"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We continue to actively monitor the pandemic situation and the possible effects on its financial condition, liquidity, operations, suppliers, industry, and workforce.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80" w:firstLine="374"/>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United States (GAAP).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24" w:lineRule="exact"/>
        <w:rPr>
          <w:sz w:val="20"/>
          <w:szCs w:val="20"/>
          <w:color w:val="auto"/>
        </w:rPr>
      </w:pPr>
    </w:p>
    <w:p>
      <w:pPr>
        <w:ind w:right="220" w:firstLine="374"/>
        <w:spacing w:after="0" w:line="25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60" w:firstLine="374"/>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To date, our accrued research, development and patent expenses have not differed significantly from the actual expenses incurred.</w:t>
      </w:r>
    </w:p>
    <w:p>
      <w:pPr>
        <w:spacing w:after="0" w:line="140"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development expense:</w:t>
            </w:r>
          </w:p>
        </w:tc>
        <w:tc>
          <w:tcPr>
            <w:tcW w:w="32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MN-221</w:t>
            </w:r>
          </w:p>
        </w:tc>
        <w:tc>
          <w:tcPr>
            <w:tcW w:w="42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465</w:t>
            </w:r>
          </w:p>
        </w:tc>
        <w:tc>
          <w:tcPr>
            <w:tcW w:w="13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MN-166</w:t>
            </w:r>
          </w:p>
        </w:tc>
        <w:tc>
          <w:tcPr>
            <w:tcW w:w="3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MN-001</w:t>
            </w:r>
          </w:p>
        </w:tc>
        <w:tc>
          <w:tcPr>
            <w:tcW w:w="3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MN-029</w:t>
            </w:r>
          </w:p>
        </w:tc>
        <w:tc>
          <w:tcPr>
            <w:tcW w:w="3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0"/>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external development expense</w:t>
            </w:r>
          </w:p>
        </w:tc>
        <w:tc>
          <w:tcPr>
            <w:tcW w:w="3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7,060</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R&amp;D personnel expense</w:t>
            </w:r>
          </w:p>
        </w:tc>
        <w:tc>
          <w:tcPr>
            <w:tcW w:w="3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1,433</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R&amp;D facility and depreciation expense</w:t>
            </w:r>
          </w:p>
        </w:tc>
        <w:tc>
          <w:tcPr>
            <w:tcW w:w="3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Patent expense</w:t>
            </w:r>
          </w:p>
        </w:tc>
        <w:tc>
          <w:tcPr>
            <w:tcW w:w="3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R&amp;D expense</w:t>
            </w:r>
          </w:p>
        </w:tc>
        <w:tc>
          <w:tcPr>
            <w:tcW w:w="3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research, development and patent expense</w:t>
            </w:r>
          </w:p>
        </w:tc>
        <w:tc>
          <w:tcPr>
            <w:tcW w:w="42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9,144</w:t>
            </w:r>
          </w:p>
        </w:tc>
        <w:tc>
          <w:tcPr>
            <w:tcW w:w="13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20" w:type="dxa"/>
            <w:vAlign w:val="bottom"/>
            <w:vMerge w:val="restart"/>
          </w:tcPr>
          <w:p>
            <w:pPr>
              <w:jc w:val="right"/>
              <w:ind w:right="1910"/>
              <w:spacing w:after="0"/>
              <w:rPr>
                <w:sz w:val="20"/>
                <w:szCs w:val="20"/>
                <w:color w:val="auto"/>
              </w:rPr>
            </w:pPr>
            <w:r>
              <w:rPr>
                <w:rFonts w:ascii="Arial" w:cs="Arial" w:eastAsia="Arial" w:hAnsi="Arial"/>
                <w:sz w:val="18"/>
                <w:szCs w:val="18"/>
                <w:color w:val="auto"/>
              </w:rPr>
              <w:t>65</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5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-668020</wp:posOffset>
            </wp:positionV>
            <wp:extent cx="685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The impact of recent accounting pronouncements is described in Note 1 of our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Revenues were $0.0 million and $4.0 million for the year ended December 31, 2022 and 2021, respectively. The decrease of $4.0 million was due to the receipt of two milestone payments in 2021 under an agreement with Genzyme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auto"/>
        </w:rPr>
        <w:t>Research, development and patent expenses for the year ended December 31, 2022 increased by $0.6 million to $9.1 million as compared to $8.5 million for the prior year, primarily due to an increase in MN-166 and MN-221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General and administrative expenses for the year ended December 31, 2022 decreased by $0.2 million to $5.5 million compared to $5.7 million for the prior year, primarily driven by a decrease in stock compensation expense for performance-based stock options, partially offset by increased compensation costs and increased accounting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40" w:firstLine="374"/>
        <w:spacing w:after="0" w:line="342" w:lineRule="auto"/>
        <w:rPr>
          <w:sz w:val="20"/>
          <w:szCs w:val="20"/>
          <w:color w:val="auto"/>
        </w:rPr>
      </w:pPr>
      <w:r>
        <w:rPr>
          <w:rFonts w:ascii="Arial" w:cs="Arial" w:eastAsia="Arial" w:hAnsi="Arial"/>
          <w:sz w:val="16"/>
          <w:szCs w:val="16"/>
          <w:color w:val="auto"/>
        </w:rPr>
        <w:t>Other expense for the years ended 2022 and 2021 was approximately $247,000 and $59,000, respectively. Other expense consisted of penalties on early disposal of bank certificates of deposit, interest expense, and net transaction losses related to vendor invoices denominated in foreign currencies.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Interest income for the year ended December 31, 2022 increased by $0.7 million to $0.8 million compared to $0.1 million for the prior year, primarily driven by higher interest rates on cash and bank certificates of deposit. Interest income consists of interest earned on our cash and cash equivalents and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We incurred losses of $14.1 million and $10.1 million for the years ended December 31, 2022 and 2021, respectively. At December 31, 2022, our accumulated deficit was $407.1 million as compared to $393.1 million for the year ended December 31, 2021. Our operating losses to date have been funded primarily through the private placement of our equity securities, the public sale of our common stock, long-term debt, development agreements with partners and the exercise of warrants, net of treasury stock repurchases.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years ended December 31, 2022 and 2021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(12,912 )</w:t>
            </w: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(9,382 )</w:t>
            </w:r>
          </w:p>
        </w:tc>
      </w:tr>
      <w:tr>
        <w:trPr>
          <w:trHeight w:val="24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(40,005 )</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(29 )</w:t>
            </w: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20,778</w:t>
            </w:r>
          </w:p>
        </w:tc>
        <w:tc>
          <w:tcPr>
            <w:tcW w:w="80" w:type="dxa"/>
            <w:vAlign w:val="bottom"/>
          </w:tcPr>
          <w:p>
            <w:pPr>
              <w:spacing w:after="0"/>
              <w:rPr>
                <w:sz w:val="21"/>
                <w:szCs w:val="21"/>
                <w:color w:val="auto"/>
              </w:rPr>
            </w:pPr>
          </w:p>
        </w:tc>
      </w:tr>
      <w:tr>
        <w:trPr>
          <w:trHeight w:val="276"/>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(52,909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Financial Condition and Liquidity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7" w:name="page68"/>
    <w:bookmarkEnd w:id="67"/>
    <w:p>
      <w:pPr>
        <w:ind w:right="40" w:firstLine="374"/>
        <w:spacing w:after="0" w:line="291" w:lineRule="auto"/>
        <w:rPr>
          <w:sz w:val="20"/>
          <w:szCs w:val="20"/>
          <w:color w:val="auto"/>
        </w:rPr>
      </w:pPr>
      <w:r>
        <w:rPr>
          <w:rFonts w:ascii="Arial" w:cs="Arial" w:eastAsia="Arial" w:hAnsi="Arial"/>
          <w:sz w:val="16"/>
          <w:szCs w:val="16"/>
          <w:color w:val="auto"/>
        </w:rPr>
        <w:t>As of December 31, 2022, we had available cash and cash equivalents of $18.5 million, investments of $40.0 million and working capital of $55.8 million. For the year ended December 31, 2022, we used net cash in investing activities to purchase investments, consisting of bank certificates of deposit with original purchased maturities of between seven and 13 months, to take advantage of higher market interest rates to provide increased interest income. We expect to manage the maturities of our investments to be able to fund our cash needs for operations and, as of the date of this report, we believe we have sufficient working capital to fund operations at least through the end of 2024. This is based on our expected operating cash needs for 2023 to be approximately $21.2 million and assuming we keep our spend at a similar level for 2024 including expected inflation increases. We expect that this level of operating spend will be sufficient to meet the businesses needs for research and development to help monetize our products in development.</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238"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97" w:lineRule="exact"/>
        <w:rPr>
          <w:rFonts w:ascii="Arial" w:cs="Arial" w:eastAsia="Arial" w:hAnsi="Arial"/>
          <w:sz w:val="18"/>
          <w:szCs w:val="18"/>
          <w:color w:val="auto"/>
        </w:rPr>
      </w:pPr>
    </w:p>
    <w:p>
      <w:pPr>
        <w:ind w:left="760" w:right="64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238"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any of our product candidates.</w:t>
      </w:r>
    </w:p>
    <w:p>
      <w:pPr>
        <w:spacing w:after="0" w:line="130"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At December 31, 2022, we did not have any off balance sheet activity and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7"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On August 26, 2022, we filed a shelf registration statement (Shelf Registration Statement) on Form S-3 with the SEC (that was declared effective by the SEC on September 6, 2022), which permits us to offer up to $200.0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20"/>
        <w:spacing w:after="0" w:line="290" w:lineRule="auto"/>
        <w:rPr>
          <w:sz w:val="20"/>
          <w:szCs w:val="20"/>
          <w:color w:val="auto"/>
        </w:rPr>
      </w:pPr>
      <w:r>
        <w:rPr>
          <w:rFonts w:ascii="Arial" w:cs="Arial" w:eastAsia="Arial" w:hAnsi="Arial"/>
          <w:sz w:val="16"/>
          <w:szCs w:val="16"/>
          <w:color w:val="auto"/>
        </w:rPr>
        <w:t>of our common stock, preferred stock, debt securities and warrants in one or more offerings and in any combination, including units from time to time. Our Shelf Registration Statement is intended to provide us with flexibility to raise capital in the future for general corporate purposes. As part of this Shelf Registration Statement, we also entered into an amendment to an at market issuance sales agreement (as amended, the “ATM Agreement”) with B. Riley Securities, Inc. (formerly B. Riley FBR, Inc.) (B. Riley Securities) pursuant to which we may offer and sell common stock through B. Riley Securities from time to time up to an aggregate offering price of $75.0 million</w:t>
      </w:r>
      <w:r>
        <w:rPr>
          <w:rFonts w:ascii="Arial" w:cs="Arial" w:eastAsia="Arial" w:hAnsi="Arial"/>
          <w:sz w:val="16"/>
          <w:szCs w:val="16"/>
          <w:color w:val="0070C0"/>
        </w:rPr>
        <w:t>,</w:t>
      </w:r>
      <w:r>
        <w:rPr>
          <w:rFonts w:ascii="Arial" w:cs="Arial" w:eastAsia="Arial" w:hAnsi="Arial"/>
          <w:sz w:val="16"/>
          <w:szCs w:val="16"/>
          <w:color w:val="auto"/>
        </w:rPr>
        <w:t xml:space="preserve"> of which $10.3 million of our common stock was sold under a previous shelf registration statement on Form S-3, which expired on August 22, 2022 (Prior Shelf Registration Statement). In connection with the ATM Agreement and as part of the Shelf Registration Statement, we filed a prospectus supplement to register up to $64.7 million of our common stock, which represents the remaining shares that we previously registered for sale under the sales agreement and the Prior Shelf Registration Agreement.</w:t>
      </w:r>
    </w:p>
    <w:p>
      <w:pPr>
        <w:spacing w:after="0" w:line="57"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Sales of our common stock through B. Riley Securities,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Securities may also sell the common stock in privately negotiated transactions, subject to our prior approval. We agreed to pay B. Riley Securities an aggregate commission rate of up to 3.5% of the gross proceeds of any common stock sold under this agreement. Proceeds from sales of common stock will depend on the number of shares of common stock sold to B. Riley Securities and the per share purchase price of each transaction.</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shares of common stock were sold under the ATM agreement for the years ended December 31, 2022 and December 31, 2021.</w:t>
      </w:r>
    </w:p>
    <w:p>
      <w:pPr>
        <w:spacing w:after="0" w:line="225"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For the year ended December 31, 2021, we sold and issued 3,656,307 shares of our common stock at a price of $5.47 per share for approximately $20 million in gross proceeds in a private placement of stock on January 29, 2021. These proceeds are used for the normal operating expenses of the business including increased R&amp;D activities.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entered into arrangements that contractually obligate us to make payments that will affect our liquidity and cash flows in future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arrangements include those related to the contractual obligations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260" w:firstLine="539"/>
        <w:spacing w:after="0" w:line="277" w:lineRule="auto"/>
        <w:rPr>
          <w:sz w:val="20"/>
          <w:szCs w:val="20"/>
          <w:color w:val="auto"/>
        </w:rPr>
      </w:pPr>
      <w:r>
        <w:rPr>
          <w:rFonts w:ascii="Arial" w:cs="Arial" w:eastAsia="Arial" w:hAnsi="Arial"/>
          <w:sz w:val="18"/>
          <w:szCs w:val="18"/>
          <w:color w:val="auto"/>
        </w:rPr>
        <w:t>Our operating lease commitments reflect payments due for our lease agreements in San Diego, California and Tokyo, Japan. As of December 31, 2022, our contractual commitments for our leases were $0.7 million, which will be paid over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 Obligations</w:t>
      </w:r>
    </w:p>
    <w:p>
      <w:pPr>
        <w:spacing w:after="0" w:line="121" w:lineRule="exact"/>
        <w:rPr>
          <w:sz w:val="20"/>
          <w:szCs w:val="20"/>
          <w:color w:val="auto"/>
        </w:rPr>
      </w:pPr>
    </w:p>
    <w:p>
      <w:pPr>
        <w:ind w:right="60" w:firstLine="539"/>
        <w:spacing w:after="0" w:line="296" w:lineRule="auto"/>
        <w:rPr>
          <w:sz w:val="20"/>
          <w:szCs w:val="20"/>
          <w:color w:val="auto"/>
        </w:rPr>
      </w:pPr>
      <w:r>
        <w:rPr>
          <w:rFonts w:ascii="Arial" w:cs="Arial" w:eastAsia="Arial" w:hAnsi="Arial"/>
          <w:sz w:val="16"/>
          <w:szCs w:val="16"/>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 Assuming the milestones are met, total future potential milestone payments aggregate to $26.5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Page</w:t>
            </w:r>
          </w:p>
        </w:tc>
      </w:tr>
      <w:tr>
        <w:trPr>
          <w:trHeight w:val="183"/>
        </w:trPr>
        <w:tc>
          <w:tcPr>
            <w:tcW w:w="80" w:type="dxa"/>
            <w:vAlign w:val="bottom"/>
          </w:tcPr>
          <w:p>
            <w:pPr>
              <w:spacing w:after="0"/>
              <w:rPr>
                <w:sz w:val="15"/>
                <w:szCs w:val="15"/>
                <w:color w:val="auto"/>
              </w:rPr>
            </w:pPr>
          </w:p>
        </w:tc>
        <w:tc>
          <w:tcPr>
            <w:tcW w:w="10420" w:type="dxa"/>
            <w:vAlign w:val="bottom"/>
            <w:gridSpan w:val="8"/>
          </w:tcPr>
          <w:p>
            <w:pPr>
              <w:spacing w:after="0" w:line="182"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(BDO USA, LLP; San Diego, California; PCAOB ID#243)</w:t>
            </w:r>
          </w:p>
        </w:tc>
        <w:tc>
          <w:tcPr>
            <w:tcW w:w="740" w:type="dxa"/>
            <w:vAlign w:val="bottom"/>
          </w:tcPr>
          <w:p>
            <w:pPr>
              <w:jc w:val="right"/>
              <w:ind w:right="133"/>
              <w:spacing w:after="0" w:line="182" w:lineRule="exact"/>
              <w:rPr>
                <w:sz w:val="20"/>
                <w:szCs w:val="20"/>
                <w:color w:val="auto"/>
              </w:rPr>
            </w:pPr>
            <w:r>
              <w:rPr>
                <w:rFonts w:ascii="Arial" w:cs="Arial" w:eastAsia="Arial" w:hAnsi="Arial"/>
                <w:sz w:val="18"/>
                <w:szCs w:val="18"/>
                <w:color w:val="auto"/>
              </w:rPr>
              <w:t>71</w:t>
            </w:r>
          </w:p>
        </w:tc>
      </w:tr>
      <w:tr>
        <w:trPr>
          <w:trHeight w:val="263"/>
        </w:trPr>
        <w:tc>
          <w:tcPr>
            <w:tcW w:w="80" w:type="dxa"/>
            <w:vAlign w:val="bottom"/>
          </w:tcPr>
          <w:p>
            <w:pPr>
              <w:spacing w:after="0"/>
              <w:rPr>
                <w:sz w:val="22"/>
                <w:szCs w:val="22"/>
                <w:color w:val="auto"/>
              </w:rPr>
            </w:pPr>
          </w:p>
        </w:tc>
        <w:tc>
          <w:tcPr>
            <w:tcW w:w="42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Financial Statements:</w:t>
            </w:r>
          </w:p>
        </w:tc>
        <w:tc>
          <w:tcPr>
            <w:tcW w:w="620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03"/>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0" w:type="dxa"/>
            <w:vAlign w:val="bottom"/>
            <w:gridSpan w:val="7"/>
          </w:tcPr>
          <w:p>
            <w:pPr>
              <w:spacing w:after="0" w:line="202" w:lineRule="exact"/>
              <w:rPr>
                <w:sz w:val="20"/>
                <w:szCs w:val="20"/>
                <w:color w:val="auto"/>
              </w:rPr>
            </w:pPr>
            <w:r>
              <w:rPr>
                <w:rFonts w:ascii="Arial" w:cs="Arial" w:eastAsia="Arial" w:hAnsi="Arial"/>
                <w:sz w:val="18"/>
                <w:szCs w:val="18"/>
                <w:color w:val="0000FF"/>
              </w:rPr>
              <w:t>Consolidated Balance Sheets</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73</w:t>
            </w: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Operations and Comprehensive Loss</w:t>
            </w:r>
          </w:p>
        </w:tc>
        <w:tc>
          <w:tcPr>
            <w:tcW w:w="5320" w:type="dxa"/>
            <w:vAlign w:val="bottom"/>
          </w:tcPr>
          <w:p>
            <w:pPr>
              <w:spacing w:after="0"/>
              <w:rPr>
                <w:sz w:val="19"/>
                <w:szCs w:val="19"/>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74</w:t>
            </w:r>
          </w:p>
        </w:tc>
      </w:tr>
      <w:tr>
        <w:trPr>
          <w:trHeight w:val="223"/>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0000FF"/>
              </w:rPr>
              <w:t>Consolidated Statements of Stockholders’ Equity</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75</w:t>
            </w:r>
          </w:p>
        </w:tc>
      </w:tr>
      <w:tr>
        <w:trPr>
          <w:trHeight w:val="223"/>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Consolidated Statements of Cash Flows</w:t>
            </w:r>
          </w:p>
        </w:tc>
        <w:tc>
          <w:tcPr>
            <w:tcW w:w="6460" w:type="dxa"/>
            <w:vAlign w:val="bottom"/>
            <w:gridSpan w:val="3"/>
          </w:tcPr>
          <w:p>
            <w:pPr>
              <w:spacing w:after="0"/>
              <w:rPr>
                <w:sz w:val="19"/>
                <w:szCs w:val="19"/>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76</w:t>
            </w: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77</w:t>
            </w:r>
          </w:p>
        </w:tc>
      </w:tr>
      <w:tr>
        <w:trPr>
          <w:trHeight w:val="858"/>
        </w:trPr>
        <w:tc>
          <w:tcPr>
            <w:tcW w:w="500" w:type="dxa"/>
            <w:vAlign w:val="bottom"/>
            <w:gridSpan w:val="2"/>
          </w:tcPr>
          <w:p>
            <w:pPr>
              <w:spacing w:after="0"/>
              <w:rPr>
                <w:sz w:val="24"/>
                <w:szCs w:val="24"/>
                <w:color w:val="auto"/>
              </w:rPr>
            </w:pPr>
          </w:p>
        </w:tc>
        <w:tc>
          <w:tcPr>
            <w:tcW w:w="3140" w:type="dxa"/>
            <w:vAlign w:val="bottom"/>
            <w:tcBorders>
              <w:top w:val="single" w:sz="8" w:color="0000FF"/>
            </w:tcBorders>
            <w:gridSpan w:val="3"/>
          </w:tcPr>
          <w:p>
            <w:pPr>
              <w:spacing w:after="0"/>
              <w:rPr>
                <w:sz w:val="24"/>
                <w:szCs w:val="24"/>
                <w:color w:val="auto"/>
              </w:rPr>
            </w:pPr>
          </w:p>
        </w:tc>
        <w:tc>
          <w:tcPr>
            <w:tcW w:w="6860" w:type="dxa"/>
            <w:vAlign w:val="bottom"/>
            <w:gridSpan w:val="4"/>
          </w:tcPr>
          <w:p>
            <w:pPr>
              <w:jc w:val="right"/>
              <w:ind w:right="4780"/>
              <w:spacing w:after="0"/>
              <w:rPr>
                <w:sz w:val="20"/>
                <w:szCs w:val="20"/>
                <w:color w:val="auto"/>
              </w:rPr>
            </w:pPr>
            <w:r>
              <w:rPr>
                <w:rFonts w:ascii="Arial" w:cs="Arial" w:eastAsia="Arial" w:hAnsi="Arial"/>
                <w:sz w:val="18"/>
                <w:szCs w:val="18"/>
                <w:color w:val="auto"/>
              </w:rPr>
              <w:t>70</w:t>
            </w:r>
          </w:p>
        </w:tc>
        <w:tc>
          <w:tcPr>
            <w:tcW w:w="74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MediciNova, Inc. (the “Company”) as of December 31, 2022 and 2021,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described in Note 1 to the consolidated financial statements, the Company recognizes costs it incurs for preclinical studies, clinical trials and manufacturing activities as research and development expenses based on its evaluation of its vendors’ progress toward completion of specific tasks. Payment timing may differ significantly from the period in which the costs are recognized as expense. Costs for services incurred that have not yet been billed or paid are recognized as accrued expenses. In estimating the vendors’ progress toward completion of specific tasks, the Company uses data such as patient enrollment, clinical site activations or vendor information of actual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right="60"/>
        <w:spacing w:after="0" w:line="308" w:lineRule="auto"/>
        <w:rPr>
          <w:sz w:val="20"/>
          <w:szCs w:val="20"/>
          <w:color w:val="auto"/>
        </w:rPr>
      </w:pPr>
      <w:r>
        <w:rPr>
          <w:rFonts w:ascii="Arial" w:cs="Arial" w:eastAsia="Arial" w:hAnsi="Arial"/>
          <w:sz w:val="17"/>
          <w:szCs w:val="17"/>
          <w:color w:val="auto"/>
        </w:rPr>
        <w:t>costs incurred. This data is obtained through reports from or discussions with Company personnel and outside service providers as to the progress or state of completion of trials, or the completion of services. As of December 31, 2022, the Company recorded $1.5 million in clinical trial accruals.</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identified the clinical trial accruals as a critical audit matter due to significant management judgment to estimate the progress toward completion of specific tasks that is dependent upon data and information from internal clinical personnel and outside service providers. Auditing these elements involved especially challenging auditor judgment due to the nature and extent of audit effort required to address these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ind w:left="760" w:right="180" w:hanging="378"/>
        <w:spacing w:after="0" w:line="311"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Testing the appropriate measurement of clinical trial accruals by obtaining and inspecting significant agreements and agreement amendments, evaluating the Company’s documentation of trial progress and status (including consideration of measures such as patient enrollment and milestones achieved), and testing a sample of transactions and comparing the costs against related invoices and contracts.</w:t>
      </w:r>
    </w:p>
    <w:p>
      <w:pPr>
        <w:spacing w:after="0" w:line="148"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Testing the completeness of the Company’s clinical trial accruals by evaluating publicly available information (such as press releases and public databases that track clinical trials) and board of directors’ materials regarding the status of clinical trials and inquiring of clinical staff to gain an understanding of the status of significant on-going clinical trials.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Testing a sample of subsequent payments to evaluate the completeness of clinical trial accruals at the end of the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18,505,493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71,430,954</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499,403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577,992</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39,982,213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58,987,109</w:t>
            </w:r>
          </w:p>
        </w:tc>
        <w:tc>
          <w:tcPr>
            <w:tcW w:w="26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72,008,946</w:t>
            </w:r>
          </w:p>
        </w:tc>
        <w:tc>
          <w:tcPr>
            <w:tcW w:w="100" w:type="dxa"/>
            <w:vAlign w:val="bottom"/>
            <w:tcBorders>
              <w:top w:val="single" w:sz="8" w:color="CFF0FC"/>
            </w:tcBorders>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9,600,240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4,800,000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45,269</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57,565</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Right-of-use asset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629,495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824,215</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92,792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74,154,905</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87,406,458</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424,646</w:t>
            </w:r>
          </w:p>
        </w:tc>
        <w:tc>
          <w:tcPr>
            <w:tcW w:w="2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402,740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 and other current liabilities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2,605,308</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2,298,203</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157,505</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131,965</w:t>
            </w:r>
          </w:p>
        </w:tc>
        <w:tc>
          <w:tcPr>
            <w:tcW w:w="100" w:type="dxa"/>
            <w:vAlign w:val="bottom"/>
          </w:tcPr>
          <w:p>
            <w:pPr>
              <w:spacing w:after="0"/>
              <w:rPr>
                <w:sz w:val="21"/>
                <w:szCs w:val="2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3,187,459</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2,832,908</w:t>
            </w: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201,792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523,619</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694,674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3,912,870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3,729,374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5)</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 100,000,000 shares authorized at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2022 and December 31, 2021; 49,046,246 and 49,043,246</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issued and outstanding at December 31, 2022 and December 31,</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2021, respectively</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49,043</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477,438,451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476,788,012</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(115,285 )</w:t>
            </w:r>
          </w:p>
        </w:tc>
        <w:tc>
          <w:tcPr>
            <w:tcW w:w="4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(98,877 )</w:t>
            </w: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(407,130,177 )</w:t>
            </w:r>
          </w:p>
        </w:tc>
        <w:tc>
          <w:tcPr>
            <w:tcW w:w="4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(393,061,094 )</w:t>
            </w: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70,242,035</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83,677,084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74,154,905</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87,406,458</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-4371340</wp:posOffset>
            </wp:positionV>
            <wp:extent cx="6858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-1851025</wp:posOffset>
            </wp:positionV>
            <wp:extent cx="6858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6"/>
          </w:tcPr>
          <w:p>
            <w:pPr>
              <w:jc w:val="right"/>
              <w:ind w:right="941"/>
              <w:spacing w:after="0"/>
              <w:rPr>
                <w:sz w:val="20"/>
                <w:szCs w:val="20"/>
                <w:color w:val="auto"/>
              </w:rPr>
            </w:pPr>
            <w:r>
              <w:rPr>
                <w:rFonts w:ascii="Arial" w:cs="Arial" w:eastAsia="Arial" w:hAnsi="Arial"/>
                <w:sz w:val="14"/>
                <w:szCs w:val="14"/>
                <w:b w:val="1"/>
                <w:bCs w:val="1"/>
                <w:color w:val="auto"/>
              </w:rPr>
              <w:t>Years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4,037,500</w:t>
            </w: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development and patents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9,143,792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8,538,027</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5,715,285</w:t>
            </w:r>
          </w:p>
        </w:tc>
        <w:tc>
          <w:tcPr>
            <w:tcW w:w="100" w:type="dxa"/>
            <w:vAlign w:val="bottom"/>
          </w:tcPr>
          <w:p>
            <w:pPr>
              <w:spacing w:after="0"/>
              <w:rPr>
                <w:sz w:val="21"/>
                <w:szCs w:val="21"/>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14,628,649</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14,253,312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(14,628,649 )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(10,215,812 )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809,673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143,626</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(247,285 )</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(59,498 )</w:t>
            </w: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(14,066,261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(10,131,684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(2,822 )</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(2,568 )</w:t>
            </w: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applicable to common stockholders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(14,069,083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(10,134,252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7"/>
        </w:trPr>
        <w:tc>
          <w:tcPr>
            <w:tcW w:w="7700" w:type="dxa"/>
            <w:vAlign w:val="bottom"/>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(0.29 )</w:t>
            </w: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(0.21 )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49,045,342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48,596,255</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loss applicable to common stockholders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(14,069,083 )</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(10,134,252 )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net of tax:</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(16,408 )</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(10,658 )</w:t>
            </w: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(14,085,491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(10,144,910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-1936750</wp:posOffset>
            </wp:positionV>
            <wp:extent cx="6858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-985520</wp:posOffset>
            </wp:positionV>
            <wp:extent cx="123444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444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960" w:type="dxa"/>
            <w:vAlign w:val="bottom"/>
            <w:gridSpan w:val="5"/>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w:t>
            </w:r>
          </w:p>
        </w:tc>
        <w:tc>
          <w:tcPr>
            <w:tcW w:w="11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4"/>
                <w:szCs w:val="14"/>
                <w:color w:val="auto"/>
              </w:rPr>
            </w:pPr>
          </w:p>
        </w:tc>
        <w:tc>
          <w:tcPr>
            <w:tcW w:w="1960" w:type="dxa"/>
            <w:vAlign w:val="bottom"/>
            <w:tcBorders>
              <w:bottom w:val="single" w:sz="8" w:color="auto"/>
            </w:tcBorders>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ve</w:t>
            </w:r>
          </w:p>
        </w:tc>
        <w:tc>
          <w:tcPr>
            <w:tcW w:w="1160" w:type="dxa"/>
            <w:vAlign w:val="bottom"/>
            <w:gridSpan w:val="4"/>
            <w:vMerge w:val="continue"/>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69"/>
        </w:trPr>
        <w:tc>
          <w:tcPr>
            <w:tcW w:w="4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Balance at December 31,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45,024,560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45,025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454,296,536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(88,219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(382,926,842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71,326,500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1,717,513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1,717,513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shares under an employee stock purchase plan (ESPP)</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680" w:type="dxa"/>
            <w:vAlign w:val="bottom"/>
          </w:tcPr>
          <w:p>
            <w:pPr>
              <w:ind w:left="20"/>
              <w:spacing w:after="0" w:line="143" w:lineRule="exact"/>
              <w:rPr>
                <w:sz w:val="20"/>
                <w:szCs w:val="20"/>
                <w:color w:val="auto"/>
              </w:rPr>
            </w:pPr>
            <w:r>
              <w:rPr>
                <w:rFonts w:ascii="Arial" w:cs="Arial" w:eastAsia="Arial" w:hAnsi="Arial"/>
                <w:sz w:val="14"/>
                <w:szCs w:val="14"/>
                <w:color w:val="auto"/>
                <w:w w:val="96"/>
              </w:rPr>
              <w:t>Issuance of common stock in a private placement transaction, net of issuance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80" w:type="dxa"/>
            <w:vAlign w:val="bottom"/>
          </w:tcPr>
          <w:p>
            <w:pPr>
              <w:ind w:left="20"/>
              <w:spacing w:after="0"/>
              <w:rPr>
                <w:sz w:val="20"/>
                <w:szCs w:val="20"/>
                <w:color w:val="auto"/>
              </w:rPr>
            </w:pPr>
            <w:r>
              <w:rPr>
                <w:rFonts w:ascii="Arial" w:cs="Arial" w:eastAsia="Arial" w:hAnsi="Arial"/>
                <w:sz w:val="14"/>
                <w:szCs w:val="14"/>
                <w:color w:val="auto"/>
              </w:rPr>
              <w:t>costs</w:t>
            </w:r>
          </w:p>
        </w:tc>
        <w:tc>
          <w:tcPr>
            <w:tcW w:w="840" w:type="dxa"/>
            <w:vAlign w:val="bottom"/>
          </w:tcPr>
          <w:p>
            <w:pPr>
              <w:jc w:val="right"/>
              <w:spacing w:after="0"/>
              <w:rPr>
                <w:sz w:val="20"/>
                <w:szCs w:val="20"/>
                <w:color w:val="auto"/>
              </w:rPr>
            </w:pPr>
            <w:r>
              <w:rPr>
                <w:rFonts w:ascii="Arial" w:cs="Arial" w:eastAsia="Arial" w:hAnsi="Arial"/>
                <w:sz w:val="14"/>
                <w:szCs w:val="14"/>
                <w:color w:val="auto"/>
              </w:rPr>
              <w:t>3,656,307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19,877,976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19,881,632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for option exercises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360,955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889,879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890,239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(10,134,252 )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(10,134,252 )</w:t>
            </w: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(10,658 )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(10,658 )</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80" w:type="dxa"/>
            <w:vAlign w:val="bottom"/>
          </w:tcPr>
          <w:p>
            <w:pPr>
              <w:ind w:left="200"/>
              <w:spacing w:after="0"/>
              <w:rPr>
                <w:sz w:val="20"/>
                <w:szCs w:val="20"/>
                <w:color w:val="auto"/>
              </w:rPr>
            </w:pPr>
            <w:r>
              <w:rPr>
                <w:rFonts w:ascii="Arial" w:cs="Arial" w:eastAsia="Arial" w:hAnsi="Arial"/>
                <w:sz w:val="14"/>
                <w:szCs w:val="14"/>
                <w:color w:val="auto"/>
              </w:rPr>
              <w:t>Balance at December 31, 2021</w:t>
            </w:r>
          </w:p>
        </w:tc>
        <w:tc>
          <w:tcPr>
            <w:tcW w:w="840" w:type="dxa"/>
            <w:vAlign w:val="bottom"/>
          </w:tcPr>
          <w:p>
            <w:pPr>
              <w:jc w:val="right"/>
              <w:spacing w:after="0"/>
              <w:rPr>
                <w:sz w:val="20"/>
                <w:szCs w:val="20"/>
                <w:color w:val="auto"/>
              </w:rPr>
            </w:pPr>
            <w:r>
              <w:rPr>
                <w:rFonts w:ascii="Arial" w:cs="Arial" w:eastAsia="Arial" w:hAnsi="Arial"/>
                <w:sz w:val="14"/>
                <w:szCs w:val="14"/>
                <w:color w:val="auto"/>
              </w:rPr>
              <w:t>49,043,246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49,043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476,788,012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(98,877 )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w w:val="94"/>
              </w:rPr>
              <w:t>(393,061,094 )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83,677,084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642,522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642,522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4"/>
                <w:szCs w:val="14"/>
                <w:color w:val="auto"/>
              </w:rPr>
              <w:t>Issuance of common stock for option exercises</w:t>
            </w:r>
          </w:p>
        </w:tc>
        <w:tc>
          <w:tcPr>
            <w:tcW w:w="840" w:type="dxa"/>
            <w:vAlign w:val="bottom"/>
          </w:tcPr>
          <w:p>
            <w:pPr>
              <w:jc w:val="right"/>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(14,069,083 )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96"/>
              </w:rPr>
              <w:t>(14,069,083 )</w:t>
            </w:r>
          </w:p>
        </w:tc>
        <w:tc>
          <w:tcPr>
            <w:tcW w:w="0" w:type="dxa"/>
            <w:vAlign w:val="bottom"/>
          </w:tcPr>
          <w:p>
            <w:pPr>
              <w:spacing w:after="0"/>
              <w:rPr>
                <w:sz w:val="1"/>
                <w:szCs w:val="1"/>
                <w:color w:val="auto"/>
              </w:rPr>
            </w:pP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(16,408 )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(16,408 )</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Balance at December 31, 2022</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49,046,246</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49,046</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477,438,451</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(115,285</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(407,130,177</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70,242,035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-711200</wp:posOffset>
            </wp:positionV>
            <wp:extent cx="77470"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-711200</wp:posOffset>
            </wp:positionV>
            <wp:extent cx="77470"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-711200</wp:posOffset>
            </wp:positionV>
            <wp:extent cx="76835"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-711200</wp:posOffset>
            </wp:positionV>
            <wp:extent cx="6858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-711200</wp:posOffset>
            </wp:positionV>
            <wp:extent cx="6858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-711200</wp:posOffset>
            </wp:positionV>
            <wp:extent cx="6858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Years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(14,069,083 )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(10,134,252 )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Non-cash stock-based compensation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642,522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1,717,513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26,149</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Non-cash interest on investments</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(154,003 )</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investments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122,475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38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carrying amount of right-of-use asset</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194,719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216,640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150,605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50,319</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other liabilities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329,010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(1,026,525 )</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(145,515 )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(231,735 )</w:t>
            </w: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(12,911,563 )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(9,381,605 )</w:t>
            </w: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(59,877,526 )</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disposal of investments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19,877,526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Acquisitions of property and equipment</w:t>
            </w:r>
          </w:p>
        </w:tc>
        <w:tc>
          <w:tcPr>
            <w:tcW w:w="380" w:type="dxa"/>
            <w:vAlign w:val="bottom"/>
          </w:tcPr>
          <w:p>
            <w:pPr>
              <w:spacing w:after="0"/>
              <w:rPr>
                <w:sz w:val="21"/>
                <w:szCs w:val="21"/>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(5,010 )</w:t>
            </w: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(28,732 )</w:t>
            </w: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(40,005,010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and exercise of common</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stock options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20,890,239</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Common stock issuance costs</w:t>
            </w:r>
          </w:p>
        </w:tc>
        <w:tc>
          <w:tcPr>
            <w:tcW w:w="38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(118,368 )</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equity under ESPP</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20,777,981</w:t>
            </w:r>
          </w:p>
        </w:tc>
        <w:tc>
          <w:tcPr>
            <w:tcW w:w="100" w:type="dxa"/>
            <w:vAlign w:val="bottom"/>
            <w:tcBorders>
              <w:top w:val="single" w:sz="8" w:color="CFF0FC"/>
            </w:tcBorders>
          </w:tcPr>
          <w:p>
            <w:pPr>
              <w:spacing w:after="0"/>
              <w:rPr>
                <w:sz w:val="20"/>
                <w:szCs w:val="20"/>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26,547</w:t>
            </w: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(52,925,461 )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11,394,191</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71,430,954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Cash and cash equivalents, end of year</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18,505,493</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71,430,954</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870,373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-2837180</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-2837180</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-1885950</wp:posOffset>
            </wp:positionV>
            <wp:extent cx="6858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-1885950</wp:posOffset>
            </wp:positionV>
            <wp:extent cx="685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-1122680</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-488315</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20" w:firstLine="374"/>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and idiopathic pulmonary fibrosis (IPF). The Company’s pipeline also includes MN-221 (bedoradrine) for the treatment of acute exacerbation of asthma, and MN-029 (denibulin) for solid tumor cancers.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Impact of COVID-19 on the Company’s Business</w:t>
      </w:r>
    </w:p>
    <w:p>
      <w:pPr>
        <w:spacing w:after="0" w:line="117"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The pandemic caused by an outbreak of a new strain of coronavirus (“COVID-19” or “the pandemic”) has resulted, and is likely to continue to result, in significant national and global economic disruption and may adversely affect the Company’s business. So far, the Company has experienced certain adverse effects on its business as well as been provided certain opportunities as a result of the pandemic. The pandemic caused a decrease in the number of patient visits at some clinical trial sites which the Company believes resulted in slower enrollment in the Company's clinical trials than would have occurred without the pandemic. However,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trials and the opening of new clinical trial sites, although some of these activities took longer to complete than what the Company experienced prior to the pandemic.</w:t>
      </w:r>
    </w:p>
    <w:p>
      <w:pPr>
        <w:spacing w:after="0" w:line="140"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The pandemic created certain new opportunities for the Company's clinical development and the Company has pursued those opportunities. Following the outbreak of the pandemic, the Company designed a clinical trial to evaluate MN-166 (ibudilast) for prevention of acute respiratory distress syndrome (ARDS) caused by COVID-19. The Company continues to actively monitor the pandemic situation and the possible effects on its financial condition, liquidity, operations, suppliers, industry, and workforce.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Cash and cash equivalents consist of cash and other highly liquid investments, including money market accounts, with original maturities of three months or less from the date of 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Investments purchased with an original maturity of greater than three months are classified as investments. Investments are stated at fair value and are classified as current or non-current based on the nature of the securities as well as their stated maturities. As of December 31, 2022, investments consisted of bank certificates of deposit with original purchased maturity dates between seven and 13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117"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The Company maintains cash balances and has purchased certificates of deposit at various financial institutions and such balances and certificates of deposit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Financial instruments, including cash equivalents and accounts payable, are carried at cost, which management believes approximates fair value because of the short-term nature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IPR&amp;D, Long-Lived Assets and Goodwill</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The Company first assesses qualitative factors to determine whether it is more likely than not that the fair value of the IPR&amp;D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spacing w:after="0" w:line="138"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The Company’s long-lived assets are reviewed for impairment whenever events or changes in circumstances indicate that the carrying value of an asset (or asset group) may not be recoverable, and the Company will perform an impairment analysis. Long-lived assets are deemed to be impaired when the undiscounted cash flows expected to be generated by the asset (or asset group) are less than the asset’s carrying amount. Any required impairment loss would be measured as the amount by which the asset’s (or asset group’s) carrying value exceeds its fair value and would be recorded as a reduction in the carrying value of the related asset and a charge to operating expense. There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right="300"/>
        <w:spacing w:after="0" w:line="277" w:lineRule="auto"/>
        <w:rPr>
          <w:sz w:val="20"/>
          <w:szCs w:val="20"/>
          <w:color w:val="auto"/>
        </w:rPr>
      </w:pPr>
      <w:r>
        <w:rPr>
          <w:rFonts w:ascii="Arial" w:cs="Arial" w:eastAsia="Arial" w:hAnsi="Arial"/>
          <w:sz w:val="18"/>
          <w:szCs w:val="18"/>
          <w:color w:val="auto"/>
        </w:rPr>
        <w:t>were no events or changes in circumstances to indicate that the carrying value of an asset (or asset group) may not be recoverable for any of the periods presented.</w:t>
      </w:r>
    </w:p>
    <w:p>
      <w:pPr>
        <w:spacing w:after="0" w:line="143"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Goodwill is reviewed for impairment annually (as of December 31st) or more frequently if indicators of impairment exist. As the Company operates in a single operating segment and reporting unit, goodwill is assessed at a consolidated level. The Company first assesses qualitative factors to determine whether it is more likely than not that the fair value of the reporting unit is less than its carrying amount, including goodwill. If so, the Company will proceed with a quantitative assessment that compares the fair value of the reporting unit with its carrying amount. If the fair value exceeds the carrying value as a result of either the qualitative or quantitative test, goodwill is not considered impaired. The qualitative factors include economic environment, business climate, market capitalization, operating performance, competition, and other factors. The Company placed the highest weight in excess cushion of the market capitalization to the equity carrying value in the analysis. Based on the results of the Company’s annual qualitative assessment, the Company concluded that it is not more likely than not that goodwill was impaired for any of the periods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$8.7 million and $8.1 million for the years ended December 31, 2022 and 2021, respectively.</w:t>
      </w:r>
    </w:p>
    <w:p>
      <w:pPr>
        <w:spacing w:after="0" w:line="143"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$0.4 million and $0.4 million for the years ended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40" w:firstLine="374"/>
        <w:spacing w:after="0" w:line="254" w:lineRule="auto"/>
        <w:rPr>
          <w:sz w:val="20"/>
          <w:szCs w:val="20"/>
          <w:color w:val="auto"/>
        </w:rPr>
      </w:pPr>
      <w:r>
        <w:rPr>
          <w:rFonts w:ascii="Arial" w:cs="Arial" w:eastAsia="Arial" w:hAnsi="Arial"/>
          <w:sz w:val="18"/>
          <w:szCs w:val="18"/>
          <w:color w:val="auto"/>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 As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firstLine="656"/>
        <w:spacing w:after="0" w:line="293" w:lineRule="auto"/>
        <w:rPr>
          <w:sz w:val="20"/>
          <w:szCs w:val="20"/>
          <w:color w:val="auto"/>
        </w:rPr>
      </w:pPr>
      <w:r>
        <w:rPr>
          <w:rFonts w:ascii="Arial" w:cs="Arial" w:eastAsia="Arial" w:hAnsi="Arial"/>
          <w:sz w:val="16"/>
          <w:szCs w:val="16"/>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 As of December 31, 2022, the Company recorded $1.5 million and $0.3 million in clinical trial accruals and prepaid expenses, respectively. As of December 31, 2021, the Company recorded $1.1 million and $0.4 million in clinical trial accruals and prepaid expenses, respectively.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 Forfeitures are recognized as they occur.</w:t>
      </w:r>
    </w:p>
    <w:p>
      <w:pPr>
        <w:spacing w:after="0" w:line="146" w:lineRule="exact"/>
        <w:rPr>
          <w:sz w:val="20"/>
          <w:szCs w:val="20"/>
          <w:color w:val="auto"/>
        </w:rPr>
      </w:pPr>
    </w:p>
    <w:p>
      <w:pPr>
        <w:ind w:right="180" w:firstLine="374"/>
        <w:spacing w:after="0" w:line="301" w:lineRule="auto"/>
        <w:rPr>
          <w:sz w:val="20"/>
          <w:szCs w:val="20"/>
          <w:color w:val="auto"/>
        </w:rPr>
      </w:pPr>
      <w:r>
        <w:rPr>
          <w:rFonts w:ascii="Arial" w:cs="Arial" w:eastAsia="Arial" w:hAnsi="Arial"/>
          <w:sz w:val="16"/>
          <w:szCs w:val="16"/>
          <w:color w:val="auto"/>
        </w:rPr>
        <w:t>The Company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and the expected number of options based upon the expected performance compared to the performance objectives.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outstanding stock option agreements. Common share equivalents are excluded from the diluted net loss per share calculation if their effect is anti-dilutive.</w:t>
      </w:r>
    </w:p>
    <w:p>
      <w:pPr>
        <w:spacing w:after="0" w:line="161"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Potentially dilutive outstanding securities of 7,985,250 and 7,974,250 for the years ended December 31, 2022 and 2021, respectively, were excluded from diluted net loss per common share because of their anti-dilutive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424"/>
        <w:spacing w:after="0" w:line="289"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Credit Losses (Topic 326): Measurement of Credit Losses on Financial Instruments </w:t>
      </w:r>
      <w:r>
        <w:rPr>
          <w:rFonts w:ascii="Arial" w:cs="Arial" w:eastAsia="Arial" w:hAnsi="Arial"/>
          <w:sz w:val="16"/>
          <w:szCs w:val="16"/>
          <w:color w:val="auto"/>
        </w:rPr>
        <w:t>(“ASU 2016-13”). The ASU introduced a new credit loss</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was effective for the Company on January 1, 2023. There was no impact on the consolidated financial statements upon adoption of this standard on January 1, 2023.</w:t>
      </w:r>
    </w:p>
    <w:p>
      <w:pPr>
        <w:spacing w:after="0" w:line="126" w:lineRule="exact"/>
        <w:rPr>
          <w:sz w:val="20"/>
          <w:szCs w:val="20"/>
          <w:color w:val="auto"/>
        </w:rPr>
      </w:pPr>
    </w:p>
    <w:p>
      <w:pPr>
        <w:ind w:firstLine="424"/>
        <w:spacing w:after="0" w:line="270"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(Subtopic 815-40) </w:t>
      </w:r>
      <w:r>
        <w:rPr>
          <w:rFonts w:ascii="Arial" w:cs="Arial" w:eastAsia="Arial" w:hAnsi="Arial"/>
          <w:sz w:val="17"/>
          <w:szCs w:val="17"/>
          <w:color w:val="auto"/>
        </w:rPr>
        <w:t>(“ASU 2020-06”). ASU 2020-06 simplifies the accounting for convertible debt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 evaluating the potential impact that this standard may have on its consolidated financial statements and related disclosures.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4"/>
        <w:spacing w:after="0" w:line="293" w:lineRule="auto"/>
        <w:rPr>
          <w:sz w:val="20"/>
          <w:szCs w:val="20"/>
          <w:color w:val="auto"/>
        </w:rPr>
      </w:pPr>
      <w:r>
        <w:rPr>
          <w:rFonts w:ascii="Arial" w:cs="Arial" w:eastAsia="Arial" w:hAnsi="Arial"/>
          <w:sz w:val="16"/>
          <w:szCs w:val="16"/>
          <w:color w:val="auto"/>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development services relating to MN-221 (bedoradrine) in exchange for a non-refundable upfront payment of $2.5 million. The Company assessed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in accordance with the authoritative guidance and concluded that its met the definition of a collaborative arrangement per Accounting Standards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Codification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which is outside of the scope of ASC 606, </w:t>
      </w:r>
      <w:r>
        <w:rPr>
          <w:rFonts w:ascii="Arial" w:cs="Arial" w:eastAsia="Arial" w:hAnsi="Arial"/>
          <w:sz w:val="18"/>
          <w:szCs w:val="18"/>
          <w:i w:val="1"/>
          <w:iCs w:val="1"/>
          <w:color w:val="auto"/>
        </w:rPr>
        <w:t>Revenue from Contracts 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Customers</w:t>
      </w:r>
      <w:r>
        <w:rPr>
          <w:rFonts w:ascii="Arial" w:cs="Arial" w:eastAsia="Arial" w:hAnsi="Arial"/>
          <w:sz w:val="16"/>
          <w:szCs w:val="16"/>
          <w:color w:val="auto"/>
        </w:rPr>
        <w:t>(“ASC 606”). Since ASC 808 did not provide recognition and measurement guidance for collaborative arrangements, the Company analogized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ASC 606 and concluded that the two studies to be performed under the agreement represented two separate performance obligations. No services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provided and no revenue has been recognized under the collaboration agreement subsequent to completion of the first study in 2013. In October 2021,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refunded $1.3 million of the prepayment. As of December 31, 2021, the Company and Kissei were working to mutually terminate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collaboration agreement and on October 24, 2022, the Company and Kissei finalized the termination of the collaboration agreement and canceled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second study contemplated thereunder. The Company has no further financial obligations to Kissei.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In December 2005, Avigen, Inc. and Genzyme Corporation (“Genzyme”) entered into an Assignment Agreement (the “Genzyme Agreement”) in which Genzyme acquired certain gene therapy intellectual property, programs and other related assets from Avigen, Inc. in exchange for an initial $12 million payment. Avigen could also receive additional development milestone payments, sublicensing fees, and royalty payments based on the successful development of products by Genzyme utilizing technologies previously developed by Avigen. The Company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54"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 and there is no further substantive service effort required by the Company. In March 2021, the Company received notice that a gene therapy product based on AAV (adeno-associated virus) vector technology, which was covered under the Genzyme Agreement, achieved two clinical development milestones, triggering two milestone payments. Accordingly, the Company recognized revenue of $4.0 million for the year ended December 31, 2021.</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00"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85" w:lineRule="exact"/>
        <w:rPr>
          <w:sz w:val="20"/>
          <w:szCs w:val="20"/>
          <w:color w:val="auto"/>
        </w:rPr>
      </w:pPr>
    </w:p>
    <w:p>
      <w:pPr>
        <w:ind w:left="1580" w:right="580" w:hanging="1052"/>
        <w:spacing w:after="0" w:line="277"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 near the measurement date; and</w:t>
      </w:r>
    </w:p>
    <w:p>
      <w:pPr>
        <w:spacing w:after="0" w:line="130"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due to little or no market data, which require the reporting entity to develop its own assumptions</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amount and approximate fair value of financial instruments as of December 31, 2022 and 2021,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69"/>
        </w:trPr>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9"/>
              </w:rPr>
              <w:t>Carrying Amount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Valuation Inputs</w:t>
            </w:r>
          </w:p>
        </w:tc>
      </w:tr>
      <w:tr>
        <w:trPr>
          <w:trHeight w:val="236"/>
        </w:trPr>
        <w:tc>
          <w:tcPr>
            <w:tcW w:w="3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7"/>
        </w:trPr>
        <w:tc>
          <w:tcPr>
            <w:tcW w:w="34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704,882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704,882</w:t>
            </w:r>
          </w:p>
        </w:tc>
        <w:tc>
          <w:tcPr>
            <w:tcW w:w="6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694,293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694,293</w:t>
            </w:r>
          </w:p>
        </w:tc>
        <w:tc>
          <w:tcPr>
            <w:tcW w:w="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Level 1</w:t>
            </w:r>
          </w:p>
        </w:tc>
      </w:tr>
      <w:tr>
        <w:trPr>
          <w:trHeight w:val="249"/>
        </w:trPr>
        <w:tc>
          <w:tcPr>
            <w:tcW w:w="3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0"/>
        </w:trPr>
        <w:tc>
          <w:tcPr>
            <w:tcW w:w="3400" w:type="dxa"/>
            <w:vAlign w:val="bottom"/>
          </w:tcPr>
          <w:p>
            <w:pPr>
              <w:ind w:left="200"/>
              <w:spacing w:after="0"/>
              <w:rPr>
                <w:sz w:val="20"/>
                <w:szCs w:val="20"/>
                <w:color w:val="auto"/>
              </w:rPr>
            </w:pPr>
            <w:r>
              <w:rPr>
                <w:rFonts w:ascii="Arial" w:cs="Arial" w:eastAsia="Arial" w:hAnsi="Arial"/>
                <w:sz w:val="18"/>
                <w:szCs w:val="18"/>
                <w:color w:val="auto"/>
              </w:rPr>
              <w:t>Bank certificates of deposit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39,982,213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39,982,213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Level 2</w:t>
            </w:r>
          </w:p>
        </w:tc>
      </w:tr>
    </w:tbl>
    <w:p>
      <w:pPr>
        <w:spacing w:after="0" w:line="214"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Short-term investments consisting of bank certificates of deposit with an original purchased maturity greater than three months are classified as held-to-maturity and are stated at amortized cost, which approximates fair value due to the short-term maturities and market rates of interest of these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13,532</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15,409</w:t>
            </w:r>
          </w:p>
        </w:tc>
        <w:tc>
          <w:tcPr>
            <w:tcW w:w="80" w:type="dxa"/>
            <w:vAlign w:val="bottom"/>
            <w:shd w:val="clear" w:color="auto" w:fill="CFF0FC"/>
          </w:tcPr>
          <w:p>
            <w:pPr>
              <w:spacing w:after="0"/>
              <w:rPr>
                <w:sz w:val="20"/>
                <w:szCs w:val="20"/>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121,909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124,731</w:t>
            </w:r>
          </w:p>
        </w:tc>
        <w:tc>
          <w:tcPr>
            <w:tcW w:w="80" w:type="dxa"/>
            <w:vAlign w:val="bottom"/>
          </w:tcPr>
          <w:p>
            <w:pPr>
              <w:spacing w:after="0"/>
              <w:rPr>
                <w:sz w:val="20"/>
                <w:szCs w:val="20"/>
                <w:color w:val="auto"/>
              </w:rPr>
            </w:pPr>
          </w:p>
        </w:tc>
      </w:tr>
      <w:tr>
        <w:trPr>
          <w:trHeight w:val="249"/>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w:t>
            </w: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4"/>
        </w:trPr>
        <w:tc>
          <w:tcPr>
            <w:tcW w:w="4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478,069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482,768</w:t>
            </w:r>
          </w:p>
        </w:tc>
        <w:tc>
          <w:tcPr>
            <w:tcW w:w="80" w:type="dxa"/>
            <w:vAlign w:val="bottom"/>
          </w:tcPr>
          <w:p>
            <w:pPr>
              <w:spacing w:after="0"/>
              <w:rPr>
                <w:sz w:val="19"/>
                <w:szCs w:val="19"/>
                <w:color w:val="auto"/>
              </w:rPr>
            </w:pPr>
          </w:p>
        </w:tc>
      </w:tr>
      <w:tr>
        <w:trPr>
          <w:trHeight w:val="25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(432,800 )</w:t>
            </w:r>
          </w:p>
        </w:tc>
        <w:tc>
          <w:tcPr>
            <w:tcW w:w="3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(425,203 )</w:t>
            </w:r>
          </w:p>
        </w:tc>
      </w:tr>
      <w:tr>
        <w:trPr>
          <w:trHeight w:val="237"/>
        </w:trPr>
        <w:tc>
          <w:tcPr>
            <w:tcW w:w="47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45,269</w:t>
            </w:r>
          </w:p>
        </w:tc>
        <w:tc>
          <w:tcPr>
            <w:tcW w:w="2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57,565</w:t>
            </w:r>
          </w:p>
        </w:tc>
        <w:tc>
          <w:tcPr>
            <w:tcW w:w="80" w:type="dxa"/>
            <w:vAlign w:val="bottom"/>
            <w:tcBorders>
              <w:top w:val="single" w:sz="8" w:color="CFF0FC"/>
            </w:tcBorders>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-504825</wp:posOffset>
            </wp:positionV>
            <wp:extent cx="51435"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-187960</wp:posOffset>
            </wp:positionV>
            <wp:extent cx="5143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22"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The Company uses the straight-line method to record depreciation expense with useful lives of three to five years. Leasehold improvements are amortized over a useful life of five years. Depreciation and amortization of property and equipment of $17,707 and $26,149 was recorded for the years ended December 31, 2022 and 2021,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Accrued Liabilities and Other Current Liabilities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liabilities and other current liabilities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920,166</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636,481</w:t>
            </w:r>
          </w:p>
        </w:tc>
        <w:tc>
          <w:tcPr>
            <w:tcW w:w="80" w:type="dxa"/>
            <w:vAlign w:val="bottom"/>
            <w:shd w:val="clear" w:color="auto" w:fill="CFF0FC"/>
          </w:tcPr>
          <w:p>
            <w:pPr>
              <w:spacing w:after="0"/>
              <w:rPr>
                <w:sz w:val="20"/>
                <w:szCs w:val="20"/>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Clinical trial accruals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1,462,354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1,076,411</w:t>
            </w:r>
          </w:p>
        </w:tc>
        <w:tc>
          <w:tcPr>
            <w:tcW w:w="80" w:type="dxa"/>
            <w:vAlign w:val="bottom"/>
          </w:tcPr>
          <w:p>
            <w:pPr>
              <w:spacing w:after="0"/>
              <w:rPr>
                <w:sz w:val="20"/>
                <w:szCs w:val="20"/>
                <w:color w:val="auto"/>
              </w:rPr>
            </w:pPr>
          </w:p>
        </w:tc>
      </w:tr>
      <w:tr>
        <w:trPr>
          <w:trHeight w:val="24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fees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38,688</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38,041</w:t>
            </w:r>
          </w:p>
        </w:tc>
        <w:tc>
          <w:tcPr>
            <w:tcW w:w="80" w:type="dxa"/>
            <w:vAlign w:val="bottom"/>
            <w:shd w:val="clear" w:color="auto" w:fill="CFF0FC"/>
          </w:tcPr>
          <w:p>
            <w:pPr>
              <w:spacing w:after="0"/>
              <w:rPr>
                <w:sz w:val="21"/>
                <w:szCs w:val="2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184,100</w:t>
            </w:r>
          </w:p>
        </w:tc>
        <w:tc>
          <w:tcPr>
            <w:tcW w:w="2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547,270</w:t>
            </w:r>
          </w:p>
        </w:tc>
        <w:tc>
          <w:tcPr>
            <w:tcW w:w="80" w:type="dxa"/>
            <w:vAlign w:val="bottom"/>
          </w:tcPr>
          <w:p>
            <w:pPr>
              <w:spacing w:after="0"/>
              <w:rPr>
                <w:sz w:val="21"/>
                <w:szCs w:val="21"/>
                <w:color w:val="auto"/>
              </w:rPr>
            </w:pPr>
          </w:p>
        </w:tc>
      </w:tr>
      <w:tr>
        <w:trPr>
          <w:trHeight w:val="277"/>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 and other current liabilities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2,605,308</w:t>
            </w:r>
          </w:p>
        </w:tc>
        <w:tc>
          <w:tcPr>
            <w:tcW w:w="2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2,298,203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333" w:lineRule="exact"/>
        <w:rPr>
          <w:sz w:val="20"/>
          <w:szCs w:val="20"/>
          <w:color w:val="auto"/>
        </w:rPr>
      </w:pPr>
    </w:p>
    <w:p>
      <w:pPr>
        <w:ind w:right="100" w:firstLine="503"/>
        <w:spacing w:after="0" w:line="296" w:lineRule="auto"/>
        <w:rPr>
          <w:sz w:val="20"/>
          <w:szCs w:val="20"/>
          <w:color w:val="auto"/>
        </w:rPr>
      </w:pPr>
      <w:r>
        <w:rPr>
          <w:rFonts w:ascii="Arial" w:cs="Arial" w:eastAsia="Arial" w:hAnsi="Arial"/>
          <w:sz w:val="16"/>
          <w:szCs w:val="16"/>
          <w:color w:val="auto"/>
        </w:rPr>
        <w:t>The Company has operating leases primarily for real estate in the United States and Japan. The United States lease is for the Company’s headquarters in San Diego and has a term of five years ending January 31, 2027, with annual escalations. The Company’s lease in Tokyo, Japan has a term of two years ending May 2023 with an auto-renewal, two-year 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consolidated balance sheet.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Information related to the Company’s right-of-use assets and related lease liabilities are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 liabilities</w:t>
            </w: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198,035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242,676</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Operating lease costs</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248,610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228,779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8"/>
              </w:rPr>
              <w:t>Right-of-use assets obtained in exchange for new operating</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92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870,373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Current operating lease liabilities</w:t>
            </w: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157,505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131,965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523,619</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694,674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920" w:type="dxa"/>
            <w:vAlign w:val="bottom"/>
            <w:tcBorders>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681,124</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826,639</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2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9.8 %</w:t>
            </w:r>
          </w:p>
        </w:tc>
        <w:tc>
          <w:tcPr>
            <w:tcW w:w="3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9.8 %</w:t>
            </w:r>
          </w:p>
        </w:tc>
      </w:tr>
      <w:tr>
        <w:trPr>
          <w:trHeight w:val="249"/>
        </w:trPr>
        <w:tc>
          <w:tcPr>
            <w:tcW w:w="47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-642620</wp:posOffset>
            </wp:positionV>
            <wp:extent cx="101981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Maturities of operating lease liabilities as of December 31, 2022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600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216,154</w:t>
            </w:r>
          </w:p>
        </w:tc>
        <w:tc>
          <w:tcPr>
            <w:tcW w:w="100" w:type="dxa"/>
            <w:vAlign w:val="bottom"/>
            <w:shd w:val="clear" w:color="auto" w:fill="CFF0FC"/>
          </w:tcPr>
          <w:p>
            <w:pPr>
              <w:spacing w:after="0"/>
              <w:rPr>
                <w:sz w:val="20"/>
                <w:szCs w:val="20"/>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5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189,170</w:t>
            </w:r>
          </w:p>
        </w:tc>
        <w:tc>
          <w:tcPr>
            <w:tcW w:w="100" w:type="dxa"/>
            <w:vAlign w:val="bottom"/>
          </w:tcPr>
          <w:p>
            <w:pPr>
              <w:spacing w:after="0"/>
              <w:rPr>
                <w:sz w:val="20"/>
                <w:szCs w:val="20"/>
                <w:color w:val="auto"/>
              </w:rPr>
            </w:pPr>
          </w:p>
        </w:tc>
      </w:tr>
      <w:tr>
        <w:trPr>
          <w:trHeight w:val="270"/>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12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197,585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2026</w:t>
            </w:r>
          </w:p>
        </w:tc>
        <w:tc>
          <w:tcPr>
            <w:tcW w:w="5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tcPr>
          <w:p>
            <w:pPr>
              <w:spacing w:after="0"/>
              <w:rPr>
                <w:sz w:val="21"/>
                <w:szCs w:val="21"/>
                <w:color w:val="auto"/>
              </w:rPr>
            </w:pPr>
          </w:p>
        </w:tc>
      </w:tr>
      <w:tr>
        <w:trPr>
          <w:trHeight w:val="40"/>
        </w:trPr>
        <w:tc>
          <w:tcPr>
            <w:tcW w:w="3700" w:type="dxa"/>
            <w:vAlign w:val="bottom"/>
          </w:tcPr>
          <w:p>
            <w:pPr>
              <w:spacing w:after="0"/>
              <w:rPr>
                <w:sz w:val="3"/>
                <w:szCs w:val="3"/>
                <w:color w:val="auto"/>
              </w:rPr>
            </w:pPr>
          </w:p>
        </w:tc>
        <w:tc>
          <w:tcPr>
            <w:tcW w:w="5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5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17,269</w:t>
            </w:r>
          </w:p>
        </w:tc>
        <w:tc>
          <w:tcPr>
            <w:tcW w:w="100" w:type="dxa"/>
            <w:vAlign w:val="bottom"/>
            <w:shd w:val="clear" w:color="auto" w:fill="CFF0FC"/>
          </w:tcPr>
          <w:p>
            <w:pPr>
              <w:spacing w:after="0"/>
              <w:rPr>
                <w:sz w:val="21"/>
                <w:szCs w:val="2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7"/>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minimum payments</w:t>
            </w:r>
          </w:p>
        </w:tc>
        <w:tc>
          <w:tcPr>
            <w:tcW w:w="51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(145,537 )</w:t>
            </w:r>
          </w:p>
        </w:tc>
      </w:tr>
      <w:tr>
        <w:trPr>
          <w:trHeight w:val="276"/>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51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681,124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3700" w:type="dxa"/>
            <w:vAlign w:val="bottom"/>
          </w:tcPr>
          <w:p>
            <w:pPr>
              <w:spacing w:after="0"/>
              <w:rPr>
                <w:sz w:val="24"/>
                <w:szCs w:val="24"/>
                <w:color w:val="auto"/>
              </w:rPr>
            </w:pPr>
          </w:p>
        </w:tc>
        <w:tc>
          <w:tcPr>
            <w:tcW w:w="5120" w:type="dxa"/>
            <w:vAlign w:val="bottom"/>
          </w:tcPr>
          <w:p>
            <w:pPr>
              <w:jc w:val="right"/>
              <w:ind w:right="3010"/>
              <w:spacing w:after="0"/>
              <w:rPr>
                <w:sz w:val="20"/>
                <w:szCs w:val="20"/>
                <w:color w:val="auto"/>
              </w:rPr>
            </w:pPr>
            <w:r>
              <w:rPr>
                <w:rFonts w:ascii="Arial" w:cs="Arial" w:eastAsia="Arial" w:hAnsi="Arial"/>
                <w:sz w:val="18"/>
                <w:szCs w:val="18"/>
                <w:color w:val="auto"/>
              </w:rPr>
              <w:t>83</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-1525270</wp:posOffset>
            </wp:positionV>
            <wp:extent cx="231775"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1775"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ind w:right="180" w:firstLine="374"/>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47" w:lineRule="exact"/>
        <w:rPr>
          <w:sz w:val="20"/>
          <w:szCs w:val="20"/>
          <w:color w:val="auto"/>
        </w:rPr>
      </w:pPr>
    </w:p>
    <w:p>
      <w:pPr>
        <w:ind w:right="200" w:firstLine="374"/>
        <w:spacing w:after="0" w:line="255" w:lineRule="auto"/>
        <w:rPr>
          <w:sz w:val="20"/>
          <w:szCs w:val="20"/>
          <w:color w:val="auto"/>
        </w:rPr>
      </w:pPr>
      <w:r>
        <w:rPr>
          <w:rFonts w:ascii="Arial" w:cs="Arial" w:eastAsia="Arial" w:hAnsi="Arial"/>
          <w:sz w:val="18"/>
          <w:szCs w:val="18"/>
          <w:color w:val="auto"/>
        </w:rPr>
        <w:t>No milestone payments have been made under these agreements during the years ended December 31, 2022 and 2021. For products currently in development, future potential milestone payments based on product development of MN-166 (ibudilast) and MN-001 (tipelukast) are $10 million as of December 31, 2022. For all other products, future potential milestone payments related to development milestones and commercialization milestones totaled $16.5 million as of December 31, 2022.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60" w:firstLine="374"/>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auto"/>
        </w:rPr>
        <w:t>In June 2013, the Company adopted the 2013 Equity Incentive Plan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2022, 1,949,317 shares remain available for future grant under the 2013 Plan.</w:t>
      </w:r>
    </w:p>
    <w:p>
      <w:pPr>
        <w:spacing w:after="0" w:line="12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Certain of the employee stock options granted contain performance conditions, the vesting of which is based on a determination made by the board of directors or its compensation committee as to the achievement of certain corporate objectives at the end of the performance period. The grant date of such awards is the date on which the board of directors or its compensation committee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5" w:name="page86"/>
    <w:bookmarkEnd w:id="85"/>
    <w:p>
      <w:pPr>
        <w:spacing w:after="0" w:line="257" w:lineRule="auto"/>
        <w:rPr>
          <w:sz w:val="20"/>
          <w:szCs w:val="20"/>
          <w:color w:val="auto"/>
        </w:rPr>
      </w:pPr>
      <w:r>
        <w:rPr>
          <w:rFonts w:ascii="Arial" w:cs="Arial" w:eastAsia="Arial" w:hAnsi="Arial"/>
          <w:sz w:val="18"/>
          <w:szCs w:val="18"/>
          <w:color w:val="auto"/>
        </w:rPr>
        <w:t>factors, including the level of achievement of the corporate objectives, changes in the assumptions used in the Black-Scholes model in determining fair value or fluctuations in the Company’s stock price during the performance period. As of December 31, 2022, there were a total of 533,700 shares underlying performance options that were subject to vesting based on achievement of corporate objectives for 2022. In January 2023, the compensation committee and the board of directors determined that the performance milestones were achieved at the 95% level and accordingly 507,015 of these options vested and the remaining shares were forfeited.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80" w:firstLine="374"/>
        <w:spacing w:after="0" w:line="277" w:lineRule="auto"/>
        <w:rPr>
          <w:sz w:val="20"/>
          <w:szCs w:val="20"/>
          <w:color w:val="auto"/>
        </w:rPr>
      </w:pPr>
      <w:r>
        <w:rPr>
          <w:rFonts w:ascii="Arial" w:cs="Arial" w:eastAsia="Arial" w:hAnsi="Arial"/>
          <w:sz w:val="18"/>
          <w:szCs w:val="18"/>
          <w:color w:val="auto"/>
        </w:rPr>
        <w:t>Options granted under the 2013 Plan and 2004 Plan have terms of ten years from the date of grant unless earlier terminated and generally vest over a one to four-year period.</w:t>
      </w:r>
    </w:p>
    <w:p>
      <w:pPr>
        <w:spacing w:after="0" w:line="143"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exercise price of all options granted during the years ended December 31, 2022 and 2021 was equal to the market value of the Company’s common stock on the date of grant.</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stock option activity and related information for the years ended December 31, 2022 and 2021 is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Weighted Average</w:t>
            </w:r>
          </w:p>
        </w:tc>
        <w:tc>
          <w:tcPr>
            <w:tcW w:w="80" w:type="dxa"/>
            <w:vAlign w:val="bottom"/>
          </w:tcPr>
          <w:p>
            <w:pPr>
              <w:spacing w:after="0"/>
              <w:rPr>
                <w:sz w:val="14"/>
                <w:szCs w:val="14"/>
                <w:color w:val="auto"/>
              </w:rPr>
            </w:pPr>
          </w:p>
        </w:tc>
      </w:tr>
      <w:tr>
        <w:trPr>
          <w:trHeight w:val="185"/>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Option 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Pr>
          <w:p>
            <w:pPr>
              <w:spacing w:after="0"/>
              <w:rPr>
                <w:sz w:val="16"/>
                <w:szCs w:val="16"/>
                <w:color w:val="auto"/>
              </w:rPr>
            </w:pPr>
          </w:p>
        </w:tc>
      </w:tr>
      <w:tr>
        <w:trPr>
          <w:trHeight w:val="237"/>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7,401,387</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FF0FC"/>
          </w:tcPr>
          <w:p>
            <w:pPr>
              <w:spacing w:after="0"/>
              <w:rPr>
                <w:sz w:val="20"/>
                <w:szCs w:val="20"/>
                <w:color w:val="auto"/>
              </w:rPr>
            </w:pPr>
          </w:p>
        </w:tc>
      </w:tr>
      <w:tr>
        <w:trPr>
          <w:trHeight w:val="237"/>
        </w:trPr>
        <w:tc>
          <w:tcPr>
            <w:tcW w:w="4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1,315,000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20"/>
                <w:szCs w:val="20"/>
                <w:color w:val="auto"/>
              </w:rPr>
            </w:pPr>
          </w:p>
        </w:tc>
      </w:tr>
      <w:tr>
        <w:trPr>
          <w:trHeight w:val="24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940" w:type="dxa"/>
            <w:vAlign w:val="bottom"/>
            <w:gridSpan w:val="4"/>
            <w:shd w:val="clear" w:color="auto" w:fill="CFF0FC"/>
          </w:tcPr>
          <w:p>
            <w:pPr>
              <w:jc w:val="right"/>
              <w:ind w:right="16"/>
              <w:spacing w:after="0"/>
              <w:rPr>
                <w:sz w:val="20"/>
                <w:szCs w:val="20"/>
                <w:color w:val="auto"/>
              </w:rPr>
            </w:pPr>
            <w:r>
              <w:rPr>
                <w:rFonts w:ascii="Arial" w:cs="Arial" w:eastAsia="Arial" w:hAnsi="Arial"/>
                <w:sz w:val="18"/>
                <w:szCs w:val="18"/>
                <w:color w:val="auto"/>
              </w:rPr>
              <w:t>(360,955 )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21"/>
                <w:szCs w:val="21"/>
                <w:color w:val="auto"/>
              </w:rPr>
            </w:pP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940" w:type="dxa"/>
            <w:vAlign w:val="bottom"/>
            <w:gridSpan w:val="4"/>
          </w:tcPr>
          <w:p>
            <w:pPr>
              <w:jc w:val="right"/>
              <w:ind w:right="16"/>
              <w:spacing w:after="0"/>
              <w:rPr>
                <w:sz w:val="20"/>
                <w:szCs w:val="20"/>
                <w:color w:val="auto"/>
              </w:rPr>
            </w:pPr>
            <w:r>
              <w:rPr>
                <w:rFonts w:ascii="Arial" w:cs="Arial" w:eastAsia="Arial" w:hAnsi="Arial"/>
                <w:sz w:val="18"/>
                <w:szCs w:val="18"/>
                <w:color w:val="auto"/>
              </w:rPr>
              <w:t>(381,182 )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1"/>
                <w:szCs w:val="21"/>
                <w:color w:val="auto"/>
              </w:rPr>
            </w:pPr>
          </w:p>
        </w:tc>
      </w:tr>
      <w:tr>
        <w:trPr>
          <w:trHeight w:val="237"/>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7,974,250</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591,700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0"/>
                <w:szCs w:val="20"/>
                <w:color w:val="auto"/>
              </w:rPr>
            </w:pPr>
          </w:p>
        </w:tc>
      </w:tr>
      <w:tr>
        <w:trPr>
          <w:trHeight w:val="24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940" w:type="dxa"/>
            <w:vAlign w:val="bottom"/>
            <w:gridSpan w:val="4"/>
            <w:shd w:val="clear" w:color="auto" w:fill="CFF0FC"/>
          </w:tcPr>
          <w:p>
            <w:pPr>
              <w:jc w:val="right"/>
              <w:ind w:right="16"/>
              <w:spacing w:after="0"/>
              <w:rPr>
                <w:sz w:val="20"/>
                <w:szCs w:val="20"/>
                <w:color w:val="auto"/>
              </w:rPr>
            </w:pPr>
            <w:r>
              <w:rPr>
                <w:rFonts w:ascii="Arial" w:cs="Arial" w:eastAsia="Arial" w:hAnsi="Arial"/>
                <w:sz w:val="18"/>
                <w:szCs w:val="18"/>
                <w:color w:val="auto"/>
              </w:rPr>
              <w:t>(3,000 )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FF0FC"/>
          </w:tcPr>
          <w:p>
            <w:pPr>
              <w:spacing w:after="0"/>
              <w:rPr>
                <w:sz w:val="21"/>
                <w:szCs w:val="21"/>
                <w:color w:val="auto"/>
              </w:rPr>
            </w:pP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940" w:type="dxa"/>
            <w:vAlign w:val="bottom"/>
            <w:gridSpan w:val="4"/>
          </w:tcPr>
          <w:p>
            <w:pPr>
              <w:jc w:val="right"/>
              <w:ind w:right="16"/>
              <w:spacing w:after="0"/>
              <w:rPr>
                <w:sz w:val="20"/>
                <w:szCs w:val="20"/>
                <w:color w:val="auto"/>
              </w:rPr>
            </w:pPr>
            <w:r>
              <w:rPr>
                <w:rFonts w:ascii="Arial" w:cs="Arial" w:eastAsia="Arial" w:hAnsi="Arial"/>
                <w:sz w:val="18"/>
                <w:szCs w:val="18"/>
                <w:color w:val="auto"/>
              </w:rPr>
              <w:t>(577,700 )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21"/>
                <w:szCs w:val="21"/>
                <w:color w:val="auto"/>
              </w:rPr>
            </w:pPr>
          </w:p>
        </w:tc>
      </w:tr>
      <w:tr>
        <w:trPr>
          <w:trHeight w:val="277"/>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7,985,250</w:t>
            </w: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Exercisable at December 31, 2022</w:t>
            </w: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7,394,381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6"/>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98"/>
              </w:rPr>
              <w:t>Weighted Average</w:t>
            </w:r>
          </w:p>
        </w:tc>
        <w:tc>
          <w:tcPr>
            <w:tcW w:w="80" w:type="dxa"/>
            <w:vAlign w:val="bottom"/>
          </w:tcPr>
          <w:p>
            <w:pPr>
              <w:spacing w:after="0"/>
              <w:rPr>
                <w:sz w:val="24"/>
                <w:szCs w:val="24"/>
                <w:color w:val="auto"/>
              </w:rPr>
            </w:pPr>
          </w:p>
        </w:tc>
      </w:tr>
      <w:tr>
        <w:trPr>
          <w:trHeight w:val="185"/>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 Shares</w:t>
            </w:r>
          </w:p>
        </w:tc>
        <w:tc>
          <w:tcPr>
            <w:tcW w:w="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Grant-Date Fair Value</w:t>
            </w:r>
          </w:p>
        </w:tc>
        <w:tc>
          <w:tcPr>
            <w:tcW w:w="80" w:type="dxa"/>
            <w:vAlign w:val="bottom"/>
          </w:tcPr>
          <w:p>
            <w:pPr>
              <w:spacing w:after="0"/>
              <w:rPr>
                <w:sz w:val="16"/>
                <w:szCs w:val="16"/>
                <w:color w:val="auto"/>
              </w:rPr>
            </w:pPr>
          </w:p>
        </w:tc>
      </w:tr>
      <w:tr>
        <w:trPr>
          <w:trHeight w:val="23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2021</w:t>
            </w:r>
          </w:p>
        </w:tc>
        <w:tc>
          <w:tcPr>
            <w:tcW w:w="10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1,286,333</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FF0FC"/>
          </w:tcPr>
          <w:p>
            <w:pPr>
              <w:spacing w:after="0"/>
              <w:rPr>
                <w:sz w:val="20"/>
                <w:szCs w:val="20"/>
                <w:color w:val="auto"/>
              </w:rPr>
            </w:pPr>
          </w:p>
        </w:tc>
      </w:tr>
      <w:tr>
        <w:trPr>
          <w:trHeight w:val="237"/>
        </w:trPr>
        <w:tc>
          <w:tcPr>
            <w:tcW w:w="4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591,700</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r>
      <w:tr>
        <w:trPr>
          <w:trHeight w:val="24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(738,134 )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FF0FC"/>
          </w:tcPr>
          <w:p>
            <w:pPr>
              <w:spacing w:after="0"/>
              <w:rPr>
                <w:sz w:val="21"/>
                <w:szCs w:val="21"/>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Forfeitures</w:t>
            </w:r>
          </w:p>
        </w:tc>
        <w:tc>
          <w:tcPr>
            <w:tcW w:w="10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(549,030 )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1"/>
                <w:szCs w:val="21"/>
                <w:color w:val="auto"/>
              </w:rPr>
            </w:pPr>
          </w:p>
        </w:tc>
      </w:tr>
      <w:tr>
        <w:trPr>
          <w:trHeight w:val="277"/>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2022</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590,869</w:t>
            </w:r>
          </w:p>
        </w:tc>
        <w:tc>
          <w:tcPr>
            <w:tcW w:w="1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-2022475</wp:posOffset>
            </wp:positionV>
            <wp:extent cx="5143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-2022475</wp:posOffset>
            </wp:positionV>
            <wp:extent cx="4318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-1388110</wp:posOffset>
            </wp:positionV>
            <wp:extent cx="1088390"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88390" cy="20574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aggregate intrinsic value of options exercised was $1,410 and $0.7 million for the years ended December 31, 2022 and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Options outstanding and exercisable at December 31, 2022 had a weighted average contractual life of 4.89 years and 4.56 years, respectively.</w:t>
      </w:r>
    </w:p>
    <w:p>
      <w:pPr>
        <w:spacing w:after="0" w:line="182" w:lineRule="exact"/>
        <w:rPr>
          <w:sz w:val="20"/>
          <w:szCs w:val="20"/>
          <w:color w:val="auto"/>
        </w:rPr>
      </w:pPr>
    </w:p>
    <w:p>
      <w:pPr>
        <w:jc w:val="both"/>
        <w:ind w:right="80" w:firstLine="374"/>
        <w:spacing w:after="0" w:line="263" w:lineRule="auto"/>
        <w:rPr>
          <w:sz w:val="20"/>
          <w:szCs w:val="20"/>
          <w:color w:val="auto"/>
        </w:rPr>
      </w:pPr>
      <w:r>
        <w:rPr>
          <w:rFonts w:ascii="Arial" w:cs="Arial" w:eastAsia="Arial" w:hAnsi="Arial"/>
          <w:sz w:val="18"/>
          <w:szCs w:val="18"/>
          <w:color w:val="auto"/>
        </w:rPr>
        <w:t>As of December 31, 2022 and 2021, the total intrinsic value of options outstanding was $0 and $32,840, respectively. Total intrinsic value of options exercisable was $0 and $32,840 as of December 31, 2022 and 2021, respectively. Total fair value of options vested was $2.6 million and $4.2 million for the years ended December 31, 2022 and 2021,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year ended December 31, 2021 an aggregate of 1,424 shares were issued under the ESPP. No further shares will be issued under the ESPP.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202"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5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9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3.88 %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0.58 %</w:t>
            </w:r>
          </w:p>
        </w:tc>
      </w:tr>
      <w:tr>
        <w:trPr>
          <w:trHeight w:val="242"/>
        </w:trPr>
        <w:tc>
          <w:tcPr>
            <w:tcW w:w="5560" w:type="dxa"/>
            <w:vAlign w:val="bottom"/>
            <w:gridSpan w:val="2"/>
          </w:tcPr>
          <w:p>
            <w:pPr>
              <w:spacing w:after="0"/>
              <w:rPr>
                <w:sz w:val="20"/>
                <w:szCs w:val="20"/>
                <w:color w:val="auto"/>
              </w:rPr>
            </w:pPr>
            <w:r>
              <w:rPr>
                <w:rFonts w:ascii="Arial" w:cs="Arial" w:eastAsia="Arial" w:hAnsi="Arial"/>
                <w:sz w:val="18"/>
                <w:szCs w:val="18"/>
                <w:color w:val="auto"/>
              </w:rPr>
              <w:t>Expected volatility of common stock</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78.81 %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72.41 %</w:t>
            </w:r>
          </w:p>
        </w:tc>
      </w:tr>
      <w:tr>
        <w:trPr>
          <w:trHeight w:val="250"/>
        </w:trPr>
        <w:tc>
          <w:tcPr>
            <w:tcW w:w="55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0.00 %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0.00 %</w:t>
            </w:r>
          </w:p>
        </w:tc>
      </w:tr>
      <w:tr>
        <w:trPr>
          <w:trHeight w:val="250"/>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22"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The estimated fair value of employee stock purchase rights under the Company’s ESPP was determined on the date of grant using the Black-Scholes option valuation model with the following weighted-average assumptions: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0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4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0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4580" w:type="dxa"/>
            <w:vAlign w:val="bottom"/>
          </w:tcPr>
          <w:p>
            <w:pPr>
              <w:spacing w:after="0"/>
              <w:rPr>
                <w:sz w:val="14"/>
                <w:szCs w:val="14"/>
                <w:color w:val="auto"/>
              </w:rPr>
            </w:pPr>
          </w:p>
        </w:tc>
        <w:tc>
          <w:tcPr>
            <w:tcW w:w="1060" w:type="dxa"/>
            <w:vAlign w:val="bottom"/>
            <w:tcBorders>
              <w:top w:val="single" w:sz="8" w:color="auto"/>
            </w:tcBorders>
          </w:tcPr>
          <w:p>
            <w:pPr>
              <w:jc w:val="center"/>
              <w:ind w:left="454"/>
              <w:spacing w:after="0"/>
              <w:rPr>
                <w:sz w:val="20"/>
                <w:szCs w:val="20"/>
                <w:color w:val="auto"/>
              </w:rPr>
            </w:pPr>
            <w:r>
              <w:rPr>
                <w:rFonts w:ascii="Arial" w:cs="Arial" w:eastAsia="Arial" w:hAnsi="Arial"/>
                <w:sz w:val="14"/>
                <w:szCs w:val="14"/>
                <w:b w:val="1"/>
                <w:bCs w:val="1"/>
                <w:color w:val="auto"/>
                <w:w w:val="89"/>
              </w:rPr>
              <w:t>2022</w:t>
            </w:r>
          </w:p>
        </w:tc>
        <w:tc>
          <w:tcPr>
            <w:tcW w:w="2140" w:type="dxa"/>
            <w:vAlign w:val="bottom"/>
            <w:tcBorders>
              <w:top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Employee Stock Purchase Plan</w:t>
            </w:r>
          </w:p>
        </w:tc>
        <w:tc>
          <w:tcPr>
            <w:tcW w:w="106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center"/>
              <w:ind w:left="434"/>
              <w:spacing w:after="0"/>
              <w:rPr>
                <w:sz w:val="20"/>
                <w:szCs w:val="20"/>
                <w:color w:val="auto"/>
              </w:rPr>
            </w:pPr>
            <w:r>
              <w:rPr>
                <w:rFonts w:ascii="Arial" w:cs="Arial" w:eastAsia="Arial" w:hAnsi="Arial"/>
                <w:sz w:val="18"/>
                <w:szCs w:val="18"/>
                <w:color w:val="auto"/>
                <w:w w:val="99"/>
              </w:rPr>
              <w:t>—</w:t>
            </w:r>
          </w:p>
        </w:tc>
        <w:tc>
          <w:tcPr>
            <w:tcW w:w="2300" w:type="dxa"/>
            <w:vAlign w:val="bottom"/>
            <w:gridSpan w:val="5"/>
          </w:tcPr>
          <w:p>
            <w:pPr>
              <w:jc w:val="right"/>
              <w:spacing w:after="0"/>
              <w:rPr>
                <w:sz w:val="20"/>
                <w:szCs w:val="20"/>
                <w:color w:val="auto"/>
              </w:rPr>
            </w:pPr>
            <w:r>
              <w:rPr>
                <w:rFonts w:ascii="Arial" w:cs="Arial" w:eastAsia="Arial" w:hAnsi="Arial"/>
                <w:sz w:val="18"/>
                <w:szCs w:val="18"/>
                <w:color w:val="auto"/>
              </w:rPr>
              <w:t>0.05 %</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060" w:type="dxa"/>
            <w:vAlign w:val="bottom"/>
          </w:tcPr>
          <w:p>
            <w:pPr>
              <w:jc w:val="center"/>
              <w:ind w:left="434"/>
              <w:spacing w:after="0"/>
              <w:rPr>
                <w:sz w:val="20"/>
                <w:szCs w:val="20"/>
                <w:color w:val="auto"/>
              </w:rPr>
            </w:pPr>
            <w:r>
              <w:rPr>
                <w:rFonts w:ascii="Arial" w:cs="Arial" w:eastAsia="Arial" w:hAnsi="Arial"/>
                <w:sz w:val="18"/>
                <w:szCs w:val="18"/>
                <w:color w:val="auto"/>
                <w:w w:val="99"/>
              </w:rPr>
              <w:t>—</w:t>
            </w:r>
          </w:p>
        </w:tc>
        <w:tc>
          <w:tcPr>
            <w:tcW w:w="2300" w:type="dxa"/>
            <w:vAlign w:val="bottom"/>
            <w:gridSpan w:val="5"/>
          </w:tcPr>
          <w:p>
            <w:pPr>
              <w:jc w:val="right"/>
              <w:spacing w:after="0"/>
              <w:rPr>
                <w:sz w:val="20"/>
                <w:szCs w:val="20"/>
                <w:color w:val="auto"/>
              </w:rPr>
            </w:pPr>
            <w:r>
              <w:rPr>
                <w:rFonts w:ascii="Arial" w:cs="Arial" w:eastAsia="Arial" w:hAnsi="Arial"/>
                <w:sz w:val="18"/>
                <w:szCs w:val="18"/>
                <w:color w:val="auto"/>
              </w:rPr>
              <w:t>83.40 %</w:t>
            </w: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Dividend yield</w:t>
            </w:r>
          </w:p>
        </w:tc>
        <w:tc>
          <w:tcPr>
            <w:tcW w:w="1060" w:type="dxa"/>
            <w:vAlign w:val="bottom"/>
          </w:tcPr>
          <w:p>
            <w:pPr>
              <w:jc w:val="center"/>
              <w:ind w:left="434"/>
              <w:spacing w:after="0"/>
              <w:rPr>
                <w:sz w:val="20"/>
                <w:szCs w:val="20"/>
                <w:color w:val="auto"/>
              </w:rPr>
            </w:pPr>
            <w:r>
              <w:rPr>
                <w:rFonts w:ascii="Arial" w:cs="Arial" w:eastAsia="Arial" w:hAnsi="Arial"/>
                <w:sz w:val="18"/>
                <w:szCs w:val="18"/>
                <w:color w:val="auto"/>
                <w:w w:val="99"/>
              </w:rPr>
              <w:t>—</w:t>
            </w:r>
          </w:p>
        </w:tc>
        <w:tc>
          <w:tcPr>
            <w:tcW w:w="2300" w:type="dxa"/>
            <w:vAlign w:val="bottom"/>
            <w:gridSpan w:val="5"/>
          </w:tcPr>
          <w:p>
            <w:pPr>
              <w:jc w:val="right"/>
              <w:spacing w:after="0"/>
              <w:rPr>
                <w:sz w:val="20"/>
                <w:szCs w:val="20"/>
                <w:color w:val="auto"/>
              </w:rPr>
            </w:pPr>
            <w:r>
              <w:rPr>
                <w:rFonts w:ascii="Arial" w:cs="Arial" w:eastAsia="Arial" w:hAnsi="Arial"/>
                <w:sz w:val="18"/>
                <w:szCs w:val="18"/>
                <w:color w:val="auto"/>
              </w:rPr>
              <w:t>0.00 %</w:t>
            </w:r>
          </w:p>
        </w:tc>
      </w:tr>
      <w:tr>
        <w:trPr>
          <w:trHeight w:val="25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1060" w:type="dxa"/>
            <w:vAlign w:val="bottom"/>
            <w:shd w:val="clear" w:color="auto" w:fill="CFF0FC"/>
          </w:tcPr>
          <w:p>
            <w:pPr>
              <w:jc w:val="center"/>
              <w:ind w:left="434"/>
              <w:spacing w:after="0"/>
              <w:rPr>
                <w:sz w:val="20"/>
                <w:szCs w:val="20"/>
                <w:color w:val="auto"/>
              </w:rPr>
            </w:pPr>
            <w:r>
              <w:rPr>
                <w:rFonts w:ascii="Arial" w:cs="Arial" w:eastAsia="Arial" w:hAnsi="Arial"/>
                <w:sz w:val="18"/>
                <w:szCs w:val="18"/>
                <w:color w:val="auto"/>
                <w:w w:val="99"/>
              </w:rPr>
              <w:t>—</w:t>
            </w:r>
          </w:p>
        </w:tc>
        <w:tc>
          <w:tcPr>
            <w:tcW w:w="2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22"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47"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The weighted-average fair value of each stock option granted during the years ended December 31, 2022 and 2021, estimated as of the grant date using the Black-Scholes option valuation model, was $1.47 per option and $3.51 per option, respectively.</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Stock-based compensation expense for stock option awards and ESPP shares are reflected in total operating expenses for each respective year.</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following table summarizes stock-based compensation expense for the years ended December 31, 2022 and 2021:</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237,071</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640,340</w:t>
            </w:r>
          </w:p>
        </w:tc>
        <w:tc>
          <w:tcPr>
            <w:tcW w:w="80" w:type="dxa"/>
            <w:vAlign w:val="bottom"/>
            <w:shd w:val="clear" w:color="auto" w:fill="CFF0FC"/>
          </w:tcPr>
          <w:p>
            <w:pPr>
              <w:spacing w:after="0"/>
              <w:rPr>
                <w:sz w:val="20"/>
                <w:szCs w:val="20"/>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405,451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1,077,173</w:t>
            </w:r>
          </w:p>
        </w:tc>
        <w:tc>
          <w:tcPr>
            <w:tcW w:w="80" w:type="dxa"/>
            <w:vAlign w:val="bottom"/>
          </w:tcPr>
          <w:p>
            <w:pPr>
              <w:spacing w:after="0"/>
              <w:rPr>
                <w:sz w:val="20"/>
                <w:szCs w:val="20"/>
                <w:color w:val="auto"/>
              </w:rPr>
            </w:pPr>
          </w:p>
        </w:tc>
      </w:tr>
      <w:tr>
        <w:trPr>
          <w:trHeight w:val="276"/>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642,522</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1,717,513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22"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As of December 31, 2022, there was $0.2 million of unamortized compensation cost related to unvested stock option awards which is expected to be recognized over a remaining weighted-average vesting period of 0.20 years, on a straight-line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Issuance Sales Agreement</w:t>
      </w:r>
    </w:p>
    <w:p>
      <w:pPr>
        <w:spacing w:after="0" w:line="117" w:lineRule="exact"/>
        <w:rPr>
          <w:sz w:val="20"/>
          <w:szCs w:val="20"/>
          <w:color w:val="auto"/>
        </w:rPr>
      </w:pPr>
    </w:p>
    <w:p>
      <w:pPr>
        <w:ind w:firstLine="549"/>
        <w:spacing w:after="0" w:line="271" w:lineRule="auto"/>
        <w:rPr>
          <w:sz w:val="20"/>
          <w:szCs w:val="20"/>
          <w:color w:val="auto"/>
        </w:rPr>
      </w:pPr>
      <w:r>
        <w:rPr>
          <w:rFonts w:ascii="Arial" w:cs="Arial" w:eastAsia="Arial" w:hAnsi="Arial"/>
          <w:sz w:val="17"/>
          <w:szCs w:val="17"/>
          <w:color w:val="auto"/>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 shares of common stock were sold under the ATM Agreement in the years ended December 31, 2022 and 2021,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Transactions</w:t>
      </w:r>
    </w:p>
    <w:p>
      <w:pPr>
        <w:spacing w:after="0" w:line="117" w:lineRule="exact"/>
        <w:rPr>
          <w:sz w:val="20"/>
          <w:szCs w:val="20"/>
          <w:color w:val="auto"/>
        </w:rPr>
      </w:pPr>
    </w:p>
    <w:p>
      <w:pPr>
        <w:ind w:right="220" w:firstLine="549"/>
        <w:spacing w:after="0" w:line="286" w:lineRule="auto"/>
        <w:rPr>
          <w:sz w:val="20"/>
          <w:szCs w:val="20"/>
          <w:color w:val="auto"/>
        </w:rPr>
      </w:pPr>
      <w:r>
        <w:rPr>
          <w:rFonts w:ascii="Arial" w:cs="Arial" w:eastAsia="Arial" w:hAnsi="Arial"/>
          <w:sz w:val="17"/>
          <w:szCs w:val="17"/>
          <w:color w:val="auto"/>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sectPr>
          <w:pgSz w:w="11900" w:h="16838" w:orient="portrait"/>
          <w:cols w:equalWidth="0" w:num="1">
            <w:col w:w="11240"/>
          </w:cols>
          <w:pgMar w:left="320" w:top="517" w:right="3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common stock reserved for future issuance at December 31, 2022:</w:t>
      </w:r>
    </w:p>
    <w:p>
      <w:pPr>
        <w:spacing w:after="0" w:line="26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reserved for issuance upon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-130175</wp:posOffset>
            </wp:positionV>
            <wp:extent cx="4277360" cy="428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77360" cy="428625"/>
                    </a:xfrm>
                    <a:prstGeom prst="rect">
                      <a:avLst/>
                    </a:prstGeom>
                    <a:noFill/>
                  </pic:spPr>
                </pic:pic>
              </a:graphicData>
            </a:graphic>
          </wp:anchor>
        </w:drawing>
      </w:r>
    </w:p>
    <w:p>
      <w:pPr>
        <w:spacing w:after="0" w:line="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options outstanding (under the 2004 Plan and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2013 Plan)</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reserved for future equity awards (under</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2013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7736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7,985,250</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1,949,317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38100</wp:posOffset>
            </wp:positionV>
            <wp:extent cx="7372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9,934,567</w:t>
      </w:r>
    </w:p>
    <w:p>
      <w:pPr>
        <w:spacing w:after="0" w:line="200" w:lineRule="exact"/>
        <w:rPr>
          <w:sz w:val="20"/>
          <w:szCs w:val="20"/>
          <w:color w:val="auto"/>
        </w:rPr>
      </w:pPr>
    </w:p>
    <w:p>
      <w:pPr>
        <w:sectPr>
          <w:pgSz w:w="11900" w:h="16838" w:orient="portrait"/>
          <w:cols w:equalWidth="0" w:num="2">
            <w:col w:w="7520" w:space="680"/>
            <w:col w:w="3040"/>
          </w:cols>
          <w:pgMar w:left="320" w:top="517" w:right="339" w:bottom="1440" w:gutter="0" w:footer="0" w:header="0"/>
          <w:type w:val="continuous"/>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reconciliation of loss before income taxes for domestic and foreign locations for the years ended December 31, 2022 and 2021 is as follows:</w:t>
      </w:r>
    </w:p>
    <w:p>
      <w:pPr>
        <w:spacing w:after="0" w:line="253"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7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(14,084,240</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(10,145,822</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14,138</w:t>
            </w:r>
          </w:p>
        </w:tc>
        <w:tc>
          <w:tcPr>
            <w:tcW w:w="80" w:type="dxa"/>
            <w:vAlign w:val="bottom"/>
          </w:tcPr>
          <w:p>
            <w:pPr>
              <w:spacing w:after="0"/>
              <w:rPr>
                <w:sz w:val="21"/>
                <w:szCs w:val="21"/>
                <w:color w:val="auto"/>
              </w:rPr>
            </w:pPr>
          </w:p>
        </w:tc>
      </w:tr>
      <w:tr>
        <w:trPr>
          <w:trHeight w:val="27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(14,066,261</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(10,131,684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income tax expense for the years ended December 31, 2022 and 2021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(2,822 )</w:t>
            </w:r>
          </w:p>
        </w:tc>
        <w:tc>
          <w:tcPr>
            <w:tcW w:w="4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(2,568 )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current income tax expense</w:t>
            </w: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(2,822 )</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(2,568 )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income tax expense</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income tax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(2,822 )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(2,568 )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-1139825</wp:posOffset>
            </wp:positionV>
            <wp:extent cx="5143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-1139825</wp:posOffset>
            </wp:positionV>
            <wp:extent cx="4318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51435"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significant components of deferred income taxes at December 31, 2022 and 2021 are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70,142,367</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68,485,037</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Capitalized licenses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tax credits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9,629,956</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9,262,071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1,526,644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1,601,862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390,610</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423,279</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Right-of-use asset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180,938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196,059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experimentation capitalization</w:t>
            </w: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1,795,580</w:t>
            </w:r>
          </w:p>
        </w:tc>
        <w:tc>
          <w:tcPr>
            <w:tcW w:w="2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7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83,667,029</w:t>
            </w:r>
          </w:p>
        </w:tc>
        <w:tc>
          <w:tcPr>
            <w:tcW w:w="2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79,999,092</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Right-of-use liability</w:t>
            </w:r>
          </w:p>
        </w:tc>
        <w:tc>
          <w:tcPr>
            <w:tcW w:w="32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(166,786 )</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(196,059 )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In-process research and development</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(1,343,213 )</w:t>
            </w:r>
          </w:p>
        </w:tc>
        <w:tc>
          <w:tcPr>
            <w:tcW w:w="4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(1,343,213 )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32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(1,509,999 )</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(1,539,272 )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82,157,030</w:t>
            </w:r>
          </w:p>
        </w:tc>
        <w:tc>
          <w:tcPr>
            <w:tcW w:w="2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78,459,820</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(82,358,822 )</w:t>
            </w:r>
          </w:p>
        </w:tc>
        <w:tc>
          <w:tcPr>
            <w:tcW w:w="4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(78,661,612 )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liability</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-1302385</wp:posOffset>
            </wp:positionV>
            <wp:extent cx="51435"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-1302385</wp:posOffset>
            </wp:positionV>
            <wp:extent cx="431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-668020</wp:posOffset>
            </wp:positionV>
            <wp:extent cx="5143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431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net change in the valuation allowance during the year ended December 31, 2022 was an increase of $3.7 million. The Company periodically evaluates the recoverability of the deferred tax assets. At such time as it is determined that it is more likely than not that deferred tax assets will be realizable, the valuation allowance will be reduced.</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78" w:right="679" w:bottom="1440" w:gutter="0" w:footer="0" w:header="0"/>
        </w:sectPr>
      </w:pPr>
    </w:p>
    <w:bookmarkStart w:id="89" w:name="page90"/>
    <w:bookmarkEnd w:id="89"/>
    <w:p>
      <w:pPr>
        <w:ind w:right="120" w:firstLine="374"/>
        <w:spacing w:after="0" w:line="296" w:lineRule="auto"/>
        <w:rPr>
          <w:sz w:val="20"/>
          <w:szCs w:val="20"/>
          <w:color w:val="auto"/>
        </w:rPr>
      </w:pPr>
      <w:r>
        <w:rPr>
          <w:rFonts w:ascii="Arial" w:cs="Arial" w:eastAsia="Arial" w:hAnsi="Arial"/>
          <w:sz w:val="16"/>
          <w:szCs w:val="16"/>
          <w:color w:val="auto"/>
        </w:rPr>
        <w:t>At December 31, 2022, the Company has federal and California net operating loss (NOL) carryforwards of approximately $276.6 million and $182.9 million, respectively. $232.3 million of federal NOL carryforwards began to expire in 2022, $44.3 million of federal NOL carryforwards can be carried forward indefinitely, and the California NOL carryforwards begin to expire in 2028. At December 31, 2022, the Company also had federal and California research tax credit carry-forwards of approximately $7.8 million and $2.3 million, respectively. The federal research tax credit carryforwards will begin to expire in 2024, and the California research tax credit carryforward does not expire and can be carried forward indefinitely until utilized.</w:t>
      </w:r>
    </w:p>
    <w:p>
      <w:pPr>
        <w:spacing w:after="0" w:line="134" w:lineRule="exact"/>
        <w:rPr>
          <w:sz w:val="20"/>
          <w:szCs w:val="20"/>
          <w:color w:val="auto"/>
        </w:rPr>
      </w:pPr>
    </w:p>
    <w:p>
      <w:pPr>
        <w:ind w:right="60" w:firstLine="374"/>
        <w:spacing w:after="0" w:line="288" w:lineRule="auto"/>
        <w:rPr>
          <w:sz w:val="20"/>
          <w:szCs w:val="20"/>
          <w:color w:val="auto"/>
        </w:rPr>
      </w:pPr>
      <w:r>
        <w:rPr>
          <w:rFonts w:ascii="Arial" w:cs="Arial" w:eastAsia="Arial" w:hAnsi="Arial"/>
          <w:sz w:val="16"/>
          <w:szCs w:val="16"/>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7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4"/>
        </w:trPr>
        <w:tc>
          <w:tcPr>
            <w:tcW w:w="4760" w:type="dxa"/>
            <w:vAlign w:val="bottom"/>
          </w:tcPr>
          <w:p>
            <w:pPr>
              <w:spacing w:after="0"/>
              <w:rPr>
                <w:sz w:val="20"/>
                <w:szCs w:val="20"/>
                <w:color w:val="auto"/>
              </w:rPr>
            </w:pPr>
            <w:r>
              <w:rPr>
                <w:rFonts w:ascii="Arial" w:cs="Arial" w:eastAsia="Arial" w:hAnsi="Arial"/>
                <w:sz w:val="18"/>
                <w:szCs w:val="18"/>
                <w:color w:val="auto"/>
              </w:rPr>
              <w:t>Federal statutory income tax rate</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576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(26.4 )</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6"/>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7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(0.3 )</w:t>
            </w:r>
          </w:p>
        </w:tc>
        <w:tc>
          <w:tcPr>
            <w:tcW w:w="3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2"/>
                <w:szCs w:val="22"/>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Expiration of attributes</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(1.3 )</w:t>
            </w: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80" w:type="dxa"/>
            <w:vAlign w:val="bottom"/>
          </w:tcPr>
          <w:p>
            <w:pPr>
              <w:spacing w:after="0"/>
              <w:rPr>
                <w:sz w:val="20"/>
                <w:szCs w:val="20"/>
                <w:color w:val="auto"/>
              </w:rPr>
            </w:pPr>
          </w:p>
        </w:tc>
      </w:tr>
      <w:tr>
        <w:trPr>
          <w:trHeight w:val="256"/>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7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(1.9 )</w:t>
            </w:r>
          </w:p>
        </w:tc>
        <w:tc>
          <w:tcPr>
            <w:tcW w:w="3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(12.4 )</w:t>
            </w:r>
          </w:p>
        </w:tc>
        <w:tc>
          <w:tcPr>
            <w:tcW w:w="80" w:type="dxa"/>
            <w:vAlign w:val="bottom"/>
          </w:tcPr>
          <w:p>
            <w:pPr>
              <w:spacing w:after="0"/>
              <w:rPr>
                <w:sz w:val="22"/>
                <w:szCs w:val="22"/>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Uncertain tax positions</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80" w:type="dxa"/>
            <w:vAlign w:val="bottom"/>
          </w:tcPr>
          <w:p>
            <w:pPr>
              <w:spacing w:after="0"/>
              <w:rPr>
                <w:sz w:val="20"/>
                <w:szCs w:val="20"/>
                <w:color w:val="auto"/>
              </w:rPr>
            </w:pPr>
          </w:p>
        </w:tc>
      </w:tr>
      <w:tr>
        <w:trPr>
          <w:trHeight w:val="25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(0.1 )</w:t>
            </w:r>
          </w:p>
        </w:tc>
        <w:tc>
          <w:tcPr>
            <w:tcW w:w="3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3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4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-1576705</wp:posOffset>
            </wp:positionV>
            <wp:extent cx="4989195"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22"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The Company determines its uncertain tax positions based on a determination of whether and how much of a tax benefit taken by the Company in its tax filings is more likely than not to be sustained upon examination by the relevant income tax authorities.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30"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benefits at January 1</w:t>
            </w: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893,371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7"/>
              </w:rPr>
              <w:t>Additions for tax positions taken in the prior year</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Additions for tax positions taken in the current year</w:t>
            </w:r>
          </w:p>
        </w:tc>
        <w:tc>
          <w:tcPr>
            <w:tcW w:w="9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893,371</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6"/>
              </w:rPr>
              <w:t>Gross unrecognized tax benefits at December 31</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896,981</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893,371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80" w:type="dxa"/>
            <w:vAlign w:val="bottom"/>
            <w:vMerge w:val="restart"/>
          </w:tcPr>
          <w:p>
            <w:pPr>
              <w:jc w:val="right"/>
              <w:ind w:right="650"/>
              <w:spacing w:after="0"/>
              <w:rPr>
                <w:sz w:val="20"/>
                <w:szCs w:val="20"/>
                <w:color w:val="auto"/>
              </w:rPr>
            </w:pPr>
            <w:r>
              <w:rPr>
                <w:rFonts w:ascii="Arial" w:cs="Arial" w:eastAsia="Arial" w:hAnsi="Arial"/>
                <w:sz w:val="18"/>
                <w:szCs w:val="18"/>
                <w:color w:val="auto"/>
              </w:rPr>
              <w:t>89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-676275</wp:posOffset>
            </wp:positionV>
            <wp:extent cx="514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-676275</wp:posOffset>
            </wp:positionV>
            <wp:extent cx="431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0" w:name="page91"/>
    <w:bookmarkEnd w:id="90"/>
    <w:p>
      <w:pPr>
        <w:ind w:right="940" w:firstLine="374"/>
        <w:spacing w:after="0" w:line="277" w:lineRule="auto"/>
        <w:rPr>
          <w:sz w:val="20"/>
          <w:szCs w:val="20"/>
          <w:color w:val="auto"/>
        </w:rPr>
      </w:pPr>
      <w:r>
        <w:rPr>
          <w:rFonts w:ascii="Arial" w:cs="Arial" w:eastAsia="Arial" w:hAnsi="Arial"/>
          <w:sz w:val="18"/>
          <w:szCs w:val="18"/>
          <w:color w:val="auto"/>
        </w:rPr>
        <w:t>If recognized, none of the unrecognized tax benefits as of December 31, 2022 would reduce the annual effective tax rate, primarily due to corresponding adjustments to the valuation allowance.</w:t>
      </w:r>
    </w:p>
    <w:p>
      <w:pPr>
        <w:spacing w:after="0" w:line="130"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2022, there are no significant accruals for interest related to unrecognized tax benefits or tax penalties. The Company does not expect the unrecognized tax benefits to change significantly over the next twelve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Savings Plan</w:t>
      </w:r>
    </w:p>
    <w:p>
      <w:pPr>
        <w:spacing w:after="0" w:line="121"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$75,859 and $72,330 for the years ended December 31, 2022 and 2021,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2022, our disclosure controls and procedures were effective.</w:t>
      </w:r>
    </w:p>
    <w:p>
      <w:pPr>
        <w:spacing w:after="0" w:line="150"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374"/>
        <w:spacing w:after="0" w:line="308" w:lineRule="auto"/>
        <w:rPr>
          <w:sz w:val="20"/>
          <w:szCs w:val="20"/>
          <w:color w:val="auto"/>
        </w:rPr>
      </w:pPr>
      <w:r>
        <w:rPr>
          <w:rFonts w:ascii="Arial" w:cs="Arial" w:eastAsia="Arial" w:hAnsi="Arial"/>
          <w:sz w:val="17"/>
          <w:szCs w:val="17"/>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0" w:lineRule="exact"/>
        <w:rPr>
          <w:sz w:val="20"/>
          <w:szCs w:val="20"/>
          <w:color w:val="auto"/>
        </w:rPr>
      </w:pPr>
    </w:p>
    <w:p>
      <w:pPr>
        <w:ind w:left="660" w:hanging="27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63" w:lineRule="exact"/>
        <w:rPr>
          <w:rFonts w:ascii="Arial" w:cs="Arial" w:eastAsia="Arial" w:hAnsi="Arial"/>
          <w:sz w:val="17"/>
          <w:szCs w:val="17"/>
          <w:color w:val="auto"/>
        </w:rPr>
      </w:pPr>
    </w:p>
    <w:p>
      <w:pPr>
        <w:ind w:left="660" w:hanging="27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197" w:lineRule="exact"/>
        <w:rPr>
          <w:rFonts w:ascii="Arial" w:cs="Arial" w:eastAsia="Arial" w:hAnsi="Arial"/>
          <w:sz w:val="18"/>
          <w:szCs w:val="18"/>
          <w:color w:val="auto"/>
        </w:rPr>
      </w:pPr>
    </w:p>
    <w:p>
      <w:pPr>
        <w:ind w:left="660" w:right="40" w:hanging="27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0"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68" w:lineRule="exact"/>
        <w:rPr>
          <w:sz w:val="20"/>
          <w:szCs w:val="20"/>
          <w:color w:val="auto"/>
        </w:rPr>
      </w:pPr>
    </w:p>
    <w:p>
      <w:pPr>
        <w:ind w:right="60" w:firstLine="374"/>
        <w:spacing w:after="0" w:line="311"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framework) published by the Committee of Sponsoring Organizations of the Treadway Commission, known as COSO, to evaluate the effectiveness of our internal control over financial reporting. Based on this assessment, management has concluded that our internal control over financial reporting was effective as of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auto"/>
        </w:rPr>
        <w:t>On October 24, 2022, we terminated our exclusive license agreement, dated February 25, 2004 (Kissei License Agreement), with Kissei Pharmaceutical Co., Ltd. (Kissei) pursuant to a comprehensive termination agreement with Kissei (Termination Agreement). Under the Termination Agreement we had no further financial obligations to Kissei other than the purchase of 7.15kg of active pharmaceutical ingredient already manufactured by Kissei pursuant to the Kissei License Agreement for an aggregate purchase price of JPY114,400,000, which we purchased in December 2022.</w:t>
      </w:r>
    </w:p>
    <w:p>
      <w:pPr>
        <w:spacing w:after="0" w:line="117"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The foregoing summary of the Termination Agreement is not complete and is subject to, qualified in its entirety by, and should be read in conjunction with, the full text of the Termination Agreement, which is filed as Exhibit 10.27 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 the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2023 Annual Meeting of Stockholders to be filed with the SEC within 120 days after the conclusion of our fiscal year ended December 31, 2022 (Proxy Statement) and is incorporated in this Annual Report on Form 10-K by reference.</w:t>
      </w:r>
    </w:p>
    <w:p>
      <w:pPr>
        <w:spacing w:after="0" w:line="146"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 xml:space="preserve">We have adopted a Code of Ethics for Senior Officers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7"/>
          <w:szCs w:val="17"/>
          <w:i w:val="1"/>
          <w:iCs w:val="1"/>
          <w:color w:val="auto"/>
        </w:rPr>
        <w:t>www.medicinova.com</w:t>
      </w:r>
      <w:r>
        <w:rPr>
          <w:rFonts w:ascii="Arial" w:cs="Arial" w:eastAsia="Arial" w:hAnsi="Arial"/>
          <w:sz w:val="17"/>
          <w:szCs w:val="17"/>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“Executive Compensation” in our Proxy Statement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60" w:firstLine="374"/>
        <w:spacing w:after="0" w:line="277" w:lineRule="auto"/>
        <w:rPr>
          <w:sz w:val="20"/>
          <w:szCs w:val="20"/>
          <w:color w:val="auto"/>
        </w:rPr>
      </w:pPr>
      <w:r>
        <w:rPr>
          <w:rFonts w:ascii="Arial" w:cs="Arial" w:eastAsia="Arial" w:hAnsi="Arial"/>
          <w:sz w:val="18"/>
          <w:szCs w:val="18"/>
          <w:color w:val="auto"/>
        </w:rPr>
        <w:t>Certain of the information required by this item will be contained in the section titled “Security Ownership of Certain Beneficial Owners and Management” in our Proxy Statement and is incorporated in this Annual Report on Form 10-K by reference.</w:t>
      </w:r>
    </w:p>
    <w:p>
      <w:pPr>
        <w:spacing w:after="0" w:line="143"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auto"/>
        </w:rPr>
        <w:t>The following table provides information as of December 31, 2022 with respect to the shares of our common stock that may be issued under our existing equity compensation plans.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Equity Compensation Plan Information</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3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 of</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Options</w:t>
            </w:r>
          </w:p>
        </w:tc>
        <w:tc>
          <w:tcPr>
            <w:tcW w:w="3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1"/>
              </w:rPr>
              <w:t>and Rights</w:t>
            </w:r>
          </w:p>
        </w:tc>
        <w:tc>
          <w:tcPr>
            <w:tcW w:w="3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1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by Stockholders (1)</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7,985,250</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1,949,317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120" w:type="dxa"/>
            <w:vAlign w:val="bottom"/>
          </w:tcPr>
          <w:p>
            <w:pPr>
              <w:spacing w:after="0"/>
              <w:rPr>
                <w:sz w:val="18"/>
                <w:szCs w:val="18"/>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approved by security holders</w:t>
            </w:r>
          </w:p>
        </w:tc>
        <w:tc>
          <w:tcPr>
            <w:tcW w:w="120" w:type="dxa"/>
            <w:vAlign w:val="bottom"/>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7,985,250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0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1,949,317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596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right="200" w:hanging="372"/>
        <w:spacing w:after="0" w:line="311" w:lineRule="auto"/>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the Amended and Restated 2004 Stock Incentive Plan, the 2013 Equity Incentive Plan and the 2007 Employee Stock Purchase Plan (ESPP). Under the ESPP, the shares reserved automatically increase by a number equal to the lesser of: (i) 15,000 shares; (ii) 1% of the outstanding shares of our common stock on the last day of the immediately preceding fiscal year; or (iii) an amount determined by the Board.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37" w:right="9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20" w:hanging="238"/>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85" w:lineRule="exact"/>
        <w:rPr>
          <w:sz w:val="20"/>
          <w:szCs w:val="20"/>
          <w:color w:val="auto"/>
        </w:rPr>
      </w:pPr>
    </w:p>
    <w:p>
      <w:pPr>
        <w:ind w:right="420" w:firstLine="382"/>
        <w:spacing w:after="0" w:line="308" w:lineRule="auto"/>
        <w:tabs>
          <w:tab w:leader="none" w:pos="55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following financial statements of MediciNova, Inc. and report of BDO USA, LLP, an independent registered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firm, are included in this Annual Report on Form 10-K (included in Part II of this Annual Report on Form 10-K):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1"/>
              </w:rPr>
              <w:t>Report of Independent Registered Public Accounting Firm</w:t>
            </w:r>
          </w:p>
        </w:tc>
        <w:tc>
          <w:tcPr>
            <w:tcW w:w="64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5"/>
          </w:tcPr>
          <w:p>
            <w:pPr>
              <w:spacing w:after="0"/>
              <w:rPr>
                <w:sz w:val="20"/>
                <w:szCs w:val="20"/>
                <w:color w:val="auto"/>
              </w:rPr>
            </w:pPr>
            <w:r>
              <w:rPr>
                <w:rFonts w:ascii="Arial" w:cs="Arial" w:eastAsia="Arial" w:hAnsi="Arial"/>
                <w:sz w:val="18"/>
                <w:szCs w:val="18"/>
                <w:color w:val="0000FF"/>
              </w:rPr>
              <w:t>Consolidated Balance Sheets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tcPr>
          <w:p>
            <w:pPr>
              <w:spacing w:after="0"/>
              <w:rPr>
                <w:sz w:val="19"/>
                <w:szCs w:val="19"/>
                <w:color w:val="auto"/>
              </w:rPr>
            </w:pPr>
          </w:p>
        </w:tc>
        <w:tc>
          <w:tcPr>
            <w:tcW w:w="4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Consolidated Statements of Operations and Comprehensive Loss</w:t>
            </w:r>
          </w:p>
        </w:tc>
        <w:tc>
          <w:tcPr>
            <w:tcW w:w="6300" w:type="dxa"/>
            <w:vAlign w:val="bottom"/>
            <w:gridSpan w:val="12"/>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5"/>
          </w:tcPr>
          <w:p>
            <w:pPr>
              <w:spacing w:after="0"/>
              <w:rPr>
                <w:sz w:val="20"/>
                <w:szCs w:val="20"/>
                <w:color w:val="auto"/>
              </w:rPr>
            </w:pPr>
            <w:r>
              <w:rPr>
                <w:rFonts w:ascii="Arial" w:cs="Arial" w:eastAsia="Arial" w:hAnsi="Arial"/>
                <w:sz w:val="18"/>
                <w:szCs w:val="18"/>
                <w:color w:val="0000FF"/>
              </w:rPr>
              <w:t>Consolidated Statements of Stockholders’ Equity</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23"/>
        </w:trPr>
        <w:tc>
          <w:tcPr>
            <w:tcW w:w="20" w:type="dxa"/>
            <w:vAlign w:val="bottom"/>
            <w:tcBorders>
              <w:top w:val="single" w:sz="8" w:color="0000EE"/>
              <w:bottom w:val="single" w:sz="8" w:color="0000EE"/>
            </w:tcBorders>
          </w:tcPr>
          <w:p>
            <w:pPr>
              <w:spacing w:after="0"/>
              <w:rPr>
                <w:sz w:val="19"/>
                <w:szCs w:val="19"/>
                <w:color w:val="auto"/>
              </w:rPr>
            </w:pPr>
          </w:p>
        </w:tc>
        <w:tc>
          <w:tcPr>
            <w:tcW w:w="28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9"/>
              </w:rPr>
              <w:t>Consolidated Statements of Cash Flows</w:t>
            </w:r>
          </w:p>
        </w:tc>
        <w:tc>
          <w:tcPr>
            <w:tcW w:w="660" w:type="dxa"/>
            <w:vAlign w:val="bottom"/>
            <w:tcBorders>
              <w:top w:val="single" w:sz="8" w:color="0000FF"/>
            </w:tcBorders>
            <w:gridSpan w:val="3"/>
          </w:tcPr>
          <w:p>
            <w:pPr>
              <w:spacing w:after="0"/>
              <w:rPr>
                <w:sz w:val="19"/>
                <w:szCs w:val="19"/>
                <w:color w:val="auto"/>
              </w:rPr>
            </w:pPr>
          </w:p>
        </w:tc>
        <w:tc>
          <w:tcPr>
            <w:tcW w:w="7440" w:type="dxa"/>
            <w:vAlign w:val="bottom"/>
            <w:gridSpan w:val="15"/>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5"/>
          </w:tcPr>
          <w:p>
            <w:pPr>
              <w:spacing w:after="0"/>
              <w:rPr>
                <w:sz w:val="20"/>
                <w:szCs w:val="20"/>
                <w:color w:val="auto"/>
              </w:rPr>
            </w:pPr>
            <w:r>
              <w:rPr>
                <w:rFonts w:ascii="Arial" w:cs="Arial" w:eastAsia="Arial" w:hAnsi="Arial"/>
                <w:sz w:val="18"/>
                <w:szCs w:val="18"/>
                <w:color w:val="0000FF"/>
              </w:rPr>
              <w:t>Notes to Consolidated Financial Statements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10980" w:type="dxa"/>
            <w:vAlign w:val="bottom"/>
            <w:gridSpan w:val="25"/>
          </w:tcPr>
          <w:p>
            <w:pPr>
              <w:ind w:left="3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980" w:type="dxa"/>
            <w:vAlign w:val="bottom"/>
            <w:gridSpan w:val="25"/>
          </w:tcPr>
          <w:p>
            <w:pPr>
              <w:ind w:left="3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994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9940" w:type="dxa"/>
            <w:vAlign w:val="bottom"/>
            <w:tcBorders>
              <w:bottom w:val="single" w:sz="8" w:color="auto"/>
            </w:tcBorders>
            <w:gridSpan w:val="2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1"/>
              </w:rPr>
            </w:pPr>
            <w:hyperlink r:id="rId219">
              <w:r>
                <w:rPr>
                  <w:rFonts w:ascii="Arial" w:cs="Arial" w:eastAsia="Arial" w:hAnsi="Arial"/>
                  <w:sz w:val="18"/>
                  <w:szCs w:val="18"/>
                  <w:color w:val="0000FF"/>
                  <w:w w:val="91"/>
                </w:rPr>
                <w:t>Restated Certificate of Incorporation of the Registrant, as amended (incorporated by reference to Exhibit 3.1 of the Registrant’s Quarterly</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19">
              <w:r>
                <w:rPr>
                  <w:rFonts w:ascii="Arial" w:cs="Arial" w:eastAsia="Arial" w:hAnsi="Arial"/>
                  <w:sz w:val="18"/>
                  <w:szCs w:val="18"/>
                  <w:color w:val="0000FF"/>
                </w:rPr>
                <w:t>Report on Form 10-Q (File No. 001-33185) filed August 9, 2012).</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2"/>
              </w:rPr>
            </w:pPr>
            <w:hyperlink r:id="rId220">
              <w:r>
                <w:rPr>
                  <w:rFonts w:ascii="Arial" w:cs="Arial" w:eastAsia="Arial" w:hAnsi="Arial"/>
                  <w:sz w:val="18"/>
                  <w:szCs w:val="18"/>
                  <w:color w:val="0000FF"/>
                  <w:w w:val="92"/>
                </w:rPr>
                <w:t>Amended and Restated Bylaws of the Registrant (incorporated by reference to Exhibit 3.4 of the Registrant’s Registration Statement on</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20">
              <w:r>
                <w:rPr>
                  <w:rFonts w:ascii="Arial" w:cs="Arial" w:eastAsia="Arial" w:hAnsi="Arial"/>
                  <w:sz w:val="18"/>
                  <w:szCs w:val="18"/>
                  <w:color w:val="0000FF"/>
                </w:rPr>
                <w:t>Form S-1 (File No. 333-119433) filed October 1, 2004).</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10180" w:type="dxa"/>
            <w:vAlign w:val="bottom"/>
            <w:gridSpan w:val="25"/>
          </w:tcPr>
          <w:p>
            <w:pPr>
              <w:spacing w:after="0"/>
              <w:rPr>
                <w:rFonts w:ascii="Arial" w:cs="Arial" w:eastAsia="Arial" w:hAnsi="Arial"/>
                <w:sz w:val="18"/>
                <w:szCs w:val="18"/>
                <w:color w:val="0000FF"/>
                <w:w w:val="92"/>
              </w:rPr>
            </w:pPr>
            <w:hyperlink r:id="rId221">
              <w:r>
                <w:rPr>
                  <w:rFonts w:ascii="Arial" w:cs="Arial" w:eastAsia="Arial" w:hAnsi="Arial"/>
                  <w:sz w:val="18"/>
                  <w:szCs w:val="18"/>
                  <w:color w:val="0000FF"/>
                  <w:w w:val="92"/>
                </w:rPr>
                <w:t>Specimen of Common Stock Certificate (incorporated by reference to Exhibit 4.1 of the Registrant’s Annual Report on Form 10-K (File No.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5"/>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21">
              <w:r>
                <w:rPr>
                  <w:rFonts w:ascii="Arial" w:cs="Arial" w:eastAsia="Arial" w:hAnsi="Arial"/>
                  <w:sz w:val="18"/>
                  <w:szCs w:val="18"/>
                  <w:color w:val="0000FF"/>
                </w:rPr>
                <w:t>001-33185) filed February 15, 2007).</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3"/>
              </w:rPr>
            </w:pPr>
            <w:hyperlink r:id="rId222">
              <w:r>
                <w:rPr>
                  <w:rFonts w:ascii="Arial" w:cs="Arial" w:eastAsia="Arial" w:hAnsi="Arial"/>
                  <w:sz w:val="18"/>
                  <w:szCs w:val="18"/>
                  <w:color w:val="0000FF"/>
                  <w:w w:val="93"/>
                </w:rPr>
                <w:t>Amended and Restated Registration Rights Agreement, dated September 2, 2004, by and among the Registrant, its founders and the</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54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w w:val="92"/>
              </w:rPr>
            </w:pPr>
            <w:hyperlink r:id="rId222">
              <w:r>
                <w:rPr>
                  <w:rFonts w:ascii="Arial" w:cs="Arial" w:eastAsia="Arial" w:hAnsi="Arial"/>
                  <w:sz w:val="18"/>
                  <w:szCs w:val="18"/>
                  <w:color w:val="0000FF"/>
                  <w:w w:val="92"/>
                </w:rPr>
                <w:t>investors named therein (incorporated by reference to Exhibit 4.2 of the Registrant’s Registration Statement on Form S-1 (File No. 333-</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54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22">
              <w:r>
                <w:rPr>
                  <w:rFonts w:ascii="Arial" w:cs="Arial" w:eastAsia="Arial" w:hAnsi="Arial"/>
                  <w:sz w:val="18"/>
                  <w:szCs w:val="18"/>
                  <w:color w:val="0000FF"/>
                </w:rPr>
                <w:t>119433) filed October 1, 2004).</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24"/>
                <w:szCs w:val="24"/>
                <w:color w:val="auto"/>
              </w:rPr>
            </w:pPr>
          </w:p>
        </w:tc>
        <w:tc>
          <w:tcPr>
            <w:tcW w:w="10180" w:type="dxa"/>
            <w:vAlign w:val="bottom"/>
            <w:gridSpan w:val="25"/>
          </w:tcPr>
          <w:p>
            <w:pPr>
              <w:spacing w:after="0"/>
              <w:rPr>
                <w:rFonts w:ascii="Arial" w:cs="Arial" w:eastAsia="Arial" w:hAnsi="Arial"/>
                <w:sz w:val="18"/>
                <w:szCs w:val="18"/>
                <w:color w:val="0000FF"/>
                <w:w w:val="92"/>
              </w:rPr>
            </w:pPr>
            <w:hyperlink r:id="rId223">
              <w:r>
                <w:rPr>
                  <w:rFonts w:ascii="Arial" w:cs="Arial" w:eastAsia="Arial" w:hAnsi="Arial"/>
                  <w:sz w:val="18"/>
                  <w:szCs w:val="18"/>
                  <w:color w:val="0000FF"/>
                  <w:w w:val="92"/>
                </w:rPr>
                <w:t>Description of Capital Stock (incorporated by reference to Exhibit 4.3 of the Registrant’s Annual Report on Form 10-K (File No. 001-33185)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right w:val="single" w:sz="8" w:color="0000FF"/>
            </w:tcBorders>
            <w:gridSpan w:val="10"/>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filed February 16, 2022).</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33"/>
              <w:spacing w:after="0"/>
              <w:rPr>
                <w:sz w:val="20"/>
                <w:szCs w:val="20"/>
                <w:color w:val="auto"/>
              </w:rPr>
            </w:pPr>
            <w:r>
              <w:rPr>
                <w:rFonts w:ascii="Arial" w:cs="Arial" w:eastAsia="Arial" w:hAnsi="Arial"/>
                <w:sz w:val="18"/>
                <w:szCs w:val="18"/>
                <w:color w:val="auto"/>
                <w:w w:val="95"/>
              </w:rPr>
              <w:t>10.1*</w:t>
            </w:r>
          </w:p>
        </w:tc>
        <w:tc>
          <w:tcPr>
            <w:tcW w:w="20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1"/>
              </w:rPr>
            </w:pPr>
            <w:hyperlink r:id="rId224">
              <w:r>
                <w:rPr>
                  <w:rFonts w:ascii="Arial" w:cs="Arial" w:eastAsia="Arial" w:hAnsi="Arial"/>
                  <w:sz w:val="18"/>
                  <w:szCs w:val="18"/>
                  <w:color w:val="0000FF"/>
                  <w:w w:val="91"/>
                </w:rPr>
                <w:t>Amended and Restated 2004 Stock Incentive Plan of the Registrant (incorporated by reference to Exhibit 10.2 of the Registrant’s Annual</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540" w:type="dxa"/>
            <w:vAlign w:val="bottom"/>
            <w:tcBorders>
              <w:right w:val="single" w:sz="8" w:color="0000FF"/>
            </w:tcBorders>
            <w:gridSpan w:val="11"/>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24">
              <w:r>
                <w:rPr>
                  <w:rFonts w:ascii="Arial" w:cs="Arial" w:eastAsia="Arial" w:hAnsi="Arial"/>
                  <w:sz w:val="18"/>
                  <w:szCs w:val="18"/>
                  <w:color w:val="0000FF"/>
                </w:rPr>
                <w:t>Report on Form 10-K (File No. 001-33185) filed March 29, 2012).</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540" w:type="dxa"/>
            <w:vAlign w:val="bottom"/>
            <w:tcBorders>
              <w:right w:val="single" w:sz="8" w:color="0000EE"/>
            </w:tcBorders>
            <w:gridSpan w:val="11"/>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33"/>
              <w:spacing w:after="0"/>
              <w:rPr>
                <w:sz w:val="20"/>
                <w:szCs w:val="20"/>
                <w:color w:val="auto"/>
              </w:rPr>
            </w:pPr>
            <w:r>
              <w:rPr>
                <w:rFonts w:ascii="Arial" w:cs="Arial" w:eastAsia="Arial" w:hAnsi="Arial"/>
                <w:sz w:val="18"/>
                <w:szCs w:val="18"/>
                <w:color w:val="auto"/>
                <w:w w:val="95"/>
              </w:rPr>
              <w:t>10.2*</w:t>
            </w:r>
          </w:p>
        </w:tc>
        <w:tc>
          <w:tcPr>
            <w:tcW w:w="20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5"/>
              </w:rPr>
            </w:pPr>
            <w:hyperlink r:id="rId225">
              <w:r>
                <w:rPr>
                  <w:rFonts w:ascii="Arial" w:cs="Arial" w:eastAsia="Arial" w:hAnsi="Arial"/>
                  <w:sz w:val="18"/>
                  <w:szCs w:val="18"/>
                  <w:color w:val="0000FF"/>
                  <w:w w:val="95"/>
                </w:rPr>
                <w:t>Form of Indemnity Agreement between the Registrant and its officers and directors (incorporated by reference to Exhibit 10.3 of the</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020" w:type="dxa"/>
            <w:vAlign w:val="bottom"/>
            <w:tcBorders>
              <w:right w:val="single" w:sz="8" w:color="0000FF"/>
            </w:tcBorders>
            <w:gridSpan w:val="12"/>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25">
              <w:r>
                <w:rPr>
                  <w:rFonts w:ascii="Arial" w:cs="Arial" w:eastAsia="Arial" w:hAnsi="Arial"/>
                  <w:sz w:val="18"/>
                  <w:szCs w:val="18"/>
                  <w:color w:val="0000FF"/>
                </w:rPr>
                <w:t>Registrant’s Annual Report on Form 10-K (File No. 001-33185) filed March 28, 2013).</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020" w:type="dxa"/>
            <w:vAlign w:val="bottom"/>
            <w:tcBorders>
              <w:right w:val="single" w:sz="8" w:color="0000EE"/>
            </w:tcBorders>
            <w:gridSpan w:val="1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Arial" w:cs="Arial" w:eastAsia="Arial" w:hAnsi="Arial"/>
                <w:sz w:val="18"/>
                <w:szCs w:val="18"/>
                <w:color w:val="auto"/>
                <w:w w:val="88"/>
              </w:rPr>
              <w:t>10.3†</w:t>
            </w:r>
          </w:p>
        </w:tc>
        <w:tc>
          <w:tcPr>
            <w:tcW w:w="20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3"/>
              </w:rPr>
            </w:pPr>
            <w:hyperlink r:id="rId226">
              <w:r>
                <w:rPr>
                  <w:rFonts w:ascii="Arial" w:cs="Arial" w:eastAsia="Arial" w:hAnsi="Arial"/>
                  <w:sz w:val="18"/>
                  <w:szCs w:val="18"/>
                  <w:color w:val="0000FF"/>
                  <w:w w:val="93"/>
                </w:rPr>
                <w:t>License Agreement, dated March 14, 2002, between the Registrant and Kyorin Pharmaceutical Co., Ltd. (incorporated by reference to</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8340" w:type="dxa"/>
            <w:vAlign w:val="bottom"/>
            <w:gridSpan w:val="1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w w:val="93"/>
              </w:rPr>
            </w:pPr>
            <w:hyperlink r:id="rId226">
              <w:r>
                <w:rPr>
                  <w:rFonts w:ascii="Arial" w:cs="Arial" w:eastAsia="Arial" w:hAnsi="Arial"/>
                  <w:sz w:val="18"/>
                  <w:szCs w:val="18"/>
                  <w:color w:val="0000FF"/>
                  <w:w w:val="93"/>
                </w:rPr>
                <w:t>Exhibit 10.4 of the Registrant’s Registration Statement on Form S-1, as amended (File No. 333-119433), originally filed on October 1,</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line="196" w:lineRule="exact"/>
              <w:rPr>
                <w:rFonts w:ascii="Arial" w:cs="Arial" w:eastAsia="Arial" w:hAnsi="Arial"/>
                <w:sz w:val="18"/>
                <w:szCs w:val="18"/>
                <w:color w:val="0000FF"/>
                <w:w w:val="86"/>
              </w:rPr>
            </w:pPr>
            <w:hyperlink r:id="rId226">
              <w:r>
                <w:rPr>
                  <w:rFonts w:ascii="Arial" w:cs="Arial" w:eastAsia="Arial" w:hAnsi="Arial"/>
                  <w:sz w:val="18"/>
                  <w:szCs w:val="18"/>
                  <w:color w:val="0000FF"/>
                  <w:w w:val="86"/>
                </w:rPr>
                <w:t>2004).</w:t>
              </w:r>
            </w:hyperlink>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34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Arial" w:cs="Arial" w:eastAsia="Arial" w:hAnsi="Arial"/>
                <w:sz w:val="18"/>
                <w:szCs w:val="18"/>
                <w:color w:val="auto"/>
                <w:w w:val="88"/>
              </w:rPr>
              <w:t>10.4†</w:t>
            </w:r>
          </w:p>
        </w:tc>
        <w:tc>
          <w:tcPr>
            <w:tcW w:w="200" w:type="dxa"/>
            <w:vAlign w:val="bottom"/>
          </w:tcPr>
          <w:p>
            <w:pPr>
              <w:spacing w:after="0"/>
              <w:rPr>
                <w:sz w:val="24"/>
                <w:szCs w:val="24"/>
                <w:color w:val="auto"/>
              </w:rPr>
            </w:pPr>
          </w:p>
        </w:tc>
        <w:tc>
          <w:tcPr>
            <w:tcW w:w="10180" w:type="dxa"/>
            <w:vAlign w:val="bottom"/>
            <w:gridSpan w:val="25"/>
          </w:tcPr>
          <w:p>
            <w:pPr>
              <w:spacing w:after="0"/>
              <w:rPr>
                <w:rFonts w:ascii="Arial" w:cs="Arial" w:eastAsia="Arial" w:hAnsi="Arial"/>
                <w:sz w:val="18"/>
                <w:szCs w:val="18"/>
                <w:color w:val="0000FF"/>
                <w:w w:val="90"/>
              </w:rPr>
            </w:pPr>
            <w:hyperlink r:id="rId227">
              <w:r>
                <w:rPr>
                  <w:rFonts w:ascii="Arial" w:cs="Arial" w:eastAsia="Arial" w:hAnsi="Arial"/>
                  <w:sz w:val="18"/>
                  <w:szCs w:val="18"/>
                  <w:color w:val="0000FF"/>
                  <w:w w:val="90"/>
                </w:rPr>
                <w:t>License Agreement, dated June 19, 2002, between the Registrant and Angiogene Pharmaceuticals, Ltd. (incorporated by reference to Exhibit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340" w:type="dxa"/>
            <w:vAlign w:val="bottom"/>
            <w:gridSpan w:val="1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w w:val="93"/>
              </w:rPr>
            </w:pPr>
            <w:hyperlink r:id="rId22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w:t>
              </w:r>
              <w:r>
                <w:rPr>
                  <w:rFonts w:ascii="Arial" w:cs="Arial" w:eastAsia="Arial" w:hAnsi="Arial"/>
                  <w:sz w:val="18"/>
                  <w:szCs w:val="18"/>
                  <w:color w:val="0000FF"/>
                  <w:w w:val="93"/>
                </w:rPr>
                <w:t xml:space="preserve"> of the Registrant’s Registration Statement on Form S-1, as amended (File No. 333-119433), originally filed on October 1, 2004).</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340" w:type="dxa"/>
            <w:vAlign w:val="bottom"/>
            <w:gridSpan w:val="1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Arial" w:cs="Arial" w:eastAsia="Arial" w:hAnsi="Arial"/>
                <w:sz w:val="18"/>
                <w:szCs w:val="18"/>
                <w:color w:val="auto"/>
                <w:w w:val="88"/>
              </w:rPr>
              <w:t>10.5†</w:t>
            </w:r>
          </w:p>
        </w:tc>
        <w:tc>
          <w:tcPr>
            <w:tcW w:w="20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3"/>
              </w:rPr>
            </w:pPr>
            <w:hyperlink r:id="rId228">
              <w:r>
                <w:rPr>
                  <w:rFonts w:ascii="Arial" w:cs="Arial" w:eastAsia="Arial" w:hAnsi="Arial"/>
                  <w:sz w:val="18"/>
                  <w:szCs w:val="18"/>
                  <w:color w:val="0000FF"/>
                  <w:w w:val="93"/>
                </w:rPr>
                <w:t>Exclusive License Agreement, dated February 25, 2004, between the Registrant and Kissei Pharmaceutical Co., Ltd. (incorporated by</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380" w:type="dxa"/>
            <w:vAlign w:val="bottom"/>
            <w:gridSpan w:val="1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w w:val="92"/>
              </w:rPr>
            </w:pPr>
            <w:hyperlink r:id="rId228">
              <w:r>
                <w:rPr>
                  <w:rFonts w:ascii="Arial" w:cs="Arial" w:eastAsia="Arial" w:hAnsi="Arial"/>
                  <w:sz w:val="18"/>
                  <w:szCs w:val="18"/>
                  <w:color w:val="0000FF"/>
                  <w:w w:val="92"/>
                </w:rPr>
                <w:t>reference to Exhibit 10.7 of the Registrant’s Registration Statement on Form S-1, as amended (File No. 333-119433), originally filed on</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480" w:type="dxa"/>
            <w:vAlign w:val="bottom"/>
            <w:gridSpan w:val="18"/>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28">
              <w:r>
                <w:rPr>
                  <w:rFonts w:ascii="Arial" w:cs="Arial" w:eastAsia="Arial" w:hAnsi="Arial"/>
                  <w:sz w:val="18"/>
                  <w:szCs w:val="18"/>
                  <w:color w:val="0000FF"/>
                </w:rPr>
                <w:t>October 1, 2004).</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3"/>
            <w:shd w:val="clear" w:color="auto" w:fill="0000FF"/>
          </w:tcPr>
          <w:p>
            <w:pPr>
              <w:spacing w:after="0" w:line="20" w:lineRule="exact"/>
              <w:rPr>
                <w:sz w:val="1"/>
                <w:szCs w:val="1"/>
                <w:color w:val="auto"/>
              </w:rPr>
            </w:pPr>
          </w:p>
        </w:tc>
        <w:tc>
          <w:tcPr>
            <w:tcW w:w="8480" w:type="dxa"/>
            <w:vAlign w:val="bottom"/>
            <w:gridSpan w:val="1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Arial" w:cs="Arial" w:eastAsia="Arial" w:hAnsi="Arial"/>
                <w:sz w:val="18"/>
                <w:szCs w:val="18"/>
                <w:color w:val="auto"/>
                <w:w w:val="88"/>
              </w:rPr>
              <w:t>10.6†</w:t>
            </w:r>
          </w:p>
        </w:tc>
        <w:tc>
          <w:tcPr>
            <w:tcW w:w="20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1"/>
              </w:rPr>
            </w:pPr>
            <w:hyperlink r:id="rId229">
              <w:r>
                <w:rPr>
                  <w:rFonts w:ascii="Arial" w:cs="Arial" w:eastAsia="Arial" w:hAnsi="Arial"/>
                  <w:sz w:val="18"/>
                  <w:szCs w:val="18"/>
                  <w:color w:val="0000FF"/>
                  <w:w w:val="91"/>
                </w:rPr>
                <w:t>License Agreement, dated October 22, 2004, between the Registrant and Kyorin Pharmaceutical Co., Ltd., (incorporated by reference to</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760" w:type="dxa"/>
            <w:vAlign w:val="bottom"/>
            <w:gridSpan w:val="2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w w:val="92"/>
              </w:rPr>
            </w:pPr>
            <w:hyperlink r:id="rId229">
              <w:r>
                <w:rPr>
                  <w:rFonts w:ascii="Arial" w:cs="Arial" w:eastAsia="Arial" w:hAnsi="Arial"/>
                  <w:sz w:val="18"/>
                  <w:szCs w:val="18"/>
                  <w:color w:val="0000FF"/>
                  <w:w w:val="92"/>
                </w:rPr>
                <w:t>Exhibit 10.18 of the Registrant’s Registration Statement on Form S-1, as amended (File No. 333-119433), originally filed on October 1,</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8"/>
                <w:szCs w:val="18"/>
                <w:color w:val="0000FF"/>
                <w:w w:val="90"/>
              </w:rPr>
            </w:pPr>
            <w:hyperlink r:id="rId229">
              <w:r>
                <w:rPr>
                  <w:rFonts w:ascii="Arial" w:cs="Arial" w:eastAsia="Arial" w:hAnsi="Arial"/>
                  <w:sz w:val="18"/>
                  <w:szCs w:val="18"/>
                  <w:color w:val="0000FF"/>
                  <w:w w:val="90"/>
                </w:rPr>
                <w:t>2004).</w:t>
              </w:r>
            </w:hyperlink>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280" w:type="dxa"/>
            <w:vAlign w:val="bottom"/>
            <w:gridSpan w:val="12"/>
          </w:tcPr>
          <w:p>
            <w:pPr>
              <w:jc w:val="right"/>
              <w:ind w:right="10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018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1018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5"/>
                <w:szCs w:val="15"/>
                <w:color w:val="auto"/>
              </w:rPr>
            </w:pPr>
          </w:p>
        </w:tc>
        <w:tc>
          <w:tcPr>
            <w:tcW w:w="10180" w:type="dxa"/>
            <w:vAlign w:val="bottom"/>
            <w:gridSpan w:val="22"/>
          </w:tcPr>
          <w:p>
            <w:pPr>
              <w:spacing w:after="0" w:line="182" w:lineRule="exact"/>
              <w:rPr>
                <w:rFonts w:ascii="Arial" w:cs="Arial" w:eastAsia="Arial" w:hAnsi="Arial"/>
                <w:sz w:val="18"/>
                <w:szCs w:val="18"/>
                <w:color w:val="0000FF"/>
                <w:w w:val="94"/>
              </w:rPr>
            </w:pPr>
            <w:hyperlink r:id="rId232">
              <w:r>
                <w:rPr>
                  <w:rFonts w:ascii="Arial" w:cs="Arial" w:eastAsia="Arial" w:hAnsi="Arial"/>
                  <w:sz w:val="18"/>
                  <w:szCs w:val="18"/>
                  <w:color w:val="0000FF"/>
                  <w:w w:val="94"/>
                </w:rPr>
                <w:t>License Agreement, dated October 31, 2006, by and between the Registrant and Meiji Seika Kaisha, Ltd.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2">
              <w:r>
                <w:rPr>
                  <w:rFonts w:ascii="Arial" w:cs="Arial" w:eastAsia="Arial" w:hAnsi="Arial"/>
                  <w:sz w:val="18"/>
                  <w:szCs w:val="18"/>
                  <w:color w:val="0000FF"/>
                </w:rPr>
                <w:t>Exhibit 10.1 of the Registrant’s Current Report on Form 8-K (File No. 000-51133) filed November 2,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4"/>
              </w:rPr>
            </w:pPr>
            <w:hyperlink r:id="rId233">
              <w:r>
                <w:rPr>
                  <w:rFonts w:ascii="Arial" w:cs="Arial" w:eastAsia="Arial" w:hAnsi="Arial"/>
                  <w:sz w:val="18"/>
                  <w:szCs w:val="18"/>
                  <w:color w:val="0000FF"/>
                  <w:w w:val="94"/>
                </w:rPr>
                <w:t>License Agreement, dated October 31, 2006, by and between the Registrant and Meiji Seika Kaisha, Ltd.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3">
              <w:r>
                <w:rPr>
                  <w:rFonts w:ascii="Arial" w:cs="Arial" w:eastAsia="Arial" w:hAnsi="Arial"/>
                  <w:sz w:val="18"/>
                  <w:szCs w:val="18"/>
                  <w:color w:val="0000FF"/>
                </w:rPr>
                <w:t>Exhibit 10.2 of the Registrant’s Current Report on Form 8-K (File No. 000-51133) filed November 2,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1"/>
              </w:rPr>
            </w:pPr>
            <w:hyperlink r:id="rId234">
              <w:r>
                <w:rPr>
                  <w:rFonts w:ascii="Arial" w:cs="Arial" w:eastAsia="Arial" w:hAnsi="Arial"/>
                  <w:sz w:val="18"/>
                  <w:szCs w:val="18"/>
                  <w:color w:val="0000FF"/>
                  <w:w w:val="91"/>
                </w:rPr>
                <w:t>Executive Employment Agreement, dated April 1, 2007, between the Registrant and Yuichi Iwaki, M.D., Ph.D.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4">
              <w:r>
                <w:rPr>
                  <w:rFonts w:ascii="Arial" w:cs="Arial" w:eastAsia="Arial" w:hAnsi="Arial"/>
                  <w:sz w:val="18"/>
                  <w:szCs w:val="18"/>
                  <w:color w:val="0000FF"/>
                </w:rPr>
                <w:t>Exhibit 10.1 of the Registrant’s Current Report on Form 8-K (File No. 001-33185) filed April 4, 2007).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6"/>
              </w:rPr>
            </w:pPr>
            <w:hyperlink r:id="rId235">
              <w:r>
                <w:rPr>
                  <w:rFonts w:ascii="Arial" w:cs="Arial" w:eastAsia="Arial" w:hAnsi="Arial"/>
                  <w:sz w:val="18"/>
                  <w:szCs w:val="18"/>
                  <w:color w:val="0000FF"/>
                  <w:w w:val="96"/>
                </w:rPr>
                <w:t>2007 Employee Stock Purchase Plan of the Registrant (incorporated by reference to Appendix A of the Registrant’s Definitive Proxy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5">
              <w:r>
                <w:rPr>
                  <w:rFonts w:ascii="Arial" w:cs="Arial" w:eastAsia="Arial" w:hAnsi="Arial"/>
                  <w:sz w:val="18"/>
                  <w:szCs w:val="18"/>
                  <w:color w:val="0000FF"/>
                </w:rPr>
                <w:t>Statement on Schedule 14A (File No. 001-33185) filed March 13, 2007).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3"/>
              </w:rPr>
            </w:pPr>
            <w:hyperlink r:id="rId236">
              <w:r>
                <w:rPr>
                  <w:rFonts w:ascii="Arial" w:cs="Arial" w:eastAsia="Arial" w:hAnsi="Arial"/>
                  <w:sz w:val="18"/>
                  <w:szCs w:val="18"/>
                  <w:color w:val="0000FF"/>
                  <w:w w:val="93"/>
                </w:rPr>
                <w:t>Development and Supply Agreement, dated as of March 26, 2009, between the Registrant and Hospira Worldwide, Inc.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6">
              <w:r>
                <w:rPr>
                  <w:rFonts w:ascii="Arial" w:cs="Arial" w:eastAsia="Arial" w:hAnsi="Arial"/>
                  <w:sz w:val="18"/>
                  <w:szCs w:val="18"/>
                  <w:color w:val="0000FF"/>
                </w:rPr>
                <w:t>reference to Exhibit 10.1 of the Registrant’s Current Report on Form 8-K (File No. 001-33185) filed March 30, 2009).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2"/>
              </w:rPr>
            </w:pPr>
            <w:hyperlink r:id="rId237">
              <w:r>
                <w:rPr>
                  <w:rFonts w:ascii="Arial" w:cs="Arial" w:eastAsia="Arial" w:hAnsi="Arial"/>
                  <w:sz w:val="18"/>
                  <w:szCs w:val="18"/>
                  <w:color w:val="0000FF"/>
                  <w:w w:val="92"/>
                </w:rPr>
                <w:t>Assignment Agreement, dated December 19, 2005, between Genzyme Corporation and Avigen, Inc. (incorporated by reference to Exhibit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7">
              <w:r>
                <w:rPr>
                  <w:rFonts w:ascii="Arial" w:cs="Arial" w:eastAsia="Arial" w:hAnsi="Arial"/>
                  <w:sz w:val="18"/>
                  <w:szCs w:val="18"/>
                  <w:color w:val="0000FF"/>
                </w:rPr>
                <w:t>10.</w:t>
              </w:r>
              <w:r>
                <w:rPr>
                  <w:rFonts w:ascii="Arial" w:cs="Arial" w:eastAsia="Arial" w:hAnsi="Arial"/>
                  <w:sz w:val="18"/>
                  <w:szCs w:val="18"/>
                  <w:u w:val="single" w:color="auto"/>
                  <w:color w:val="0000FF"/>
                </w:rPr>
                <w:t>58</w:t>
              </w:r>
              <w:r>
                <w:rPr>
                  <w:rFonts w:ascii="Arial" w:cs="Arial" w:eastAsia="Arial" w:hAnsi="Arial"/>
                  <w:sz w:val="18"/>
                  <w:szCs w:val="18"/>
                  <w:color w:val="0000FF"/>
                </w:rPr>
                <w:t xml:space="preserve"> of Avigen, Inc.’s Annual Report on Form 10-K (File No. 000-51133) filed February 16,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5"/>
              </w:rPr>
            </w:pPr>
            <w:hyperlink r:id="rId238">
              <w:r>
                <w:rPr>
                  <w:rFonts w:ascii="Arial" w:cs="Arial" w:eastAsia="Arial" w:hAnsi="Arial"/>
                  <w:sz w:val="18"/>
                  <w:szCs w:val="18"/>
                  <w:color w:val="0000FF"/>
                  <w:w w:val="95"/>
                </w:rPr>
                <w:t>Asset Purchase Agreement, dated December 17, 2008, between Baxter Healthcare Corporation, Baxter International Inc., and Baxter</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w w:val="95"/>
              </w:rPr>
            </w:pPr>
            <w:hyperlink r:id="rId238">
              <w:r>
                <w:rPr>
                  <w:rFonts w:ascii="Arial" w:cs="Arial" w:eastAsia="Arial" w:hAnsi="Arial"/>
                  <w:sz w:val="18"/>
                  <w:szCs w:val="18"/>
                  <w:color w:val="0000FF"/>
                  <w:w w:val="95"/>
                </w:rPr>
                <w:t>Healthcare S.A. and Avigen, Inc. (incorporated by reference to Exhibit 2.2 of Avigen, Inc.’s Annual Report on Form 10-K (File No. 001-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8">
              <w:r>
                <w:rPr>
                  <w:rFonts w:ascii="Arial" w:cs="Arial" w:eastAsia="Arial" w:hAnsi="Arial"/>
                  <w:sz w:val="18"/>
                  <w:szCs w:val="18"/>
                  <w:color w:val="0000FF"/>
                </w:rPr>
                <w:t>33185) filed March 31, 2009).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8"/>
              </w:rPr>
            </w:pPr>
            <w:hyperlink r:id="rId239">
              <w:r>
                <w:rPr>
                  <w:rFonts w:ascii="Arial" w:cs="Arial" w:eastAsia="Arial" w:hAnsi="Arial"/>
                  <w:sz w:val="18"/>
                  <w:szCs w:val="18"/>
                  <w:color w:val="0000FF"/>
                  <w:w w:val="98"/>
                </w:rPr>
                <w:t>Form of Amendment to Employment Agreement, dated December 31, 2011, between the Registrant and Yuichi Iwaki, M.D., Ph.D.</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w w:val="95"/>
              </w:rPr>
            </w:pPr>
            <w:hyperlink r:id="rId239">
              <w:r>
                <w:rPr>
                  <w:rFonts w:ascii="Arial" w:cs="Arial" w:eastAsia="Arial" w:hAnsi="Arial"/>
                  <w:sz w:val="18"/>
                  <w:szCs w:val="18"/>
                  <w:color w:val="0000FF"/>
                  <w:w w:val="95"/>
                </w:rPr>
                <w:t>(incorporated by reference to Exhibit 10.1 of the Registrant’s Current Report on Form 8-K (File No. 001-33185) filed January 4, 2011).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1"/>
              </w:rPr>
            </w:pPr>
            <w:hyperlink r:id="rId240">
              <w:r>
                <w:rPr>
                  <w:rFonts w:ascii="Arial" w:cs="Arial" w:eastAsia="Arial" w:hAnsi="Arial"/>
                  <w:sz w:val="18"/>
                  <w:szCs w:val="18"/>
                  <w:color w:val="0000FF"/>
                  <w:w w:val="91"/>
                </w:rPr>
                <w:t>Sublease, by and between MediciNova, Inc. and Cardinal Health 127 Inc., dated August 31, 2017 (incorporated by reference to Exhibit 10.1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0">
              <w:r>
                <w:rPr>
                  <w:rFonts w:ascii="Arial" w:cs="Arial" w:eastAsia="Arial" w:hAnsi="Arial"/>
                  <w:sz w:val="18"/>
                  <w:szCs w:val="18"/>
                  <w:color w:val="0000FF"/>
                </w:rPr>
                <w:t>to Current Report on Form 8-K (File No. 001-33185) filed with the SEC on September 7, 2017).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0" w:type="dxa"/>
            <w:vAlign w:val="bottom"/>
          </w:tcPr>
          <w:p>
            <w:pPr>
              <w:ind w:left="2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4"/>
              </w:rPr>
            </w:pPr>
            <w:hyperlink r:id="rId241">
              <w:r>
                <w:rPr>
                  <w:rFonts w:ascii="Arial" w:cs="Arial" w:eastAsia="Arial" w:hAnsi="Arial"/>
                  <w:sz w:val="18"/>
                  <w:szCs w:val="18"/>
                  <w:color w:val="0000FF"/>
                  <w:w w:val="94"/>
                </w:rPr>
                <w:t>2013 Equity Incentive Plan of the Registrant (incorporated by reference to Exhibit 10.23 of the Registrant’s Annual Report on Form 10-K</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1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1">
              <w:r>
                <w:rPr>
                  <w:rFonts w:ascii="Arial" w:cs="Arial" w:eastAsia="Arial" w:hAnsi="Arial"/>
                  <w:sz w:val="18"/>
                  <w:szCs w:val="18"/>
                  <w:color w:val="0000FF"/>
                </w:rPr>
                <w:t>(File No. 001-33185) filed March 27,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0" w:type="dxa"/>
            <w:vAlign w:val="bottom"/>
          </w:tcPr>
          <w:p>
            <w:pPr>
              <w:ind w:left="20"/>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1"/>
              </w:rPr>
            </w:pPr>
            <w:hyperlink r:id="rId242">
              <w:r>
                <w:rPr>
                  <w:rFonts w:ascii="Arial" w:cs="Arial" w:eastAsia="Arial" w:hAnsi="Arial"/>
                  <w:sz w:val="18"/>
                  <w:szCs w:val="18"/>
                  <w:color w:val="0000FF"/>
                  <w:w w:val="91"/>
                </w:rPr>
                <w:t>Amended and Restated 2013 Equity Incentive Plan of the Registrant. (incorporated by reference to Exhibit 10.1 of the Registrant’s Quarterly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1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2">
              <w:r>
                <w:rPr>
                  <w:rFonts w:ascii="Arial" w:cs="Arial" w:eastAsia="Arial" w:hAnsi="Arial"/>
                  <w:sz w:val="18"/>
                  <w:szCs w:val="18"/>
                  <w:color w:val="0000FF"/>
                </w:rPr>
                <w:t>Report on Form 10-Q (File No. 001-33185) filed July 26, 2017).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2"/>
              </w:rPr>
            </w:pPr>
            <w:hyperlink r:id="rId243">
              <w:r>
                <w:rPr>
                  <w:rFonts w:ascii="Arial" w:cs="Arial" w:eastAsia="Arial" w:hAnsi="Arial"/>
                  <w:sz w:val="18"/>
                  <w:szCs w:val="18"/>
                  <w:color w:val="0000FF"/>
                  <w:w w:val="92"/>
                </w:rPr>
                <w:t>Form of Notice of Stock Option Grant and Stock Option Agreement for awards pursuant to the 2013 Equity Incentive Plan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3">
              <w:r>
                <w:rPr>
                  <w:rFonts w:ascii="Arial" w:cs="Arial" w:eastAsia="Arial" w:hAnsi="Arial"/>
                  <w:sz w:val="18"/>
                  <w:szCs w:val="18"/>
                  <w:color w:val="0000FF"/>
                </w:rPr>
                <w:t>reference to Exhibit 10.3 of the Registrant’s Quarterly Report on Form 10-Q (File No. 001-33185) filed November 7, 2013).</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1"/>
              </w:rPr>
            </w:pPr>
            <w:hyperlink r:id="rId244">
              <w:r>
                <w:rPr>
                  <w:rFonts w:ascii="Arial" w:cs="Arial" w:eastAsia="Arial" w:hAnsi="Arial"/>
                  <w:sz w:val="18"/>
                  <w:szCs w:val="18"/>
                  <w:color w:val="0000FF"/>
                  <w:w w:val="91"/>
                </w:rPr>
                <w:t>Severance Protection Agreement, dated July 14, 2014, by and between MediciNova, Inc. and Dr. Yuichi Iwaki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4">
              <w:r>
                <w:rPr>
                  <w:rFonts w:ascii="Arial" w:cs="Arial" w:eastAsia="Arial" w:hAnsi="Arial"/>
                  <w:sz w:val="18"/>
                  <w:szCs w:val="18"/>
                  <w:color w:val="0000FF"/>
                </w:rPr>
                <w:t>Exhibit 10.2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7"/>
              </w:rPr>
            </w:pPr>
            <w:hyperlink r:id="rId245">
              <w:r>
                <w:rPr>
                  <w:rFonts w:ascii="Arial" w:cs="Arial" w:eastAsia="Arial" w:hAnsi="Arial"/>
                  <w:sz w:val="18"/>
                  <w:szCs w:val="18"/>
                  <w:color w:val="0000FF"/>
                  <w:w w:val="97"/>
                </w:rPr>
                <w:t>Severance Protection Agreement, dated July 14, 2014, by and between MediciNova, Inc. and Dr. Kazuko Matsuda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5">
              <w:r>
                <w:rPr>
                  <w:rFonts w:ascii="Arial" w:cs="Arial" w:eastAsia="Arial" w:hAnsi="Arial"/>
                  <w:sz w:val="18"/>
                  <w:szCs w:val="18"/>
                  <w:color w:val="0000FF"/>
                </w:rPr>
                <w:t>reference to Exhibit 10.4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0" w:type="dxa"/>
            <w:vAlign w:val="bottom"/>
          </w:tcPr>
          <w:p>
            <w:pPr>
              <w:ind w:left="20"/>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0"/>
              </w:rPr>
            </w:pPr>
            <w:hyperlink r:id="rId246">
              <w:r>
                <w:rPr>
                  <w:rFonts w:ascii="Arial" w:cs="Arial" w:eastAsia="Arial" w:hAnsi="Arial"/>
                  <w:sz w:val="18"/>
                  <w:szCs w:val="18"/>
                  <w:color w:val="0000FF"/>
                  <w:w w:val="90"/>
                </w:rPr>
                <w:t>Severance Protection Agreement, dated July 14, 2014, by and between MediciNova, Inc. and Geoffrey O’Brien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6">
              <w:r>
                <w:rPr>
                  <w:rFonts w:ascii="Arial" w:cs="Arial" w:eastAsia="Arial" w:hAnsi="Arial"/>
                  <w:sz w:val="18"/>
                  <w:szCs w:val="18"/>
                  <w:color w:val="0000FF"/>
                </w:rPr>
                <w:t>Exhibit 10.5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tcBorders>
            <w:gridSpan w:val="3"/>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4"/>
              </w:rPr>
            </w:pPr>
            <w:hyperlink r:id="rId247">
              <w:r>
                <w:rPr>
                  <w:rFonts w:ascii="Arial" w:cs="Arial" w:eastAsia="Arial" w:hAnsi="Arial"/>
                  <w:sz w:val="18"/>
                  <w:szCs w:val="18"/>
                  <w:color w:val="0000FF"/>
                  <w:w w:val="94"/>
                </w:rPr>
                <w:t>At Market Issuance Sales Agreement, dated August 23, 2019, by and between MediciNova, Inc. and B. Riley FBR, Inc.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7">
              <w:r>
                <w:rPr>
                  <w:rFonts w:ascii="Arial" w:cs="Arial" w:eastAsia="Arial" w:hAnsi="Arial"/>
                  <w:sz w:val="18"/>
                  <w:szCs w:val="18"/>
                  <w:color w:val="0000FF"/>
                </w:rPr>
                <w:t>reference to Exhibit 10.1 of the Registrant’s Current Report on Form 8-K (File No. 001-33185) filed August 23, 2019).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0"/>
              </w:rPr>
            </w:pPr>
            <w:hyperlink r:id="rId248">
              <w:r>
                <w:rPr>
                  <w:rFonts w:ascii="Arial" w:cs="Arial" w:eastAsia="Arial" w:hAnsi="Arial"/>
                  <w:sz w:val="18"/>
                  <w:szCs w:val="18"/>
                  <w:color w:val="0000FF"/>
                  <w:w w:val="90"/>
                </w:rPr>
                <w:t>Securities Purchase Agreement, dated January 11, 2021, between the Company and 3D Opportunity Master Fund (incorporated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2280" w:type="dxa"/>
            <w:vAlign w:val="bottom"/>
            <w:tcBorders>
              <w:left w:val="single" w:sz="8" w:color="0000FF"/>
            </w:tcBorders>
            <w:gridSpan w:val="1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8">
              <w:r>
                <w:rPr>
                  <w:rFonts w:ascii="Arial" w:cs="Arial" w:eastAsia="Arial" w:hAnsi="Arial"/>
                  <w:sz w:val="18"/>
                  <w:szCs w:val="18"/>
                  <w:color w:val="0000FF"/>
                </w:rPr>
                <w:t>to Exhibit 10.1 of the Registrant’s Current Report on Form 8-K (File No. 001-33185) filed January 12, 2021.</w:t>
              </w:r>
            </w:hyperlink>
          </w:p>
        </w:tc>
        <w:tc>
          <w:tcPr>
            <w:tcW w:w="0" w:type="dxa"/>
            <w:vAlign w:val="bottom"/>
          </w:tcPr>
          <w:p>
            <w:pPr>
              <w:spacing w:after="0"/>
              <w:rPr>
                <w:sz w:val="1"/>
                <w:szCs w:val="1"/>
                <w:color w:val="auto"/>
              </w:rPr>
            </w:pPr>
          </w:p>
        </w:tc>
      </w:tr>
      <w:tr>
        <w:trPr>
          <w:trHeight w:val="561"/>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tcBorders>
              <w:top w:val="single" w:sz="8" w:color="0000FF"/>
            </w:tcBorders>
            <w:gridSpan w:val="4"/>
          </w:tcPr>
          <w:p>
            <w:pPr>
              <w:jc w:val="right"/>
              <w:ind w:right="580"/>
              <w:spacing w:after="0"/>
              <w:rPr>
                <w:sz w:val="20"/>
                <w:szCs w:val="20"/>
                <w:color w:val="auto"/>
              </w:rPr>
            </w:pPr>
            <w:r>
              <w:rPr>
                <w:rFonts w:ascii="Arial" w:cs="Arial" w:eastAsia="Arial" w:hAnsi="Arial"/>
                <w:sz w:val="18"/>
                <w:szCs w:val="18"/>
                <w:color w:val="auto"/>
              </w:rPr>
              <w:t>95</w:t>
            </w:r>
          </w:p>
        </w:tc>
        <w:tc>
          <w:tcPr>
            <w:tcW w:w="17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01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1018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Arial" w:cs="Arial" w:eastAsia="Arial" w:hAnsi="Arial"/>
                <w:sz w:val="18"/>
                <w:szCs w:val="18"/>
                <w:color w:val="auto"/>
              </w:rPr>
              <w:t>10.24</w:t>
            </w:r>
          </w:p>
        </w:tc>
        <w:tc>
          <w:tcPr>
            <w:tcW w:w="200" w:type="dxa"/>
            <w:vAlign w:val="bottom"/>
          </w:tcPr>
          <w:p>
            <w:pPr>
              <w:spacing w:after="0"/>
              <w:rPr>
                <w:sz w:val="15"/>
                <w:szCs w:val="15"/>
                <w:color w:val="auto"/>
              </w:rPr>
            </w:pPr>
          </w:p>
        </w:tc>
        <w:tc>
          <w:tcPr>
            <w:tcW w:w="10180" w:type="dxa"/>
            <w:vAlign w:val="bottom"/>
            <w:gridSpan w:val="8"/>
          </w:tcPr>
          <w:p>
            <w:pPr>
              <w:spacing w:after="0" w:line="182" w:lineRule="exact"/>
              <w:rPr>
                <w:rFonts w:ascii="Arial" w:cs="Arial" w:eastAsia="Arial" w:hAnsi="Arial"/>
                <w:sz w:val="18"/>
                <w:szCs w:val="18"/>
                <w:color w:val="0000FF"/>
                <w:w w:val="90"/>
              </w:rPr>
            </w:pPr>
            <w:hyperlink r:id="rId251">
              <w:r>
                <w:rPr>
                  <w:rFonts w:ascii="Arial" w:cs="Arial" w:eastAsia="Arial" w:hAnsi="Arial"/>
                  <w:sz w:val="18"/>
                  <w:szCs w:val="18"/>
                  <w:color w:val="0000FF"/>
                  <w:w w:val="90"/>
                </w:rPr>
                <w:t>Shareholder Rights Agreement, dated January 11, 2021, between the Company and 3D Opportunity Master Fund (incorporated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8"/>
          </w:tcPr>
          <w:p>
            <w:pPr>
              <w:spacing w:after="0" w:line="196" w:lineRule="exact"/>
              <w:rPr>
                <w:rFonts w:ascii="Arial" w:cs="Arial" w:eastAsia="Arial" w:hAnsi="Arial"/>
                <w:sz w:val="18"/>
                <w:szCs w:val="18"/>
                <w:color w:val="0000FF"/>
              </w:rPr>
            </w:pPr>
            <w:hyperlink r:id="rId251">
              <w:r>
                <w:rPr>
                  <w:rFonts w:ascii="Arial" w:cs="Arial" w:eastAsia="Arial" w:hAnsi="Arial"/>
                  <w:sz w:val="18"/>
                  <w:szCs w:val="18"/>
                  <w:color w:val="0000FF"/>
                </w:rPr>
                <w:t>to Exhibit 10.2 of the Registrant’s Current Report on Form 8-K (File No. 001-33185) filed January 12,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4"/>
                <w:szCs w:val="24"/>
                <w:color w:val="auto"/>
              </w:rPr>
            </w:pPr>
          </w:p>
        </w:tc>
        <w:tc>
          <w:tcPr>
            <w:tcW w:w="10180" w:type="dxa"/>
            <w:vAlign w:val="bottom"/>
            <w:gridSpan w:val="8"/>
          </w:tcPr>
          <w:p>
            <w:pPr>
              <w:spacing w:after="0"/>
              <w:rPr>
                <w:rFonts w:ascii="Arial" w:cs="Arial" w:eastAsia="Arial" w:hAnsi="Arial"/>
                <w:sz w:val="18"/>
                <w:szCs w:val="18"/>
                <w:color w:val="0000FF"/>
                <w:w w:val="93"/>
              </w:rPr>
            </w:pPr>
            <w:hyperlink r:id="rId252">
              <w:r>
                <w:rPr>
                  <w:rFonts w:ascii="Arial" w:cs="Arial" w:eastAsia="Arial" w:hAnsi="Arial"/>
                  <w:sz w:val="18"/>
                  <w:szCs w:val="18"/>
                  <w:color w:val="0000FF"/>
                  <w:w w:val="93"/>
                </w:rPr>
                <w:t>Services Agreement, dated August 1, 2021, by and between MediciNova, Inc. and Signature Analytics LLC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8"/>
          </w:tcPr>
          <w:p>
            <w:pPr>
              <w:spacing w:after="0" w:line="196" w:lineRule="exact"/>
              <w:rPr>
                <w:rFonts w:ascii="Arial" w:cs="Arial" w:eastAsia="Arial" w:hAnsi="Arial"/>
                <w:sz w:val="18"/>
                <w:szCs w:val="18"/>
                <w:color w:val="0000FF"/>
              </w:rPr>
            </w:pPr>
            <w:hyperlink r:id="rId252">
              <w:r>
                <w:rPr>
                  <w:rFonts w:ascii="Arial" w:cs="Arial" w:eastAsia="Arial" w:hAnsi="Arial"/>
                  <w:sz w:val="18"/>
                  <w:szCs w:val="18"/>
                  <w:color w:val="0000FF"/>
                </w:rPr>
                <w:t>Exhibit 10.1 of the Registrant’s Current Report on Form 8-K (File No. 001-33185) filed August 2,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4"/>
                <w:szCs w:val="24"/>
                <w:color w:val="auto"/>
              </w:rPr>
            </w:pPr>
          </w:p>
        </w:tc>
        <w:tc>
          <w:tcPr>
            <w:tcW w:w="10180" w:type="dxa"/>
            <w:vAlign w:val="bottom"/>
            <w:gridSpan w:val="8"/>
          </w:tcPr>
          <w:p>
            <w:pPr>
              <w:spacing w:after="0"/>
              <w:rPr>
                <w:rFonts w:ascii="Arial" w:cs="Arial" w:eastAsia="Arial" w:hAnsi="Arial"/>
                <w:sz w:val="18"/>
                <w:szCs w:val="18"/>
                <w:color w:val="0000FF"/>
                <w:w w:val="91"/>
              </w:rPr>
            </w:pPr>
            <w:hyperlink r:id="rId253">
              <w:r>
                <w:rPr>
                  <w:rFonts w:ascii="Arial" w:cs="Arial" w:eastAsia="Arial" w:hAnsi="Arial"/>
                  <w:sz w:val="18"/>
                  <w:szCs w:val="18"/>
                  <w:color w:val="0000FF"/>
                  <w:w w:val="91"/>
                </w:rPr>
                <w:t>Lease, dated July 20, 2021, by and between MediciNova, Inc. and the Irvine Company LLC (incorporated by reference to Exhibit 99.1 of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8"/>
          </w:tcPr>
          <w:p>
            <w:pPr>
              <w:spacing w:after="0" w:line="196" w:lineRule="exact"/>
              <w:rPr>
                <w:rFonts w:ascii="Arial" w:cs="Arial" w:eastAsia="Arial" w:hAnsi="Arial"/>
                <w:sz w:val="18"/>
                <w:szCs w:val="18"/>
                <w:color w:val="0000FF"/>
              </w:rPr>
            </w:pPr>
            <w:hyperlink r:id="rId253">
              <w:r>
                <w:rPr>
                  <w:rFonts w:ascii="Arial" w:cs="Arial" w:eastAsia="Arial" w:hAnsi="Arial"/>
                  <w:sz w:val="18"/>
                  <w:szCs w:val="18"/>
                  <w:color w:val="0000FF"/>
                </w:rPr>
                <w:t>Registrant’s Current Report on Form 8-K (File No. 001-33185) filed July 23,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0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24"/>
                <w:szCs w:val="24"/>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0000FF"/>
              </w:rPr>
              <w:t>Comprehensive Termination Agreement, by and between Medicinova, Inc. and Kissei Pharmaceutical Co., Ltd.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40" w:hanging="10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-10160</wp:posOffset>
            </wp:positionV>
            <wp:extent cx="13773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23.1</w:t>
            </w:r>
          </w:p>
        </w:tc>
        <w:tc>
          <w:tcPr>
            <w:tcW w:w="9780" w:type="dxa"/>
            <w:vAlign w:val="bottom"/>
            <w:gridSpan w:val="6"/>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24.1</w:t>
            </w:r>
          </w:p>
        </w:tc>
        <w:tc>
          <w:tcPr>
            <w:tcW w:w="9780" w:type="dxa"/>
            <w:vAlign w:val="bottom"/>
            <w:gridSpan w:val="6"/>
          </w:tcPr>
          <w:p>
            <w:pPr>
              <w:spacing w:after="0"/>
              <w:rPr>
                <w:sz w:val="20"/>
                <w:szCs w:val="20"/>
                <w:color w:val="auto"/>
              </w:rPr>
            </w:pPr>
            <w:r>
              <w:rPr>
                <w:rFonts w:ascii="Arial" w:cs="Arial" w:eastAsia="Arial" w:hAnsi="Arial"/>
                <w:sz w:val="18"/>
                <w:szCs w:val="18"/>
                <w:color w:val="0000FF"/>
              </w:rPr>
              <w:t>Powers of Attorney (see signature page).</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9780" w:type="dxa"/>
            <w:vAlign w:val="bottom"/>
            <w:gridSpan w:val="6"/>
          </w:tcPr>
          <w:p>
            <w:pPr>
              <w:spacing w:after="0"/>
              <w:rPr>
                <w:sz w:val="20"/>
                <w:szCs w:val="20"/>
                <w:color w:val="auto"/>
              </w:rPr>
            </w:pPr>
            <w:r>
              <w:rPr>
                <w:rFonts w:ascii="Arial" w:cs="Arial" w:eastAsia="Arial" w:hAnsi="Arial"/>
                <w:sz w:val="18"/>
                <w:szCs w:val="18"/>
                <w:color w:val="0000FF"/>
                <w:w w:val="94"/>
              </w:rPr>
              <w:t>Certification of the Principal Executive Officer pursuant to Rules 13a-14 and 15d-14 promulgated under the Securities Act of 1933.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4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9780" w:type="dxa"/>
            <w:vAlign w:val="bottom"/>
            <w:gridSpan w:val="6"/>
          </w:tcPr>
          <w:p>
            <w:pPr>
              <w:spacing w:after="0"/>
              <w:rPr>
                <w:sz w:val="20"/>
                <w:szCs w:val="20"/>
                <w:color w:val="auto"/>
              </w:rPr>
            </w:pPr>
            <w:r>
              <w:rPr>
                <w:rFonts w:ascii="Arial" w:cs="Arial" w:eastAsia="Arial" w:hAnsi="Arial"/>
                <w:sz w:val="18"/>
                <w:szCs w:val="18"/>
                <w:color w:val="0000FF"/>
                <w:w w:val="94"/>
              </w:rPr>
              <w:t>Certification of the Principal Financial Officer pursuant to Rules 13a-14 and 15d-14 promulgated under the Securities Act of 1933.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4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32.1</w:t>
            </w:r>
          </w:p>
        </w:tc>
        <w:tc>
          <w:tcPr>
            <w:tcW w:w="9780" w:type="dxa"/>
            <w:vAlign w:val="bottom"/>
            <w:gridSpan w:val="6"/>
          </w:tcPr>
          <w:p>
            <w:pPr>
              <w:spacing w:after="0"/>
              <w:rPr>
                <w:sz w:val="20"/>
                <w:szCs w:val="20"/>
                <w:color w:val="auto"/>
              </w:rPr>
            </w:pPr>
            <w:r>
              <w:rPr>
                <w:rFonts w:ascii="Arial" w:cs="Arial" w:eastAsia="Arial" w:hAnsi="Arial"/>
                <w:sz w:val="18"/>
                <w:szCs w:val="18"/>
                <w:color w:val="0000FF"/>
                <w:w w:val="90"/>
              </w:rPr>
              <w:t>Certification of the Principal Executive Officer pursuant to 18 U.S.C. Section 1350, as adopted pursuant to Section 906 of the Sarbanes-</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6"/>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32.2</w:t>
            </w:r>
          </w:p>
        </w:tc>
        <w:tc>
          <w:tcPr>
            <w:tcW w:w="9780" w:type="dxa"/>
            <w:vAlign w:val="bottom"/>
            <w:gridSpan w:val="6"/>
          </w:tcPr>
          <w:p>
            <w:pPr>
              <w:spacing w:after="0"/>
              <w:rPr>
                <w:sz w:val="20"/>
                <w:szCs w:val="20"/>
                <w:color w:val="auto"/>
              </w:rPr>
            </w:pPr>
            <w:r>
              <w:rPr>
                <w:rFonts w:ascii="Arial" w:cs="Arial" w:eastAsia="Arial" w:hAnsi="Arial"/>
                <w:sz w:val="18"/>
                <w:szCs w:val="18"/>
                <w:color w:val="0000FF"/>
                <w:w w:val="90"/>
              </w:rPr>
              <w:t>Certification of the Principal Financial Officer pursuant to 18 U.S.C. Section 1350, as adopted pursuant to Section 906 of the Sarbanes-</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6"/>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left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40" w:right="160" w:hanging="1019"/>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financial statements from MediciNova, Inc. on Form 10-K as of and for the year ended December 31, 2022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241" w:lineRule="exact"/>
        <w:rPr>
          <w:sz w:val="20"/>
          <w:szCs w:val="20"/>
          <w:color w:val="auto"/>
        </w:rPr>
      </w:pPr>
    </w:p>
    <w:p>
      <w:pPr>
        <w:ind w:left="1040" w:hanging="1019"/>
        <w:spacing w:after="0"/>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1" w:lineRule="exact"/>
        <w:rPr>
          <w:rFonts w:ascii="Arial" w:cs="Arial" w:eastAsia="Arial" w:hAnsi="Arial"/>
          <w:sz w:val="18"/>
          <w:szCs w:val="18"/>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9030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10-K/A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ind w:left="228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EDICINOVA</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40" w:type="dxa"/>
            <w:vAlign w:val="bottom"/>
            <w:gridSpan w:val="5"/>
          </w:tcPr>
          <w:p>
            <w:pPr>
              <w:ind w:left="2280"/>
              <w:spacing w:after="0"/>
              <w:rPr>
                <w:sz w:val="20"/>
                <w:szCs w:val="20"/>
                <w:color w:val="auto"/>
              </w:rPr>
            </w:pPr>
            <w:r>
              <w:rPr>
                <w:rFonts w:ascii="Arial" w:cs="Arial" w:eastAsia="Arial" w:hAnsi="Arial"/>
                <w:sz w:val="18"/>
                <w:szCs w:val="18"/>
                <w:color w:val="auto"/>
              </w:rPr>
              <w:t>A Delaware Corporation</w:t>
            </w:r>
          </w:p>
        </w:tc>
      </w:tr>
      <w:tr>
        <w:trPr>
          <w:trHeight w:val="520"/>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Date: March 28, 2023</w:t>
            </w:r>
          </w:p>
        </w:tc>
        <w:tc>
          <w:tcPr>
            <w:tcW w:w="120" w:type="dxa"/>
            <w:vAlign w:val="bottom"/>
          </w:tcPr>
          <w:p>
            <w:pPr>
              <w:spacing w:after="0"/>
              <w:rPr>
                <w:sz w:val="24"/>
                <w:szCs w:val="24"/>
                <w:color w:val="auto"/>
              </w:rPr>
            </w:pPr>
          </w:p>
        </w:tc>
        <w:tc>
          <w:tcPr>
            <w:tcW w:w="3620" w:type="dxa"/>
            <w:vAlign w:val="bottom"/>
            <w:gridSpan w:val="2"/>
          </w:tcPr>
          <w:p>
            <w:pPr>
              <w:ind w:left="2280"/>
              <w:spacing w:after="0"/>
              <w:rPr>
                <w:sz w:val="20"/>
                <w:szCs w:val="20"/>
                <w:color w:val="auto"/>
              </w:rPr>
            </w:pPr>
            <w:r>
              <w:rPr>
                <w:rFonts w:ascii="Arial" w:cs="Arial" w:eastAsia="Arial" w:hAnsi="Arial"/>
                <w:sz w:val="18"/>
                <w:szCs w:val="18"/>
                <w:color w:val="auto"/>
              </w:rPr>
              <w:t>By:</w:t>
            </w:r>
          </w:p>
        </w:tc>
        <w:tc>
          <w:tcPr>
            <w:tcW w:w="3620" w:type="dxa"/>
            <w:vAlign w:val="bottom"/>
            <w:gridSpan w:val="3"/>
          </w:tcPr>
          <w:p>
            <w:pPr>
              <w:jc w:val="center"/>
              <w:ind w:right="753"/>
              <w:spacing w:after="0"/>
              <w:rPr>
                <w:sz w:val="20"/>
                <w:szCs w:val="20"/>
                <w:color w:val="auto"/>
              </w:rPr>
            </w:pPr>
            <w:r>
              <w:rPr>
                <w:rFonts w:ascii="Arial" w:cs="Arial" w:eastAsia="Arial" w:hAnsi="Arial"/>
                <w:sz w:val="18"/>
                <w:szCs w:val="18"/>
                <w:color w:val="auto"/>
                <w:w w:val="95"/>
              </w:rPr>
              <w:t>/s/ Yuichi Iwaki</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620" w:type="dxa"/>
            <w:vAlign w:val="bottom"/>
            <w:tcBorders>
              <w:top w:val="single" w:sz="8" w:color="auto"/>
            </w:tcBorders>
            <w:gridSpan w:val="3"/>
          </w:tcPr>
          <w:p>
            <w:pPr>
              <w:jc w:val="center"/>
              <w:ind w:right="753"/>
              <w:spacing w:after="0"/>
              <w:rPr>
                <w:sz w:val="20"/>
                <w:szCs w:val="20"/>
                <w:color w:val="auto"/>
              </w:rPr>
            </w:pPr>
            <w:r>
              <w:rPr>
                <w:rFonts w:ascii="Arial" w:cs="Arial" w:eastAsia="Arial" w:hAnsi="Arial"/>
                <w:sz w:val="18"/>
                <w:szCs w:val="18"/>
                <w:color w:val="auto"/>
                <w:w w:val="95"/>
              </w:rPr>
              <w:t>Yuichi Iwaki, M.D., Ph.D.</w:t>
            </w:r>
          </w:p>
        </w:tc>
      </w:tr>
      <w:tr>
        <w:trPr>
          <w:trHeight w:val="242"/>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20" w:type="dxa"/>
            <w:vAlign w:val="bottom"/>
            <w:gridSpan w:val="3"/>
          </w:tcPr>
          <w:p>
            <w:pPr>
              <w:jc w:val="center"/>
              <w:ind w:right="753"/>
              <w:spacing w:after="0"/>
              <w:rPr>
                <w:sz w:val="20"/>
                <w:szCs w:val="20"/>
                <w:color w:val="auto"/>
              </w:rPr>
            </w:pPr>
            <w:r>
              <w:rPr>
                <w:rFonts w:ascii="Arial" w:cs="Arial" w:eastAsia="Arial" w:hAnsi="Arial"/>
                <w:sz w:val="18"/>
                <w:szCs w:val="18"/>
                <w:color w:val="auto"/>
                <w:w w:val="93"/>
              </w:rPr>
              <w:t>President &amp; Chief Executive Officer</w:t>
            </w:r>
          </w:p>
        </w:tc>
      </w:tr>
      <w:tr>
        <w:trPr>
          <w:trHeight w:val="729"/>
        </w:trPr>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24"/>
                <w:szCs w:val="24"/>
                <w:color w:val="auto"/>
              </w:rPr>
            </w:pPr>
          </w:p>
        </w:tc>
        <w:tc>
          <w:tcPr>
            <w:tcW w:w="3620" w:type="dxa"/>
            <w:vAlign w:val="bottom"/>
            <w:tcBorders>
              <w:bottom w:val="single" w:sz="8" w:color="auto"/>
            </w:tcBorders>
            <w:gridSpan w:val="2"/>
          </w:tcPr>
          <w:p>
            <w:pPr>
              <w:ind w:left="2460"/>
              <w:spacing w:after="0"/>
              <w:rPr>
                <w:sz w:val="20"/>
                <w:szCs w:val="20"/>
                <w:color w:val="auto"/>
              </w:rPr>
            </w:pPr>
            <w:r>
              <w:rPr>
                <w:rFonts w:ascii="Arial" w:cs="Arial" w:eastAsia="Arial" w:hAnsi="Arial"/>
                <w:sz w:val="14"/>
                <w:szCs w:val="14"/>
                <w:b w:val="1"/>
                <w:bCs w:val="1"/>
                <w:color w:val="auto"/>
              </w:rPr>
              <w:t>Title</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r>
      <w:tr>
        <w:trPr>
          <w:trHeight w:val="372"/>
        </w:trPr>
        <w:tc>
          <w:tcPr>
            <w:tcW w:w="20" w:type="dxa"/>
            <w:vAlign w:val="bottom"/>
          </w:tcPr>
          <w:p>
            <w:pPr>
              <w:spacing w:after="0"/>
              <w:rPr>
                <w:sz w:val="24"/>
                <w:szCs w:val="24"/>
                <w:color w:val="auto"/>
              </w:rPr>
            </w:pPr>
          </w:p>
        </w:tc>
        <w:tc>
          <w:tcPr>
            <w:tcW w:w="386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/s/ Yuichi Iwaki</w:t>
            </w:r>
          </w:p>
        </w:tc>
        <w:tc>
          <w:tcPr>
            <w:tcW w:w="12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w w:val="96"/>
              </w:rPr>
              <w:t>Director, President and Chief Executive Officer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Arial" w:cs="Arial" w:eastAsia="Arial" w:hAnsi="Arial"/>
                <w:sz w:val="18"/>
                <w:szCs w:val="18"/>
                <w:color w:val="auto"/>
              </w:rPr>
              <w:t>March 28, 2023</w:t>
            </w:r>
          </w:p>
        </w:tc>
      </w:tr>
      <w:tr>
        <w:trPr>
          <w:trHeight w:val="224"/>
        </w:trPr>
        <w:tc>
          <w:tcPr>
            <w:tcW w:w="2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Yuichi Iwaki, M.D., Ph.D.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77"/>
        </w:trPr>
        <w:tc>
          <w:tcPr>
            <w:tcW w:w="38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Arial" w:cs="Arial" w:eastAsia="Arial" w:hAnsi="Arial"/>
                <w:sz w:val="18"/>
                <w:szCs w:val="18"/>
                <w:color w:val="auto"/>
              </w:rPr>
              <w:t>March 28, 2023</w:t>
            </w:r>
          </w:p>
        </w:tc>
      </w:tr>
      <w:tr>
        <w:trPr>
          <w:trHeight w:val="224"/>
        </w:trPr>
        <w:tc>
          <w:tcPr>
            <w:tcW w:w="2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Jason Kruger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77"/>
        </w:trPr>
        <w:tc>
          <w:tcPr>
            <w:tcW w:w="38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Arial" w:cs="Arial" w:eastAsia="Arial" w:hAnsi="Arial"/>
                <w:sz w:val="18"/>
                <w:szCs w:val="18"/>
                <w:color w:val="auto"/>
              </w:rPr>
              <w:t>March 28, 2023</w:t>
            </w:r>
          </w:p>
        </w:tc>
      </w:tr>
      <w:tr>
        <w:trPr>
          <w:trHeight w:val="224"/>
        </w:trPr>
        <w:tc>
          <w:tcPr>
            <w:tcW w:w="2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Jeff Himawan, Ph.D.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26"/>
        </w:trPr>
        <w:tc>
          <w:tcPr>
            <w:tcW w:w="38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Arial" w:cs="Arial" w:eastAsia="Arial" w:hAnsi="Arial"/>
                <w:sz w:val="18"/>
                <w:szCs w:val="18"/>
                <w:color w:val="auto"/>
              </w:rPr>
              <w:t>March 28, 2023</w:t>
            </w:r>
          </w:p>
        </w:tc>
      </w:tr>
      <w:tr>
        <w:trPr>
          <w:trHeight w:val="224"/>
        </w:trPr>
        <w:tc>
          <w:tcPr>
            <w:tcW w:w="2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Carolyn Beaver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77"/>
        </w:trPr>
        <w:tc>
          <w:tcPr>
            <w:tcW w:w="38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Arial" w:cs="Arial" w:eastAsia="Arial" w:hAnsi="Arial"/>
                <w:sz w:val="18"/>
                <w:szCs w:val="18"/>
                <w:color w:val="auto"/>
              </w:rPr>
              <w:t>March 28, 2023</w:t>
            </w:r>
          </w:p>
        </w:tc>
      </w:tr>
      <w:tr>
        <w:trPr>
          <w:trHeight w:val="224"/>
        </w:trPr>
        <w:tc>
          <w:tcPr>
            <w:tcW w:w="2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Kazuko Matsuda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37"/>
        </w:trPr>
        <w:tc>
          <w:tcPr>
            <w:tcW w:w="38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Arial" w:cs="Arial" w:eastAsia="Arial" w:hAnsi="Arial"/>
                <w:sz w:val="18"/>
                <w:szCs w:val="18"/>
                <w:color w:val="auto"/>
              </w:rPr>
              <w:t>March 28, 2023</w:t>
            </w:r>
          </w:p>
        </w:tc>
      </w:tr>
      <w:tr>
        <w:trPr>
          <w:trHeight w:val="224"/>
        </w:trPr>
        <w:tc>
          <w:tcPr>
            <w:tcW w:w="2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Hideki Nagao</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8516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Yuichi Iwaki, M.D., Ph.D.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10.27</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COMPREHENSIVE TERMINATION AGREEMENT</w:t>
      </w:r>
    </w:p>
    <w:p>
      <w:pPr>
        <w:spacing w:after="0" w:line="355" w:lineRule="exact"/>
        <w:rPr>
          <w:sz w:val="20"/>
          <w:szCs w:val="20"/>
          <w:color w:val="auto"/>
        </w:rPr>
      </w:pPr>
    </w:p>
    <w:p>
      <w:pPr>
        <w:ind w:left="40" w:right="460"/>
        <w:spacing w:after="0" w:line="293" w:lineRule="auto"/>
        <w:rPr>
          <w:sz w:val="20"/>
          <w:szCs w:val="20"/>
          <w:color w:val="auto"/>
        </w:rPr>
      </w:pPr>
      <w:r>
        <w:rPr>
          <w:rFonts w:ascii="Arial" w:cs="Arial" w:eastAsia="Arial" w:hAnsi="Arial"/>
          <w:sz w:val="20"/>
          <w:szCs w:val="20"/>
          <w:color w:val="auto"/>
        </w:rPr>
        <w:t>This Comprehensive Termination Agreement (the "Agreement") is made as of this 24th day of October, 2022 (the "Effective Date") by and between Kissei Pharmaceutical Co., Ltd., a corporation duly organized and existing under the laws of Japan and having its registered office at 19-48, Yoshino, Matsumoto-City, Nagano-Prefecture 399-8710, Japan ("Kissei") and MediciNova, Inc., a corporation duly organized and existing under the laws of the State of Delaware, United States and having its registered office at 4350 La Jolla Village Dr., Ste. 950, San Diego, California 92122, USA ("MediciNova"). Each of Kissei and MediciNova is referred to herein as a "Party" and collectively, as the "Parties."</w:t>
      </w:r>
    </w:p>
    <w:p>
      <w:pPr>
        <w:spacing w:after="0" w:line="259" w:lineRule="exact"/>
        <w:rPr>
          <w:sz w:val="20"/>
          <w:szCs w:val="20"/>
          <w:color w:val="auto"/>
        </w:rPr>
      </w:pPr>
    </w:p>
    <w:p>
      <w:pPr>
        <w:ind w:left="1020" w:hanging="528"/>
        <w:spacing w:after="0"/>
        <w:tabs>
          <w:tab w:leader="none" w:pos="102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33" w:lineRule="exact"/>
        <w:rPr>
          <w:sz w:val="20"/>
          <w:szCs w:val="20"/>
          <w:color w:val="auto"/>
        </w:rPr>
      </w:pPr>
    </w:p>
    <w:p>
      <w:pPr>
        <w:ind w:left="40" w:right="680" w:firstLine="449"/>
        <w:spacing w:after="0" w:line="256" w:lineRule="auto"/>
        <w:rPr>
          <w:sz w:val="20"/>
          <w:szCs w:val="20"/>
          <w:color w:val="auto"/>
        </w:rPr>
      </w:pPr>
      <w:r>
        <w:rPr>
          <w:rFonts w:ascii="Arial" w:cs="Arial" w:eastAsia="Arial" w:hAnsi="Arial"/>
          <w:sz w:val="22"/>
          <w:szCs w:val="22"/>
          <w:color w:val="auto"/>
        </w:rPr>
        <w:t>(a)The Parties herby agree to forthwith terminate the Exclusive License Agreement (the "License Agreement"), dated as of February 25, 2004, by and between the Parties, subject to the provisions of Section 17.02 (Effects of Termination) thereof.</w:t>
      </w:r>
    </w:p>
    <w:p>
      <w:pPr>
        <w:spacing w:after="0" w:line="1" w:lineRule="exact"/>
        <w:rPr>
          <w:sz w:val="20"/>
          <w:szCs w:val="20"/>
          <w:color w:val="auto"/>
        </w:rPr>
      </w:pPr>
    </w:p>
    <w:p>
      <w:pPr>
        <w:ind w:left="40" w:right="420" w:firstLine="449"/>
        <w:spacing w:after="0" w:line="256" w:lineRule="auto"/>
        <w:rPr>
          <w:sz w:val="20"/>
          <w:szCs w:val="20"/>
          <w:color w:val="auto"/>
        </w:rPr>
      </w:pPr>
      <w:r>
        <w:rPr>
          <w:rFonts w:ascii="Arial" w:cs="Arial" w:eastAsia="Arial" w:hAnsi="Arial"/>
          <w:sz w:val="22"/>
          <w:szCs w:val="22"/>
          <w:color w:val="auto"/>
        </w:rPr>
        <w:t>(b)The Parties hereby agree to forthwith terminate the Supply Compound Agreement for Investigational Use of KUR-1246, dated as of December 7, 2004, entered into by and between the Parties pursuant to Section 9.01(a) of the License Agreement, and confirm that each Party shall have no outstanding obligation to the other Party thereunder. The Parties shall have no obligation to enter into a commercial supply agreement between the Parties pursuant to Section 9.01(b) of the License Agreement.</w:t>
      </w:r>
    </w:p>
    <w:p>
      <w:pPr>
        <w:spacing w:after="0" w:line="1" w:lineRule="exact"/>
        <w:rPr>
          <w:sz w:val="20"/>
          <w:szCs w:val="20"/>
          <w:color w:val="auto"/>
        </w:rPr>
      </w:pPr>
    </w:p>
    <w:p>
      <w:pPr>
        <w:jc w:val="both"/>
        <w:ind w:left="40" w:right="600" w:firstLine="449"/>
        <w:spacing w:after="0" w:line="268" w:lineRule="auto"/>
        <w:rPr>
          <w:sz w:val="20"/>
          <w:szCs w:val="20"/>
          <w:color w:val="auto"/>
        </w:rPr>
      </w:pPr>
      <w:r>
        <w:rPr>
          <w:rFonts w:ascii="Arial" w:cs="Arial" w:eastAsia="Arial" w:hAnsi="Arial"/>
          <w:sz w:val="21"/>
          <w:szCs w:val="21"/>
          <w:color w:val="auto"/>
        </w:rPr>
        <w:t>(c)The Parties herby confirm that the Agreement Concerning Performance of Study for Development Possibility (the "Study Performance Agreement"), dated as of October 13, 2011, entered into between the Parties shall terminate forthwith pursuant to Section 8.2(b) thereof, subject to the provisions of Section 8.3 thereof.</w:t>
      </w:r>
    </w:p>
    <w:p>
      <w:pPr>
        <w:spacing w:after="0" w:line="1" w:lineRule="exact"/>
        <w:rPr>
          <w:sz w:val="20"/>
          <w:szCs w:val="20"/>
          <w:color w:val="auto"/>
        </w:rPr>
      </w:pPr>
    </w:p>
    <w:p>
      <w:pPr>
        <w:ind w:left="40" w:right="480" w:firstLine="449"/>
        <w:spacing w:after="0" w:line="264" w:lineRule="auto"/>
        <w:rPr>
          <w:sz w:val="20"/>
          <w:szCs w:val="20"/>
          <w:color w:val="auto"/>
        </w:rPr>
      </w:pPr>
      <w:r>
        <w:rPr>
          <w:rFonts w:ascii="Arial" w:cs="Arial" w:eastAsia="Arial" w:hAnsi="Arial"/>
          <w:sz w:val="22"/>
          <w:szCs w:val="22"/>
          <w:color w:val="auto"/>
        </w:rPr>
        <w:t>(d)Except as otherwise particularly set forth in this Agreement, any and all obligations of the Parties under the License Agreement and the Study Performance Agreement shall lapse except for those accrued prior to and not having been discharged at the time of the termination.</w:t>
      </w:r>
    </w:p>
    <w:p>
      <w:pPr>
        <w:spacing w:after="0" w:line="283" w:lineRule="exact"/>
        <w:rPr>
          <w:sz w:val="20"/>
          <w:szCs w:val="20"/>
          <w:color w:val="auto"/>
        </w:rPr>
      </w:pPr>
    </w:p>
    <w:p>
      <w:pPr>
        <w:ind w:left="40" w:right="300" w:firstLine="452"/>
        <w:spacing w:after="0" w:line="266" w:lineRule="auto"/>
        <w:tabs>
          <w:tab w:leader="none" w:pos="103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Return of US$1,250,000.</w:t>
      </w:r>
      <w:r>
        <w:rPr>
          <w:rFonts w:ascii="Arial" w:cs="Arial" w:eastAsia="Arial" w:hAnsi="Arial"/>
          <w:sz w:val="22"/>
          <w:szCs w:val="22"/>
          <w:color w:val="auto"/>
        </w:rPr>
        <w:t xml:space="preserve"> The Parties hereby acknowledge and confirm that MediciNova has already returned to Kissei, on October 26, 2021, the sum of US$1,250,000 that it received from Kissei pursuant to Sections 3.2(a) and 2.1(a) of the Study Performance Agreement in relation to the Phase 1 QTc Study that has not been performed by MediciNova.</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DOCPROPERTY"SWDocID" GDSVF&amp;H\8723259.1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45" w:right="339" w:bottom="1440" w:gutter="0" w:footer="0" w:header="0"/>
        </w:sectPr>
      </w:pPr>
    </w:p>
    <w:bookmarkStart w:id="99" w:name="page100"/>
    <w:bookmarkEnd w:id="99"/>
    <w:p>
      <w:pPr>
        <w:ind w:left="1060" w:hanging="528"/>
        <w:spacing w:after="0"/>
        <w:tabs>
          <w:tab w:leader="none" w:pos="10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Active Pharmaceutical Ingredient already Manufactured by Kissei.</w:t>
      </w:r>
    </w:p>
    <w:p>
      <w:pPr>
        <w:spacing w:after="0" w:line="33" w:lineRule="exact"/>
        <w:rPr>
          <w:rFonts w:ascii="Arial" w:cs="Arial" w:eastAsia="Arial" w:hAnsi="Arial"/>
          <w:sz w:val="22"/>
          <w:szCs w:val="22"/>
          <w:color w:val="auto"/>
        </w:rPr>
      </w:pPr>
    </w:p>
    <w:p>
      <w:pPr>
        <w:ind w:left="80" w:right="420" w:firstLine="527"/>
        <w:spacing w:after="0" w:line="256" w:lineRule="auto"/>
        <w:tabs>
          <w:tab w:leader="none" w:pos="1159" w:val="left"/>
        </w:tabs>
        <w:numPr>
          <w:ilvl w:val="1"/>
          <w:numId w:val="47"/>
        </w:numPr>
        <w:rPr>
          <w:rFonts w:ascii="Arial" w:cs="Arial" w:eastAsia="Arial" w:hAnsi="Arial"/>
          <w:sz w:val="22"/>
          <w:szCs w:val="22"/>
          <w:color w:val="auto"/>
        </w:rPr>
      </w:pPr>
      <w:r>
        <w:rPr>
          <w:rFonts w:ascii="Arial" w:cs="Arial" w:eastAsia="Arial" w:hAnsi="Arial"/>
          <w:sz w:val="22"/>
          <w:szCs w:val="22"/>
          <w:color w:val="auto"/>
        </w:rPr>
        <w:t>MediciNova shall purchase from Kissei 7.15kg of the Active Pharmaceutical Ingredient (the "API") having already been manufactured by Kissei pursuant to Section 9.01(b) of the License Agreement for JPY16,000,000 per kilogram (JPY114,400,000 in the aggregate) within 60 days of the Effective Date.</w:t>
      </w:r>
    </w:p>
    <w:p>
      <w:pPr>
        <w:ind w:left="80" w:right="100" w:firstLine="523"/>
        <w:spacing w:after="0" w:line="271" w:lineRule="auto"/>
        <w:tabs>
          <w:tab w:leader="none" w:pos="1153" w:val="left"/>
        </w:tabs>
        <w:numPr>
          <w:ilvl w:val="1"/>
          <w:numId w:val="47"/>
        </w:numPr>
        <w:rPr>
          <w:rFonts w:ascii="Arial" w:cs="Arial" w:eastAsia="Arial" w:hAnsi="Arial"/>
          <w:sz w:val="21"/>
          <w:szCs w:val="21"/>
          <w:color w:val="auto"/>
        </w:rPr>
      </w:pPr>
      <w:r>
        <w:rPr>
          <w:rFonts w:ascii="Arial" w:cs="Arial" w:eastAsia="Arial" w:hAnsi="Arial"/>
          <w:sz w:val="21"/>
          <w:szCs w:val="21"/>
          <w:color w:val="auto"/>
        </w:rPr>
        <w:t>Kissei shall, as of the Effective Date, transfer and assign the Drug Master File (as referred to in Section 9.01(a) of the License Agreement) and any other associated information (collectively, the "DMF") in its possession as of the Effective Date, delivery of which shall be made within 60 days thereof at the expense of MediciNova, provided that the DMF shall be transferred and assigned only for the reasonable satisfaction of MediciNova for the general purpose of its pharmaceutical development practice. The transfer and assignment of the DMF shall become null and void retroactively if MediciNova provides Kissei with a written notice, within 7 days of its receipt of the delivery, that the DMF is not reasonably satisfactory to it for the said purpose. NOTWITHSTANDING ANYTHING TO THE CONTRARY CONTAINED IN THIS AGREEMENT, MEDICINOVA UNDERSTANDS AND ACKNOWLEDGES THAT ANY AND ALL OF THE API IS BEING PROVIDED "AS IS" AND THAT KISSEI IS NOT MAKING ANY REPRESENTATION OR WARRANTY, EXPRESSED OR IMPLIED, AS TO, INCLUDING WITHOUT LIMITATION, THE QUALITY, COMPLETENESS OR FITNESS FOR A PARTICULAR PURPOSE.</w:t>
      </w:r>
    </w:p>
    <w:p>
      <w:pPr>
        <w:spacing w:after="0" w:line="170" w:lineRule="exact"/>
        <w:rPr>
          <w:sz w:val="20"/>
          <w:szCs w:val="20"/>
          <w:color w:val="auto"/>
        </w:rPr>
      </w:pPr>
    </w:p>
    <w:p>
      <w:pPr>
        <w:ind w:left="80" w:right="480" w:firstLine="449"/>
        <w:spacing w:after="0" w:line="287" w:lineRule="auto"/>
        <w:rPr>
          <w:sz w:val="20"/>
          <w:szCs w:val="20"/>
          <w:color w:val="auto"/>
        </w:rPr>
      </w:pPr>
      <w:r>
        <w:rPr>
          <w:rFonts w:ascii="Arial" w:cs="Arial" w:eastAsia="Arial" w:hAnsi="Arial"/>
          <w:sz w:val="22"/>
          <w:szCs w:val="22"/>
          <w:color w:val="auto"/>
        </w:rPr>
        <w:t>IN WITNESS WHEREOF, the Parties, each by their duly authorized officers, have executed this Agreement as of the Effective Date.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800" w:type="dxa"/>
            <w:vAlign w:val="bottom"/>
            <w:gridSpan w:val="2"/>
          </w:tcPr>
          <w:p>
            <w:pPr>
              <w:ind w:left="80"/>
              <w:spacing w:after="0"/>
              <w:rPr>
                <w:sz w:val="20"/>
                <w:szCs w:val="20"/>
                <w:color w:val="auto"/>
              </w:rPr>
            </w:pPr>
            <w:r>
              <w:rPr>
                <w:rFonts w:ascii="Arial" w:cs="Arial" w:eastAsia="Arial" w:hAnsi="Arial"/>
                <w:sz w:val="22"/>
                <w:szCs w:val="22"/>
                <w:color w:val="auto"/>
              </w:rPr>
              <w:t>Kissei Pharmaceutical Co., Ltd.</w:t>
            </w:r>
          </w:p>
        </w:tc>
        <w:tc>
          <w:tcPr>
            <w:tcW w:w="7420" w:type="dxa"/>
            <w:vAlign w:val="bottom"/>
            <w:gridSpan w:val="3"/>
          </w:tcPr>
          <w:p>
            <w:pPr>
              <w:ind w:left="620"/>
              <w:spacing w:after="0"/>
              <w:rPr>
                <w:sz w:val="20"/>
                <w:szCs w:val="20"/>
                <w:color w:val="auto"/>
              </w:rPr>
            </w:pPr>
            <w:r>
              <w:rPr>
                <w:rFonts w:ascii="Arial" w:cs="Arial" w:eastAsia="Arial" w:hAnsi="Arial"/>
                <w:sz w:val="22"/>
                <w:szCs w:val="22"/>
                <w:color w:val="auto"/>
              </w:rPr>
              <w:t>MediciNova, Inc.</w:t>
            </w:r>
          </w:p>
        </w:tc>
        <w:tc>
          <w:tcPr>
            <w:tcW w:w="20" w:type="dxa"/>
            <w:vAlign w:val="bottom"/>
          </w:tcPr>
          <w:p>
            <w:pPr>
              <w:spacing w:after="0"/>
              <w:rPr>
                <w:sz w:val="24"/>
                <w:szCs w:val="24"/>
                <w:color w:val="auto"/>
              </w:rPr>
            </w:pPr>
          </w:p>
        </w:tc>
      </w:tr>
      <w:tr>
        <w:trPr>
          <w:trHeight w:val="507"/>
        </w:trPr>
        <w:tc>
          <w:tcPr>
            <w:tcW w:w="3800" w:type="dxa"/>
            <w:vAlign w:val="bottom"/>
            <w:gridSpan w:val="2"/>
          </w:tcPr>
          <w:p>
            <w:pPr>
              <w:ind w:left="20"/>
              <w:spacing w:after="0"/>
              <w:rPr>
                <w:sz w:val="20"/>
                <w:szCs w:val="20"/>
                <w:color w:val="auto"/>
              </w:rPr>
            </w:pPr>
            <w:r>
              <w:rPr>
                <w:rFonts w:ascii="Arial" w:cs="Arial" w:eastAsia="Arial" w:hAnsi="Arial"/>
                <w:sz w:val="22"/>
                <w:szCs w:val="22"/>
                <w:color w:val="auto"/>
              </w:rPr>
              <w:t>By:  /s/ Mutsuo Kanzawa</w:t>
            </w:r>
          </w:p>
        </w:tc>
        <w:tc>
          <w:tcPr>
            <w:tcW w:w="1820" w:type="dxa"/>
            <w:vAlign w:val="bottom"/>
          </w:tcPr>
          <w:p>
            <w:pPr>
              <w:spacing w:after="0"/>
              <w:rPr>
                <w:sz w:val="24"/>
                <w:szCs w:val="24"/>
                <w:color w:val="auto"/>
              </w:rPr>
            </w:pPr>
          </w:p>
        </w:tc>
        <w:tc>
          <w:tcPr>
            <w:tcW w:w="5600" w:type="dxa"/>
            <w:vAlign w:val="bottom"/>
            <w:gridSpan w:val="2"/>
          </w:tcPr>
          <w:p>
            <w:pPr>
              <w:ind w:left="140"/>
              <w:spacing w:after="0"/>
              <w:rPr>
                <w:sz w:val="20"/>
                <w:szCs w:val="20"/>
                <w:color w:val="auto"/>
              </w:rPr>
            </w:pPr>
            <w:r>
              <w:rPr>
                <w:rFonts w:ascii="Arial" w:cs="Arial" w:eastAsia="Arial" w:hAnsi="Arial"/>
                <w:sz w:val="22"/>
                <w:szCs w:val="22"/>
                <w:color w:val="auto"/>
              </w:rPr>
              <w:t>By:  /s/ Yuichi Iwaki</w:t>
            </w:r>
          </w:p>
        </w:tc>
        <w:tc>
          <w:tcPr>
            <w:tcW w:w="20" w:type="dxa"/>
            <w:vAlign w:val="bottom"/>
          </w:tcPr>
          <w:p>
            <w:pPr>
              <w:spacing w:after="0"/>
              <w:rPr>
                <w:sz w:val="24"/>
                <w:szCs w:val="24"/>
                <w:color w:val="auto"/>
              </w:rPr>
            </w:pPr>
          </w:p>
        </w:tc>
      </w:tr>
      <w:tr>
        <w:trPr>
          <w:trHeight w:val="21"/>
        </w:trPr>
        <w:tc>
          <w:tcPr>
            <w:tcW w:w="600" w:type="dxa"/>
            <w:vAlign w:val="bottom"/>
            <w:tcBorders>
              <w:right w:val="single" w:sz="8" w:color="auto"/>
            </w:tcBorders>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22"/>
                <w:szCs w:val="22"/>
                <w:color w:val="auto"/>
              </w:rPr>
              <w:t>Mutsuo Kanzawa</w:t>
            </w:r>
          </w:p>
        </w:tc>
        <w:tc>
          <w:tcPr>
            <w:tcW w:w="1820" w:type="dxa"/>
            <w:vAlign w:val="bottom"/>
          </w:tcPr>
          <w:p>
            <w:pPr>
              <w:spacing w:after="0"/>
              <w:rPr>
                <w:sz w:val="24"/>
                <w:szCs w:val="24"/>
                <w:color w:val="auto"/>
              </w:rPr>
            </w:pPr>
          </w:p>
        </w:tc>
        <w:tc>
          <w:tcPr>
            <w:tcW w:w="5600" w:type="dxa"/>
            <w:vAlign w:val="bottom"/>
            <w:gridSpan w:val="2"/>
          </w:tcPr>
          <w:p>
            <w:pPr>
              <w:ind w:left="700"/>
              <w:spacing w:after="0"/>
              <w:rPr>
                <w:sz w:val="20"/>
                <w:szCs w:val="20"/>
                <w:color w:val="auto"/>
              </w:rPr>
            </w:pPr>
            <w:r>
              <w:rPr>
                <w:rFonts w:ascii="Arial" w:cs="Arial" w:eastAsia="Arial" w:hAnsi="Arial"/>
                <w:sz w:val="22"/>
                <w:szCs w:val="22"/>
                <w:color w:val="auto"/>
              </w:rPr>
              <w:t>Yuichi Iwaki</w:t>
            </w:r>
          </w:p>
        </w:tc>
        <w:tc>
          <w:tcPr>
            <w:tcW w:w="20" w:type="dxa"/>
            <w:vAlign w:val="bottom"/>
          </w:tcPr>
          <w:p>
            <w:pPr>
              <w:spacing w:after="0"/>
              <w:rPr>
                <w:sz w:val="24"/>
                <w:szCs w:val="24"/>
                <w:color w:val="auto"/>
              </w:rPr>
            </w:pPr>
          </w:p>
        </w:tc>
      </w:tr>
      <w:tr>
        <w:trPr>
          <w:trHeight w:val="303"/>
        </w:trPr>
        <w:tc>
          <w:tcPr>
            <w:tcW w:w="600" w:type="dxa"/>
            <w:vAlign w:val="bottom"/>
          </w:tcPr>
          <w:p>
            <w:pPr>
              <w:spacing w:after="0"/>
              <w:rPr>
                <w:sz w:val="24"/>
                <w:szCs w:val="24"/>
                <w:color w:val="auto"/>
              </w:rPr>
            </w:pPr>
          </w:p>
        </w:tc>
        <w:tc>
          <w:tcPr>
            <w:tcW w:w="320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Chief Executive Officer</w:t>
            </w:r>
          </w:p>
        </w:tc>
        <w:tc>
          <w:tcPr>
            <w:tcW w:w="18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President and CEO</w:t>
            </w:r>
          </w:p>
        </w:tc>
        <w:tc>
          <w:tcPr>
            <w:tcW w:w="20" w:type="dxa"/>
            <w:vAlign w:val="bottom"/>
          </w:tcPr>
          <w:p>
            <w:pPr>
              <w:spacing w:after="0"/>
              <w:rPr>
                <w:sz w:val="24"/>
                <w:szCs w:val="24"/>
                <w:color w:val="auto"/>
              </w:rPr>
            </w:pPr>
          </w:p>
        </w:tc>
      </w:tr>
      <w:tr>
        <w:trPr>
          <w:trHeight w:val="21"/>
        </w:trPr>
        <w:tc>
          <w:tcPr>
            <w:tcW w:w="6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3800" w:type="dxa"/>
            <w:vAlign w:val="bottom"/>
            <w:gridSpan w:val="2"/>
          </w:tcPr>
          <w:p>
            <w:pPr>
              <w:ind w:left="40"/>
              <w:spacing w:after="0"/>
              <w:rPr>
                <w:sz w:val="20"/>
                <w:szCs w:val="20"/>
                <w:color w:val="auto"/>
              </w:rPr>
            </w:pPr>
            <w:r>
              <w:rPr>
                <w:rFonts w:ascii="Arial" w:cs="Arial" w:eastAsia="Arial" w:hAnsi="Arial"/>
                <w:sz w:val="14"/>
                <w:szCs w:val="14"/>
                <w:color w:val="auto"/>
              </w:rPr>
              <w:t>DOCPROPERTY"SWDocID" GDSVF&amp;H\8723259.1</w:t>
            </w: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60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21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the Registrant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ind w:left="900"/>
              <w:spacing w:after="0"/>
              <w:rPr>
                <w:sz w:val="20"/>
                <w:szCs w:val="20"/>
                <w:color w:val="auto"/>
              </w:rPr>
            </w:pPr>
            <w:r>
              <w:rPr>
                <w:rFonts w:ascii="Arial" w:cs="Arial" w:eastAsia="Arial" w:hAnsi="Arial"/>
                <w:sz w:val="20"/>
                <w:szCs w:val="20"/>
                <w:b w:val="1"/>
                <w:bCs w:val="1"/>
                <w:color w:val="auto"/>
              </w:rPr>
              <w:t>STATE</w:t>
            </w:r>
          </w:p>
        </w:tc>
        <w:tc>
          <w:tcPr>
            <w:tcW w:w="358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JURISDICTION</w:t>
            </w:r>
          </w:p>
        </w:tc>
        <w:tc>
          <w:tcPr>
            <w:tcW w:w="1680" w:type="dxa"/>
            <w:vAlign w:val="bottom"/>
          </w:tcPr>
          <w:p>
            <w:pPr>
              <w:spacing w:after="0"/>
              <w:rPr>
                <w:sz w:val="23"/>
                <w:szCs w:val="23"/>
                <w:color w:val="auto"/>
              </w:rPr>
            </w:pPr>
          </w:p>
        </w:tc>
      </w:tr>
      <w:tr>
        <w:trPr>
          <w:trHeight w:val="245"/>
        </w:trPr>
        <w:tc>
          <w:tcPr>
            <w:tcW w:w="4040" w:type="dxa"/>
            <w:vAlign w:val="bottom"/>
          </w:tcPr>
          <w:p>
            <w:pPr>
              <w:ind w:left="120"/>
              <w:spacing w:after="0"/>
              <w:rPr>
                <w:sz w:val="20"/>
                <w:szCs w:val="20"/>
                <w:color w:val="auto"/>
              </w:rPr>
            </w:pPr>
            <w:r>
              <w:rPr>
                <w:rFonts w:ascii="Arial" w:cs="Arial" w:eastAsia="Arial" w:hAnsi="Arial"/>
                <w:sz w:val="20"/>
                <w:szCs w:val="20"/>
                <w:color w:val="auto"/>
              </w:rPr>
              <w:t>MEDICINOVA JAPAN INC.</w:t>
            </w:r>
          </w:p>
        </w:tc>
        <w:tc>
          <w:tcPr>
            <w:tcW w:w="1940" w:type="dxa"/>
            <w:vAlign w:val="bottom"/>
          </w:tcPr>
          <w:p>
            <w:pPr>
              <w:spacing w:after="0"/>
              <w:rPr>
                <w:sz w:val="21"/>
                <w:szCs w:val="21"/>
                <w:color w:val="auto"/>
              </w:rPr>
            </w:pPr>
          </w:p>
        </w:tc>
        <w:tc>
          <w:tcPr>
            <w:tcW w:w="3580" w:type="dxa"/>
            <w:vAlign w:val="bottom"/>
          </w:tcPr>
          <w:p>
            <w:pPr>
              <w:ind w:left="420"/>
              <w:spacing w:after="0"/>
              <w:rPr>
                <w:sz w:val="20"/>
                <w:szCs w:val="20"/>
                <w:color w:val="auto"/>
              </w:rPr>
            </w:pPr>
            <w:r>
              <w:rPr>
                <w:rFonts w:ascii="Arial" w:cs="Arial" w:eastAsia="Arial" w:hAnsi="Arial"/>
                <w:sz w:val="20"/>
                <w:szCs w:val="20"/>
                <w:color w:val="auto"/>
              </w:rPr>
              <w:t>JAPAN</w:t>
            </w:r>
          </w:p>
        </w:tc>
        <w:tc>
          <w:tcPr>
            <w:tcW w:w="1680" w:type="dxa"/>
            <w:vAlign w:val="bottom"/>
          </w:tcPr>
          <w:p>
            <w:pPr>
              <w:spacing w:after="0"/>
              <w:rPr>
                <w:sz w:val="21"/>
                <w:szCs w:val="21"/>
                <w:color w:val="auto"/>
              </w:rPr>
            </w:pPr>
          </w:p>
        </w:tc>
      </w:tr>
      <w:tr>
        <w:trPr>
          <w:trHeight w:val="243"/>
        </w:trPr>
        <w:tc>
          <w:tcPr>
            <w:tcW w:w="4040" w:type="dxa"/>
            <w:vAlign w:val="bottom"/>
          </w:tcPr>
          <w:p>
            <w:pPr>
              <w:ind w:left="120"/>
              <w:spacing w:after="0"/>
              <w:rPr>
                <w:sz w:val="20"/>
                <w:szCs w:val="20"/>
                <w:color w:val="auto"/>
              </w:rPr>
            </w:pPr>
            <w:r>
              <w:rPr>
                <w:rFonts w:ascii="Arial" w:cs="Arial" w:eastAsia="Arial" w:hAnsi="Arial"/>
                <w:sz w:val="20"/>
                <w:szCs w:val="20"/>
                <w:color w:val="auto"/>
              </w:rPr>
              <w:t>AVIGEN, INC</w:t>
            </w:r>
          </w:p>
        </w:tc>
        <w:tc>
          <w:tcPr>
            <w:tcW w:w="1940" w:type="dxa"/>
            <w:vAlign w:val="bottom"/>
          </w:tcPr>
          <w:p>
            <w:pPr>
              <w:ind w:left="900"/>
              <w:spacing w:after="0"/>
              <w:rPr>
                <w:sz w:val="20"/>
                <w:szCs w:val="20"/>
                <w:color w:val="auto"/>
              </w:rPr>
            </w:pPr>
            <w:r>
              <w:rPr>
                <w:rFonts w:ascii="Arial" w:cs="Arial" w:eastAsia="Arial" w:hAnsi="Arial"/>
                <w:sz w:val="20"/>
                <w:szCs w:val="20"/>
                <w:color w:val="auto"/>
              </w:rPr>
              <w:t>DE</w:t>
            </w:r>
          </w:p>
        </w:tc>
        <w:tc>
          <w:tcPr>
            <w:tcW w:w="3580" w:type="dxa"/>
            <w:vAlign w:val="bottom"/>
          </w:tcPr>
          <w:p>
            <w:pPr>
              <w:ind w:left="420"/>
              <w:spacing w:after="0"/>
              <w:rPr>
                <w:sz w:val="20"/>
                <w:szCs w:val="20"/>
                <w:color w:val="auto"/>
              </w:rPr>
            </w:pPr>
            <w:r>
              <w:rPr>
                <w:rFonts w:ascii="Arial" w:cs="Arial" w:eastAsia="Arial" w:hAnsi="Arial"/>
                <w:sz w:val="20"/>
                <w:szCs w:val="20"/>
                <w:color w:val="auto"/>
              </w:rPr>
              <w:t>US, DE CORPORATION</w:t>
            </w:r>
          </w:p>
        </w:tc>
        <w:tc>
          <w:tcPr>
            <w:tcW w:w="1680" w:type="dxa"/>
            <w:vAlign w:val="bottom"/>
          </w:tcPr>
          <w:p>
            <w:pPr>
              <w:spacing w:after="0"/>
              <w:rPr>
                <w:sz w:val="21"/>
                <w:szCs w:val="21"/>
                <w:color w:val="auto"/>
              </w:rPr>
            </w:pPr>
          </w:p>
        </w:tc>
      </w:tr>
      <w:tr>
        <w:trPr>
          <w:trHeight w:val="270"/>
        </w:trPr>
        <w:tc>
          <w:tcPr>
            <w:tcW w:w="4040" w:type="dxa"/>
            <w:vAlign w:val="bottom"/>
          </w:tcPr>
          <w:p>
            <w:pPr>
              <w:ind w:left="120"/>
              <w:spacing w:after="0"/>
              <w:rPr>
                <w:sz w:val="20"/>
                <w:szCs w:val="20"/>
                <w:color w:val="auto"/>
              </w:rPr>
            </w:pPr>
            <w:r>
              <w:rPr>
                <w:rFonts w:ascii="Arial" w:cs="Arial" w:eastAsia="Arial" w:hAnsi="Arial"/>
                <w:sz w:val="20"/>
                <w:szCs w:val="20"/>
                <w:color w:val="auto"/>
              </w:rPr>
              <w:t>MEDICINOVA (EUROPE)LIMITED</w:t>
            </w:r>
          </w:p>
        </w:tc>
        <w:tc>
          <w:tcPr>
            <w:tcW w:w="1940" w:type="dxa"/>
            <w:vAlign w:val="bottom"/>
          </w:tcPr>
          <w:p>
            <w:pPr>
              <w:spacing w:after="0"/>
              <w:rPr>
                <w:sz w:val="23"/>
                <w:szCs w:val="23"/>
                <w:color w:val="auto"/>
              </w:rPr>
            </w:pPr>
          </w:p>
        </w:tc>
        <w:tc>
          <w:tcPr>
            <w:tcW w:w="3580" w:type="dxa"/>
            <w:vAlign w:val="bottom"/>
          </w:tcPr>
          <w:p>
            <w:pPr>
              <w:ind w:left="420"/>
              <w:spacing w:after="0"/>
              <w:rPr>
                <w:sz w:val="20"/>
                <w:szCs w:val="20"/>
                <w:color w:val="auto"/>
              </w:rPr>
            </w:pPr>
            <w:r>
              <w:rPr>
                <w:rFonts w:ascii="Arial" w:cs="Arial" w:eastAsia="Arial" w:hAnsi="Arial"/>
                <w:sz w:val="20"/>
                <w:szCs w:val="20"/>
                <w:color w:val="auto"/>
              </w:rPr>
              <w:t>UK</w:t>
            </w:r>
          </w:p>
        </w:tc>
        <w:tc>
          <w:tcPr>
            <w:tcW w:w="1680" w:type="dxa"/>
            <w:vAlign w:val="bottom"/>
          </w:tcPr>
          <w:p>
            <w:pPr>
              <w:spacing w:after="0"/>
              <w:rPr>
                <w:sz w:val="23"/>
                <w:szCs w:val="23"/>
                <w:color w:val="auto"/>
              </w:rPr>
            </w:pPr>
          </w:p>
        </w:tc>
      </w:tr>
      <w:tr>
        <w:trPr>
          <w:trHeight w:val="270"/>
        </w:trPr>
        <w:tc>
          <w:tcPr>
            <w:tcW w:w="4040" w:type="dxa"/>
            <w:vAlign w:val="bottom"/>
          </w:tcPr>
          <w:p>
            <w:pPr>
              <w:ind w:left="120"/>
              <w:spacing w:after="0"/>
              <w:rPr>
                <w:sz w:val="20"/>
                <w:szCs w:val="20"/>
                <w:color w:val="auto"/>
              </w:rPr>
            </w:pPr>
            <w:r>
              <w:rPr>
                <w:rFonts w:ascii="Arial" w:cs="Arial" w:eastAsia="Arial" w:hAnsi="Arial"/>
                <w:sz w:val="20"/>
                <w:szCs w:val="20"/>
                <w:color w:val="auto"/>
              </w:rPr>
              <w:t>MEDICINOVA EUROPE GmbH</w:t>
            </w:r>
          </w:p>
        </w:tc>
        <w:tc>
          <w:tcPr>
            <w:tcW w:w="1940" w:type="dxa"/>
            <w:vAlign w:val="bottom"/>
          </w:tcPr>
          <w:p>
            <w:pPr>
              <w:spacing w:after="0"/>
              <w:rPr>
                <w:sz w:val="23"/>
                <w:szCs w:val="23"/>
                <w:color w:val="auto"/>
              </w:rPr>
            </w:pPr>
          </w:p>
        </w:tc>
        <w:tc>
          <w:tcPr>
            <w:tcW w:w="3580" w:type="dxa"/>
            <w:vAlign w:val="bottom"/>
          </w:tcPr>
          <w:p>
            <w:pPr>
              <w:ind w:left="420"/>
              <w:spacing w:after="0"/>
              <w:rPr>
                <w:sz w:val="20"/>
                <w:szCs w:val="20"/>
                <w:color w:val="auto"/>
              </w:rPr>
            </w:pPr>
            <w:r>
              <w:rPr>
                <w:rFonts w:ascii="Arial" w:cs="Arial" w:eastAsia="Arial" w:hAnsi="Arial"/>
                <w:sz w:val="20"/>
                <w:szCs w:val="20"/>
                <w:color w:val="auto"/>
              </w:rPr>
              <w:t>GERMANY</w:t>
            </w:r>
          </w:p>
        </w:tc>
        <w:tc>
          <w:tcPr>
            <w:tcW w:w="1680" w:type="dxa"/>
            <w:vAlign w:val="bottom"/>
          </w:tcPr>
          <w:p>
            <w:pPr>
              <w:spacing w:after="0"/>
              <w:rPr>
                <w:sz w:val="23"/>
                <w:szCs w:val="23"/>
                <w:color w:val="auto"/>
              </w:rPr>
            </w:pPr>
          </w:p>
        </w:tc>
      </w:tr>
      <w:tr>
        <w:trPr>
          <w:trHeight w:val="354"/>
        </w:trPr>
        <w:tc>
          <w:tcPr>
            <w:tcW w:w="40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1" w:name="page102"/>
    <w:bookmarkEnd w:id="101"/>
    <w:p>
      <w:pPr>
        <w:ind w:left="10260"/>
        <w:spacing w:after="0"/>
        <w:rPr>
          <w:sz w:val="20"/>
          <w:szCs w:val="20"/>
          <w:color w:val="auto"/>
        </w:rPr>
      </w:pPr>
      <w:r>
        <w:rPr>
          <w:rFonts w:ascii="Arial" w:cs="Arial" w:eastAsia="Arial" w:hAnsi="Arial"/>
          <w:sz w:val="17"/>
          <w:szCs w:val="17"/>
          <w:b w:val="1"/>
          <w:bCs w:val="1"/>
          <w:color w:val="auto"/>
        </w:rPr>
        <w:t>Exhibit 23.1</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333-267094, 333-252592 and 333-233201) and Form S-8 (No. 333-264938, 333-232239, 333-219491, 333-190490, 333-151808, 333-141694 and 333-122665) of MediciNova, Inc. of our report dated February 16, 2023, relating to the consolidated financial statements, which appears in this Form 10-K/A.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left="10260"/>
        <w:spacing w:after="0"/>
        <w:rPr>
          <w:sz w:val="20"/>
          <w:szCs w:val="20"/>
          <w:color w:val="auto"/>
        </w:rPr>
      </w:pPr>
      <w:r>
        <w:rPr>
          <w:rFonts w:ascii="Arial" w:cs="Arial" w:eastAsia="Arial" w:hAnsi="Arial"/>
          <w:sz w:val="16"/>
          <w:szCs w:val="16"/>
          <w:b w:val="1"/>
          <w:bCs w:val="1"/>
          <w:color w:val="auto"/>
        </w:rPr>
        <w:t>Exhibit 31.1</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fiscal year ended December 31, 2022 of MediciNova, Inc.;</w:t>
      </w:r>
    </w:p>
    <w:p>
      <w:pPr>
        <w:spacing w:after="0" w:line="117" w:lineRule="exact"/>
        <w:rPr>
          <w:rFonts w:ascii="Arial" w:cs="Arial" w:eastAsia="Arial" w:hAnsi="Arial"/>
          <w:sz w:val="18"/>
          <w:szCs w:val="18"/>
          <w:color w:val="auto"/>
        </w:rPr>
      </w:pPr>
    </w:p>
    <w:p>
      <w:pPr>
        <w:ind w:right="22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80" w:firstLine="517"/>
        <w:spacing w:after="0" w:line="263" w:lineRule="auto"/>
        <w:tabs>
          <w:tab w:leader="none" w:pos="6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20" w:hanging="203"/>
        <w:spacing w:after="0"/>
        <w:tabs>
          <w:tab w:leader="none" w:pos="7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right="800" w:firstLine="517"/>
        <w:spacing w:after="0" w:line="342" w:lineRule="auto"/>
        <w:tabs>
          <w:tab w:leader="none" w:pos="694"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0" w:firstLine="517"/>
        <w:spacing w:after="0" w:line="263" w:lineRule="auto"/>
        <w:tabs>
          <w:tab w:leader="none" w:pos="7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4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00" w:firstLine="517"/>
        <w:spacing w:after="0" w:line="277" w:lineRule="auto"/>
        <w:tabs>
          <w:tab w:leader="none" w:pos="6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77" w:lineRule="auto"/>
        <w:tabs>
          <w:tab w:leader="none" w:pos="7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Yuichi Iwaki, M.D., Ph.D.</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ind w:left="10260"/>
        <w:spacing w:after="0"/>
        <w:rPr>
          <w:sz w:val="20"/>
          <w:szCs w:val="20"/>
          <w:color w:val="auto"/>
        </w:rPr>
      </w:pPr>
      <w:r>
        <w:rPr>
          <w:rFonts w:ascii="Arial" w:cs="Arial" w:eastAsia="Arial" w:hAnsi="Arial"/>
          <w:sz w:val="16"/>
          <w:szCs w:val="16"/>
          <w:b w:val="1"/>
          <w:bCs w:val="1"/>
          <w:color w:val="auto"/>
        </w:rPr>
        <w:t>Exhibit 31.2</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Kruger, certify that:</w:t>
      </w:r>
    </w:p>
    <w:p>
      <w:pPr>
        <w:spacing w:after="0" w:line="117"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fiscal year ended December 31, 2022 of MediciNova, Inc.;</w:t>
      </w:r>
    </w:p>
    <w:p>
      <w:pPr>
        <w:spacing w:after="0" w:line="117" w:lineRule="exact"/>
        <w:rPr>
          <w:rFonts w:ascii="Arial" w:cs="Arial" w:eastAsia="Arial" w:hAnsi="Arial"/>
          <w:sz w:val="18"/>
          <w:szCs w:val="18"/>
          <w:color w:val="auto"/>
        </w:rPr>
      </w:pPr>
    </w:p>
    <w:p>
      <w:pPr>
        <w:ind w:right="22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80" w:firstLine="517"/>
        <w:spacing w:after="0" w:line="263" w:lineRule="auto"/>
        <w:tabs>
          <w:tab w:leader="none" w:pos="6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20" w:hanging="203"/>
        <w:spacing w:after="0"/>
        <w:tabs>
          <w:tab w:leader="none" w:pos="7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right="800" w:firstLine="517"/>
        <w:spacing w:after="0" w:line="342" w:lineRule="auto"/>
        <w:tabs>
          <w:tab w:leader="none" w:pos="694"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0" w:firstLine="517"/>
        <w:spacing w:after="0" w:line="263" w:lineRule="auto"/>
        <w:tabs>
          <w:tab w:leader="none" w:pos="7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4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00" w:firstLine="517"/>
        <w:spacing w:after="0" w:line="277" w:lineRule="auto"/>
        <w:tabs>
          <w:tab w:leader="none" w:pos="6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77" w:lineRule="auto"/>
        <w:tabs>
          <w:tab w:leader="none" w:pos="7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Jason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Jason Kruger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4" w:name="page105"/>
    <w:bookmarkEnd w:id="104"/>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80"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In connection with the Annual Report on Form 10-K/A of MediciNova, Inc. (the “Company”) for the period ended December 31, 2022,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41" w:lineRule="exact"/>
        <w:rPr>
          <w:sz w:val="20"/>
          <w:szCs w:val="20"/>
          <w:color w:val="auto"/>
        </w:rPr>
      </w:pPr>
    </w:p>
    <w:p>
      <w:pPr>
        <w:ind w:left="700" w:hanging="183"/>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83"/>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Yuichi Iwaki, M.D., Ph.D.</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3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80"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In connection with the Annual Report on Form 10-K/A of MediciNova, Inc. (the “Company”) for the period ended December 31, 2022, as filed with the Securities and Exchange Commission on the date hereof (the “Report”),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Jason Kruger, as Chief Financial Officer of the Company, certify, pursuant to 18 U.S.C. Section 1350, as adopted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 to my knowledge:</w:t>
      </w:r>
    </w:p>
    <w:p>
      <w:pPr>
        <w:spacing w:after="0" w:line="103" w:lineRule="exact"/>
        <w:rPr>
          <w:sz w:val="20"/>
          <w:szCs w:val="20"/>
          <w:color w:val="auto"/>
        </w:rPr>
      </w:pPr>
    </w:p>
    <w:p>
      <w:pPr>
        <w:ind w:left="700" w:hanging="183"/>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83"/>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tabs>
          <w:tab w:leader="none" w:pos="678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5"/>
          <w:szCs w:val="15"/>
          <w:color w:val="auto"/>
        </w:rPr>
        <w:t>/s/ Jason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23495</wp:posOffset>
            </wp:positionV>
            <wp:extent cx="28289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Jason Kruger</w:t>
      </w:r>
    </w:p>
    <w:p>
      <w:pPr>
        <w:spacing w:after="0" w:line="3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(Principal financial officer)</w:t>
      </w:r>
    </w:p>
    <w:p>
      <w:pPr>
        <w:spacing w:after="0" w:line="239"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21"/>
    </w:lvl>
  </w:abstractNum>
  <w:abstractNum w:abstractNumId="42">
    <w:nsid w:val="6DE91B18"/>
    <w:multiLevelType w:val="hybridMultilevel"/>
    <w:lvl w:ilvl="0">
      <w:lvlJc w:val="left"/>
      <w:lvlText w:val="%1"/>
      <w:numFmt w:val="decimal"/>
      <w:start w:val="101"/>
    </w:lvl>
  </w:abstractNum>
  <w:abstractNum w:abstractNumId="43">
    <w:nsid w:val="38437FDB"/>
    <w:multiLevelType w:val="hybridMultilevel"/>
    <w:lvl w:ilvl="0">
      <w:lvlJc w:val="left"/>
      <w:lvlText w:val="†"/>
      <w:numFmt w:val="bullet"/>
      <w:start w:val="1"/>
    </w:lvl>
    <w:lvl w:ilvl="1">
      <w:lvlJc w:val="left"/>
      <w:lvlText w:val="%2"/>
      <w:numFmt w:val="decimal"/>
      <w:start w:val="104"/>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2"/>
    </w:lvl>
  </w:abstractNum>
  <w:abstractNum w:abstractNumId="46">
    <w:nsid w:val="684A481A"/>
    <w:multiLevelType w:val="hybridMultilevel"/>
    <w:lvl w:ilvl="0">
      <w:lvlJc w:val="left"/>
      <w:lvlText w:val="%1."/>
      <w:numFmt w:val="decimal"/>
      <w:start w:val="3"/>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19" Type="http://schemas.openxmlformats.org/officeDocument/2006/relationships/hyperlink" Target="https://www.sec.gov/Archives/edgar/data/1226616/000119312512347932/d344794dex31.htm" TargetMode="External"/><Relationship Id="rId220" Type="http://schemas.openxmlformats.org/officeDocument/2006/relationships/hyperlink" Target="https://www.sec.gov/Archives/edgar/data/1226616/000119312504164964/dex34.htm" TargetMode="External"/><Relationship Id="rId221" Type="http://schemas.openxmlformats.org/officeDocument/2006/relationships/hyperlink" Target="https://www.sec.gov/Archives/edgar/data/1226616/000119312507033031/dex41.htm" TargetMode="External"/><Relationship Id="rId222" Type="http://schemas.openxmlformats.org/officeDocument/2006/relationships/hyperlink" Target="https://www.sec.gov/Archives/edgar/data/1226616/000119312504164964/dex42.htm" TargetMode="External"/><Relationship Id="rId223" Type="http://schemas.openxmlformats.org/officeDocument/2006/relationships/hyperlink" Target="https://www.sec.gov/Archives/edgar/data/1226616/000156459022005388/mnov-ex4_6.htm" TargetMode="External"/><Relationship Id="rId224" Type="http://schemas.openxmlformats.org/officeDocument/2006/relationships/hyperlink" Target="https://www.sec.gov/Archives/edgar/data/1226616/000119312512137788/d270304dex102.htm" TargetMode="External"/><Relationship Id="rId225" Type="http://schemas.openxmlformats.org/officeDocument/2006/relationships/hyperlink" Target="https://www.sec.gov/Archives/edgar/data/1226616/000119312513132600/d448827dex103.htm" TargetMode="External"/><Relationship Id="rId226" Type="http://schemas.openxmlformats.org/officeDocument/2006/relationships/hyperlink" Target="https://www.sec.gov/Archives/edgar/data/1226616/000119312504202924/dex104.htm" TargetMode="External"/><Relationship Id="rId227" Type="http://schemas.openxmlformats.org/officeDocument/2006/relationships/hyperlink" Target="https://www.sec.gov/Archives/edgar/data/1226616/000119312504202924/dex105.htm" TargetMode="External"/><Relationship Id="rId228" Type="http://schemas.openxmlformats.org/officeDocument/2006/relationships/hyperlink" Target="https://www.sec.gov/Archives/edgar/data/1226616/000119312504202924/dex107.htm" TargetMode="External"/><Relationship Id="rId229" Type="http://schemas.openxmlformats.org/officeDocument/2006/relationships/hyperlink" Target="https://www.sec.gov/Archives/edgar/data/1226616/000119312504202924/dex1018.htm" TargetMode="External"/><Relationship Id="rId232" Type="http://schemas.openxmlformats.org/officeDocument/2006/relationships/hyperlink" Target="https://www.sec.gov/Archives/edgar/data/1226616/000119312506221980/dex101.htm" TargetMode="External"/><Relationship Id="rId233" Type="http://schemas.openxmlformats.org/officeDocument/2006/relationships/hyperlink" Target="https://www.sec.gov/Archives/edgar/data/1226616/000119312506221980/dex102.htm" TargetMode="External"/><Relationship Id="rId234" Type="http://schemas.openxmlformats.org/officeDocument/2006/relationships/hyperlink" Target="https://www.sec.gov/Archives/edgar/data/1226616/000119312507074153/dex101.htm" TargetMode="External"/><Relationship Id="rId235" Type="http://schemas.openxmlformats.org/officeDocument/2006/relationships/hyperlink" Target="https://www.sec.gov/Archives/edgar/data/1226616/000119312507053569/ddef14a.htm" TargetMode="External"/><Relationship Id="rId236" Type="http://schemas.openxmlformats.org/officeDocument/2006/relationships/hyperlink" Target="https://www.sec.gov/Archives/edgar/data/1226616/000119312509066501/dex101.htm" TargetMode="External"/><Relationship Id="rId237" Type="http://schemas.openxmlformats.org/officeDocument/2006/relationships/hyperlink" Target="https://www.sec.gov/Archives/edgar/data/932903/000114544306000811/d18787ex10-58.htm" TargetMode="External"/><Relationship Id="rId238" Type="http://schemas.openxmlformats.org/officeDocument/2006/relationships/hyperlink" Target="https://www.sec.gov/Archives/edgar/data/932903/000120677409000503/exhibit_2-2.htm" TargetMode="External"/><Relationship Id="rId239" Type="http://schemas.openxmlformats.org/officeDocument/2006/relationships/hyperlink" Target="https://www.sec.gov/Archives/edgar/data/1226616/000119312511001216/dex101.htm" TargetMode="External"/><Relationship Id="rId240" Type="http://schemas.openxmlformats.org/officeDocument/2006/relationships/hyperlink" Target="https://www.sec.gov/Archives/edgar/data/1226616/000119312517279377/d414779dex101.htm" TargetMode="External"/><Relationship Id="rId241" Type="http://schemas.openxmlformats.org/officeDocument/2006/relationships/hyperlink" Target="https://www.sec.gov/Archives/edgar/data/1226616/000119312514118744/d652763dex1023.htm" TargetMode="External"/><Relationship Id="rId242" Type="http://schemas.openxmlformats.org/officeDocument/2006/relationships/hyperlink" Target="https://www.sec.gov/Archives/edgar/data/1226616/000156459017014096/mnov-ex101_306.htm" TargetMode="External"/><Relationship Id="rId243" Type="http://schemas.openxmlformats.org/officeDocument/2006/relationships/hyperlink" Target="https://www.sec.gov/Archives/edgar/data/1226616/000119312513433171/d595996dex103.htm" TargetMode="External"/><Relationship Id="rId244" Type="http://schemas.openxmlformats.org/officeDocument/2006/relationships/hyperlink" Target="https://www.sec.gov/Archives/edgar/data/1226616/000119312514308545/d745670dex102.htm" TargetMode="External"/><Relationship Id="rId245" Type="http://schemas.openxmlformats.org/officeDocument/2006/relationships/hyperlink" Target="https://www.sec.gov/Archives/edgar/data/1226616/000119312514308545/d745670dex104.htm" TargetMode="External"/><Relationship Id="rId246" Type="http://schemas.openxmlformats.org/officeDocument/2006/relationships/hyperlink" Target="https://www.sec.gov/Archives/edgar/data/1226616/000119312514308545/d745670dex105.htm" TargetMode="External"/><Relationship Id="rId247" Type="http://schemas.openxmlformats.org/officeDocument/2006/relationships/hyperlink" Target="https://www.sec.gov/Archives/edgar/data/1226616/000119312519228009/d768153dex101.htm" TargetMode="External"/><Relationship Id="rId248" Type="http://schemas.openxmlformats.org/officeDocument/2006/relationships/hyperlink" Target="https://www.sec.gov/Archives/edgar/data/0001226616/000119312521006833/d931163dex101.htm" TargetMode="External"/><Relationship Id="rId251" Type="http://schemas.openxmlformats.org/officeDocument/2006/relationships/hyperlink" Target="https://www.sec.gov/Archives/edgar/data/0001226616/000119312521006833/d931163dex102.htm" TargetMode="External"/><Relationship Id="rId252" Type="http://schemas.openxmlformats.org/officeDocument/2006/relationships/hyperlink" Target="https://www.sec.gov/Archives/edgar/data/0001226616/000119312521233293/d211886dex991.htm" TargetMode="External"/><Relationship Id="rId253" Type="http://schemas.openxmlformats.org/officeDocument/2006/relationships/hyperlink" Target="https://www.sec.gov/Archives/edgar/data/0001226616/000119312521222985/d15989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2023-03-28T16:45:13Z</dcterms:created>
  <dcterms:modified xsi:type="dcterms:W3CDTF">2023-03-28T16:45:13Z</dcterms:modified>
</cp:coreProperties>
</file>