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49" w:lineRule="exact"/>
        <w:rPr>
          <w:sz w:val="24"/>
          <w:szCs w:val="24"/>
          <w:color w:val="auto"/>
        </w:rPr>
      </w:pPr>
    </w:p>
    <w:p>
      <w:pPr>
        <w:ind w:left="520" w:right="2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355" w:right="37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000"/>
          </w:cols>
          <w:pgMar w:left="240" w:top="355"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type w:val="continuous"/>
        </w:sect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300" w:type="dxa"/>
            <w:vAlign w:val="bottom"/>
          </w:tcPr>
          <w:p>
            <w:pPr>
              <w:jc w:val="center"/>
              <w:ind w:right="3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5"/>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89"/>
              </w:rPr>
              <w:t>4275 Executive Square, Suite 300</w:t>
            </w:r>
          </w:p>
        </w:tc>
        <w:tc>
          <w:tcPr>
            <w:tcW w:w="1340" w:type="dxa"/>
            <w:vAlign w:val="bottom"/>
          </w:tcPr>
          <w:p>
            <w:pPr>
              <w:spacing w:after="0"/>
              <w:rPr>
                <w:sz w:val="24"/>
                <w:szCs w:val="24"/>
                <w:color w:val="auto"/>
              </w:rPr>
            </w:pPr>
          </w:p>
        </w:tc>
      </w:t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5"/>
              </w:rPr>
              <w:t>La Jolla, CA</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6300" w:type="dxa"/>
            <w:vAlign w:val="bottom"/>
          </w:tcPr>
          <w:p>
            <w:pPr>
              <w:jc w:val="right"/>
              <w:ind w:right="1539"/>
              <w:spacing w:after="0"/>
              <w:rPr>
                <w:sz w:val="20"/>
                <w:szCs w:val="20"/>
                <w:color w:val="auto"/>
              </w:rPr>
            </w:pPr>
            <w:r>
              <w:rPr>
                <w:rFonts w:ascii="Arial" w:cs="Arial" w:eastAsia="Arial" w:hAnsi="Arial"/>
                <w:sz w:val="16"/>
                <w:szCs w:val="16"/>
                <w:b w:val="1"/>
                <w:bCs w:val="1"/>
                <w:color w:val="auto"/>
              </w:rPr>
              <w:t>(858) 373-1500</w:t>
            </w:r>
          </w:p>
        </w:tc>
        <w:tc>
          <w:tcPr>
            <w:tcW w:w="1340" w:type="dxa"/>
            <w:vAlign w:val="bottom"/>
          </w:tcPr>
          <w:p>
            <w:pPr>
              <w:spacing w:after="0"/>
              <w:rPr>
                <w:sz w:val="24"/>
                <w:szCs w:val="24"/>
                <w:color w:val="auto"/>
              </w:rPr>
            </w:pPr>
          </w:p>
        </w:tc>
      </w:tr>
      <w:tr>
        <w:trPr>
          <w:trHeight w:val="210"/>
        </w:trPr>
        <w:tc>
          <w:tcPr>
            <w:tcW w:w="6300" w:type="dxa"/>
            <w:vAlign w:val="bottom"/>
          </w:tcPr>
          <w:p>
            <w:pPr>
              <w:jc w:val="center"/>
              <w:ind w:left="1959"/>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3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106680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0"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definitions of “accelerated filer”, “large accelerated filer” and “smaller reporting company” in Rule 12b-2 of the Exchange Act. (Check one):</w:t>
      </w:r>
    </w:p>
    <w:p>
      <w:pPr>
        <w:sectPr>
          <w:pgSz w:w="11900" w:h="16838" w:orient="portrait"/>
          <w:cols w:equalWidth="0" w:num="1">
            <w:col w:w="11280"/>
          </w:cols>
          <w:pgMar w:left="240" w:top="355" w:right="379" w:bottom="1440" w:gutter="0" w:footer="0" w:header="0"/>
          <w:type w:val="continuous"/>
        </w:sectPr>
      </w:pPr>
    </w:p>
    <w:p>
      <w:pPr>
        <w:spacing w:after="0" w:line="159"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800" w:space="720"/>
            <w:col w:w="4840" w:space="720"/>
            <w:col w:w="2340" w:space="720"/>
            <w:col w:w="140"/>
          </w:cols>
          <w:pgMar w:left="240" w:top="355" w:right="3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800" w:space="720"/>
            <w:col w:w="140" w:space="80"/>
            <w:col w:w="4620" w:space="720"/>
            <w:col w:w="2340" w:space="720"/>
            <w:col w:w="140"/>
          </w:cols>
          <w:pgMar w:left="240" w:top="355" w:right="379" w:bottom="1440" w:gutter="0" w:footer="0" w:header="0"/>
          <w:type w:val="continuous"/>
        </w:sectPr>
      </w:pPr>
    </w:p>
    <w:p>
      <w:pPr>
        <w:spacing w:after="0" w:line="14" w:lineRule="exact"/>
        <w:rPr>
          <w:sz w:val="24"/>
          <w:szCs w:val="24"/>
          <w:color w:val="auto"/>
        </w:rPr>
      </w:pPr>
    </w:p>
    <w:p>
      <w:pPr>
        <w:ind w:left="7780"/>
        <w:spacing w:after="0" w:line="184" w:lineRule="exact"/>
        <w:tabs>
          <w:tab w:leader="none" w:pos="106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80"/>
          </w:cols>
          <w:pgMar w:left="240" w:top="355" w:right="379" w:bottom="1440" w:gutter="0" w:footer="0" w:header="0"/>
          <w:type w:val="continuous"/>
        </w:sectPr>
      </w:pP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24" w:lineRule="exact"/>
        <w:rPr>
          <w:sz w:val="24"/>
          <w:szCs w:val="24"/>
          <w:color w:val="auto"/>
        </w:rPr>
      </w:pPr>
    </w:p>
    <w:p>
      <w:pPr>
        <w:spacing w:after="0" w:line="184" w:lineRule="exact"/>
        <w:tabs>
          <w:tab w:leader="none" w:pos="6460" w:val="left"/>
        </w:tabs>
        <w:rPr>
          <w:sz w:val="20"/>
          <w:szCs w:val="20"/>
          <w:color w:val="auto"/>
        </w:rPr>
      </w:pPr>
      <w:r>
        <w:rPr>
          <w:rFonts w:ascii="Arial" w:cs="Arial" w:eastAsia="Arial" w:hAnsi="Arial"/>
          <w:sz w:val="16"/>
          <w:szCs w:val="16"/>
          <w:color w:val="auto"/>
        </w:rPr>
        <w:t>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87" w:lineRule="exact"/>
        <w:rPr>
          <w:sz w:val="24"/>
          <w:szCs w:val="24"/>
          <w:color w:val="auto"/>
        </w:rPr>
      </w:pPr>
    </w:p>
    <w:p>
      <w:pPr>
        <w:ind w:left="520" w:right="218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24, 2018, the registrant had 41,129,073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200" w:lineRule="exact"/>
        <w:rPr>
          <w:sz w:val="20"/>
          <w:szCs w:val="20"/>
          <w:color w:val="auto"/>
        </w:rPr>
      </w:pPr>
    </w:p>
    <w:p>
      <w:pPr>
        <w:spacing w:after="0" w:line="228" w:lineRule="exact"/>
        <w:rPr>
          <w:sz w:val="20"/>
          <w:szCs w:val="20"/>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30" w:lineRule="exact"/>
        <w:rPr>
          <w:rFonts w:ascii="Arial" w:cs="Arial" w:eastAsia="Arial" w:hAnsi="Arial"/>
          <w:sz w:val="18"/>
          <w:szCs w:val="18"/>
          <w:color w:val="auto"/>
        </w:rPr>
      </w:pPr>
    </w:p>
    <w:p>
      <w:pPr>
        <w:ind w:left="1100" w:right="246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FDA or foreign regulatory approval for our product candidates in a timely manner;</w:t>
      </w:r>
    </w:p>
    <w:p>
      <w:pPr>
        <w:spacing w:after="0" w:line="89" w:lineRule="exact"/>
        <w:rPr>
          <w:rFonts w:ascii="Arial" w:cs="Arial" w:eastAsia="Arial" w:hAnsi="Arial"/>
          <w:sz w:val="18"/>
          <w:szCs w:val="18"/>
          <w:color w:val="auto"/>
        </w:rPr>
      </w:pPr>
    </w:p>
    <w:p>
      <w:pPr>
        <w:ind w:left="1100" w:right="22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30" w:lineRule="exact"/>
        <w:rPr>
          <w:rFonts w:ascii="Arial" w:cs="Arial" w:eastAsia="Arial" w:hAnsi="Arial"/>
          <w:sz w:val="18"/>
          <w:szCs w:val="18"/>
          <w:color w:val="auto"/>
        </w:rPr>
      </w:pPr>
    </w:p>
    <w:p>
      <w:pPr>
        <w:ind w:left="1100" w:right="216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30" w:lineRule="exact"/>
        <w:rPr>
          <w:rFonts w:ascii="Arial" w:cs="Arial" w:eastAsia="Arial" w:hAnsi="Arial"/>
          <w:sz w:val="18"/>
          <w:szCs w:val="18"/>
          <w:color w:val="auto"/>
        </w:rPr>
      </w:pPr>
    </w:p>
    <w:p>
      <w:pPr>
        <w:ind w:left="1100" w:right="218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25"/>
          </w:cols>
          <w:pgMar w:left="734" w:top="44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540" w:type="dxa"/>
            <w:vAlign w:val="bottom"/>
          </w:tcPr>
          <w:p>
            <w:pPr>
              <w:jc w:val="center"/>
              <w:ind w:left="255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540" w:type="dxa"/>
            <w:vAlign w:val="bottom"/>
          </w:tcPr>
          <w:p>
            <w:pPr>
              <w:jc w:val="center"/>
              <w:ind w:left="2550"/>
              <w:spacing w:after="0"/>
              <w:rPr>
                <w:sz w:val="20"/>
                <w:szCs w:val="20"/>
                <w:color w:val="auto"/>
              </w:rPr>
            </w:pPr>
            <w:r>
              <w:rPr>
                <w:rFonts w:ascii="Arial" w:cs="Arial" w:eastAsia="Arial" w:hAnsi="Arial"/>
                <w:sz w:val="18"/>
                <w:szCs w:val="18"/>
                <w:b w:val="1"/>
                <w:bCs w:val="1"/>
                <w:color w:val="auto"/>
              </w:rPr>
              <w:t>MEDICINOVA, INC.</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540" w:type="dxa"/>
            <w:vAlign w:val="bottom"/>
          </w:tcPr>
          <w:p>
            <w:pPr>
              <w:jc w:val="center"/>
              <w:ind w:left="25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center"/>
              <w:ind w:right="232"/>
              <w:spacing w:after="0" w:line="155"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62,939,203</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27,991,743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632,674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336,580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63,571,877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28,328,323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9,600,240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616,657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616,657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78,664,744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43,419,064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361,411</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1,520,225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837,571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1,198,982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2,880,969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Long-term deferred revenue</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3,094,937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4,776,924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gridSpan w:val="2"/>
          </w:tcPr>
          <w:p>
            <w:pPr>
              <w:ind w:left="380"/>
              <w:spacing w:after="0"/>
              <w:rPr>
                <w:sz w:val="20"/>
                <w:szCs w:val="20"/>
                <w:color w:val="auto"/>
              </w:rPr>
            </w:pPr>
            <w:r>
              <w:rPr>
                <w:rFonts w:ascii="Arial" w:cs="Arial" w:eastAsia="Arial" w:hAnsi="Arial"/>
                <w:sz w:val="18"/>
                <w:szCs w:val="18"/>
                <w:color w:val="auto"/>
                <w:w w:val="91"/>
              </w:rPr>
              <w:t>Common stock, $0.001 par value; 100,000,000 shares authorized at March 31, 2018 and December</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80"/>
              <w:spacing w:after="0"/>
              <w:rPr>
                <w:sz w:val="20"/>
                <w:szCs w:val="20"/>
                <w:color w:val="auto"/>
              </w:rPr>
            </w:pPr>
            <w:r>
              <w:rPr>
                <w:rFonts w:ascii="Arial" w:cs="Arial" w:eastAsia="Arial" w:hAnsi="Arial"/>
                <w:sz w:val="18"/>
                <w:szCs w:val="18"/>
                <w:color w:val="auto"/>
                <w:w w:val="98"/>
              </w:rPr>
              <w:t>31, 2017; 41,129,073 and 36,452,893 shares issued and outstanding at March 31, 2018 and</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December 31, 2017, respectively</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41,129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36,453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421,616,720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380,156,510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(88,791)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(94,623)</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(345,999,251)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(341,456,200)</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75,569,807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38,642,140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78,664,744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43,419,064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5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552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2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1,661,846</w:t>
            </w:r>
          </w:p>
        </w:tc>
        <w:tc>
          <w:tcPr>
            <w:tcW w:w="2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900,661</w:t>
            </w:r>
          </w:p>
        </w:tc>
        <w:tc>
          <w:tcPr>
            <w:tcW w:w="280" w:type="dxa"/>
            <w:vAlign w:val="bottom"/>
          </w:tcPr>
          <w:p>
            <w:pPr>
              <w:spacing w:after="0"/>
              <w:rPr>
                <w:sz w:val="19"/>
                <w:szCs w:val="19"/>
                <w:color w:val="auto"/>
              </w:rPr>
            </w:pPr>
          </w:p>
        </w:tc>
      </w:tr>
      <w:tr>
        <w:trPr>
          <w:trHeight w:val="230"/>
        </w:trPr>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2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3,004,735</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2,122,861</w:t>
            </w:r>
          </w:p>
        </w:tc>
        <w:tc>
          <w:tcPr>
            <w:tcW w:w="280" w:type="dxa"/>
            <w:vAlign w:val="bottom"/>
            <w:shd w:val="clear" w:color="auto" w:fill="CFF0FC"/>
          </w:tcPr>
          <w:p>
            <w:pPr>
              <w:spacing w:after="0"/>
              <w:rPr>
                <w:sz w:val="19"/>
                <w:szCs w:val="19"/>
                <w:color w:val="auto"/>
              </w:rPr>
            </w:pP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4,666,581</w:t>
            </w:r>
          </w:p>
        </w:tc>
        <w:tc>
          <w:tcPr>
            <w:tcW w:w="2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3,023,522</w:t>
            </w:r>
          </w:p>
        </w:tc>
        <w:tc>
          <w:tcPr>
            <w:tcW w:w="280" w:type="dxa"/>
            <w:vAlign w:val="bottom"/>
            <w:tcBorders>
              <w:bottom w:val="single" w:sz="8" w:color="CFF0FC"/>
            </w:tcBorders>
          </w:tcPr>
          <w:p>
            <w:pPr>
              <w:spacing w:after="0"/>
              <w:rPr>
                <w:sz w:val="19"/>
                <w:szCs w:val="19"/>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(4,666,581)</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(3,023,522)</w:t>
            </w:r>
          </w:p>
        </w:tc>
        <w:tc>
          <w:tcPr>
            <w:tcW w:w="2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Other expense</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(7,815)</w:t>
            </w:r>
          </w:p>
        </w:tc>
        <w:tc>
          <w:tcPr>
            <w:tcW w:w="5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(4,447)</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2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131,345</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15,505</w:t>
            </w:r>
          </w:p>
        </w:tc>
        <w:tc>
          <w:tcPr>
            <w:tcW w:w="280" w:type="dxa"/>
            <w:vAlign w:val="bottom"/>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(4,543,051)</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(3,012,464)</w:t>
            </w:r>
          </w:p>
        </w:tc>
        <w:tc>
          <w:tcPr>
            <w:tcW w:w="2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(4,060)</w:t>
            </w:r>
          </w:p>
        </w:tc>
      </w:tr>
      <w:tr>
        <w:trPr>
          <w:trHeight w:val="26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22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(4,543,051)</w:t>
            </w:r>
          </w:p>
        </w:tc>
        <w:tc>
          <w:tcPr>
            <w:tcW w:w="260" w:type="dxa"/>
            <w:vAlign w:val="bottom"/>
            <w:tcBorders>
              <w:bottom w:val="single" w:sz="8" w:color="CFF0FC"/>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(3,016,524)</w:t>
            </w:r>
          </w:p>
        </w:tc>
        <w:tc>
          <w:tcPr>
            <w:tcW w:w="280" w:type="dxa"/>
            <w:vAlign w:val="bottom"/>
            <w:tcBorders>
              <w:bottom w:val="single" w:sz="8" w:color="CFF0FC"/>
            </w:tcBorders>
          </w:tcPr>
          <w:p>
            <w:pPr>
              <w:spacing w:after="0"/>
              <w:rPr>
                <w:sz w:val="22"/>
                <w:szCs w:val="22"/>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2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FF0FC"/>
          </w:tcPr>
          <w:p>
            <w:pPr>
              <w:spacing w:after="0"/>
              <w:rPr>
                <w:sz w:val="18"/>
                <w:szCs w:val="18"/>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2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39,132,124</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34,527,100</w:t>
            </w:r>
          </w:p>
        </w:tc>
        <w:tc>
          <w:tcPr>
            <w:tcW w:w="280" w:type="dxa"/>
            <w:vAlign w:val="bottom"/>
          </w:tcPr>
          <w:p>
            <w:pPr>
              <w:spacing w:after="0"/>
              <w:rPr>
                <w:sz w:val="20"/>
                <w:szCs w:val="20"/>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2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(4,543,051)</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(3,016,524)</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5,830</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280" w:type="dxa"/>
            <w:vAlign w:val="bottom"/>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Comprehensive loss</w:t>
            </w:r>
          </w:p>
        </w:tc>
        <w:tc>
          <w:tcPr>
            <w:tcW w:w="22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(4,537,221)</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(3,014,808)</w:t>
            </w:r>
          </w:p>
        </w:tc>
        <w:tc>
          <w:tcPr>
            <w:tcW w:w="2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90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(4,543,051)</w:t>
            </w:r>
          </w:p>
        </w:tc>
        <w:tc>
          <w:tcPr>
            <w:tcW w:w="66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(3,016,524)</w:t>
            </w:r>
          </w:p>
        </w:tc>
        <w:tc>
          <w:tcPr>
            <w:tcW w:w="0" w:type="dxa"/>
            <w:vAlign w:val="bottom"/>
          </w:tcPr>
          <w:p>
            <w:pPr>
              <w:spacing w:after="0"/>
              <w:rPr>
                <w:sz w:val="1"/>
                <w:szCs w:val="1"/>
                <w:color w:val="auto"/>
              </w:rPr>
            </w:pPr>
          </w:p>
        </w:tc>
      </w:tr>
      <w:tr>
        <w:trPr>
          <w:trHeight w:val="215"/>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2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stock-based compensation</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2,530,425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1,168,155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 in equity method investment</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(289,370)</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(96,699)</w:t>
            </w:r>
          </w:p>
        </w:tc>
        <w:tc>
          <w:tcPr>
            <w:tcW w:w="0" w:type="dxa"/>
            <w:vAlign w:val="bottom"/>
          </w:tcPr>
          <w:p>
            <w:pPr>
              <w:spacing w:after="0"/>
              <w:rPr>
                <w:sz w:val="1"/>
                <w:szCs w:val="1"/>
                <w:color w:val="auto"/>
              </w:rPr>
            </w:pPr>
          </w:p>
        </w:tc>
      </w:tr>
      <w:tr>
        <w:trPr>
          <w:trHeight w:val="230"/>
        </w:trPr>
        <w:tc>
          <w:tcPr>
            <w:tcW w:w="7900" w:type="dxa"/>
            <w:vAlign w:val="bottom"/>
          </w:tcPr>
          <w:p>
            <w:pPr>
              <w:ind w:left="112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(1,786,088)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(611,782)</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(4,081,395)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(2,547,271)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(8,584)</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exercise of common</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39,006,802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39,034,703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34,947,460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(2,480,881)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27,991,743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62,939,203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21,637,156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2,725</w:t>
            </w:r>
          </w:p>
        </w:tc>
        <w:tc>
          <w:tcPr>
            <w:tcW w:w="140" w:type="dxa"/>
            <w:vAlign w:val="bottom"/>
          </w:tcPr>
          <w:p>
            <w:pPr>
              <w:spacing w:after="0"/>
              <w:rPr>
                <w:sz w:val="19"/>
                <w:szCs w:val="19"/>
                <w:color w:val="auto"/>
              </w:rPr>
            </w:pPr>
          </w:p>
        </w:tc>
        <w:tc>
          <w:tcPr>
            <w:tcW w:w="6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non cash financing activities: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Transaction costs for February 2018 public offering</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(100,242)</w:t>
            </w:r>
          </w:p>
        </w:tc>
        <w:tc>
          <w:tcPr>
            <w:tcW w:w="6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and addiction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financial statements should be read in conjunction with the audited consolidated financial statements and notes thereto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$1.6 million and $0.8 million for the three months ended March 31, 2018 and 2017, respectively.</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months ended March 31, 2018 and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650"/>
        <w:spacing w:after="0" w:line="255" w:lineRule="auto"/>
        <w:rPr>
          <w:sz w:val="20"/>
          <w:szCs w:val="20"/>
          <w:color w:val="auto"/>
        </w:rPr>
      </w:pPr>
      <w:r>
        <w:rPr>
          <w:rFonts w:ascii="Arial" w:cs="Arial" w:eastAsia="Arial" w:hAnsi="Arial"/>
          <w:sz w:val="18"/>
          <w:szCs w:val="18"/>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 or services. The Company is required to adopt the amendments beginning January 1, 2018. The amendments may be applied retrospectively to each prior period presented or retrospectively with the cumulative effect recognized as of the date of initial application (“modified retrospective method”). We have adopted the standard as of January 1, 2018 and determined that there will be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 w:name="page9"/>
    <w:bookmarkEnd w:id="8"/>
    <w:p>
      <w:pPr>
        <w:ind w:right="240"/>
        <w:spacing w:after="0" w:line="264" w:lineRule="auto"/>
        <w:rPr>
          <w:sz w:val="20"/>
          <w:szCs w:val="20"/>
          <w:color w:val="auto"/>
        </w:rPr>
      </w:pPr>
      <w:r>
        <w:rPr>
          <w:rFonts w:ascii="Arial" w:cs="Arial" w:eastAsia="Arial" w:hAnsi="Arial"/>
          <w:sz w:val="18"/>
          <w:szCs w:val="18"/>
          <w:color w:val="auto"/>
        </w:rPr>
        <w:t>no impact on our financial statements as we currently do not have any revenue contracts within the scope of the new guidance. We will continue to account for our agreement to perform research and development services for Kissei Pharmaceutical Co., Ltd as a collaborative arrangement with no change to the method of recognizing revenues for this contract.</w:t>
      </w:r>
    </w:p>
    <w:p>
      <w:pPr>
        <w:spacing w:after="0" w:line="73" w:lineRule="exact"/>
        <w:rPr>
          <w:sz w:val="20"/>
          <w:szCs w:val="20"/>
          <w:color w:val="auto"/>
        </w:rPr>
      </w:pPr>
    </w:p>
    <w:p>
      <w:pPr>
        <w:ind w:firstLine="650"/>
        <w:spacing w:after="0" w:line="257" w:lineRule="auto"/>
        <w:rPr>
          <w:sz w:val="20"/>
          <w:szCs w:val="20"/>
          <w:color w:val="auto"/>
        </w:rPr>
      </w:pPr>
      <w:r>
        <w:rPr>
          <w:rFonts w:ascii="Arial" w:cs="Arial" w:eastAsia="Arial" w:hAnsi="Arial"/>
          <w:sz w:val="18"/>
          <w:szCs w:val="18"/>
          <w:color w:val="auto"/>
        </w:rPr>
        <w:t>In February 2016, the FASB issued Accounting Standards Update (“ASU”) 2016-02, Leases,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that the adoption of this standard will have on our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60" w:firstLine="678"/>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40" w:firstLine="678"/>
        <w:spacing w:after="0" w:line="270"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there were two separate performance obligations under this agreement. The transaction price was allocated among the studies deemed two separate performance obligations based on the expected costs to be incurred for each obligation. Revenue is recognized proportional to the total costs expected for each performance obligation as incurred over the service period. The first study was completed in 2013 and 2012 and the second study has not begun as of March 31, 2018. The Company expects that the study will be completed after 2018. The amount received from Kissei and allocated, net of the amount recorded as revenue, is included on the balance sheet as long-term deferred revenue and will be recognized as revenue as the remaining performance obligation is satisfied. No revenue was recognized for the three months ended March 31, 2018 and 2017 in connection with the collaboration agreement with Kissei.</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100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1020" w:firstLine="518"/>
        <w:spacing w:after="0" w:line="277" w:lineRule="auto"/>
        <w:rPr>
          <w:sz w:val="20"/>
          <w:szCs w:val="20"/>
          <w:color w:val="auto"/>
        </w:rPr>
      </w:pPr>
      <w:r>
        <w:rPr>
          <w:rFonts w:ascii="Arial" w:cs="Arial" w:eastAsia="Arial" w:hAnsi="Arial"/>
          <w:sz w:val="18"/>
          <w:szCs w:val="18"/>
          <w:color w:val="auto"/>
        </w:rPr>
        <w:t>Cash and cash equivalents, including money market accounts of $668,313 and $666,265 measured at fair value as of March 31, 2018 and December 31, 2017, respectively,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right="180" w:firstLine="650"/>
        <w:spacing w:after="0" w:line="264" w:lineRule="auto"/>
        <w:rPr>
          <w:sz w:val="20"/>
          <w:szCs w:val="20"/>
          <w:color w:val="auto"/>
        </w:rPr>
      </w:pPr>
      <w:r>
        <w:rPr>
          <w:rFonts w:ascii="Arial" w:cs="Arial" w:eastAsia="Arial" w:hAnsi="Arial"/>
          <w:sz w:val="18"/>
          <w:szCs w:val="18"/>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to develop and commercialize MN-221 in China and pursue additional compounds to develop, each with a 50% interest in Zhejiang Sunmy.</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Zhejiang Sunmy was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w:t>
      </w:r>
    </w:p>
    <w:p>
      <w:pPr>
        <w:spacing w:after="0" w:line="160" w:lineRule="exact"/>
        <w:rPr>
          <w:sz w:val="20"/>
          <w:szCs w:val="20"/>
          <w:color w:val="auto"/>
        </w:rPr>
      </w:pPr>
    </w:p>
    <w:p>
      <w:pPr>
        <w:ind w:right="40" w:firstLine="650"/>
        <w:spacing w:after="0" w:line="286" w:lineRule="auto"/>
        <w:rPr>
          <w:sz w:val="20"/>
          <w:szCs w:val="20"/>
          <w:color w:val="auto"/>
        </w:rPr>
      </w:pPr>
      <w:r>
        <w:rPr>
          <w:rFonts w:ascii="Arial" w:cs="Arial" w:eastAsia="Arial" w:hAnsi="Arial"/>
          <w:sz w:val="17"/>
          <w:szCs w:val="17"/>
          <w:color w:val="auto"/>
        </w:rPr>
        <w:t>On July 24, 2017, the Company and Beijing Medfron Medical Technologies Co., Ltd. agreed to dissolve Zhejiang Sunmy, subject to approval by applicable Chinese regulatory authorities which was granted on December 11, 2017. At March 31, 2018 and December 31, 2017, we reflect a long-term asset on our consolidated balance sheet which represents our investment in Zhejiang Sunmy, net of our portion of any generated loss or income.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3,700,000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March 31, 2018, 53,592 shares remain available for future grants under the 2013 Plan.</w:t>
      </w:r>
    </w:p>
    <w:p>
      <w:pPr>
        <w:spacing w:after="0" w:line="16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occasionally issue employee performance-based stock options, the vesting of which is based on a determination made by our board of directors as to the achievement of certain corporate objectives at the end of the performance period. The grant date of such awards is the date on which our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and generally vest over a three or four year period. The exercise price of all options granted through March 31, 2018 and in 2017 was equal to the market value of the Company’s common stock on the date of grant.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March 31, 2018 is as follows:</w:t>
      </w:r>
    </w:p>
    <w:p>
      <w:pPr>
        <w:spacing w:after="0" w:line="218"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1,162,000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(125,391)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31,2018</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6,550,647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2018</w:t>
            </w: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5,285,311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During the three months ended March 31, 2018, 125,391 options were exercised, from which gross proceeds of $407,197 was received. No options were exercised during the three months ended March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Under the Company’s 2007 Employee Stock Purchase Plan, or ESPP, 300,000 shares of common stock were originally reserved for issuance. In addition, the shares reserved automatically increase each year by a number equal to the lesser of: (i) 15,000 shares;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0" w:name="page11"/>
    <w:bookmarkEnd w:id="10"/>
    <w:p>
      <w:pPr>
        <w:ind w:right="180" w:firstLine="8"/>
        <w:spacing w:after="0" w:line="302"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5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For the three months ended March 31, 2018, an aggregate of 4,861 shares were issued under the ESPP. As of March 31, 2018, there are 194,111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expenses for each respective year. For the three months ended March 31, 2018 and 2017 stock-based compensation expense related to stock options and the ESPP was $2.5 million and $1.2 million, respectively.</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for stock-based awards granted to employees. The following table provides the weighted-average assumptions for stock option grants used in the Black-Scholes valuation model used to estimate the fair value of options granted during the three months ended March 31, 2018 and 2017 and to estimate the fair value of performance-based stock options as of March 31, 2018.</w:t>
      </w:r>
    </w:p>
    <w:p>
      <w:pPr>
        <w:spacing w:after="0" w:line="200" w:lineRule="exact"/>
        <w:rPr>
          <w:sz w:val="20"/>
          <w:szCs w:val="20"/>
          <w:color w:val="auto"/>
        </w:rPr>
      </w:pPr>
    </w:p>
    <w:p>
      <w:pPr>
        <w:spacing w:after="0" w:line="224" w:lineRule="exact"/>
        <w:rPr>
          <w:sz w:val="20"/>
          <w:szCs w:val="20"/>
          <w:color w:val="auto"/>
        </w:rPr>
      </w:pPr>
    </w:p>
    <w:tbl>
      <w:tblPr>
        <w:tblLayout w:type="fixed"/>
        <w:tblInd w:w="1560" w:type="dxa"/>
        <w:tblCellMar>
          <w:top w:w="0" w:type="dxa"/>
          <w:left w:w="0" w:type="dxa"/>
          <w:bottom w:w="0" w:type="dxa"/>
          <w:right w:w="0" w:type="dxa"/>
        </w:tblCellMar>
      </w:tblPr>
      <w:tr>
        <w:trPr>
          <w:trHeight w:val="176"/>
        </w:trPr>
        <w:tc>
          <w:tcPr>
            <w:tcW w:w="4400" w:type="dxa"/>
            <w:vAlign w:val="bottom"/>
            <w:tcBorders>
              <w:bottom w:val="single" w:sz="8" w:color="CFF0FC"/>
            </w:tcBorders>
          </w:tcPr>
          <w:p>
            <w:pPr>
              <w:spacing w:after="0"/>
              <w:rPr>
                <w:sz w:val="15"/>
                <w:szCs w:val="15"/>
                <w:color w:val="auto"/>
              </w:rPr>
            </w:pPr>
          </w:p>
        </w:tc>
        <w:tc>
          <w:tcPr>
            <w:tcW w:w="17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2018</w:t>
            </w:r>
          </w:p>
        </w:tc>
        <w:tc>
          <w:tcPr>
            <w:tcW w:w="400" w:type="dxa"/>
            <w:vAlign w:val="bottom"/>
            <w:tcBorders>
              <w:bottom w:val="single" w:sz="8" w:color="CFF0FC"/>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FF0FC"/>
            </w:tcBorders>
          </w:tcPr>
          <w:p>
            <w:pPr>
              <w:spacing w:after="0"/>
              <w:rPr>
                <w:sz w:val="15"/>
                <w:szCs w:val="15"/>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2.29%</w:t>
            </w:r>
          </w:p>
        </w:tc>
        <w:tc>
          <w:tcPr>
            <w:tcW w:w="4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2.08%</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65.0%</w:t>
            </w:r>
          </w:p>
        </w:tc>
        <w:tc>
          <w:tcPr>
            <w:tcW w:w="40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72.1%</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74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As of March 31, 2018, there was $6.4 million of unamortized compensation cost related to unvested stock option awards which is expected to be recognized over a remaining weighted-average vesting period of 0.76 years, on a straight-line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On May 22, 2015, the Company entered into an at-the-market issuance sales agreement (the “ATM Agreement”) with MLV &amp; Co. LLC, or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192"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Company is not obligated to make any sales of common stock under the sales agreement and may terminate the sales agreement at any time upon written notice. On September 16, 2016, the Company entered into an amendment No.1 to the original sales agreement with MLV to also include FBR Capital Markets &amp; Co. as a sales agent.</w:t>
      </w:r>
    </w:p>
    <w:p>
      <w:pPr>
        <w:spacing w:after="0" w:line="181" w:lineRule="exact"/>
        <w:rPr>
          <w:sz w:val="20"/>
          <w:szCs w:val="20"/>
          <w:color w:val="auto"/>
        </w:rPr>
      </w:pPr>
    </w:p>
    <w:p>
      <w:pPr>
        <w:ind w:right="140" w:firstLine="693"/>
        <w:spacing w:after="0" w:line="264" w:lineRule="auto"/>
        <w:rPr>
          <w:sz w:val="20"/>
          <w:szCs w:val="20"/>
          <w:color w:val="auto"/>
        </w:rPr>
      </w:pPr>
      <w:r>
        <w:rPr>
          <w:rFonts w:ascii="Arial" w:cs="Arial" w:eastAsia="Arial" w:hAnsi="Arial"/>
          <w:sz w:val="18"/>
          <w:szCs w:val="18"/>
          <w:color w:val="auto"/>
        </w:rPr>
        <w:t>No shares of common stock were sold under this agreement in the three months ended March 31, 2018. For the three months ended March 31, 2017, the Company generated gross proceeds of $24,800 and incurred issuance costs of $23,668 on sales of 4,000 shares of the Company’ common stock at $6.20 per share.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No warrants were exercised during the three months ended March 31, 2018 and 2017. As of March 31, 2018, the Company had outstanding warrants exercisable for 750,000 shares at an exercise price of $3.15 per share, which expire on May 9, 2018.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right="220" w:firstLine="761"/>
        <w:spacing w:after="0" w:line="297" w:lineRule="auto"/>
        <w:rPr>
          <w:sz w:val="20"/>
          <w:szCs w:val="20"/>
          <w:color w:val="auto"/>
        </w:rPr>
      </w:pPr>
      <w:r>
        <w:rPr>
          <w:rFonts w:ascii="Arial" w:cs="Arial" w:eastAsia="Arial" w:hAnsi="Arial"/>
          <w:sz w:val="16"/>
          <w:szCs w:val="16"/>
          <w:color w:val="auto"/>
        </w:rPr>
        <w:t>On February 12, 2018, the Company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the Company granted the underwriters a 30-day option to purchase up to an additional 662,983 shares of commons stock at the public offering price, and on February 21, 2018, the Company sold an additional 126,038 shares of Common Stock for gross proceeds of $1.1 million pursuant to the partial exercise by the underwriters of their over-allotment option.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potentially dilutive outstanding securities were excluded from diluted net loss per common share because of their anti-dilutive effect: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4"/>
                <w:szCs w:val="14"/>
                <w:color w:val="auto"/>
              </w:rPr>
            </w:pPr>
          </w:p>
        </w:tc>
        <w:tc>
          <w:tcPr>
            <w:tcW w:w="3160" w:type="dxa"/>
            <w:vAlign w:val="bottom"/>
          </w:tcPr>
          <w:p>
            <w:pPr>
              <w:spacing w:after="0"/>
              <w:rPr>
                <w:sz w:val="14"/>
                <w:szCs w:val="14"/>
                <w:color w:val="auto"/>
              </w:rPr>
            </w:pPr>
          </w:p>
        </w:tc>
      </w:tr>
      <w:tr>
        <w:trPr>
          <w:trHeight w:val="156"/>
        </w:trPr>
        <w:tc>
          <w:tcPr>
            <w:tcW w:w="3140" w:type="dxa"/>
            <w:vAlign w:val="bottom"/>
          </w:tcPr>
          <w:p>
            <w:pPr>
              <w:spacing w:after="0"/>
              <w:rPr>
                <w:sz w:val="13"/>
                <w:szCs w:val="13"/>
                <w:color w:val="auto"/>
              </w:rPr>
            </w:pPr>
          </w:p>
        </w:tc>
        <w:tc>
          <w:tcPr>
            <w:tcW w:w="212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2017</w:t>
            </w:r>
          </w:p>
        </w:tc>
        <w:tc>
          <w:tcPr>
            <w:tcW w:w="3160" w:type="dxa"/>
            <w:vAlign w:val="bottom"/>
          </w:tcPr>
          <w:p>
            <w:pPr>
              <w:spacing w:after="0"/>
              <w:rPr>
                <w:sz w:val="13"/>
                <w:szCs w:val="13"/>
                <w:color w:val="auto"/>
              </w:rPr>
            </w:pPr>
          </w:p>
        </w:tc>
      </w:tr>
      <w:tr>
        <w:trPr>
          <w:trHeight w:val="237"/>
        </w:trPr>
        <w:tc>
          <w:tcPr>
            <w:tcW w:w="314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6,550,647</w:t>
            </w: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5,552,017</w:t>
            </w:r>
          </w:p>
        </w:tc>
        <w:tc>
          <w:tcPr>
            <w:tcW w:w="3160" w:type="dxa"/>
            <w:vAlign w:val="bottom"/>
          </w:tcPr>
          <w:p>
            <w:pPr>
              <w:spacing w:after="0"/>
              <w:rPr>
                <w:sz w:val="20"/>
                <w:szCs w:val="20"/>
                <w:color w:val="auto"/>
              </w:rPr>
            </w:pPr>
          </w:p>
        </w:tc>
      </w:tr>
      <w:tr>
        <w:trPr>
          <w:trHeight w:val="257"/>
        </w:trPr>
        <w:tc>
          <w:tcPr>
            <w:tcW w:w="5260" w:type="dxa"/>
            <w:vAlign w:val="bottom"/>
            <w:gridSpan w:val="2"/>
          </w:tcPr>
          <w:p>
            <w:pPr>
              <w:ind w:left="3140"/>
              <w:spacing w:after="0"/>
              <w:rPr>
                <w:sz w:val="20"/>
                <w:szCs w:val="20"/>
                <w:color w:val="auto"/>
              </w:rPr>
            </w:pPr>
            <w:r>
              <w:rPr>
                <w:rFonts w:ascii="Arial" w:cs="Arial" w:eastAsia="Arial" w:hAnsi="Arial"/>
                <w:sz w:val="18"/>
                <w:szCs w:val="18"/>
                <w:color w:val="auto"/>
              </w:rPr>
              <w:t>Warrants</w:t>
            </w:r>
          </w:p>
        </w:tc>
        <w:tc>
          <w:tcPr>
            <w:tcW w:w="1420" w:type="dxa"/>
            <w:vAlign w:val="bottom"/>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1,067,067</w:t>
            </w:r>
          </w:p>
        </w:tc>
        <w:tc>
          <w:tcPr>
            <w:tcW w:w="3160" w:type="dxa"/>
            <w:vAlign w:val="bottom"/>
          </w:tcPr>
          <w:p>
            <w:pPr>
              <w:spacing w:after="0"/>
              <w:rPr>
                <w:sz w:val="22"/>
                <w:szCs w:val="22"/>
                <w:color w:val="auto"/>
              </w:rPr>
            </w:pPr>
          </w:p>
        </w:tc>
      </w:tr>
      <w:tr>
        <w:trPr>
          <w:trHeight w:val="223"/>
        </w:trPr>
        <w:tc>
          <w:tcPr>
            <w:tcW w:w="3140" w:type="dxa"/>
            <w:vAlign w:val="bottom"/>
          </w:tcPr>
          <w:p>
            <w:pPr>
              <w:spacing w:after="0"/>
              <w:rPr>
                <w:sz w:val="19"/>
                <w:szCs w:val="19"/>
                <w:color w:val="auto"/>
              </w:rPr>
            </w:pPr>
          </w:p>
        </w:tc>
        <w:tc>
          <w:tcPr>
            <w:tcW w:w="2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7,300,647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6,619,084</w:t>
            </w:r>
          </w:p>
        </w:tc>
        <w:tc>
          <w:tcPr>
            <w:tcW w:w="316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872"/>
        </w:trPr>
        <w:tc>
          <w:tcPr>
            <w:tcW w:w="3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jc w:val="right"/>
              <w:ind w:right="796"/>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2" w:name="page13"/>
    <w:bookmarkEnd w:id="12"/>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2017 included in our Annual Report on Form 10-K filed with the Securities and Exchange Commission, or SEC, on February 13, 2018.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78"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March 31, 2018, we had an accumulated deficit of $346.0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225" w:lineRule="exact"/>
        <w:rPr>
          <w:rFonts w:ascii="Arial" w:cs="Arial" w:eastAsia="Arial" w:hAnsi="Arial"/>
          <w:sz w:val="18"/>
          <w:szCs w:val="18"/>
          <w:color w:val="auto"/>
        </w:rPr>
      </w:pPr>
    </w:p>
    <w:p>
      <w:pPr>
        <w:ind w:left="1040" w:right="40"/>
        <w:spacing w:after="0" w:line="255"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81" w:lineRule="exact"/>
        <w:rPr>
          <w:rFonts w:ascii="Arial" w:cs="Arial" w:eastAsia="Arial" w:hAnsi="Arial"/>
          <w:sz w:val="18"/>
          <w:szCs w:val="18"/>
          <w:color w:val="auto"/>
        </w:rPr>
      </w:pPr>
    </w:p>
    <w:p>
      <w:pPr>
        <w:ind w:left="1040" w:hanging="55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diseases such as NASH and IPF.</w:t>
      </w:r>
    </w:p>
    <w:p>
      <w:pPr>
        <w:spacing w:after="0" w:line="117" w:lineRule="exact"/>
        <w:rPr>
          <w:rFonts w:ascii="Arial" w:cs="Arial" w:eastAsia="Arial" w:hAnsi="Arial"/>
          <w:sz w:val="18"/>
          <w:szCs w:val="18"/>
          <w:color w:val="auto"/>
        </w:rPr>
      </w:pPr>
    </w:p>
    <w:p>
      <w:pPr>
        <w:ind w:left="1040" w:right="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left="1040" w:right="7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late-stage product development and successfully commercialize our products.</w:t>
      </w:r>
    </w:p>
    <w:p>
      <w:pPr>
        <w:spacing w:after="0" w:line="170" w:lineRule="exact"/>
        <w:rPr>
          <w:sz w:val="20"/>
          <w:szCs w:val="20"/>
          <w:color w:val="auto"/>
        </w:rPr>
      </w:pPr>
    </w:p>
    <w:p>
      <w:pPr>
        <w:ind w:left="1280" w:right="120"/>
        <w:spacing w:after="0" w:line="259" w:lineRule="auto"/>
        <w:rPr>
          <w:sz w:val="20"/>
          <w:szCs w:val="20"/>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MN-001, MN-221 and MN-029, which could support further clinical development and product commercialization.</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October 2011, we entered into a collaboration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Revenue is recognized proportional to the total costs expected for each performance obligation as incurred over the service period. The first study was completed in 2013 and 2012 and the second study has not begun as of March 31, 2018. The Company expects that the study will be completed after 2018. The amount received from Kissei and allocated, net of the amount recorded as revenue, is included on the balance sheet as long-term deferred revenue and will be recognized as revenue as the remaining performance obligation is satisfied. No revenue associated with the Kissei agreement was recognized for the three months ended March 31, 2018 and 2017 in connection with the collaboration agreement with Kissei.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Our research, development and patent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 and we expect to increase such costs throughout 2018 as our development programs progress.</w:t>
      </w:r>
    </w:p>
    <w:p>
      <w:pPr>
        <w:spacing w:after="0" w:line="19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454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CFF0FC"/>
            </w:tcBorders>
          </w:tcPr>
          <w:p>
            <w:pPr>
              <w:spacing w:after="0"/>
              <w:rPr>
                <w:sz w:val="13"/>
                <w:szCs w:val="13"/>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MN-221</w:t>
            </w:r>
          </w:p>
        </w:tc>
        <w:tc>
          <w:tcPr>
            <w:tcW w:w="1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r>
      <w:tr>
        <w:trPr>
          <w:trHeight w:val="230"/>
        </w:trPr>
        <w:tc>
          <w:tcPr>
            <w:tcW w:w="4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MN-166</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FF0FC"/>
          </w:tcPr>
          <w:p>
            <w:pPr>
              <w:spacing w:after="0"/>
              <w:rPr>
                <w:sz w:val="19"/>
                <w:szCs w:val="19"/>
                <w:color w:val="auto"/>
              </w:rPr>
            </w:pP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MN-001</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r>
      <w:tr>
        <w:trPr>
          <w:trHeight w:val="230"/>
        </w:trPr>
        <w:tc>
          <w:tcPr>
            <w:tcW w:w="4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MN-029</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FF0FC"/>
          </w:tcPr>
          <w:p>
            <w:pPr>
              <w:spacing w:after="0"/>
              <w:rPr>
                <w:sz w:val="19"/>
                <w:szCs w:val="19"/>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FF0FC"/>
            </w:tcBorders>
          </w:tcPr>
          <w:p>
            <w:pPr>
              <w:spacing w:after="0"/>
              <w:rPr>
                <w:sz w:val="19"/>
                <w:szCs w:val="19"/>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10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3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320" w:type="dxa"/>
            <w:vAlign w:val="bottom"/>
            <w:tcBorders>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right="360" w:firstLine="51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Research, development and patent costs are expensed as incurred based on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5"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such as in-process research and development or IPR&amp;D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March 31, 2018, goodwill IPR&amp;D, were $9.6 million and $4.8 million, respectively.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right="160" w:firstLine="518"/>
        <w:spacing w:after="0" w:line="302"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Research, development and patent expenses were $1.7 million and $0.9 million for the three months ended March 31, 2018 and 2017, respectively. The increases of $0.8 million was due to higher stock compensation expense for performance-based stock options as a direct result of the increase in our stock price as well as an increase in clinical trial activities related to the MN-166 trials in the three months ended March 31, 2018, compared to the same period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General and administrative expenses were $3.0 million and $2.1 million for the three months ended March 31, 2018 and 2017, respectively. The increase of $0.9 million primarily was due to higher stock compensation expense for performance-based stock options for the three months ended March 31, 2018 compared to the same period in 2017 which was a direct result of the increase in our stock price.</w:t>
      </w:r>
    </w:p>
    <w:p>
      <w:pPr>
        <w:spacing w:after="0" w:line="3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Net cash used in operating activities during the three months ended March 31, 2018 was $4.0 million compared to $2.5 million during the same period in 2017. Net cash used in operating activities primarily reflects the net loss for those periods, which was partially offset by non-cash stock-based compensation expense and changes in operating assets and liabilities.</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Net cash provided by financing activities was $38.9 million during the three months ended March 31, 2018 compared to $0.1 million during the same period in 2017. Net cash provided by financing activities during the three months ended March 31, 2018 is primarily due to the public offering of 4,545,928 shares of common stock for net proceeds of $38.5 million. Cash proceeds from financing activities are used for working capital and general corporate purposes.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May 22, 2015, we entered into an at-the-market issuance sales agreement (the “ATM Agreement”) with MLV &amp; Co. LLC, or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entered into an amendment No.1 to the ATM agreement to also include FBR Capital Markets &amp; Co. as a sales agent.</w:t>
      </w:r>
    </w:p>
    <w:p>
      <w:pPr>
        <w:spacing w:after="0" w:line="182"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No shares of common stock were sold under this agreement in the three months ended March 31, 2018. For the three months ended March 31, 2017, we generated gross proceeds of $24,800 and incurred issuance costs of $23,668 on sales of 4,000 shares of our common stock at $6.20 per share.</w:t>
      </w:r>
    </w:p>
    <w:p>
      <w:pPr>
        <w:spacing w:after="0" w:line="124"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On February 12, 2018, we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we granted the underwriters a 30-day option to purchase up to an additional 662,983 shares of commons stock at the public offering price, and on February 21, 2018, we sold an additional 126,038 shares of Common Stock for gross proceeds of $1.1 million pursuant to the partial exercise by the underwriters of their over-allotment option.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ind w:right="100" w:firstLine="518"/>
        <w:spacing w:after="0" w:line="264" w:lineRule="auto"/>
        <w:rPr>
          <w:sz w:val="20"/>
          <w:szCs w:val="20"/>
          <w:color w:val="auto"/>
        </w:rPr>
      </w:pPr>
      <w:r>
        <w:rPr>
          <w:rFonts w:ascii="Arial" w:cs="Arial" w:eastAsia="Arial" w:hAnsi="Arial"/>
          <w:sz w:val="18"/>
          <w:szCs w:val="18"/>
          <w:color w:val="auto"/>
        </w:rPr>
        <w:t>As of March 31, 2018, we had available cash and cash equivalents of $62.9 million and working capital of $62.4 million. As of the date of this report, we believe we have working capital sufficient to fund operations at least through December 31, 2019. However, we cannot provide assurance that these capital resources will be sufficient to conduct all of our research and development programs as planned.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March 31, 2018,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 term nature.</w:t>
      </w:r>
    </w:p>
    <w:p>
      <w:pPr>
        <w:spacing w:after="0" w:line="19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Cash and cash equivalents as of March 31, 2018 were $62.9 million and were primarily invested in money market interest bearing accounts and money market funds. A hypothetical 10% adverse change in the average interest rate on our cash and cash equivalents would have had no material effect on net loss for the three months ended March 31, 2018.</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March 31, 2018.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2017,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2017.</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9"/>
          </w:tcPr>
          <w:p>
            <w:pPr>
              <w:ind w:left="34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1420" w:type="dxa"/>
            <w:vAlign w:val="bottom"/>
            <w:gridSpan w:val="11"/>
          </w:tcPr>
          <w:p>
            <w:pPr>
              <w:ind w:left="5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0"/>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9"/>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300" w:type="dxa"/>
            <w:vAlign w:val="bottom"/>
            <w:gridSpan w:val="7"/>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3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7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440" w:type="dxa"/>
            <w:vAlign w:val="bottom"/>
            <w:tcBorders>
              <w:top w:val="single" w:sz="8" w:color="auto"/>
              <w:bottom w:val="single" w:sz="8" w:color="0000EE"/>
            </w:tcBorders>
            <w:gridSpan w:val="7"/>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Restated Certificate of Incorporation of the Registrant, as amended (incorporated by reference to Exhibit 3.1 of the Registrant’s Quarterly Report</w:t>
              </w:r>
            </w:hyperlink>
          </w:p>
        </w:tc>
        <w:tc>
          <w:tcPr>
            <w:tcW w:w="16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vMerge w:val="restart"/>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on Form 10-Q filed August 9, 2012).</w:t>
              </w:r>
            </w:hyperlink>
          </w:p>
        </w:tc>
        <w:tc>
          <w:tcPr>
            <w:tcW w:w="794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tcBorders>
              <w:bottom w:val="single" w:sz="8" w:color="0000EE"/>
            </w:tcBorders>
            <w:vMerge w:val="continue"/>
          </w:tcPr>
          <w:p>
            <w:pPr>
              <w:spacing w:after="0"/>
              <w:rPr>
                <w:sz w:val="5"/>
                <w:szCs w:val="5"/>
                <w:color w:val="auto"/>
              </w:rPr>
            </w:pPr>
          </w:p>
        </w:tc>
        <w:tc>
          <w:tcPr>
            <w:tcW w:w="79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500" w:type="dxa"/>
            <w:vAlign w:val="bottom"/>
            <w:tcBorders>
              <w:bottom w:val="single" w:sz="8" w:color="0000EE"/>
            </w:tcBorders>
            <w:gridSpan w:val="8"/>
          </w:tcPr>
          <w:p>
            <w:pPr>
              <w:spacing w:after="0"/>
              <w:rPr>
                <w:rFonts w:ascii="Arial" w:cs="Arial" w:eastAsia="Arial" w:hAnsi="Arial"/>
                <w:sz w:val="18"/>
                <w:szCs w:val="18"/>
                <w:color w:val="0000EE"/>
                <w:w w:val="90"/>
              </w:rPr>
            </w:pPr>
            <w:hyperlink r:id="rId34">
              <w:r>
                <w:rPr>
                  <w:rFonts w:ascii="Arial" w:cs="Arial" w:eastAsia="Arial" w:hAnsi="Arial"/>
                  <w:sz w:val="18"/>
                  <w:szCs w:val="18"/>
                  <w:color w:val="0000EE"/>
                  <w:w w:val="90"/>
                </w:rPr>
                <w:t>Amended and Restated Bylaws of the Registrant (incorporated by reference to Exhibit 3.4 of the Registrant’s Registration Statement on Form S-1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0" w:type="dxa"/>
            <w:vAlign w:val="bottom"/>
            <w:gridSpan w:val="9"/>
            <w:vMerge w:val="restart"/>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(File No. 333-119433) filed October 1, 2004).</w:t>
              </w:r>
            </w:hyperlink>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Certification of the Principal Executive Officer pursuant to Section 302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Certification of the Principal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Certification of Principal Executive Officer pursuant to 18 U.S.C. Section 1350 (Section 906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Certification of Principal Financial Officer pursuant to 18 U.S.C. Section 1350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1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20" w:right="120" w:hanging="812"/>
        <w:spacing w:after="0" w:line="286"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March 31, 2018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April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Ryan Selhorn</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00"/>
          </w:cols>
          <w:pgMar w:left="240" w:top="337" w:right="8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25, 2018</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Selhorn,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25, 2018</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2018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25, 2018</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2018, as filed with the Securities and Exchange Commission on the date hereof (the “Report”), I, Ryan Selhorn,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25, 2018</w:t>
      </w:r>
    </w:p>
    <w:p>
      <w:pPr>
        <w:spacing w:after="0" w:line="252" w:lineRule="exact"/>
        <w:rPr>
          <w:sz w:val="20"/>
          <w:szCs w:val="20"/>
          <w:color w:val="auto"/>
        </w:rPr>
      </w:pPr>
    </w:p>
    <w:p>
      <w:pPr>
        <w:ind w:left="6860"/>
        <w:spacing w:after="0"/>
        <w:tabs>
          <w:tab w:leader="none" w:pos="8680" w:val="left"/>
          <w:tab w:leader="none" w:pos="9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33" Type="http://schemas.openxmlformats.org/officeDocument/2006/relationships/hyperlink" Target="http://www.sec.gov/Archives/edgar/data/1226616/000119312512347932/d344794dex31.htm" TargetMode="External"/><Relationship Id="rId34" Type="http://schemas.openxmlformats.org/officeDocument/2006/relationships/hyperlink" Target="http://www.sec.gov/Archives/edgar/data/1226616/00011931250416496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2019-12-28T22:57:55Z</dcterms:created>
  <dcterms:modified xsi:type="dcterms:W3CDTF">2019-12-28T22:57:55Z</dcterms:modified>
</cp:coreProperties>
</file>