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5" w:lineRule="exact"/>
        <w:rPr>
          <w:rFonts w:ascii="MS PGothic" w:cs="MS PGothic" w:eastAsia="MS PGothic" w:hAnsi="MS PGothic"/>
          <w:sz w:val="18"/>
          <w:szCs w:val="18"/>
          <w:color w:val="auto"/>
          <w:highlight w:val="black"/>
        </w:rPr>
      </w:pPr>
    </w:p>
    <w:p>
      <w:pPr>
        <w:ind w:left="34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MARCH 31, 2026</w:t>
      </w:r>
    </w:p>
    <w:p>
      <w:pPr>
        <w:spacing w:after="0" w:line="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14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MEDICINOVA,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00" w:type="dxa"/>
        <w:tblCellMar>
          <w:top w:w="0" w:type="dxa"/>
          <w:left w:w="0" w:type="dxa"/>
          <w:bottom w:w="0" w:type="dxa"/>
          <w:right w:w="0" w:type="dxa"/>
        </w:tblCellMar>
      </w:tblPr>
      <w:tr>
        <w:trPr>
          <w:trHeight w:val="214"/>
        </w:trPr>
        <w:tc>
          <w:tcPr>
            <w:tcW w:w="448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8"/>
        </w:trPr>
        <w:tc>
          <w:tcPr>
            <w:tcW w:w="448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8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448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300</w:t>
            </w:r>
          </w:p>
        </w:tc>
        <w:tc>
          <w:tcPr>
            <w:tcW w:w="3080" w:type="dxa"/>
            <w:vAlign w:val="bottom"/>
          </w:tcPr>
          <w:p>
            <w:pPr>
              <w:spacing w:after="0"/>
              <w:rPr>
                <w:sz w:val="24"/>
                <w:szCs w:val="24"/>
                <w:color w:val="auto"/>
              </w:rPr>
            </w:pPr>
          </w:p>
        </w:tc>
      </w:tr>
      <w:tr>
        <w:trPr>
          <w:trHeight w:val="214"/>
        </w:trPr>
        <w:tc>
          <w:tcPr>
            <w:tcW w:w="448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La Jolla, CA</w:t>
            </w:r>
          </w:p>
        </w:tc>
        <w:tc>
          <w:tcPr>
            <w:tcW w:w="30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448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373-1500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60" w:type="dxa"/>
            <w:vAlign w:val="bottom"/>
          </w:tcPr>
          <w:p>
            <w:pPr>
              <w:spacing w:after="0"/>
              <w:rPr>
                <w:sz w:val="15"/>
                <w:szCs w:val="15"/>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MNOV</w:t>
            </w:r>
          </w:p>
        </w:tc>
        <w:tc>
          <w:tcPr>
            <w:tcW w:w="12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22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1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80"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 w:lineRule="exact"/>
        <w:rPr>
          <w:sz w:val="24"/>
          <w:szCs w:val="24"/>
          <w:color w:val="auto"/>
        </w:rPr>
      </w:pPr>
    </w:p>
    <w:p>
      <w:pPr>
        <w:jc w:val="both"/>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10"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63"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9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54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12, 2026, the registrant had 49,221,246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834390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280"/>
            <w:col w:w="280"/>
          </w:cols>
          <w:pgMar w:left="320" w:top="1289"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additional capital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revenues from product sales to continue business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completing clinical trials or obtaining Food and Drug Administration or foreign regulatory approval for our product candidates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clinical trials stemming from clinical trial designs, failure to enroll a sufficient number of patients, undesirable side effects and other safety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demonstrate sufficient efficacy of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success of our MN-166 (ibudilast) and MN-001 (tipelukast)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commencement or completion of clinical trials or suspension or termination of clinical trials;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licensed rights to develop and commercialize a product candidate as a result of the termination of the underlying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products rendering our product candidates obsolete and noncompetitive;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attract partners and enter into collaborations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conduct clinical trials and to manufacture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market and distribute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if approved, may not gain market acceptance or obtain adequate coverage for third party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concerning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potential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 for our products may become difficult to obtain or expensive;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product candidates;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sectPr>
      </w:pPr>
    </w:p>
    <w:bookmarkStart w:id="2" w:name="page3"/>
    <w:bookmarkEnd w:id="2"/>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3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to “MediciNova,” “we,” “us” and “our” refer to MediciNova, Inc.</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093" w:right="1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gridSpan w:val="5"/>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MEDICINOVA, INC.</w:t>
            </w:r>
          </w:p>
        </w:tc>
        <w:tc>
          <w:tcPr>
            <w:tcW w:w="6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20" w:type="dxa"/>
            <w:vAlign w:val="bottom"/>
          </w:tcPr>
          <w:p>
            <w:pPr>
              <w:spacing w:after="0"/>
              <w:rPr>
                <w:sz w:val="24"/>
                <w:szCs w:val="24"/>
                <w:color w:val="auto"/>
              </w:rPr>
            </w:pPr>
          </w:p>
        </w:tc>
      </w:tr>
      <w:tr>
        <w:trPr>
          <w:trHeight w:val="391"/>
        </w:trPr>
        <w:tc>
          <w:tcPr>
            <w:tcW w:w="2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766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0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18"/>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9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2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318"/>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668"/>
        </w:trPr>
        <w:tc>
          <w:tcPr>
            <w:tcW w:w="1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11"/>
          </w:tcPr>
          <w:p>
            <w:pPr>
              <w:jc w:val="center"/>
              <w:ind w:left="3070"/>
              <w:spacing w:after="0"/>
              <w:rPr>
                <w:sz w:val="20"/>
                <w:szCs w:val="20"/>
                <w:color w:val="auto"/>
              </w:rPr>
            </w:pPr>
            <w:r>
              <w:rPr>
                <w:rFonts w:ascii="Times New Roman" w:cs="Times New Roman" w:eastAsia="Times New Roman" w:hAnsi="Times New Roman"/>
                <w:sz w:val="18"/>
                <w:szCs w:val="18"/>
                <w:color w:val="auto"/>
                <w:w w:val="88"/>
              </w:rPr>
              <w:t>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27,329,415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30,806,477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571,544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28,146,059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30,991,304</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9,600,240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184,229</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100" w:type="dxa"/>
            <w:vAlign w:val="bottom"/>
            <w:shd w:val="clear" w:color="auto" w:fill="CFF0FC"/>
          </w:tcPr>
          <w:p>
            <w:pPr>
              <w:spacing w:after="0"/>
              <w:rPr>
                <w:sz w:val="18"/>
                <w:szCs w:val="18"/>
                <w:color w:val="auto"/>
              </w:rPr>
            </w:pPr>
          </w:p>
        </w:tc>
      </w:tr>
      <w:tr>
        <w:trPr>
          <w:trHeight w:val="210"/>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42,704,854</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45,603,109</w:t>
            </w:r>
          </w:p>
        </w:tc>
        <w:tc>
          <w:tcPr>
            <w:tcW w:w="100" w:type="dxa"/>
            <w:vAlign w:val="bottom"/>
            <w:tcBorders>
              <w:top w:val="single" w:sz="8" w:color="CFF0FC"/>
            </w:tcBorders>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852,367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624,995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2,608,021</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428,276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370,160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165,198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194,331</w:t>
            </w:r>
          </w:p>
        </w:tc>
        <w:tc>
          <w:tcPr>
            <w:tcW w:w="10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3,095,828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3,797,507</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00" w:type="dxa"/>
            <w:vAlign w:val="bottom"/>
            <w:shd w:val="clear" w:color="auto" w:fill="CFF0FC"/>
          </w:tcPr>
          <w:p>
            <w:pPr>
              <w:spacing w:after="0"/>
              <w:rPr>
                <w:sz w:val="18"/>
                <w:szCs w:val="18"/>
                <w:color w:val="auto"/>
              </w:rPr>
            </w:pPr>
          </w:p>
        </w:tc>
      </w:tr>
      <w:tr>
        <w:trPr>
          <w:trHeight w:val="210"/>
        </w:trPr>
        <w:tc>
          <w:tcPr>
            <w:tcW w:w="7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3,297,620</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4,016,428</w:t>
            </w:r>
          </w:p>
        </w:tc>
        <w:tc>
          <w:tcPr>
            <w:tcW w:w="100" w:type="dxa"/>
            <w:vAlign w:val="bottom"/>
            <w:tcBorders>
              <w:top w:val="single" w:sz="8" w:color="CFF0FC"/>
            </w:tcBorders>
          </w:tcPr>
          <w:p>
            <w:pPr>
              <w:spacing w:after="0"/>
              <w:rPr>
                <w:sz w:val="18"/>
                <w:szCs w:val="18"/>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20" w:type="dxa"/>
            <w:vAlign w:val="bottom"/>
            <w:shd w:val="clear" w:color="auto" w:fill="CFF0FC"/>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 March 31, 2026 and December</w:t>
            </w: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31, 2025; 49,221,246 and 49,221,246 shares issued and outstanding at March 31, 2026 and</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100" w:type="dxa"/>
            <w:vAlign w:val="bottom"/>
            <w:shd w:val="clear" w:color="auto" w:fill="CFF0FC"/>
          </w:tcPr>
          <w:p>
            <w:pPr>
              <w:spacing w:after="0"/>
              <w:rPr>
                <w:sz w:val="20"/>
                <w:szCs w:val="20"/>
                <w:color w:val="auto"/>
              </w:rPr>
            </w:pP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480,821,600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480,413,839</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(128,130)</w:t>
            </w:r>
          </w:p>
        </w:tc>
        <w:tc>
          <w:tcPr>
            <w:tcW w:w="2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(127,180)</w:t>
            </w:r>
          </w:p>
        </w:tc>
      </w:tr>
      <w:tr>
        <w:trPr>
          <w:trHeight w:val="216"/>
        </w:trPr>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(441,335,457)</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(438,749,199)</w:t>
            </w:r>
          </w:p>
        </w:tc>
      </w:tr>
      <w:tr>
        <w:trPr>
          <w:trHeight w:val="210"/>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39,407,234</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41,586,681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42,704,854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45,603,109</w:t>
            </w: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-3813810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-2982595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-1567815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020"/>
          </w:cols>
          <w:pgMar w:left="320" w:top="98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Costs of services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Research, development and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p>
      <w:pPr>
        <w:spacing w:after="0" w:line="9" w:lineRule="exact"/>
        <w:rPr>
          <w:sz w:val="20"/>
          <w:szCs w:val="20"/>
          <w:color w:val="auto"/>
        </w:rPr>
      </w:pPr>
    </w:p>
    <w:p>
      <w:pPr>
        <w:ind w:right="2000"/>
        <w:spacing w:after="0" w:line="250" w:lineRule="auto"/>
        <w:rPr>
          <w:sz w:val="20"/>
          <w:szCs w:val="20"/>
          <w:color w:val="auto"/>
        </w:rPr>
      </w:pPr>
      <w:r>
        <w:rPr>
          <w:rFonts w:ascii="Times New Roman" w:cs="Times New Roman" w:eastAsia="Times New Roman" w:hAnsi="Times New Roman"/>
          <w:sz w:val="18"/>
          <w:szCs w:val="18"/>
          <w:color w:val="auto"/>
        </w:rPr>
        <w:t>Shares used to compute basic and diluted net loss per common share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1,262,514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1,590,175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1,362,708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3,022,790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(2,835,806)</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(3,202,510)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(2,586,258)</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20" w:type="dxa"/>
            <w:vAlign w:val="bottom"/>
          </w:tcPr>
          <w:p>
            <w:pPr>
              <w:jc w:val="right"/>
              <w:ind w:right="156"/>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(0.05)</w:t>
            </w:r>
          </w:p>
        </w:tc>
        <w:tc>
          <w:tcPr>
            <w:tcW w:w="280" w:type="dxa"/>
            <w:vAlign w:val="bottom"/>
            <w:vMerge w:val="continue"/>
          </w:tcPr>
          <w:p>
            <w:pPr>
              <w:spacing w:after="0"/>
              <w:rPr>
                <w:sz w:val="15"/>
                <w:szCs w:val="15"/>
                <w:color w:val="auto"/>
              </w:rPr>
            </w:pPr>
          </w:p>
        </w:tc>
        <w:tc>
          <w:tcPr>
            <w:tcW w:w="360" w:type="dxa"/>
            <w:vAlign w:val="bottom"/>
          </w:tcPr>
          <w:p>
            <w:pPr>
              <w:jc w:val="right"/>
              <w:ind w:right="170"/>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(0.06)</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49,221,246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(2,586,258)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(2,864,120)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(2,587,208)</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360"/>
          </w:cols>
          <w:pgMar w:left="320" w:top="981" w:right="55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1" w:right="55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20" w:firstLine="54"/>
        <w:spacing w:after="0" w:line="236" w:lineRule="auto"/>
        <w:rPr>
          <w:sz w:val="20"/>
          <w:szCs w:val="20"/>
          <w:color w:val="auto"/>
        </w:rPr>
      </w:pPr>
      <w:r>
        <w:rPr>
          <w:rFonts w:ascii="Times New Roman" w:cs="Times New Roman" w:eastAsia="Times New Roman" w:hAnsi="Times New Roman"/>
          <w:sz w:val="14"/>
          <w:szCs w:val="14"/>
          <w:color w:val="auto"/>
        </w:rPr>
        <w:t>Balance at December 31, 2025 Share-based compensation Net loss</w:t>
      </w:r>
    </w:p>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Balance at March 31, 2026</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40" w:type="dxa"/>
            <w:vAlign w:val="bottom"/>
            <w:tcBorders>
              <w:bottom w:val="single" w:sz="8" w:color="auto"/>
            </w:tcBorders>
            <w:gridSpan w:val="3"/>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9"/>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200" w:type="dxa"/>
            <w:vAlign w:val="bottom"/>
          </w:tcPr>
          <w:p>
            <w:pPr>
              <w:jc w:val="right"/>
              <w:ind w:right="32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24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1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12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49,221,246</w:t>
            </w:r>
          </w:p>
        </w:tc>
        <w:tc>
          <w:tcPr>
            <w:tcW w:w="240" w:type="dxa"/>
            <w:vAlign w:val="bottom"/>
          </w:tcPr>
          <w:p>
            <w:pPr>
              <w:spacing w:after="0"/>
              <w:rPr>
                <w:sz w:val="10"/>
                <w:szCs w:val="10"/>
                <w:color w:val="auto"/>
              </w:rPr>
            </w:pPr>
          </w:p>
        </w:tc>
        <w:tc>
          <w:tcPr>
            <w:tcW w:w="300" w:type="dxa"/>
            <w:vAlign w:val="bottom"/>
            <w:tcBorders>
              <w:top w:val="single" w:sz="8" w:color="auto"/>
            </w:tcBorders>
          </w:tcPr>
          <w:p>
            <w:pPr>
              <w:jc w:val="right"/>
              <w:ind w:right="18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49,221</w:t>
            </w:r>
          </w:p>
        </w:tc>
        <w:tc>
          <w:tcPr>
            <w:tcW w:w="240" w:type="dxa"/>
            <w:vAlign w:val="bottom"/>
          </w:tcPr>
          <w:p>
            <w:pPr>
              <w:spacing w:after="0"/>
              <w:rPr>
                <w:sz w:val="10"/>
                <w:szCs w:val="10"/>
                <w:color w:val="auto"/>
              </w:rPr>
            </w:pPr>
          </w:p>
        </w:tc>
        <w:tc>
          <w:tcPr>
            <w:tcW w:w="160" w:type="dxa"/>
            <w:vAlign w:val="bottom"/>
            <w:tcBorders>
              <w:top w:val="single" w:sz="8" w:color="auto"/>
            </w:tcBorders>
          </w:tcPr>
          <w:p>
            <w:pPr>
              <w:jc w:val="right"/>
              <w:ind w:right="11"/>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480,413,839</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(127,180)</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(438,749,199)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41,586,681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407,761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407,761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(2,586,258)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(2,586,258)</w:t>
            </w:r>
          </w:p>
        </w:tc>
        <w:tc>
          <w:tcPr>
            <w:tcW w:w="0" w:type="dxa"/>
            <w:vAlign w:val="bottom"/>
          </w:tcPr>
          <w:p>
            <w:pPr>
              <w:spacing w:after="0"/>
              <w:rPr>
                <w:sz w:val="1"/>
                <w:szCs w:val="1"/>
                <w:color w:val="auto"/>
              </w:rPr>
            </w:pPr>
          </w:p>
        </w:tc>
      </w:tr>
      <w:tr>
        <w:trPr>
          <w:trHeight w:val="171"/>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142"/>
        </w:trPr>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49,221,246</w:t>
            </w:r>
          </w:p>
        </w:tc>
        <w:tc>
          <w:tcPr>
            <w:tcW w:w="2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49,221</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480,821,600</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(128,130)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(441,335,457)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39,407,234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-505460</wp:posOffset>
            </wp:positionV>
            <wp:extent cx="7132320"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-316230</wp:posOffset>
            </wp:positionV>
            <wp:extent cx="713232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-119380</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8160"/>
          </w:cols>
          <w:pgMar w:left="320" w:top="981" w:right="339"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740" w:type="dxa"/>
            <w:vAlign w:val="bottom"/>
            <w:tcBorders>
              <w:bottom w:val="single" w:sz="8" w:color="auto"/>
            </w:tcBorders>
            <w:gridSpan w:val="3"/>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14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479,340,901</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(135,154)</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(426,751,242)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52,503,551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285,943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285,943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(2,864,120)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(2,864,120)</w:t>
            </w:r>
          </w:p>
        </w:tc>
        <w:tc>
          <w:tcPr>
            <w:tcW w:w="0" w:type="dxa"/>
            <w:vAlign w:val="bottom"/>
          </w:tcPr>
          <w:p>
            <w:pPr>
              <w:spacing w:after="0"/>
              <w:rPr>
                <w:sz w:val="1"/>
                <w:szCs w:val="1"/>
                <w:color w:val="auto"/>
              </w:rPr>
            </w:pPr>
          </w:p>
        </w:tc>
      </w:tr>
      <w:tr>
        <w:trPr>
          <w:trHeight w:val="149"/>
        </w:trPr>
        <w:tc>
          <w:tcPr>
            <w:tcW w:w="30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top w:val="single" w:sz="8" w:color="CFF0FC"/>
              <w:bottom w:val="single" w:sz="8" w:color="CFF0FC"/>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49,046,246</w:t>
            </w:r>
          </w:p>
        </w:tc>
        <w:tc>
          <w:tcPr>
            <w:tcW w:w="240" w:type="dxa"/>
            <w:vAlign w:val="bottom"/>
            <w:tcBorders>
              <w:top w:val="single" w:sz="8" w:color="CFF0FC"/>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49,046</w:t>
            </w:r>
          </w:p>
        </w:tc>
        <w:tc>
          <w:tcPr>
            <w:tcW w:w="24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479,626,844</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(130,052)</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(429,615,362)</w:t>
            </w:r>
          </w:p>
        </w:tc>
        <w:tc>
          <w:tcPr>
            <w:tcW w:w="1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49,930,476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-128270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-128270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-128270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-128270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-128270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8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(2,586,258)</w:t>
            </w: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(2,864,120)</w:t>
            </w:r>
          </w:p>
        </w:tc>
      </w:tr>
      <w:tr>
        <w:trPr>
          <w:trHeight w:val="216"/>
        </w:trPr>
        <w:tc>
          <w:tcPr>
            <w:tcW w:w="7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285,943</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carrying amount of right-of-use asset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45,527</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(245,100)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(368,103)</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(391,999)</w:t>
            </w:r>
          </w:p>
        </w:tc>
      </w:tr>
      <w:tr>
        <w:trPr>
          <w:trHeight w:val="216"/>
        </w:trPr>
        <w:tc>
          <w:tcPr>
            <w:tcW w:w="7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accrued liabilities and other liabilities</w:t>
            </w: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(735,179)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(812,979)</w:t>
            </w:r>
          </w:p>
        </w:tc>
      </w:tr>
      <w:tr>
        <w:trPr>
          <w:trHeight w:val="216"/>
        </w:trPr>
        <w:tc>
          <w:tcPr>
            <w:tcW w:w="78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(51,210)</w:t>
            </w:r>
          </w:p>
        </w:tc>
      </w:tr>
      <w:tr>
        <w:trPr>
          <w:trHeight w:val="20"/>
        </w:trPr>
        <w:tc>
          <w:tcPr>
            <w:tcW w:w="7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(3,470,213)</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(3,783,661)</w:t>
            </w:r>
          </w:p>
        </w:tc>
      </w:tr>
      <w:tr>
        <w:trPr>
          <w:trHeight w:val="210"/>
        </w:trPr>
        <w:tc>
          <w:tcPr>
            <w:tcW w:w="7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(10,825)</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(4,611)</w:t>
            </w:r>
          </w:p>
        </w:tc>
      </w:tr>
      <w:tr>
        <w:trPr>
          <w:trHeight w:val="20"/>
        </w:trPr>
        <w:tc>
          <w:tcPr>
            <w:tcW w:w="78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(3,477,062)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(3,788,272)</w:t>
            </w:r>
          </w:p>
        </w:tc>
      </w:tr>
      <w:tr>
        <w:trPr>
          <w:trHeight w:val="216"/>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30,806,477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40,359,738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27,329,415</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36,571,466</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-1028065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-745490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-453390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MediciNova, Inc. (the Company or MediciNova) was incorporated in the state of Delaware in September 2000 and is a public company. The Company’s common stock is listed in both the United States and Japan and trades on the Nasdaq Global Market and the Standard Market of the Tokyo Stock Exchange. The Company is a biopharmaceutical company focused on developing novel therapeutics for the treatment of serious diseases with unmet medical needs and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 December 31, 2025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2025 has been derived from the audited financial statements at that date but does not include all the information and footnotes required by GAAP for complete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has negative operating cash flows. As of March 31, 2026, the Company had $27.3 million in cash and cash equivalents and believes it has sufficient cash to meet its funding requirements for at least the next 12 months following the issuance date of these unaudited condensed consolidated financial statements. For the foreseeable future, the Company expects to continue to incur losses and require additional capital to further advance its clinical trial programs and support its other operations. The Company cannot be certain that additional funding will be available on acceptable terms, or at all.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MediciNova, Inc. and its wholly owned subsidiaries, MediciNova Japan, Inc., MediciNova (Europe) Limited, MediciNova Europe GmbH, MediciNova Canada, Inc.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An operating segment is identified as a component of an enterprise that engages in business activities about which separate discrete financial information and operating results is regularly reviewed by the chief operating decision-maker (CODM) in making decisions regarding resource allocation and assessing performance. The Company's CODM is the senior executive committee which is comprised of the Chief Executive Officer, Chief Medical Officer, and the Chief Financial Officer. The Company operates in a single operating segment – the acquisition and development of small molecule therapeutics for the treatment of serious diseases with unmet medical needs. The CODM assesses performance for the segment and decides how to allocate resources based on consolidated net loss as reported on the statement of operations, after taking into account the Company's strategic priorities, its cash balance, and its expected use of cash. Further, the CODM reviews and utilizes functional expenses (i.e., research, development, and patent expense, and general and administrative) at the consolidated level to manage the Company's operations. Other segment items included in consolidated net loss are revenues, cost of services, stock-based compensation, depreciation and amortization, interest income, other expense, net, and income tax expense, which are reflected in the consolidated statements of operations and comprehensive loss. The measure of segment assets is reported on the consolidated balance sheet as total consolidated assets.</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including significant segment expenses, which are regularly provided to the CODM and included within segment and consolidated net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7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7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186,984</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stock-based compensation</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of services</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1,715,611</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1,336,962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 excluding stock-based compensation</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2,615,029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2,916,567</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124,191</w:t>
            </w:r>
          </w:p>
        </w:tc>
        <w:tc>
          <w:tcPr>
            <w:tcW w:w="100" w:type="dxa"/>
            <w:vAlign w:val="bottom"/>
          </w:tcPr>
          <w:p>
            <w:pPr>
              <w:spacing w:after="0"/>
              <w:rPr>
                <w:sz w:val="18"/>
                <w:szCs w:val="18"/>
                <w:color w:val="auto"/>
              </w:rPr>
            </w:pPr>
          </w:p>
        </w:tc>
      </w:tr>
      <w:tr>
        <w:trPr>
          <w:trHeight w:val="216"/>
        </w:trPr>
        <w:tc>
          <w:tcPr>
            <w:tcW w:w="5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253,213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285,943</w:t>
            </w:r>
          </w:p>
        </w:tc>
        <w:tc>
          <w:tcPr>
            <w:tcW w:w="100" w:type="dxa"/>
            <w:vAlign w:val="bottom"/>
          </w:tcPr>
          <w:p>
            <w:pPr>
              <w:spacing w:after="0"/>
              <w:rPr>
                <w:sz w:val="18"/>
                <w:szCs w:val="18"/>
                <w:color w:val="auto"/>
              </w:rPr>
            </w:pPr>
          </w:p>
        </w:tc>
      </w:tr>
      <w:tr>
        <w:trPr>
          <w:trHeight w:val="210"/>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3,022,790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3,202,510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(2,835,806)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(3,202,510)</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336,111</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(2,586,258)</w:t>
            </w:r>
          </w:p>
        </w:tc>
        <w:tc>
          <w:tcPr>
            <w:tcW w:w="62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(2,864,120)</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-1439545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-882015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-590550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3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other highly liquid investments including money market and mutual fund accounts, with original maturities of three months or less from the date of purchase.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Accounts receivable is recorded net of allowance for credit losses. There was no allowance for credit losses required as of March 31, 2026. The accounts receivable balance was $0.2 million and $0 as of March 31, 2026 and December 31,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35" w:lineRule="exact"/>
        <w:rPr>
          <w:sz w:val="20"/>
          <w:szCs w:val="20"/>
          <w:color w:val="auto"/>
        </w:rPr>
      </w:pPr>
    </w:p>
    <w:p>
      <w:pPr>
        <w:ind w:right="100" w:firstLine="55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$1.2 million and $1.7 million for the three months ended March 31, 2026 and 2025, respectively.</w:t>
      </w:r>
    </w:p>
    <w:p>
      <w:pPr>
        <w:spacing w:after="0" w:line="20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both the three months ended March 31, 2026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212529"/>
        </w:rPr>
        <w:t>Clinical Trial Accruals and Prepaid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additional disclosure of the nature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ASU 2024-03 is effective for fiscal years beginning after December 15, 2026, and interim reporting periods beginning after December 15, 2027. Early adoption is permitted. The Company is currently evaluating the potential impact that this standard will have on its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8"/>
          <w:szCs w:val="18"/>
          <w:color w:val="auto"/>
        </w:rPr>
        <w:t>Revenues historically have consisted mainly of research and development services performed under contracts with customers.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Mayo Foundation for Medical Education and Research</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with Mayo Foundation for Medical Education and Research (Mayo), to support clinical research services to evaluate the efficacy of MN-166 (ibudilast) in ALS. The agreement has an initial one year term, with automatic successive one year terms unless either party gives written notice of non-renewal to the other party not less than 90 days prior to the end of the then-current term, with payment for services due within 60 days from invoice. The agreement can be terminated by either party upon the occurrence of certain events, including by either party, without cause, upon not less than 30 days prior written notice. In August 2025, the Mayo agreement was amended to extend the initial term until August 2026. The Company assessed the services in accordance with the authoritative guidance and concluded that it met the definition of a contract per ASC 606 with one performance obligation. The performance obligation identified was for pharmacovigilance and clinical research support services satisfied over time using the cost-to-cost method. In March 2025, the first study site enrolled the first patients into the study and principal services under the agreement began in April 2025. In August 2025, the Company received $0.8 million from Mayo, of which $0.4 million was recognized as revenue during the year ended December 31, 2025, with the remaining $0.4 million recognized as deferred revenue as of December 31, 2025. The Company recognized revenue of $0.2 million from the initial payment for the three months ended March 31, 2026 and had accounts receivable of $0.2 million and a remaining deferred revenue balance of $0.4 million as of March 31, 2026. The remaining performance obligation under this agreement relates to pharmacovigilance and clinical research support services, which will be satisfied over the remaining term of the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5"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31" w:lineRule="exact"/>
        <w:rPr>
          <w:sz w:val="20"/>
          <w:szCs w:val="20"/>
          <w:color w:val="auto"/>
        </w:rPr>
      </w:pPr>
    </w:p>
    <w:p>
      <w:pPr>
        <w:ind w:left="1320" w:right="740" w:hanging="741"/>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Level 2:</w:t>
        <w:tab/>
        <w:t>Inputs are quoted prices for similar items in active markets or quoted prices for identical or similar items in markets that are not active near the measurement date; and</w:t>
      </w:r>
    </w:p>
    <w:p>
      <w:pPr>
        <w:spacing w:after="0" w:line="67"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8"/>
          <w:szCs w:val="18"/>
          <w:color w:val="auto"/>
        </w:rPr>
        <w:t>Level 3:</w:t>
        <w:tab/>
        <w:t>Unobservable inputs due to little or no market data, which require the reporting entity to develop its own assumptions.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approximate fair value of financial instruments as of March 31, 2026 and December 31, 2025,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Inputs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Mutual funds</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26,861,345</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26,861,345</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30,308,988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30,308,988</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has operating leases primarily for real estate in the United States and Japan. The United States lease is for the Company’s headquarters in San Diego and has a term of five years ending January 31, 2027, with annual escalations. In April 2024, the Company provided notice to terminate its previous lease agreement for its Tokyo office, effective October 2024, and in May 2024, the Company entered into a new lease agreement, effective June 2024, for a different office space for its Tokyo location. The new lease had an initial lease term of 12 months ending May 2025, following which the Company exercised its option to extend for an additional two months. Thereafter, there will be automatic two-month renewals until the lease is terminated. In measuring the lease liability, the Company determined that it was reasonably certain that it would exercise one renewal option. Accordingly, the Company used a lease term of 14 months in measuring the lease liability. The Company measured the lease liability based on the present value of the future lease payments, including the one extension option that is reasonably certain to be exercised, discounted using the estimated incremental borrowing rate of 6.51%, which is the interest rate that the Company would have to pay to borrow on a collateralized basis over a similar term for an amount equal to the lease payments at initial commencement. The real estate operating leases are included in “Right-of-use asset” on the Company's consolidated balance sheets and represents the Company’s right to use the underlying assets for the lease term. The Company’s obligation to make lease payments are included in "Operating lease liability" and "Other non-current liabilities" on the Company's balance sheets.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Information related to the Company’s right-of-use assets and related lease liabilities are as follows:</w:t>
      </w:r>
    </w:p>
    <w:p>
      <w:pPr>
        <w:spacing w:after="0" w:line="111"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51,062</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7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165,198</w:t>
            </w:r>
          </w:p>
        </w:tc>
        <w:tc>
          <w:tcPr>
            <w:tcW w:w="2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194,331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165,198</w:t>
            </w:r>
          </w:p>
        </w:tc>
        <w:tc>
          <w:tcPr>
            <w:tcW w:w="22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211,460</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4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2026 were as follows: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minimum payments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(7,492)</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165,198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-1439545</wp:posOffset>
            </wp:positionV>
            <wp:extent cx="111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-1422400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-1439545</wp:posOffset>
            </wp:positionV>
            <wp:extent cx="1117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-1422400</wp:posOffset>
            </wp:positionV>
            <wp:extent cx="1117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Agreements</w:t>
      </w:r>
    </w:p>
    <w:p>
      <w:pPr>
        <w:spacing w:after="0" w:line="121"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milestone payments have been made under these agreements during the three months ended March 31, 2026 and 2025. For products currently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future potential milestone payments based on product development of MN-166 (ibudilast) and MN-001 (tipelukast) are $10.0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For all other products, future potential milestone payments related to development milestones and commercialization milestones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as of March 31, 2026. There are no minimum royalties required under any of the license agreements. The Company is unable to estimate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certainty the timing on when these milestone payments will occur as these payments are dependent upon the progress of the Company’s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programs.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49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(2013 Plan) under which the Company granted equity-based awards, including stock options, stock appreciation rights, restricted stock, and restricted stock units to individuals who were then employees, officers, non-employee directors or consultants of the Company or its subsidiaries. A total of 8,700,000 shares of common stock were reserved for issuance under the 2013 Plan. In addition, “returning shares” that may become available from time to time were added back to the 2013 Plan. “Returning shares” included shares that were subject to outstanding awards granted under the Company's prior 2004 Equity Incentive Plan that expired or terminated prior to exercise or settlement, were forfeited because of the failure to vest, were repurchased, or were withheld to satisfy tax withholding or purchase price obligations in connection with such awards. Although the Company no longer grants equity awards under the 2013 Plan, all outstanding stock awards granted under the 2013 Plan will continue to be subject to the terms and conditions as set forth in the agreements evidencing such stock awards and the terms of the 2013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firstLine="509"/>
        <w:spacing w:after="0" w:line="252" w:lineRule="auto"/>
        <w:rPr>
          <w:sz w:val="20"/>
          <w:szCs w:val="20"/>
          <w:color w:val="auto"/>
        </w:rPr>
      </w:pPr>
      <w:r>
        <w:rPr>
          <w:rFonts w:ascii="Times New Roman" w:cs="Times New Roman" w:eastAsia="Times New Roman" w:hAnsi="Times New Roman"/>
          <w:sz w:val="18"/>
          <w:szCs w:val="18"/>
          <w:color w:val="auto"/>
        </w:rPr>
        <w:t>In June 2023, the Company adopted the 2023 Equity Incentive Plan (2023 Plan) under which the Company may grant stock options, stock appreciation rights, restricted stock, restricted stock units and other awards to individuals who are then employees, officers, non-employee directors or consultants of the Company or its subsidiaries. The 2023 Plan is the successor to the 2013 Plan. The number of shares of common stock that may be issued under the 2023 Plan is equal to the sum of (a) shares subject to awards granted under the 2013 Plan that were outstanding upon expiration of the 2013 Plan and are subsequently forfeited, expire or lapse unexercised or unsettled and shares issued pursuant to awards granted under the 2013 Plan that were outstanding upon expiration of the 2013 Plan and are subsequently forfeited to or reacquired by the Company and (b) shares reserved under the 2013 Plan that were not issued or subject to outstanding awards under the 2013 Plan upon expiration of the 2013 Plan. While a maximum of 9,934,567 shares may become available for issuance under the 2023 Plan from the 2013 Plan, since this figure assumes that all awards outstanding under the 2013 Plan upon expiration of the 2013 Plan will be forfeited, the Company expects the actual number of shares added to the 2023 Plan to be less. In general, to the extent that awards under the 2023 Plan are forfeited, cancelled or expire for any reason before being exercised or settled in full, the shares subject to such awards will again become available for issuance under the 2023 Plan. If stock appreciation rights are exercised or restricted stock units are settled, then only the number of shares (if any) actually issued to the participant will reduce the number of shares available under the 2023 Plan. If restricted shares or shares issued upon exercise of options are reacquired by the Company pursuant to a forfeiture provision, repurchase right or for any other reason, then such shares shall again become available for issuance under the 2023 Plan. Shares withheld to pay the exercise price of options or satisfy tax withholding obligations related to an award shall again become available for issuance under the 2023 Plan. Further, to the extent an award is settled in cash rather than shares, the cash settlement shall not reduce the number of shares available for issuance under the 2023 Plan.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1,745,173 shares remain available for future grants under the 2023 Plan.</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 As of March 31, 2026, there were a total of 1,070,000 shares underlying performance options that were subject to vesting based on achievement of corporate objectives and employee performance for 2026.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Options granted under the 2023 Plan and the 2013 Plan have terms of ten years from the date of grant unless earlier terminated and generally vest over a one or four year period. The exercise price of all options granted through March 31, 2026 and 2025, was equal to the fair market value of the Company’s common stock on the date of grant.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March 31, 2026 is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4380" w:type="dxa"/>
            <w:vAlign w:val="bottom"/>
          </w:tcPr>
          <w:p>
            <w:pPr>
              <w:spacing w:after="0"/>
              <w:rPr>
                <w:sz w:val="15"/>
                <w:szCs w:val="15"/>
                <w:color w:val="auto"/>
              </w:rPr>
            </w:pPr>
          </w:p>
        </w:tc>
        <w:tc>
          <w:tcPr>
            <w:tcW w:w="2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Option 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5"/>
                <w:szCs w:val="15"/>
                <w:color w:val="auto"/>
              </w:rPr>
            </w:pPr>
          </w:p>
        </w:tc>
      </w:tr>
      <w:tr>
        <w:trPr>
          <w:trHeight w:val="210"/>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8,002,394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shd w:val="clear" w:color="auto" w:fill="CFF0FC"/>
          </w:tcPr>
          <w:p>
            <w:pPr>
              <w:spacing w:after="0"/>
              <w:rPr>
                <w:sz w:val="18"/>
                <w:szCs w:val="18"/>
                <w:color w:val="auto"/>
              </w:rPr>
            </w:pP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Pr>
          <w:p>
            <w:pPr>
              <w:spacing w:after="0"/>
              <w:rPr>
                <w:sz w:val="18"/>
                <w:szCs w:val="18"/>
                <w:color w:val="auto"/>
              </w:rPr>
            </w:pPr>
          </w:p>
        </w:tc>
      </w:tr>
      <w:tr>
        <w:trPr>
          <w:trHeight w:val="216"/>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2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Pr>
          <w:p>
            <w:pPr>
              <w:spacing w:after="0"/>
              <w:rPr>
                <w:sz w:val="18"/>
                <w:szCs w:val="18"/>
                <w:color w:val="auto"/>
              </w:rPr>
            </w:pPr>
          </w:p>
        </w:tc>
      </w:tr>
      <w:tr>
        <w:trPr>
          <w:trHeight w:val="216"/>
        </w:trPr>
        <w:tc>
          <w:tcPr>
            <w:tcW w:w="4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2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(763,000)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FF0FC"/>
          </w:tcPr>
          <w:p>
            <w:pPr>
              <w:spacing w:after="0"/>
              <w:rPr>
                <w:sz w:val="18"/>
                <w:szCs w:val="18"/>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210"/>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8,189,394</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7"/>
        </w:trPr>
        <w:tc>
          <w:tcPr>
            <w:tcW w:w="438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2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7,072,644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320" w:type="dxa"/>
            <w:vAlign w:val="bottom"/>
            <w:shd w:val="clear" w:color="auto" w:fill="CFF0FC"/>
          </w:tcPr>
          <w:p>
            <w:pPr>
              <w:spacing w:after="0"/>
              <w:rPr>
                <w:sz w:val="18"/>
                <w:szCs w:val="18"/>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-334010</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-334010</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awards are reflected in total operating expenses for each respective period. The following table summarizes stock-based compensation expense for the three months ended March 31, 2026 and 2025,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9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5"/>
        </w:trPr>
        <w:tc>
          <w:tcPr>
            <w:tcW w:w="538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42"/>
        </w:trPr>
        <w:tc>
          <w:tcPr>
            <w:tcW w:w="5380" w:type="dxa"/>
            <w:vAlign w:val="bottom"/>
          </w:tcPr>
          <w:p>
            <w:pPr>
              <w:spacing w:after="0"/>
              <w:rPr>
                <w:sz w:val="12"/>
                <w:szCs w:val="12"/>
                <w:color w:val="auto"/>
              </w:rPr>
            </w:pPr>
          </w:p>
        </w:tc>
        <w:tc>
          <w:tcPr>
            <w:tcW w:w="178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1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1780" w:type="dxa"/>
            <w:vAlign w:val="bottom"/>
            <w:shd w:val="clear" w:color="auto" w:fill="CFF0FC"/>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154,548</w:t>
            </w:r>
          </w:p>
        </w:tc>
        <w:tc>
          <w:tcPr>
            <w:tcW w:w="10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124,191</w:t>
            </w:r>
          </w:p>
        </w:tc>
        <w:tc>
          <w:tcPr>
            <w:tcW w:w="26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253,213</w:t>
            </w: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161,752</w:t>
            </w:r>
          </w:p>
        </w:tc>
        <w:tc>
          <w:tcPr>
            <w:tcW w:w="26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80" w:type="dxa"/>
            <w:vAlign w:val="bottom"/>
            <w:shd w:val="clear" w:color="auto" w:fill="CFF0FC"/>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407,761</w:t>
            </w:r>
          </w:p>
        </w:tc>
        <w:tc>
          <w:tcPr>
            <w:tcW w:w="10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285,943</w:t>
            </w:r>
          </w:p>
        </w:tc>
        <w:tc>
          <w:tcPr>
            <w:tcW w:w="26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three months ended March 31, 2026 and 2025, and to estimate the fair value of performance-based stock options as of March 31, 2026 and 2025.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40" w:type="dxa"/>
            <w:vAlign w:val="bottom"/>
            <w:tcBorders>
              <w:bottom w:val="single" w:sz="8" w:color="auto"/>
            </w:tcBorders>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center"/>
              <w:ind w:right="11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- 3.92%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- 4.48%</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- 69.31%</w:t>
            </w:r>
          </w:p>
        </w:tc>
        <w:tc>
          <w:tcPr>
            <w:tcW w:w="1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- 75.66%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0.00%</w:t>
            </w:r>
          </w:p>
        </w:tc>
        <w:tc>
          <w:tcPr>
            <w:tcW w:w="3440" w:type="dxa"/>
            <w:vAlign w:val="bottom"/>
            <w:gridSpan w:val="4"/>
          </w:tcPr>
          <w:p>
            <w:pPr>
              <w:jc w:val="center"/>
              <w:ind w:left="574"/>
              <w:spacing w:after="0"/>
              <w:rPr>
                <w:sz w:val="20"/>
                <w:szCs w:val="20"/>
                <w:color w:val="auto"/>
              </w:rPr>
            </w:pPr>
            <w:r>
              <w:rPr>
                <w:rFonts w:ascii="Times New Roman" w:cs="Times New Roman" w:eastAsia="Times New Roman" w:hAnsi="Times New Roman"/>
                <w:sz w:val="18"/>
                <w:szCs w:val="18"/>
                <w:color w:val="auto"/>
                <w:w w:val="98"/>
              </w:rPr>
              <w:t>0.00%</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20" w:type="dxa"/>
            <w:vAlign w:val="bottom"/>
            <w:gridSpan w:val="2"/>
            <w:shd w:val="clear" w:color="auto" w:fill="CFF0FC"/>
          </w:tcPr>
          <w:p>
            <w:pPr>
              <w:jc w:val="center"/>
              <w:ind w:left="470"/>
              <w:spacing w:after="0"/>
              <w:rPr>
                <w:sz w:val="20"/>
                <w:szCs w:val="20"/>
                <w:color w:val="auto"/>
              </w:rPr>
            </w:pPr>
            <w:r>
              <w:rPr>
                <w:rFonts w:ascii="Times New Roman" w:cs="Times New Roman" w:eastAsia="Times New Roman" w:hAnsi="Times New Roman"/>
                <w:sz w:val="18"/>
                <w:szCs w:val="18"/>
                <w:color w:val="auto"/>
                <w:w w:val="99"/>
              </w:rPr>
              <w:t>5.30 - 5.54</w:t>
            </w:r>
          </w:p>
        </w:tc>
        <w:tc>
          <w:tcPr>
            <w:tcW w:w="3440" w:type="dxa"/>
            <w:vAlign w:val="bottom"/>
            <w:gridSpan w:val="4"/>
            <w:shd w:val="clear" w:color="auto" w:fill="CFF0FC"/>
          </w:tcPr>
          <w:p>
            <w:pPr>
              <w:jc w:val="center"/>
              <w:ind w:left="574"/>
              <w:spacing w:after="0"/>
              <w:rPr>
                <w:sz w:val="20"/>
                <w:szCs w:val="20"/>
                <w:color w:val="auto"/>
              </w:rPr>
            </w:pPr>
            <w:r>
              <w:rPr>
                <w:rFonts w:ascii="Times New Roman" w:cs="Times New Roman" w:eastAsia="Times New Roman" w:hAnsi="Times New Roman"/>
                <w:sz w:val="18"/>
                <w:szCs w:val="18"/>
                <w:color w:val="auto"/>
                <w:w w:val="99"/>
              </w:rPr>
              <w:t>4.53 - 5.31</w:t>
            </w:r>
          </w:p>
        </w:tc>
      </w:tr>
    </w:tbl>
    <w:p>
      <w:pPr>
        <w:spacing w:after="0" w:line="265"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there was $0.7 million of unamortized compensation cost related to unvested stock option awards which is expected to be recognized over a remaining weighted-average vesting period of 0.81 years, on a straight-line basis. Such compensation cost will ultimately be adjusted based upon actual performance compared to the corporate objectives as described above.</w:t>
      </w:r>
    </w:p>
    <w:p>
      <w:pPr>
        <w:spacing w:after="0" w:line="1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each stock option granted during the three months ended March 31, 2026 and 2025, estimated as of the grant date using the Black-Scholes option valuation model, was $0.99 and $1.36 per option,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 and Private Placement Transactions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On August 23, 2019, the Company entered into an at the market issuance sales agreement, which was amended on August 26, 2022 (as amended, the ATM Agreement) with B. Riley FBR, Inc. (B. Riley FBR) for the offer and sale of common stock through B. Riley FBR from time to time up to an aggregate offering price of $75.0 million.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three months ended March 31, 2026 and 2025, respectively.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ATM agreement was terminated effective March 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July 30, 2025, the Company entered into a Standby Equity Purchase Agreement, or the SEPA with YA II PN, LTD., a Cayman Islands exempt limited company, or Yorkville. Pursuant to the SEPA, the Company has the right, but not the obligation, to sell to Yorkville from time to time up to $30.0 million of its common stock, during the 36 months following the execution of the SEPA, subject to the restrictions and satisfaction of the conditions in the SEPA. At the Company's option, the shares of common stock would be purchased by Yorkville from time to time at a price equal to 97% of the lowest of the three daily volume weighted average prices (VWAPs), during a three consecutive trading day period commencing on the date that the Company, subject to certain limitations, delivers to Yorkville a notice that the Company is committing Yorkville to purchase such shares of common stock. The Company may also specify a certain minimum acceptable price per share for a drawdown under the SEPA. As consideration for Yorkville's irrevocable commitment to purchase common stock, the Company paid Yorkville a $25,000 structuring fee along with a commitment fee of $375,000, recorded as General and Administrative expense. Under the applicable rules of Nasdaq and pursuant to the SEPA, in no event may the Company issue or sell to Yorkville more than 9,804,345 shares of common stock, or the Exchange Cap, which is 19.99% of the shares of common stock outstanding immediately prior to the execution of the SEPA, unless (i) the Company obtains stockholder approval to issue shares of common stock in excess of the Exchange Cap or</w:t>
      </w:r>
    </w:p>
    <w:p>
      <w:pPr>
        <w:spacing w:after="0" w:line="4" w:lineRule="exact"/>
        <w:rPr>
          <w:sz w:val="20"/>
          <w:szCs w:val="20"/>
          <w:color w:val="auto"/>
        </w:rPr>
      </w:pPr>
    </w:p>
    <w:p>
      <w:pPr>
        <w:ind w:right="30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the Company's common stock beneficially owned by Yorkville and its affiliates,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would result in the beneficial ownership of Yorkville and its affiliates (on an aggregated basis) exceeding 4.99% of the then outstanding voting power or number of outstanding shares of the Company's common stock.</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Pursuant to a financial advisory agreement between the Company and D. Boral Capital LLC (D. Boral), the Company has also agreed to pay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Boral a fee equal to three percent of the gross proceeds received from any shares that the Company sells to Yorkville pursuant to the SEPA.</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shares of common stock were sold under the SEPA in the three months ended March 31,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December 29, 2025, the Company entered into an equity distribution agreement, with Lucid Capital Markets, LLC (Lucid) pursuant to which the Company may sell common stock through Lucid from time to time up to an aggregate offering price of $50.0 million (the Equity Distribution Agreement). Sales of the Company's common stock through Lucid,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Lucid may also sell the common stock in privately negotiated transactions, subject to our prior approval. The Company agreed to pay Lucid an aggregate commission rate of 3.0% of the gross proceeds of any common stock sold under this agreement. Proceeds from sales of common stock will depend on the number of shares of common stock sold to Lucid and the per share purchase price of each transaction.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shares of common stock were sold under the Equity Distribution Agreement in the three months ended March 31,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outstanding stock options excluded from diluted net loss per common share due to their anti-dilutive effect totaled 8,189,394 shares for the three months ended March 31, 2026 and 7,909,394 shares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2025 included in our Annual Report on Form 10-K, as filed with the Securities and Exchange Commission (SEC) on March 10, 2026 (Annual Report on Form 10-K). Past operating results are not necessarily indicative of results that may occur in future periods.</w:t>
      </w:r>
    </w:p>
    <w:p>
      <w:pPr>
        <w:spacing w:after="0" w:line="16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72"/>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developing novel therapeutics for the treatment of serious diseases with unmet medical needs and a commercial focus on the United States (U.S.)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and prevention of acute respiratory distress syndrome (ARDS), and MN-001 (tipelukast) for fibrotic and other metabolic disorders such as nonalcoholic fatty liver disease (NAFLD) and hypertriglyceridemia. We were incorporated in Delaware in September 2000.</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March 31, 2026, from inception, our accumulated deficit was $441.3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85" w:lineRule="exact"/>
        <w:rPr>
          <w:sz w:val="20"/>
          <w:szCs w:val="20"/>
          <w:color w:val="auto"/>
        </w:rPr>
      </w:pPr>
    </w:p>
    <w:p>
      <w:pPr>
        <w:ind w:right="400" w:firstLine="458"/>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52" w:lineRule="exact"/>
        <w:rPr>
          <w:sz w:val="20"/>
          <w:szCs w:val="20"/>
          <w:color w:val="auto"/>
        </w:rPr>
      </w:pPr>
    </w:p>
    <w:p>
      <w:pPr>
        <w:ind w:left="1020" w:hanging="503"/>
        <w:spacing w:after="0"/>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(ibudilast) for multiple potential indications with the support of non-dilutive financings.</w:t>
      </w:r>
    </w:p>
    <w:p>
      <w:pPr>
        <w:spacing w:after="0" w:line="132" w:lineRule="exact"/>
        <w:rPr>
          <w:rFonts w:ascii="Times New Roman" w:cs="Times New Roman" w:eastAsia="Times New Roman" w:hAnsi="Times New Roman"/>
          <w:sz w:val="18"/>
          <w:szCs w:val="18"/>
          <w:color w:val="auto"/>
        </w:rPr>
      </w:pPr>
    </w:p>
    <w:p>
      <w:pPr>
        <w:jc w:val="both"/>
        <w:ind w:left="10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65" w:lineRule="exact"/>
        <w:rPr>
          <w:rFonts w:ascii="Times New Roman" w:cs="Times New Roman" w:eastAsia="Times New Roman" w:hAnsi="Times New Roman"/>
          <w:sz w:val="18"/>
          <w:szCs w:val="18"/>
          <w:color w:val="auto"/>
        </w:rPr>
      </w:pPr>
    </w:p>
    <w:p>
      <w:pPr>
        <w:ind w:left="1040" w:hanging="564"/>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(tipelukast) for fibrotic and other diseases.</w:t>
      </w:r>
    </w:p>
    <w:p>
      <w:pPr>
        <w:spacing w:after="0" w:line="119"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advance development of MN-001 (tipelukast) through a variety of means, which may include investigator-sponsored trials with or without grant funding as well as trials funded by us.</w:t>
      </w:r>
    </w:p>
    <w:p>
      <w:pPr>
        <w:spacing w:after="0" w:line="51" w:lineRule="exact"/>
        <w:rPr>
          <w:rFonts w:ascii="Times New Roman" w:cs="Times New Roman" w:eastAsia="Times New Roman" w:hAnsi="Times New Roman"/>
          <w:sz w:val="18"/>
          <w:szCs w:val="18"/>
          <w:color w:val="auto"/>
        </w:rPr>
      </w:pPr>
    </w:p>
    <w:p>
      <w:pPr>
        <w:ind w:left="1020" w:right="380" w:hanging="503"/>
        <w:spacing w:after="0" w:line="284"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 strategic partnerships with one or more leading pharmaceutical companies to complete product development and successfully commercialize our products.</w:t>
      </w:r>
    </w:p>
    <w:p>
      <w:pPr>
        <w:spacing w:after="0" w:line="52" w:lineRule="exact"/>
        <w:rPr>
          <w:rFonts w:ascii="Times New Roman" w:cs="Times New Roman" w:eastAsia="Times New Roman" w:hAnsi="Times New Roman"/>
          <w:sz w:val="18"/>
          <w:szCs w:val="18"/>
          <w:color w:val="auto"/>
        </w:rPr>
      </w:pPr>
    </w:p>
    <w:p>
      <w:pPr>
        <w:jc w:val="both"/>
        <w:ind w:left="10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and maintain relationships with pharmaceutical companies that are therapeutic category leaders. We intend to discuss strategic alliances with leading pharmaceutical companies who seek product candidates, such as MN-166 (ibudilast) and MN-001 (tipelukast), which could support our clinical development and product commercialization.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 Expenses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2026 as our development programs progress.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61"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development expense:</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MN-166</w:t>
            </w:r>
          </w:p>
        </w:tc>
        <w:tc>
          <w:tcPr>
            <w:tcW w:w="1080" w:type="dxa"/>
            <w:vAlign w:val="bottom"/>
            <w:gridSpan w:val="2"/>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32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MN-001</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1080" w:type="dxa"/>
            <w:vAlign w:val="bottom"/>
            <w:gridSpan w:val="2"/>
          </w:tcPr>
          <w:p>
            <w:pPr>
              <w:jc w:val="right"/>
              <w:ind w:right="92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3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-170815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estimates, please see the section entitled “Management’s Discussion and Analysis of Financial Condition and Results of Operations — Critical Accounting Estimates” contained in our Annual Report on Form 10-K, for the year ended December 31, 2025. There have not been any material changes to the critical accounting policies discussed therein during the three months ended March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IPR&amp;D and Goodwill</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Amounts incurred related to in-process research and development (IPR&amp;D) or asset purchases of IPR&amp;D are expensed as incurred. Amounts allocated to IPR&amp;D in connection with a business combination are recorded at fair value and are considered indefinite-lived intangible assets until completion or abandonment of the associated research and development efforts. During the period the assets are considered indefinite-lived, they will not be amortized but will be tested annually for impairment or more frequently if indicators of impairment exist. Goodwill and indefinite lives of intangible assets are reviewed for impairment annually (as of December 31st) or more frequently if indicators of impairment exist.</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performed a qualitative impairment assessment of goodwill and indefinite-lived intangible assets which included an evaluation of changes in industry, market, and macroeconomic conditions as well as consideration of our financial performance and any significant trends. The qualitative assessment indicated that it was not more likely than not that goodwill and indefinite-lived intangible assets are impaired as of December 31, 2025. If we experience a sustained decline in our stock price or other material changes in the significant assumptions that affect the determination of the fair value of our single reporting unit, it may result in a goodwill and/or intangible asset impairment charge in future periods, and such charge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Revenues were $0.2 million and $0.0 million for the three months ended March 31, 2026 and 2025, respectively. The increase of $0.2 million was due to revenue recognized under our agreement with Mayo, which was entered into in December 2024 and which began enrolling patients in March 2025, and under which principal services began in April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Cost of services were $0.2 million and $0.0 million for the three months ended March 31, 2026 and 2025, respectively. The increase of $0.2 million was due to the costs incurred for services provided related to the Mayo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Patents Expenses</w:t>
      </w:r>
    </w:p>
    <w:p>
      <w:pPr>
        <w:spacing w:after="0" w:line="22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Research, development and patents expenses were $1.3 million and $1.8 million for the three months ended March 31, 2026 and 2025, respectively. </w:t>
      </w:r>
      <w:r>
        <w:rPr>
          <w:rFonts w:ascii="Times New Roman" w:cs="Times New Roman" w:eastAsia="Times New Roman" w:hAnsi="Times New Roman"/>
          <w:sz w:val="18"/>
          <w:szCs w:val="18"/>
          <w:color w:val="212529"/>
        </w:rPr>
        <w:t>The decrease of $0.5 million was primarily driven by a $0.4 million decrease in MN-166 related expenses relating to a MRC-001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Pharmacokinetic (PK) study, a </w:t>
      </w:r>
      <w:r>
        <w:rPr>
          <w:rFonts w:ascii="Times New Roman" w:cs="Times New Roman" w:eastAsia="Times New Roman" w:hAnsi="Times New Roman"/>
          <w:sz w:val="18"/>
          <w:szCs w:val="18"/>
          <w:color w:val="000000"/>
        </w:rPr>
        <w:t>degenerative cervical myelopathy (</w:t>
      </w:r>
      <w:r>
        <w:rPr>
          <w:rFonts w:ascii="Times New Roman" w:cs="Times New Roman" w:eastAsia="Times New Roman" w:hAnsi="Times New Roman"/>
          <w:sz w:val="18"/>
          <w:szCs w:val="18"/>
          <w:color w:val="212529"/>
        </w:rPr>
        <w:t>DCM) study, and an ALS study, as well as a $0.1 million decrease in MN-001 clinical trial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$1.6 million and $1.4 million for the three months ended March 31, 2026 and 2025, respectively. The increase of $0.2 million was primarily driven by increased professional fees and stock-based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was $0.3 million for both the three months ended March 31, 2026 and 2025. The income was relatively the same quarter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Net cash used in operating activities during the three months ended March 31, 2026 was $3.5 million compared to $3.8 million during the same period in 2025. The $0.3 million change is primarily related to the </w:t>
      </w:r>
      <w:r>
        <w:rPr>
          <w:rFonts w:ascii="Times New Roman" w:cs="Times New Roman" w:eastAsia="Times New Roman" w:hAnsi="Times New Roman"/>
          <w:sz w:val="18"/>
          <w:szCs w:val="18"/>
          <w:color w:val="212529"/>
        </w:rPr>
        <w:t>changes in operating assets and liabilities for those periods.</w:t>
      </w:r>
    </w:p>
    <w:p>
      <w:pPr>
        <w:spacing w:after="0" w:line="162"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available cash and cash equivalents of $27.3 million and working capital of $25.1 million. As of the date of this report, we believe we have working capital sufficient to fund operations at least through May 2027. However, we cannot provide assurance that these capital resources will be sufficient to conduct all our research and development programs as planned.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Equity Financing</w:t>
      </w:r>
    </w:p>
    <w:p>
      <w:pPr>
        <w:spacing w:after="0" w:line="227"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In August 2019, we entered into an at the market issuance sales agreement, which was amended on August 26, 2022 (as amended, the ATM Agreement) with B. Riley FBR, Inc. (B. Riley FBR) pursuant to which we may sell common stock through B. Riley FBR from time to time up to an aggregate offering price of $75.0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shares of common stock were sold under the ATM Agreement in the three months ended March 31, 2026 and 2025.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ATM agreement was terminated effective as of March 8, 2026.</w:t>
      </w:r>
    </w:p>
    <w:p>
      <w:pPr>
        <w:spacing w:after="0" w:line="22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July 30, 2025, we entered into a SEPA, with YA II PN, LTD., a Cayman Islands exempt limited company, or Yorkville. Pursuant to the SEPA, we have the right, but not the obligation, to sell to Yorkville from time to time up to $30.0 million of our common stock, during the 36 months following the execution of the SEPA, subject to the restrictions and satisfaction of the conditions in the SEPA. At our option, the shares of common stock would be purchased by Yorkville from time to time at a price equal to 97% of the lowest of the three daily volume weighted average prices (VWAPs), during a three consecutive trading day period commencing on the date that we, subject to certain limitations, deliver to Yorkville a notice that we are committing Yorkville to purchase such shares of common stock. We may also specify a certain minimum acceptable price per share for a drawdown under the SEPA. As consideration for Yorkville's irrevocable commitment to purchase common stock, we paid Yorkville a $25,000 structuring fee along with a commitment fee of $375,000, recorded as General and Administrative expense. Under the applicable rules of Nasdaq and pursuant to the SEPA, in no event may we issue or sell to Yorkville more than 9,804,345 shares of common stock, or the Exchange Cap, which is 19.99% of the shares of common stock outstanding immediately prior to the execution of the SEPA, unless (i) we obtain stockholder approval to issue shares of common stock in excess of the Exchange Cap or (ii) the average price of all applicable shares of common stock under the SEPA equals or exceeds $1.33 per share (which represents the lower of (i) the Nasdaq Official Closing Price (as reflected on Nasdaq.com) on the trading day immediately preceding July 30, 2025 or (ii) the average Nasdaq Official Closing Price of the common stock (as reflected on Nasdaq.com) for the five trading days immediately preceding July 30, 2025). Pursuant to the SEPA, Yorkville shall not be obliged to purchase or acquire any shares of common stock under the SEPA which, when aggregated with all other shares of our common stock beneficially owned by Yorkville and its affiliates, would result in the beneficial ownership of Yorkville and its affiliates (on an aggregated basis) exceeding 4.99% of the then outstanding voting power or number of outstanding shares of our common stock.</w:t>
      </w:r>
    </w:p>
    <w:p>
      <w:pPr>
        <w:spacing w:after="0" w:line="19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Pursuant to a financial advisory agreement between us and D. Boral Capital LLC (D. Boral), we have also agreed to pay D. Boral a fee equal to three percent of the gross proceeds received from any shares that we sell to Yorkville pursuant to the SEPA.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shares of common stock were sold under the SEPA in three months ended March 31, 2026.</w:t>
      </w:r>
    </w:p>
    <w:p>
      <w:pPr>
        <w:spacing w:after="0" w:line="22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 December 29, 2025, we entered into an equity distribution agreement, with Lucid Capital Markets, LLC (Lucid) pursuant to which we may sell common stock through Lucid from time to time up to an aggregate offering price of $50.0 million (the Equity Distribution Agreement). Sales of our common stock through Lucid,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Lucid may also sell the common stock in privately negotiated transactions, subject to our prior approval. We agreed to pay Lucid an aggregate commission rate of 3.0% of the gross proceeds of any common stock sold under this agreement. Proceeds from sales of common stock will depend on the number of shares of common stock sold to Lucid and the per share purchase price of each transaction.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shares of common stock were sold under the Equity Distribution Agreement in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period covered by this report. Based on the foregoing, our Chief Executive Officer and our Chief Financial Officer concluded that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March 31, 2026.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2025,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officers or directors, as defined in Rule 16a-1(f), informed us of the adoption or termination of a Rule 10b5-1 trading arrangement or a non-Rule 10b5-1 trading arrangement, each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20"/>
          </w:cols>
          <w:pgMar w:left="320" w:top="1305" w:right="359" w:bottom="1440" w:gutter="0" w:footer="0" w:header="0"/>
        </w:sectPr>
      </w:pPr>
    </w:p>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426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4"/>
          <w:szCs w:val="24"/>
          <w:color w:val="auto"/>
          <w:vertAlign w:val="superscript"/>
        </w:rPr>
        <w:t>(1)</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101.SCH</w:t>
      </w:r>
      <w:r>
        <w:rPr>
          <w:rFonts w:ascii="Times New Roman" w:cs="Times New Roman" w:eastAsia="Times New Roman" w:hAnsi="Times New Roman"/>
          <w:sz w:val="23"/>
          <w:szCs w:val="23"/>
          <w:color w:val="auto"/>
          <w:vertAlign w:val="superscript"/>
        </w:rPr>
        <w:t>(1)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412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09" w:lineRule="exact"/>
        <w:rPr>
          <w:sz w:val="20"/>
          <w:szCs w:val="20"/>
          <w:color w:val="auto"/>
        </w:rPr>
      </w:pPr>
    </w:p>
    <w:p>
      <w:pPr>
        <w:ind w:right="340"/>
        <w:spacing w:after="0" w:line="282"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Restated Certificate of Incorporation of the Registrant (incorporated by reference to Exhibit 3.1 of the Registrant’s Quarterly Report on</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Form 10-Q filed with the SEC on August 9, 2012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2122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3329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47" w:lineRule="exact"/>
        <w:rPr>
          <w:sz w:val="20"/>
          <w:szCs w:val="20"/>
          <w:color w:val="auto"/>
        </w:rPr>
      </w:pPr>
    </w:p>
    <w:p>
      <w:pPr>
        <w:ind w:right="100"/>
        <w:spacing w:after="0" w:line="282"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Amended and Restated Bylaws of the Registrant (incorporated by reference to Exhibit 3.1 of the Registrant’s Current Report on Form 8-K</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filed with the SEC on April 25, 2019 (File No. 001-33185)).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635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35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27578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5780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8069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480695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4718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471805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9334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93344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5901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901690" cy="8255"/>
                    </a:xfrm>
                    <a:prstGeom prst="rect">
                      <a:avLst/>
                    </a:prstGeom>
                    <a:noFill/>
                  </pic:spPr>
                </pic:pic>
              </a:graphicData>
            </a:graphic>
          </wp:anchor>
        </w:drawing>
      </w:r>
    </w:p>
    <w:p>
      <w:pPr>
        <w:spacing w:after="0" w:line="1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15" w:lineRule="exact"/>
        <w:rPr>
          <w:sz w:val="20"/>
          <w:szCs w:val="20"/>
          <w:color w:val="auto"/>
        </w:rPr>
      </w:pPr>
    </w:p>
    <w:p>
      <w:pPr>
        <w:sectPr>
          <w:pgSz w:w="11900" w:h="16838" w:orient="portrait"/>
          <w:cols w:equalWidth="0" w:num="2">
            <w:col w:w="820" w:space="320"/>
            <w:col w:w="10080"/>
          </w:cols>
          <w:pgMar w:left="320" w:top="1305" w:right="359" w:bottom="1440" w:gutter="0" w:footer="0" w:header="0"/>
          <w:type w:val="continuous"/>
        </w:sect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18" w:lineRule="exact"/>
        <w:rPr>
          <w:rFonts w:ascii="Times New Roman" w:cs="Times New Roman" w:eastAsia="Times New Roman" w:hAnsi="Times New Roman"/>
          <w:sz w:val="16"/>
          <w:szCs w:val="16"/>
          <w:color w:val="auto"/>
        </w:rPr>
      </w:pPr>
    </w:p>
    <w:p>
      <w:pPr>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not deemed filed with the Securities and Exchange Commission and are not to be incorporated by reference into any filing of MediciNova,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type w:val="continuous"/>
        </w:sectPr>
      </w:pPr>
    </w:p>
    <w:bookmarkStart w:id="23" w:name="page24"/>
    <w:bookmarkEnd w:id="2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56" w:lineRule="exact"/>
        <w:rPr>
          <w:sz w:val="20"/>
          <w:szCs w:val="20"/>
          <w:color w:val="auto"/>
        </w:rPr>
      </w:pPr>
    </w:p>
    <w:p>
      <w:pPr>
        <w:spacing w:after="0"/>
        <w:tabs>
          <w:tab w:leader="none" w:pos="6460" w:val="left"/>
          <w:tab w:leader="none" w:pos="8340" w:val="left"/>
          <w:tab w:leader="none" w:pos="86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pacing w:after="0" w:line="219" w:lineRule="exact"/>
        <w:rPr>
          <w:sz w:val="20"/>
          <w:szCs w:val="20"/>
          <w:color w:val="auto"/>
        </w:rPr>
      </w:pPr>
    </w:p>
    <w:p>
      <w:pPr>
        <w:ind w:left="6480"/>
        <w:spacing w:after="0"/>
        <w:tabs>
          <w:tab w:leader="none" w:pos="8300" w:val="left"/>
          <w:tab w:leader="none" w:pos="8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820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Jason Kruger</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678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Times New Roman" w:cs="Times New Roman" w:eastAsia="Times New Roman" w:hAnsi="Times New Roman"/>
          <w:sz w:val="18"/>
          <w:szCs w:val="18"/>
          <w:color w:val="auto"/>
        </w:rPr>
        <w:t>By:</w:t>
        <w:tab/>
        <w:t>/s/</w:t>
        <w:tab/>
        <w:t>Y</w:t>
      </w:r>
      <w:r>
        <w:rPr>
          <w:rFonts w:ascii="Times New Roman" w:cs="Times New Roman" w:eastAsia="Times New Roman" w:hAnsi="Times New Roman"/>
          <w:sz w:val="13"/>
          <w:szCs w:val="13"/>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ind w:left="722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72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Securities Exchange Act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Kruger, certify that:</w:t>
      </w:r>
    </w:p>
    <w:p>
      <w:pPr>
        <w:spacing w:after="0" w:line="117" w:lineRule="exact"/>
        <w:rPr>
          <w:sz w:val="20"/>
          <w:szCs w:val="20"/>
          <w:color w:val="auto"/>
        </w:rPr>
      </w:pPr>
    </w:p>
    <w:p>
      <w:pPr>
        <w:ind w:left="700" w:hanging="183"/>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MediciNova,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Times New Roman" w:cs="Times New Roman" w:eastAsia="Times New Roman" w:hAnsi="Times New Roman"/>
          <w:sz w:val="18"/>
          <w:szCs w:val="18"/>
          <w:color w:val="auto"/>
        </w:rPr>
        <w:t>By:</w:t>
        <w:tab/>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Jason Kruger</w:t>
      </w:r>
    </w:p>
    <w:p>
      <w:pPr>
        <w:ind w:left="722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722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quarter ended March 31, 2026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2" w:lineRule="exact"/>
        <w:rPr>
          <w:sz w:val="20"/>
          <w:szCs w:val="20"/>
          <w:color w:val="auto"/>
        </w:rPr>
      </w:pPr>
    </w:p>
    <w:p>
      <w:pPr>
        <w:ind w:left="1200" w:hanging="174"/>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Y</w:t>
      </w:r>
      <w:r>
        <w:rPr>
          <w:rFonts w:ascii="Times New Roman" w:cs="Times New Roman" w:eastAsia="Times New Roman" w:hAnsi="Times New Roman"/>
          <w:sz w:val="12"/>
          <w:szCs w:val="12"/>
          <w:color w:val="auto"/>
        </w:rPr>
        <w:t>uichi</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0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In connection with the accompanying Quarterly Report on Form 10-Q of MediciNova, Inc. (the “Company”) for the quarter ended March 31, 2026, as filed with the Securities and Exchange Commission on the date hereof (the “Report”), I, Jason Kruger, as Chief Financial Officer of the Company, hereby certify, pursuant to 18 U.S.C. Section 1350, as adopted pursuant to Section 906 of the Sarbanes-Oxley Act of 2002, that to my knowledge:</w:t>
      </w:r>
    </w:p>
    <w:p>
      <w:pPr>
        <w:spacing w:after="0" w:line="50" w:lineRule="exact"/>
        <w:rPr>
          <w:sz w:val="20"/>
          <w:szCs w:val="20"/>
          <w:color w:val="auto"/>
        </w:rPr>
      </w:pPr>
    </w:p>
    <w:p>
      <w:pPr>
        <w:ind w:left="1200" w:hanging="174"/>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right="380" w:firstLine="506"/>
        <w:spacing w:after="0" w:line="282" w:lineRule="auto"/>
        <w:tabs>
          <w:tab w:leader="none" w:pos="12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52" w:lineRule="exact"/>
        <w:rPr>
          <w:sz w:val="20"/>
          <w:szCs w:val="20"/>
          <w:color w:val="auto"/>
        </w:rPr>
      </w:pPr>
    </w:p>
    <w:p>
      <w:pPr>
        <w:ind w:left="6760"/>
        <w:spacing w:after="0"/>
        <w:tabs>
          <w:tab w:leader="none" w:pos="8500" w:val="left"/>
          <w:tab w:leader="none" w:pos="8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Jason Kruger</w:t>
      </w:r>
    </w:p>
    <w:p>
      <w:pPr>
        <w:jc w:val="center"/>
        <w:ind w:left="7200"/>
        <w:spacing w:after="0" w:line="22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2"/>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02" Type="http://schemas.openxmlformats.org/officeDocument/2006/relationships/hyperlink" Target="https://www.sec.gov/Archives/edgar/data/1226616/000119312512347932/d344794dex31.htm" TargetMode="External"/><Relationship Id="rId105" Type="http://schemas.openxmlformats.org/officeDocument/2006/relationships/hyperlink" Target="https://www.sec.gov/Archives/edgar/data/1226616/000119312519119751/d727763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2026-05-14T15:27:55Z</dcterms:created>
  <dcterms:modified xsi:type="dcterms:W3CDTF">2026-05-14T15:27:55Z</dcterms:modified>
</cp:coreProperties>
</file>