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5"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43"/>
          <w:szCs w:val="43"/>
          <w:b w:val="1"/>
          <w:bCs w:val="1"/>
          <w:color w:val="auto"/>
        </w:rPr>
        <w:t>MEDICINOVA, INC.</w:t>
      </w:r>
    </w:p>
    <w:p>
      <w:pPr>
        <w:spacing w:after="0" w:line="5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tbl>
      <w:tblPr>
        <w:tblLayout w:type="fixed"/>
        <w:tblInd w:w="1100" w:type="dxa"/>
        <w:tblCellMar>
          <w:top w:w="0" w:type="dxa"/>
          <w:left w:w="0" w:type="dxa"/>
          <w:bottom w:w="0" w:type="dxa"/>
          <w:right w:w="0" w:type="dxa"/>
        </w:tblCellMar>
      </w:tblPr>
      <w:tr>
        <w:trPr>
          <w:trHeight w:val="214"/>
        </w:trPr>
        <w:tc>
          <w:tcPr>
            <w:tcW w:w="4040" w:type="dxa"/>
            <w:vAlign w:val="bottom"/>
          </w:tcPr>
          <w:p>
            <w:pPr>
              <w:jc w:val="center"/>
              <w:ind w:right="2339"/>
              <w:spacing w:after="0"/>
              <w:rPr>
                <w:sz w:val="20"/>
                <w:szCs w:val="20"/>
                <w:color w:val="auto"/>
              </w:rPr>
            </w:pPr>
            <w:r>
              <w:rPr>
                <w:rFonts w:ascii="Times New Roman" w:cs="Times New Roman" w:eastAsia="Times New Roman" w:hAnsi="Times New Roman"/>
                <w:sz w:val="18"/>
                <w:szCs w:val="18"/>
                <w:b w:val="1"/>
                <w:bCs w:val="1"/>
                <w:color w:val="auto"/>
                <w:w w:val="99"/>
              </w:rPr>
              <w:t>DELAWARE</w:t>
            </w:r>
          </w:p>
        </w:tc>
        <w:tc>
          <w:tcPr>
            <w:tcW w:w="23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001-33185</w:t>
            </w:r>
          </w:p>
        </w:tc>
        <w:tc>
          <w:tcPr>
            <w:tcW w:w="248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33-0927979</w:t>
            </w:r>
          </w:p>
        </w:tc>
      </w:tr>
      <w:tr>
        <w:trPr>
          <w:trHeight w:val="148"/>
        </w:trPr>
        <w:tc>
          <w:tcPr>
            <w:tcW w:w="4040" w:type="dxa"/>
            <w:vAlign w:val="bottom"/>
          </w:tcPr>
          <w:p>
            <w:pPr>
              <w:jc w:val="center"/>
              <w:ind w:right="23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80" w:type="dxa"/>
            <w:vAlign w:val="bottom"/>
          </w:tcPr>
          <w:p>
            <w:pPr>
              <w:jc w:val="center"/>
              <w:ind w:left="12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40" w:type="dxa"/>
            <w:vAlign w:val="bottom"/>
          </w:tcPr>
          <w:p>
            <w:pPr>
              <w:jc w:val="center"/>
              <w:ind w:right="23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80" w:type="dxa"/>
            <w:vAlign w:val="bottom"/>
          </w:tcPr>
          <w:p>
            <w:pPr>
              <w:jc w:val="center"/>
              <w:ind w:left="12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040" w:type="dxa"/>
            <w:vAlign w:val="bottom"/>
          </w:tcPr>
          <w:p>
            <w:pPr>
              <w:jc w:val="center"/>
              <w:ind w:left="1239"/>
              <w:spacing w:after="0"/>
              <w:rPr>
                <w:sz w:val="20"/>
                <w:szCs w:val="20"/>
                <w:color w:val="auto"/>
              </w:rPr>
            </w:pPr>
            <w:r>
              <w:rPr>
                <w:rFonts w:ascii="Times New Roman" w:cs="Times New Roman" w:eastAsia="Times New Roman" w:hAnsi="Times New Roman"/>
                <w:sz w:val="18"/>
                <w:szCs w:val="18"/>
                <w:b w:val="1"/>
                <w:bCs w:val="1"/>
                <w:color w:val="auto"/>
              </w:rPr>
              <w:t>4275 EXECUTIVE SQUARE,</w:t>
            </w:r>
          </w:p>
        </w:tc>
        <w:tc>
          <w:tcPr>
            <w:tcW w:w="2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54"/>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9"/>
              </w:rPr>
              <w:t>SUITE 300, LA JOLLA, CA</w:t>
            </w:r>
          </w:p>
        </w:tc>
        <w:tc>
          <w:tcPr>
            <w:tcW w:w="2380" w:type="dxa"/>
            <w:vAlign w:val="bottom"/>
          </w:tcPr>
          <w:p>
            <w:pPr>
              <w:spacing w:after="0"/>
              <w:rPr>
                <w:sz w:val="22"/>
                <w:szCs w:val="22"/>
                <w:color w:val="auto"/>
              </w:rPr>
            </w:pPr>
          </w:p>
        </w:tc>
        <w:tc>
          <w:tcPr>
            <w:tcW w:w="24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92037</w:t>
            </w:r>
          </w:p>
        </w:tc>
      </w:tr>
      <w:tr>
        <w:trPr>
          <w:trHeight w:val="190"/>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80" w:type="dxa"/>
            <w:vAlign w:val="bottom"/>
          </w:tcPr>
          <w:p>
            <w:pPr>
              <w:spacing w:after="0"/>
              <w:rPr>
                <w:sz w:val="16"/>
                <w:szCs w:val="16"/>
                <w:color w:val="auto"/>
              </w:rPr>
            </w:pPr>
          </w:p>
        </w:tc>
        <w:tc>
          <w:tcPr>
            <w:tcW w:w="2480" w:type="dxa"/>
            <w:vAlign w:val="bottom"/>
          </w:tcPr>
          <w:p>
            <w:pPr>
              <w:jc w:val="center"/>
              <w:ind w:left="13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00" w:lineRule="exact"/>
        <w:rPr>
          <w:sz w:val="24"/>
          <w:szCs w:val="24"/>
          <w:color w:val="auto"/>
        </w:rPr>
      </w:pPr>
    </w:p>
    <w:p>
      <w:pPr>
        <w:spacing w:after="0" w:line="274"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373-1500</w:t>
      </w:r>
    </w:p>
    <w:p>
      <w:pPr>
        <w:spacing w:after="0" w:line="239"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9" w:lineRule="exact"/>
        <w:rPr>
          <w:sz w:val="24"/>
          <w:szCs w:val="24"/>
          <w:color w:val="auto"/>
        </w:rPr>
      </w:pPr>
    </w:p>
    <w:p>
      <w:pPr>
        <w:ind w:left="680"/>
        <w:spacing w:after="0"/>
        <w:tabs>
          <w:tab w:leader="none" w:pos="5380" w:val="left"/>
          <w:tab w:leader="none" w:pos="8520" w:val="left"/>
        </w:tabs>
        <w:rPr>
          <w:sz w:val="20"/>
          <w:szCs w:val="20"/>
          <w:color w:val="auto"/>
        </w:rPr>
      </w:pPr>
      <w:r>
        <w:rPr>
          <w:rFonts w:ascii="Times New Roman" w:cs="Times New Roman" w:eastAsia="Times New Roman" w:hAnsi="Times New Roman"/>
          <w:sz w:val="14"/>
          <w:szCs w:val="14"/>
          <w:b w:val="1"/>
          <w:bCs w:val="1"/>
          <w:color w:val="auto"/>
        </w:rPr>
        <w:t>Common Stock, $0.001 par value</w:t>
      </w:r>
      <w:r>
        <w:rPr>
          <w:sz w:val="20"/>
          <w:szCs w:val="20"/>
          <w:color w:val="auto"/>
        </w:rPr>
        <w:tab/>
      </w:r>
      <w:r>
        <w:rPr>
          <w:rFonts w:ascii="Times New Roman" w:cs="Times New Roman" w:eastAsia="Times New Roman" w:hAnsi="Times New Roman"/>
          <w:sz w:val="14"/>
          <w:szCs w:val="14"/>
          <w:b w:val="1"/>
          <w:bCs w:val="1"/>
          <w:color w:val="auto"/>
        </w:rPr>
        <w:t>MNOV</w:t>
      </w:r>
      <w:r>
        <w:rPr>
          <w:sz w:val="20"/>
          <w:szCs w:val="20"/>
          <w:color w:val="auto"/>
        </w:rPr>
        <w:tab/>
      </w:r>
      <w:r>
        <w:rPr>
          <w:rFonts w:ascii="Times New Roman" w:cs="Times New Roman" w:eastAsia="Times New Roman" w:hAnsi="Times New Roman"/>
          <w:sz w:val="14"/>
          <w:szCs w:val="14"/>
          <w:b w:val="1"/>
          <w:bCs w:val="1"/>
          <w:color w:val="auto"/>
        </w:rPr>
        <w:t>The 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621030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320" w:top="1145" w:right="1019" w:bottom="1440" w:gutter="0" w:footer="0" w:header="0"/>
        </w:sectPr>
      </w:pPr>
    </w:p>
    <w:bookmarkStart w:id="1" w:name="page2"/>
    <w:bookmarkEnd w:id="1"/>
    <w:p>
      <w:pPr>
        <w:ind w:left="980"/>
        <w:spacing w:after="0"/>
        <w:tabs>
          <w:tab w:leader="none" w:pos="4900" w:val="left"/>
          <w:tab w:leader="none" w:pos="7840" w:val="left"/>
        </w:tabs>
        <w:rPr>
          <w:sz w:val="20"/>
          <w:szCs w:val="20"/>
          <w:color w:val="auto"/>
        </w:rPr>
      </w:pPr>
      <w:r>
        <w:rPr>
          <w:rFonts w:ascii="Times New Roman" w:cs="Times New Roman" w:eastAsia="Times New Roman" w:hAnsi="Times New Roman"/>
          <w:sz w:val="18"/>
          <w:szCs w:val="18"/>
          <w:color w:val="auto"/>
        </w:rPr>
        <w:t>(Title of each class)</w:t>
      </w:r>
      <w:r>
        <w:rPr>
          <w:sz w:val="20"/>
          <w:szCs w:val="20"/>
          <w:color w:val="auto"/>
        </w:rPr>
        <w:tab/>
      </w:r>
      <w:r>
        <w:rPr>
          <w:rFonts w:ascii="Times New Roman" w:cs="Times New Roman" w:eastAsia="Times New Roman" w:hAnsi="Times New Roman"/>
          <w:sz w:val="18"/>
          <w:szCs w:val="18"/>
          <w:color w:val="auto"/>
        </w:rPr>
        <w:t>(Trading symbol(s))</w:t>
      </w:r>
      <w:r>
        <w:rPr>
          <w:sz w:val="20"/>
          <w:szCs w:val="20"/>
          <w:color w:val="auto"/>
        </w:rPr>
        <w:tab/>
      </w:r>
      <w:r>
        <w:rPr>
          <w:rFonts w:ascii="Times New Roman" w:cs="Times New Roman" w:eastAsia="Times New Roman" w:hAnsi="Times New Roman"/>
          <w:sz w:val="17"/>
          <w:szCs w:val="17"/>
          <w:color w:val="auto"/>
        </w:rPr>
        <w:t>(Name of each exchange on which registered)</w:t>
      </w:r>
    </w:p>
    <w:p>
      <w:pPr>
        <w:spacing w:after="0" w:line="200" w:lineRule="exact"/>
        <w:rPr>
          <w:sz w:val="20"/>
          <w:szCs w:val="20"/>
          <w:color w:val="auto"/>
        </w:rPr>
      </w:pPr>
    </w:p>
    <w:p>
      <w:pPr>
        <w:spacing w:after="0" w:line="241"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3240"/>
        <w:spacing w:after="0" w:line="207" w:lineRule="exact"/>
        <w:tabs>
          <w:tab w:leader="none" w:pos="63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6" w:lineRule="exact"/>
        <w:rPr>
          <w:sz w:val="20"/>
          <w:szCs w:val="20"/>
          <w:color w:val="auto"/>
        </w:rPr>
      </w:pPr>
    </w:p>
    <w:p>
      <w:pPr>
        <w:ind w:right="14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35" w:lineRule="exact"/>
        <w:rPr>
          <w:sz w:val="20"/>
          <w:szCs w:val="20"/>
          <w:color w:val="auto"/>
        </w:rPr>
      </w:pPr>
    </w:p>
    <w:p>
      <w:pPr>
        <w:ind w:right="180" w:firstLine="481"/>
        <w:spacing w:after="0" w:line="266" w:lineRule="auto"/>
        <w:rPr>
          <w:sz w:val="20"/>
          <w:szCs w:val="20"/>
          <w:color w:val="auto"/>
        </w:rPr>
      </w:pPr>
      <w:r>
        <w:rPr>
          <w:rFonts w:ascii="Times New Roman" w:cs="Times New Roman" w:eastAsia="Times New Roman" w:hAnsi="Times New Roman"/>
          <w:sz w:val="18"/>
          <w:szCs w:val="18"/>
          <w:color w:val="auto"/>
        </w:rPr>
        <w:t>MediciNova, Inc. (the “Company”) held its 2026 annual meeting of stockholders on June 23, 2026 (the “Annual Meeting”). The Company filed its definitive proxy statement for the proposals voted upon at the Annual Meeting with the Securities and Exchange Commission on April 29, 2026 (the “Proxy Statement”).</w:t>
      </w:r>
    </w:p>
    <w:p>
      <w:pPr>
        <w:spacing w:after="0" w:line="81" w:lineRule="exact"/>
        <w:rPr>
          <w:sz w:val="20"/>
          <w:szCs w:val="20"/>
          <w:color w:val="auto"/>
        </w:rPr>
      </w:pPr>
    </w:p>
    <w:p>
      <w:pPr>
        <w:ind w:right="80" w:firstLine="481"/>
        <w:spacing w:after="0" w:line="266" w:lineRule="auto"/>
        <w:rPr>
          <w:sz w:val="20"/>
          <w:szCs w:val="20"/>
          <w:color w:val="auto"/>
        </w:rPr>
      </w:pPr>
      <w:r>
        <w:rPr>
          <w:rFonts w:ascii="Times New Roman" w:cs="Times New Roman" w:eastAsia="Times New Roman" w:hAnsi="Times New Roman"/>
          <w:sz w:val="18"/>
          <w:szCs w:val="18"/>
          <w:color w:val="auto"/>
        </w:rPr>
        <w:t>At the close of business on April 24, 2026, the record date of the Annual Meeting, the Company had 49,221,246 shares of common stock issued and outstanding. The holders of a total of 29,774,819 shares of common stock were present at the Annual Meeting, either in person or by proxy, which total constituted a quorum of the issued and outstanding shares on the record date of the Annual Meeting.</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Set forth below are the results of the matters submitted for a vote of stockholders at the Annual Meeting</w:t>
      </w:r>
    </w:p>
    <w:p>
      <w:pPr>
        <w:spacing w:after="0" w:line="131" w:lineRule="exact"/>
        <w:rPr>
          <w:sz w:val="20"/>
          <w:szCs w:val="20"/>
          <w:color w:val="auto"/>
        </w:rPr>
      </w:pPr>
    </w:p>
    <w:p>
      <w:pPr>
        <w:ind w:left="920" w:right="60" w:hanging="453"/>
        <w:spacing w:after="0" w:line="266"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Class I Directors nominee named below to serve until the 2029 Annual Meeting of stockholders and until his or her successor has been duly elected and qualified, or, if sooner, until his or her earlier death, resignation or removal. The named nominee was so elected, with the votes thereon at the Annual Meeting as follows: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Final Voting Results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0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Nominees</w:t>
            </w:r>
          </w:p>
        </w:tc>
        <w:tc>
          <w:tcPr>
            <w:tcW w:w="196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For</w:t>
            </w:r>
          </w:p>
        </w:tc>
        <w:tc>
          <w:tcPr>
            <w:tcW w:w="218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0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800" w:type="dxa"/>
            <w:vAlign w:val="bottom"/>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Broker Non-Vote</w:t>
            </w:r>
          </w:p>
        </w:tc>
      </w:tr>
      <w:tr>
        <w:trPr>
          <w:trHeight w:val="216"/>
        </w:trPr>
        <w:tc>
          <w:tcPr>
            <w:tcW w:w="2000" w:type="dxa"/>
            <w:vAlign w:val="bottom"/>
            <w:shd w:val="clear" w:color="auto" w:fill="CCEEFF"/>
          </w:tcPr>
          <w:p>
            <w:pPr>
              <w:jc w:val="center"/>
              <w:ind w:right="116"/>
              <w:spacing w:after="0"/>
              <w:rPr>
                <w:sz w:val="20"/>
                <w:szCs w:val="20"/>
                <w:color w:val="auto"/>
              </w:rPr>
            </w:pPr>
            <w:r>
              <w:rPr>
                <w:rFonts w:ascii="Times New Roman" w:cs="Times New Roman" w:eastAsia="Times New Roman" w:hAnsi="Times New Roman"/>
                <w:sz w:val="18"/>
                <w:szCs w:val="18"/>
                <w:color w:val="auto"/>
                <w:w w:val="99"/>
              </w:rPr>
              <w:t>Hikedi Nagao</w:t>
            </w:r>
          </w:p>
        </w:tc>
        <w:tc>
          <w:tcPr>
            <w:tcW w:w="1960" w:type="dxa"/>
            <w:vAlign w:val="bottom"/>
            <w:shd w:val="clear" w:color="auto" w:fill="CCEEFF"/>
          </w:tcPr>
          <w:p>
            <w:pPr>
              <w:jc w:val="center"/>
              <w:ind w:right="96"/>
              <w:spacing w:after="0"/>
              <w:rPr>
                <w:sz w:val="20"/>
                <w:szCs w:val="20"/>
                <w:color w:val="auto"/>
              </w:rPr>
            </w:pPr>
            <w:r>
              <w:rPr>
                <w:rFonts w:ascii="Times New Roman" w:cs="Times New Roman" w:eastAsia="Times New Roman" w:hAnsi="Times New Roman"/>
                <w:sz w:val="18"/>
                <w:szCs w:val="18"/>
                <w:color w:val="auto"/>
              </w:rPr>
              <w:t>20,910,659</w:t>
            </w:r>
          </w:p>
        </w:tc>
        <w:tc>
          <w:tcPr>
            <w:tcW w:w="218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8"/>
                <w:szCs w:val="18"/>
                <w:color w:val="auto"/>
                <w:w w:val="99"/>
              </w:rPr>
              <w:t>4,569,243</w:t>
            </w:r>
          </w:p>
        </w:tc>
        <w:tc>
          <w:tcPr>
            <w:tcW w:w="2300" w:type="dxa"/>
            <w:vAlign w:val="bottom"/>
            <w:shd w:val="clear" w:color="auto" w:fill="CCEEFF"/>
          </w:tcPr>
          <w:p>
            <w:pPr>
              <w:jc w:val="center"/>
              <w:ind w:right="36"/>
              <w:spacing w:after="0"/>
              <w:rPr>
                <w:sz w:val="20"/>
                <w:szCs w:val="20"/>
                <w:color w:val="auto"/>
              </w:rPr>
            </w:pPr>
            <w:r>
              <w:rPr>
                <w:rFonts w:ascii="Times New Roman" w:cs="Times New Roman" w:eastAsia="Times New Roman" w:hAnsi="Times New Roman"/>
                <w:sz w:val="18"/>
                <w:szCs w:val="18"/>
                <w:color w:val="auto"/>
                <w:w w:val="99"/>
              </w:rPr>
              <w:t>787,267</w:t>
            </w:r>
          </w:p>
        </w:tc>
        <w:tc>
          <w:tcPr>
            <w:tcW w:w="280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w w:val="99"/>
              </w:rPr>
              <w:t>3,507,650</w:t>
            </w:r>
          </w:p>
        </w:tc>
      </w:tr>
      <w:tr>
        <w:trPr>
          <w:trHeight w:val="234"/>
        </w:trPr>
        <w:tc>
          <w:tcPr>
            <w:tcW w:w="2000" w:type="dxa"/>
            <w:vAlign w:val="bottom"/>
          </w:tcPr>
          <w:p>
            <w:pPr>
              <w:jc w:val="center"/>
              <w:ind w:right="116"/>
              <w:spacing w:after="0"/>
              <w:rPr>
                <w:sz w:val="20"/>
                <w:szCs w:val="20"/>
                <w:color w:val="auto"/>
              </w:rPr>
            </w:pPr>
            <w:r>
              <w:rPr>
                <w:rFonts w:ascii="Times New Roman" w:cs="Times New Roman" w:eastAsia="Times New Roman" w:hAnsi="Times New Roman"/>
                <w:sz w:val="18"/>
                <w:szCs w:val="18"/>
                <w:color w:val="auto"/>
              </w:rPr>
              <w:t>Nicole Lemerond</w:t>
            </w:r>
          </w:p>
        </w:tc>
        <w:tc>
          <w:tcPr>
            <w:tcW w:w="1960" w:type="dxa"/>
            <w:vAlign w:val="bottom"/>
          </w:tcPr>
          <w:p>
            <w:pPr>
              <w:jc w:val="center"/>
              <w:ind w:right="96"/>
              <w:spacing w:after="0"/>
              <w:rPr>
                <w:sz w:val="20"/>
                <w:szCs w:val="20"/>
                <w:color w:val="auto"/>
              </w:rPr>
            </w:pPr>
            <w:r>
              <w:rPr>
                <w:rFonts w:ascii="Times New Roman" w:cs="Times New Roman" w:eastAsia="Times New Roman" w:hAnsi="Times New Roman"/>
                <w:sz w:val="18"/>
                <w:szCs w:val="18"/>
                <w:color w:val="auto"/>
              </w:rPr>
              <w:t>21,513,456</w:t>
            </w:r>
          </w:p>
        </w:tc>
        <w:tc>
          <w:tcPr>
            <w:tcW w:w="2180" w:type="dxa"/>
            <w:vAlign w:val="bottom"/>
          </w:tcPr>
          <w:p>
            <w:pPr>
              <w:jc w:val="center"/>
              <w:ind w:right="16"/>
              <w:spacing w:after="0"/>
              <w:rPr>
                <w:sz w:val="20"/>
                <w:szCs w:val="20"/>
                <w:color w:val="auto"/>
              </w:rPr>
            </w:pPr>
            <w:r>
              <w:rPr>
                <w:rFonts w:ascii="Times New Roman" w:cs="Times New Roman" w:eastAsia="Times New Roman" w:hAnsi="Times New Roman"/>
                <w:sz w:val="18"/>
                <w:szCs w:val="18"/>
                <w:color w:val="auto"/>
                <w:w w:val="99"/>
              </w:rPr>
              <w:t>3,997,348</w:t>
            </w:r>
          </w:p>
        </w:tc>
        <w:tc>
          <w:tcPr>
            <w:tcW w:w="2300" w:type="dxa"/>
            <w:vAlign w:val="bottom"/>
          </w:tcPr>
          <w:p>
            <w:pPr>
              <w:jc w:val="center"/>
              <w:ind w:right="36"/>
              <w:spacing w:after="0"/>
              <w:rPr>
                <w:sz w:val="20"/>
                <w:szCs w:val="20"/>
                <w:color w:val="auto"/>
              </w:rPr>
            </w:pPr>
            <w:r>
              <w:rPr>
                <w:rFonts w:ascii="Times New Roman" w:cs="Times New Roman" w:eastAsia="Times New Roman" w:hAnsi="Times New Roman"/>
                <w:sz w:val="18"/>
                <w:szCs w:val="18"/>
                <w:color w:val="auto"/>
                <w:w w:val="99"/>
              </w:rPr>
              <w:t>756,365</w:t>
            </w:r>
          </w:p>
        </w:tc>
        <w:tc>
          <w:tcPr>
            <w:tcW w:w="2800" w:type="dxa"/>
            <w:vAlign w:val="bottom"/>
          </w:tcPr>
          <w:p>
            <w:pPr>
              <w:jc w:val="center"/>
              <w:ind w:left="36"/>
              <w:spacing w:after="0"/>
              <w:rPr>
                <w:sz w:val="20"/>
                <w:szCs w:val="20"/>
                <w:color w:val="auto"/>
              </w:rPr>
            </w:pPr>
            <w:r>
              <w:rPr>
                <w:rFonts w:ascii="Times New Roman" w:cs="Times New Roman" w:eastAsia="Times New Roman" w:hAnsi="Times New Roman"/>
                <w:sz w:val="18"/>
                <w:szCs w:val="18"/>
                <w:color w:val="auto"/>
                <w:w w:val="99"/>
              </w:rPr>
              <w:t>3,507,650</w:t>
            </w:r>
          </w:p>
        </w:tc>
      </w:tr>
    </w:tbl>
    <w:p>
      <w:pPr>
        <w:spacing w:after="0" w:line="85" w:lineRule="exact"/>
        <w:rPr>
          <w:sz w:val="20"/>
          <w:szCs w:val="20"/>
          <w:color w:val="auto"/>
        </w:rPr>
      </w:pPr>
    </w:p>
    <w:p>
      <w:pPr>
        <w:ind w:left="920" w:right="440" w:hanging="453"/>
        <w:spacing w:after="0" w:line="282" w:lineRule="auto"/>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BDO USA, P.C. as the independent registered public accounting firm of the Company for the fiscal year ending December 31, 2026. This proposal was approved, with the votes thereon at the Annual Meeting as follows: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Final Voting Results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860" w:type="dxa"/>
            <w:vAlign w:val="bottom"/>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Broker Non-Vote</w:t>
            </w:r>
          </w:p>
        </w:tc>
      </w:tr>
      <w:tr>
        <w:trPr>
          <w:trHeight w:val="216"/>
        </w:trPr>
        <w:tc>
          <w:tcPr>
            <w:tcW w:w="280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26,697,794</w:t>
            </w:r>
          </w:p>
        </w:tc>
        <w:tc>
          <w:tcPr>
            <w:tcW w:w="282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1,911,245</w:t>
            </w:r>
          </w:p>
        </w:tc>
        <w:tc>
          <w:tcPr>
            <w:tcW w:w="276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1,165,780</w:t>
            </w:r>
          </w:p>
        </w:tc>
        <w:tc>
          <w:tcPr>
            <w:tcW w:w="286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8"/>
                <w:szCs w:val="18"/>
                <w:color w:val="auto"/>
              </w:rPr>
              <w:t>-</w:t>
            </w:r>
          </w:p>
        </w:tc>
      </w:tr>
    </w:tbl>
    <w:p>
      <w:pPr>
        <w:spacing w:after="0" w:line="279" w:lineRule="exact"/>
        <w:rPr>
          <w:sz w:val="20"/>
          <w:szCs w:val="20"/>
          <w:color w:val="auto"/>
        </w:rPr>
      </w:pPr>
    </w:p>
    <w:p>
      <w:pPr>
        <w:ind w:left="920" w:right="20" w:hanging="453"/>
        <w:spacing w:after="0" w:line="261" w:lineRule="auto"/>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Restated Certificate of Incorporation to increase the number of shares of common stock that the Company is authorized to issue from 100,000,000 to 247,000,000. This proposal was not approved as the Company did not receive “For” votes from the holders of a majority of the Company’s outstanding shares of Common Stock, with the votes thereon at the Annual Meeting as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Final Voting Results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860" w:type="dxa"/>
            <w:vAlign w:val="bottom"/>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Broker Non-Vote</w:t>
            </w:r>
          </w:p>
        </w:tc>
      </w:tr>
      <w:tr>
        <w:trPr>
          <w:trHeight w:val="216"/>
        </w:trPr>
        <w:tc>
          <w:tcPr>
            <w:tcW w:w="280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22,156,922</w:t>
            </w:r>
          </w:p>
        </w:tc>
        <w:tc>
          <w:tcPr>
            <w:tcW w:w="282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6,432,457</w:t>
            </w:r>
          </w:p>
        </w:tc>
        <w:tc>
          <w:tcPr>
            <w:tcW w:w="276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1,185,440</w:t>
            </w:r>
          </w:p>
        </w:tc>
        <w:tc>
          <w:tcPr>
            <w:tcW w:w="286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8"/>
                <w:szCs w:val="18"/>
                <w:color w:val="auto"/>
              </w:rPr>
              <w:t>-</w:t>
            </w:r>
          </w:p>
        </w:tc>
      </w:tr>
    </w:tbl>
    <w:p>
      <w:pPr>
        <w:spacing w:after="0" w:line="130" w:lineRule="exact"/>
        <w:rPr>
          <w:sz w:val="20"/>
          <w:szCs w:val="20"/>
          <w:color w:val="auto"/>
        </w:rPr>
      </w:pPr>
    </w:p>
    <w:p>
      <w:pPr>
        <w:jc w:val="both"/>
        <w:ind w:left="920" w:right="140" w:hanging="453"/>
        <w:spacing w:after="0" w:line="266" w:lineRule="auto"/>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Annual Meeting to a later date or dates, if necessary or appropriate, to permit further solicitation and vote of proxies in the event that there are insufficient votes for, or otherwise, in connection with, one or more of the other proposals to be voted on in the Annual Meeting. This proposal was approved, with the votes thereon at the Annual Meeting as follows: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Final Voting Results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860" w:type="dxa"/>
            <w:vAlign w:val="bottom"/>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Broker Non-Vote</w:t>
            </w:r>
          </w:p>
        </w:tc>
      </w:tr>
      <w:tr>
        <w:trPr>
          <w:trHeight w:val="216"/>
        </w:trPr>
        <w:tc>
          <w:tcPr>
            <w:tcW w:w="280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22,656,038</w:t>
            </w:r>
          </w:p>
        </w:tc>
        <w:tc>
          <w:tcPr>
            <w:tcW w:w="282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5,805,893</w:t>
            </w:r>
          </w:p>
        </w:tc>
        <w:tc>
          <w:tcPr>
            <w:tcW w:w="276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1,312,888</w:t>
            </w:r>
          </w:p>
        </w:tc>
        <w:tc>
          <w:tcPr>
            <w:tcW w:w="286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8"/>
                <w:szCs w:val="18"/>
                <w:color w:val="auto"/>
              </w:rPr>
              <w:t>-</w:t>
            </w:r>
          </w:p>
        </w:tc>
      </w:tr>
      <w:tr>
        <w:trPr>
          <w:trHeight w:val="1195"/>
        </w:trPr>
        <w:tc>
          <w:tcPr>
            <w:tcW w:w="28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48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189" w:lineRule="exact"/>
        <w:rPr>
          <w:sz w:val="20"/>
          <w:szCs w:val="20"/>
          <w:color w:val="auto"/>
        </w:rPr>
      </w:pPr>
    </w:p>
    <w:p>
      <w:pPr>
        <w:ind w:left="520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2143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Yuichi Iwaki</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238" w:right="81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2026-06-24T16:34:54Z</dcterms:created>
  <dcterms:modified xsi:type="dcterms:W3CDTF">2026-06-24T16:34:54Z</dcterms:modified>
</cp:coreProperties>
</file>