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nov-20230630.htm"/>
      <w:bookmarkStart w:id="1" w:name="ksmnov20230630"/>
      <w:bookmarkEnd w:id="0"/>
      <w:bookmarkEnd w:id="1"/>
      <w:r>
        <w:rPr/>
        <w:t> </w:t>
      </w:r>
    </w:p>
    <w:p>
      <w:pPr>
        <w:pStyle w:val="TextBody"/>
        <w:pBdr>
          <w:bottom w:val="double" w:sz="6" w:space="1" w:color="000000"/>
        </w:pBdr>
        <w:bidi w:val="0"/>
        <w:spacing w:before="0" w:after="0"/>
        <w:jc w:val="left"/>
        <w:rPr/>
      </w:pPr>
      <w:r>
        <w:rPr/>
        <w:t> </w:t>
      </w:r>
    </w:p>
    <w:p>
      <w:pPr>
        <w:pStyle w:val="TextBody"/>
        <w:bidi w:val="0"/>
        <w:spacing w:before="80" w:after="0"/>
        <w:jc w:val="center"/>
        <w:rPr>
          <w:rFonts w:ascii="Times New Roman;serif" w:hAnsi="Times New Roman;serif"/>
          <w:b/>
          <w:sz w:val="32"/>
        </w:rPr>
      </w:pPr>
      <w:r>
        <w:rPr>
          <w:rFonts w:ascii="Times New Roman;serif" w:hAnsi="Times New Roman;serif"/>
          <w:b/>
          <w:sz w:val="32"/>
        </w:rPr>
        <w:t>UNITED STATES</w:t>
      </w:r>
    </w:p>
    <w:p>
      <w:pPr>
        <w:pStyle w:val="TextBody"/>
        <w:bidi w:val="0"/>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32"/>
        </w:rPr>
      </w:pPr>
      <w:r>
        <w:rPr>
          <w:rFonts w:ascii="Times New Roman;serif" w:hAnsi="Times New Roman;serif"/>
          <w:b/>
          <w:sz w:val="32"/>
        </w:rPr>
        <w:t>FORM 10-Q</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serif" w:hAnsi="Times New Roman;serif"/>
          <w:b/>
          <w:sz w:val="20"/>
        </w:rPr>
      </w:pPr>
      <w:r>
        <w:rPr>
          <w:rFonts w:ascii="Times New Roman;serif" w:hAnsi="Times New Roman;serif"/>
          <w:b/>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80" w:after="0"/>
        <w:jc w:val="center"/>
        <w:rPr>
          <w:rFonts w:ascii="Times New Roman;serif" w:hAnsi="Times New Roman;serif"/>
          <w:b/>
          <w:sz w:val="18"/>
        </w:rPr>
      </w:pPr>
      <w:r>
        <w:rPr>
          <w:rFonts w:ascii="Times New Roman;serif" w:hAnsi="Times New Roman;serif"/>
          <w:b/>
          <w:sz w:val="18"/>
        </w:rPr>
        <w:t>FOR THE QUARTERLY PERIOD ENDED June 30, 2023</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8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80" w:after="0"/>
        <w:jc w:val="center"/>
        <w:rPr>
          <w:rFonts w:ascii="Times New Roman" w:hAnsi="Times New Roman"/>
          <w:sz w:val="20"/>
        </w:rPr>
      </w:pPr>
      <w:r>
        <w:rPr>
          <w:rFonts w:ascii="Times New Roman;serif" w:hAnsi="Times New Roman;serif"/>
          <w:b/>
          <w:sz w:val="18"/>
        </w:rPr>
        <w:t>FOR THE TRANSITION PERIOD FROM TO</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001-33185</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40"/>
        </w:rPr>
      </w:pPr>
      <w:r>
        <w:rPr>
          <w:rFonts w:ascii="Times New Roman;serif" w:hAnsi="Times New Roman;serif"/>
          <w:b/>
          <w:sz w:val="40"/>
        </w:rPr>
        <w:t>MEDICINOVA,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648" w:type="dxa"/>
        <w:jc w:val="left"/>
        <w:tblInd w:w="0" w:type="dxa"/>
        <w:tblLayout w:type="fixed"/>
        <w:tblCellMar>
          <w:top w:w="28" w:type="dxa"/>
          <w:left w:w="28" w:type="dxa"/>
          <w:bottom w:w="28" w:type="dxa"/>
          <w:right w:w="28" w:type="dxa"/>
        </w:tblCellMar>
      </w:tblPr>
      <w:tblGrid>
        <w:gridCol w:w="3016"/>
        <w:gridCol w:w="14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33-0927979</w:t>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30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left"/>
              <w:rPr/>
            </w:pPr>
            <w:r>
              <w:rPr/>
              <w:t> </w:t>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4275 Executive Square, Suite 300</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La Jolla, CA</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92037</w:t>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18"/>
        </w:rPr>
      </w:pPr>
      <w:r>
        <w:rPr>
          <w:rFonts w:ascii="Times New Roman;serif" w:hAnsi="Times New Roman;serif"/>
          <w:b/>
          <w:sz w:val="18"/>
        </w:rPr>
        <w:t>(858) 373-1500</w:t>
      </w:r>
    </w:p>
    <w:p>
      <w:pPr>
        <w:pStyle w:val="TextBody"/>
        <w:bidi w:val="0"/>
        <w:spacing w:before="0" w:after="0"/>
        <w:jc w:val="center"/>
        <w:rPr>
          <w:rFonts w:ascii="Times New Roman;serif" w:hAnsi="Times New Roman;serif"/>
          <w:b/>
          <w:sz w:val="18"/>
        </w:rPr>
      </w:pPr>
      <w:r>
        <w:rPr>
          <w:rFonts w:ascii="Times New Roman;serif" w:hAnsi="Times New Roman;serif"/>
          <w:b/>
          <w:sz w:val="18"/>
        </w:rPr>
        <w:t>(Registrant’s Telephone Number, Including Area Code)</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p>
      <w:pPr>
        <w:pStyle w:val="TextBody"/>
        <w:bidi w:val="0"/>
        <w:spacing w:before="0" w:after="0"/>
        <w:jc w:val="center"/>
        <w:rPr/>
      </w:pPr>
      <w:r>
        <w:rPr/>
        <w:t> </w:t>
      </w:r>
    </w:p>
    <w:tbl>
      <w:tblPr>
        <w:tblW w:w="8380" w:type="dxa"/>
        <w:jc w:val="left"/>
        <w:tblInd w:w="0" w:type="dxa"/>
        <w:tblLayout w:type="fixed"/>
        <w:tblCellMar>
          <w:top w:w="28" w:type="dxa"/>
          <w:left w:w="28" w:type="dxa"/>
          <w:bottom w:w="28" w:type="dxa"/>
          <w:right w:w="28" w:type="dxa"/>
        </w:tblCellMar>
      </w:tblPr>
      <w:tblGrid>
        <w:gridCol w:w="2551"/>
        <w:gridCol w:w="146"/>
        <w:gridCol w:w="1711"/>
        <w:gridCol w:w="146"/>
        <w:gridCol w:w="3826"/>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 $0.001 par value</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MNOV</w:t>
            </w:r>
          </w:p>
        </w:tc>
        <w:tc>
          <w:tcPr>
            <w:tcW w:w="14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The Nasdaq Stock Market LLC</w:t>
            </w:r>
          </w:p>
        </w:tc>
      </w:tr>
      <w:tr>
        <w:trPr/>
        <w:tc>
          <w:tcPr>
            <w:tcW w:w="25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(Title of each class)</w:t>
            </w:r>
          </w:p>
        </w:tc>
        <w:tc>
          <w:tcPr>
            <w:tcW w:w="146" w:type="dxa"/>
            <w:tcBorders/>
            <w:vAlign w:val="center"/>
          </w:tcPr>
          <w:p>
            <w:pPr>
              <w:pStyle w:val="TableContents"/>
              <w:bidi w:val="0"/>
              <w:spacing w:before="0" w:after="0"/>
              <w:ind w:left="0" w:right="0" w:hanging="0"/>
              <w:jc w:val="left"/>
              <w:rPr/>
            </w:pPr>
            <w:r>
              <w:rPr/>
              <w:t> </w:t>
            </w:r>
          </w:p>
        </w:tc>
        <w:tc>
          <w:tcPr>
            <w:tcW w:w="17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(Trading symbol(s))</w:t>
            </w:r>
          </w:p>
        </w:tc>
        <w:tc>
          <w:tcPr>
            <w:tcW w:w="146" w:type="dxa"/>
            <w:tcBorders/>
            <w:vAlign w:val="center"/>
          </w:tcPr>
          <w:p>
            <w:pPr>
              <w:pStyle w:val="TableContents"/>
              <w:bidi w:val="0"/>
              <w:spacing w:before="0" w:after="0"/>
              <w:ind w:left="0" w:right="0" w:hanging="0"/>
              <w:jc w:val="left"/>
              <w:rPr/>
            </w:pPr>
            <w:r>
              <w:rPr/>
              <w:t> </w:t>
            </w:r>
          </w:p>
        </w:tc>
        <w:tc>
          <w:tcPr>
            <w:tcW w:w="3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(Name of each exchange on which registered)</w:t>
            </w:r>
          </w:p>
        </w:tc>
      </w:tr>
    </w:tbl>
    <w:p>
      <w:pPr>
        <w:pStyle w:val="TextBody"/>
        <w:pBdr>
          <w:bottom w:val="single" w:sz="4" w:space="1" w:color="000000"/>
        </w:pBdr>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bidi w:val="0"/>
        <w:spacing w:before="8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pStyle w:val="TextBody"/>
        <w:bidi w:val="0"/>
        <w:spacing w:before="0" w:after="0"/>
        <w:jc w:val="left"/>
        <w:rPr/>
      </w:pPr>
      <w:r>
        <w:rPr/>
        <w:t> </w:t>
      </w:r>
    </w:p>
    <w:tbl>
      <w:tblPr>
        <w:tblW w:w="4414" w:type="dxa"/>
        <w:jc w:val="left"/>
        <w:tblInd w:w="0" w:type="dxa"/>
        <w:tblLayout w:type="fixed"/>
        <w:tblCellMar>
          <w:top w:w="28" w:type="dxa"/>
          <w:left w:w="28" w:type="dxa"/>
          <w:bottom w:w="28" w:type="dxa"/>
          <w:right w:w="28" w:type="dxa"/>
        </w:tblCellMar>
      </w:tblPr>
      <w:tblGrid>
        <w:gridCol w:w="1666"/>
        <w:gridCol w:w="376"/>
        <w:gridCol w:w="201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37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376" w:type="dxa"/>
            <w:tcBorders/>
            <w:vAlign w:val="center"/>
          </w:tcPr>
          <w:p>
            <w:pPr>
              <w:pStyle w:val="TableContents"/>
              <w:bidi w:val="0"/>
              <w:spacing w:before="0" w:after="0"/>
              <w:ind w:left="0" w:right="0" w:hanging="0"/>
              <w:jc w:val="left"/>
              <w:rPr/>
            </w:pPr>
            <w:r>
              <w:rPr/>
              <w:t xml:space="preserve">☒ </w:t>
            </w:r>
          </w:p>
        </w:tc>
        <w:tc>
          <w:tcPr>
            <w:tcW w:w="20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Emerging growth company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6"/>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As of August 7, 2023, the registrant had 49,046,246</w:t>
      </w:r>
      <w:r>
        <w:rPr>
          <w:rFonts w:ascii="Times New Roman" w:hAnsi="Times New Roman"/>
          <w:sz w:val="20"/>
        </w:rPr>
        <w:t xml:space="preserve"> </w:t>
      </w:r>
      <w:r>
        <w:rPr>
          <w:rFonts w:ascii="Times New Roman;serif" w:hAnsi="Times New Roman;serif"/>
          <w:b w:val="false"/>
          <w:sz w:val="16"/>
        </w:rPr>
        <w:t>shares of Common Stock ($0.001 par value) outstanding.</w:t>
      </w:r>
      <w:r>
        <w:rPr>
          <w:rFonts w:ascii="Times New Roman" w:hAnsi="Times New Roman"/>
          <w:sz w:val="20"/>
        </w:rPr>
        <w:t xml:space="preserve"> </w:t>
      </w:r>
    </w:p>
    <w:p>
      <w:pPr>
        <w:pStyle w:val="TextBody"/>
        <w:pBdr>
          <w:bottom w:val="double" w:sz="6" w:space="1" w:color="000000"/>
        </w:pBdr>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CAUTIONARY NOTE REGARDING FORWARD-LOOKING STATEMENTS</w:t>
      </w:r>
    </w:p>
    <w:p>
      <w:pPr>
        <w:pStyle w:val="TextBody"/>
        <w:bidi w:val="0"/>
        <w:spacing w:before="240" w:after="0"/>
        <w:jc w:val="left"/>
        <w:rPr>
          <w:rFonts w:ascii="Times New Roman" w:hAnsi="Times New Roman"/>
          <w:sz w:val="20"/>
        </w:rPr>
      </w:pPr>
      <w:r>
        <w:rPr>
          <w:rFonts w:ascii="Times New Roman;serif" w:hAnsi="Times New Roman;serif"/>
          <w:b w:val="false"/>
          <w:sz w:val="20"/>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factors are among those that may cause actual results to differ materially from our forward-looking statements: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Inability to raise additional capital if needed;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Inability to generate revenues from product sales to continue business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Inability to develop and commercialize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or delay in completing clinical trials or obtaining Food and Drug Administration or foreign regulatory approval for our product candidates in a timely manner;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Unsuccessful clinical trials stemming from clinical trial designs, failure to enroll a sufficient number of patients, undesirable side effects and other safety concerns;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Inability to demonstrate sufficient efficacy of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Reliance on the success of our MN-166 (ibudilast) and MN-001 (tipelukast)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commencement or completion of clinical trials or suspension or termination of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Loss of our licensed rights to develop and commercialize a product candidate as a result of the termination of the underlying licensing agreement;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Competitors may develop products rendering our product candidates obsolete and noncompetitive;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widespread outbreak of an illness or any other communicable disease, such as COVID-19, which would lead key employees becoming ill for a period of time;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Inability to successfully attract partners and enter into collaborations on acceptable terms;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Dependence on third parties to conduct clinical trials and to manufacture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Dependence on third parties to market and distribute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 candidates, if approved, may not gain market acceptance or obtain adequate coverage for third party reimbursement;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Disputes or other developments concerning our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Actual and anticipated fluctuations in our quarterly or annual operating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Price and volume fluctuations in the overall stock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Litigation or public concern about the safety of our potential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International trade or foreign exchange restrictions, increased tariffs, foreign currency exchange;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High quality material for our products may become difficult to obtain or expensive;</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Strict government regulations on our business;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Regulations governing the production or marketing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Loss of, or inability to attract, key personnel;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Economic, political, foreign exchange and other risks associated with international operations.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24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89"/>
        <w:gridCol w:w="331"/>
        <w:gridCol w:w="8508"/>
        <w:gridCol w:w="477"/>
      </w:tblGrid>
      <w:tr>
        <w:trPr/>
        <w:tc>
          <w:tcPr>
            <w:tcW w:w="8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50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9728" w:type="dxa"/>
            <w:gridSpan w:val="3"/>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val="false"/>
                  <w:sz w:val="20"/>
                  <w:u w:val="single"/>
                </w:rPr>
                <w:t>PART I. FINANCIAL INFORMATION</w:t>
              </w:r>
            </w:hyperlink>
          </w:p>
        </w:tc>
        <w:tc>
          <w:tcPr>
            <w:tcW w:w="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1220" w:type="dxa"/>
            <w:gridSpan w:val="2"/>
            <w:tcBorders/>
            <w:vAlign w:val="center"/>
          </w:tcPr>
          <w:p>
            <w:pPr>
              <w:pStyle w:val="TableContents"/>
              <w:bidi w:val="0"/>
              <w:spacing w:before="0" w:after="283"/>
              <w:ind w:left="0" w:right="0" w:hanging="0"/>
              <w:jc w:val="left"/>
              <w:rPr>
                <w:sz w:val="4"/>
                <w:szCs w:val="4"/>
              </w:rPr>
            </w:pPr>
            <w:r>
              <w:rPr>
                <w:sz w:val="4"/>
                <w:szCs w:val="4"/>
              </w:rPr>
            </w:r>
          </w:p>
        </w:tc>
        <w:tc>
          <w:tcPr>
            <w:tcW w:w="8508"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firstLine="115"/>
              <w:jc w:val="right"/>
              <w:rPr/>
            </w:pPr>
            <w:r>
              <w:rPr/>
              <w:t> </w:t>
            </w:r>
          </w:p>
        </w:tc>
      </w:tr>
      <w:tr>
        <w:trPr/>
        <w:tc>
          <w:tcPr>
            <w:tcW w:w="889"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1.</w:t>
            </w:r>
          </w:p>
        </w:tc>
        <w:tc>
          <w:tcPr>
            <w:tcW w:w="331" w:type="dxa"/>
            <w:tcBorders/>
            <w:vAlign w:val="center"/>
          </w:tcPr>
          <w:p>
            <w:pPr>
              <w:pStyle w:val="TableContents"/>
              <w:bidi w:val="0"/>
              <w:spacing w:before="0" w:after="283"/>
              <w:ind w:left="0" w:right="0" w:firstLine="245"/>
              <w:jc w:val="left"/>
              <w:rPr>
                <w:sz w:val="4"/>
                <w:szCs w:val="4"/>
              </w:rPr>
            </w:pPr>
            <w:r>
              <w:rPr>
                <w:sz w:val="4"/>
                <w:szCs w:val="4"/>
              </w:rPr>
            </w:r>
          </w:p>
        </w:tc>
        <w:tc>
          <w:tcPr>
            <w:tcW w:w="8508" w:type="dxa"/>
            <w:tcBorders/>
            <w:vAlign w:val="center"/>
          </w:tcPr>
          <w:p>
            <w:pPr>
              <w:pStyle w:val="TableContents"/>
              <w:pBdr/>
              <w:bidi w:val="0"/>
              <w:spacing w:before="0" w:after="0"/>
              <w:ind w:left="0" w:right="0" w:hanging="245"/>
              <w:jc w:val="left"/>
              <w:rPr/>
            </w:pPr>
            <w:hyperlink w:anchor="item_1_consolidated_financial_statements">
              <w:r>
                <w:rPr>
                  <w:rStyle w:val="InternetLink"/>
                  <w:rFonts w:ascii="Times New Roman;serif" w:hAnsi="Times New Roman;serif"/>
                  <w:b w:val="false"/>
                  <w:sz w:val="20"/>
                  <w:u w:val="single"/>
                </w:rPr>
                <w:t>CONDENSED CONSOLIDATED FINANCIAL STATEMENTS (unaudited)</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5</w:t>
            </w:r>
          </w:p>
        </w:tc>
      </w:tr>
      <w:tr>
        <w:trPr/>
        <w:tc>
          <w:tcPr>
            <w:tcW w:w="889"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2.</w:t>
            </w:r>
          </w:p>
        </w:tc>
        <w:tc>
          <w:tcPr>
            <w:tcW w:w="331" w:type="dxa"/>
            <w:tcBorders/>
            <w:vAlign w:val="center"/>
          </w:tcPr>
          <w:p>
            <w:pPr>
              <w:pStyle w:val="TableContents"/>
              <w:bidi w:val="0"/>
              <w:spacing w:before="0" w:after="283"/>
              <w:ind w:left="0" w:right="0" w:firstLine="245"/>
              <w:jc w:val="left"/>
              <w:rPr>
                <w:sz w:val="4"/>
                <w:szCs w:val="4"/>
              </w:rPr>
            </w:pPr>
            <w:r>
              <w:rPr>
                <w:sz w:val="4"/>
                <w:szCs w:val="4"/>
              </w:rPr>
            </w:r>
          </w:p>
        </w:tc>
        <w:tc>
          <w:tcPr>
            <w:tcW w:w="8508" w:type="dxa"/>
            <w:tcBorders/>
            <w:vAlign w:val="center"/>
          </w:tcPr>
          <w:p>
            <w:pPr>
              <w:pStyle w:val="TableContents"/>
              <w:pBdr/>
              <w:bidi w:val="0"/>
              <w:spacing w:before="0" w:after="0"/>
              <w:ind w:left="0" w:right="0" w:hanging="245"/>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16</w:t>
            </w:r>
          </w:p>
        </w:tc>
      </w:tr>
      <w:tr>
        <w:trPr/>
        <w:tc>
          <w:tcPr>
            <w:tcW w:w="889"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3.</w:t>
            </w:r>
          </w:p>
        </w:tc>
        <w:tc>
          <w:tcPr>
            <w:tcW w:w="331" w:type="dxa"/>
            <w:tcBorders/>
            <w:vAlign w:val="center"/>
          </w:tcPr>
          <w:p>
            <w:pPr>
              <w:pStyle w:val="TableContents"/>
              <w:bidi w:val="0"/>
              <w:spacing w:before="0" w:after="283"/>
              <w:ind w:left="0" w:right="0" w:firstLine="245"/>
              <w:jc w:val="left"/>
              <w:rPr>
                <w:sz w:val="4"/>
                <w:szCs w:val="4"/>
              </w:rPr>
            </w:pPr>
            <w:r>
              <w:rPr>
                <w:sz w:val="4"/>
                <w:szCs w:val="4"/>
              </w:rPr>
            </w:r>
          </w:p>
        </w:tc>
        <w:tc>
          <w:tcPr>
            <w:tcW w:w="8508" w:type="dxa"/>
            <w:tcBorders/>
            <w:vAlign w:val="center"/>
          </w:tcPr>
          <w:p>
            <w:pPr>
              <w:pStyle w:val="TableContents"/>
              <w:pBdr/>
              <w:bidi w:val="0"/>
              <w:spacing w:before="0" w:after="0"/>
              <w:ind w:left="0" w:right="0" w:hanging="245"/>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20</w:t>
            </w:r>
          </w:p>
        </w:tc>
      </w:tr>
      <w:tr>
        <w:trPr/>
        <w:tc>
          <w:tcPr>
            <w:tcW w:w="889"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4.</w:t>
            </w:r>
          </w:p>
        </w:tc>
        <w:tc>
          <w:tcPr>
            <w:tcW w:w="331" w:type="dxa"/>
            <w:tcBorders/>
            <w:vAlign w:val="center"/>
          </w:tcPr>
          <w:p>
            <w:pPr>
              <w:pStyle w:val="TableContents"/>
              <w:bidi w:val="0"/>
              <w:spacing w:before="0" w:after="283"/>
              <w:ind w:left="0" w:right="0" w:firstLine="245"/>
              <w:jc w:val="left"/>
              <w:rPr>
                <w:sz w:val="4"/>
                <w:szCs w:val="4"/>
              </w:rPr>
            </w:pPr>
            <w:r>
              <w:rPr>
                <w:sz w:val="4"/>
                <w:szCs w:val="4"/>
              </w:rPr>
            </w:r>
          </w:p>
        </w:tc>
        <w:tc>
          <w:tcPr>
            <w:tcW w:w="8508" w:type="dxa"/>
            <w:tcBorders/>
            <w:vAlign w:val="center"/>
          </w:tcPr>
          <w:p>
            <w:pPr>
              <w:pStyle w:val="TableContents"/>
              <w:pBdr/>
              <w:bidi w:val="0"/>
              <w:spacing w:before="0" w:after="0"/>
              <w:ind w:left="0" w:right="0" w:hanging="245"/>
              <w:jc w:val="left"/>
              <w:rPr/>
            </w:pPr>
            <w:hyperlink w:anchor="item_4_controls_procedures">
              <w:r>
                <w:rPr>
                  <w:rStyle w:val="InternetLink"/>
                  <w:rFonts w:ascii="Times New Roman;serif" w:hAnsi="Times New Roman;serif"/>
                  <w:b w:val="false"/>
                  <w:sz w:val="20"/>
                  <w:u w:val="single"/>
                </w:rPr>
                <w:t>CONTROLS AND PROCEDURES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20</w:t>
            </w:r>
          </w:p>
        </w:tc>
      </w:tr>
      <w:tr>
        <w:trPr/>
        <w:tc>
          <w:tcPr>
            <w:tcW w:w="889" w:type="dxa"/>
            <w:tcBorders/>
            <w:vAlign w:val="center"/>
          </w:tcPr>
          <w:p>
            <w:pPr>
              <w:pStyle w:val="TableContents"/>
              <w:bidi w:val="0"/>
              <w:spacing w:before="0" w:after="283"/>
              <w:ind w:left="0" w:right="0" w:firstLine="115"/>
              <w:jc w:val="left"/>
              <w:rPr>
                <w:sz w:val="4"/>
                <w:szCs w:val="4"/>
              </w:rPr>
            </w:pPr>
            <w:r>
              <w:rPr>
                <w:sz w:val="4"/>
                <w:szCs w:val="4"/>
              </w:rPr>
            </w:r>
          </w:p>
        </w:tc>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508" w:type="dxa"/>
            <w:tcBorders/>
            <w:vAlign w:val="center"/>
          </w:tcPr>
          <w:p>
            <w:pPr>
              <w:pStyle w:val="TableContents"/>
              <w:bidi w:val="0"/>
              <w:spacing w:before="0" w:after="283"/>
              <w:ind w:left="0" w:right="0" w:hanging="0"/>
              <w:jc w:val="left"/>
              <w:rPr>
                <w:sz w:val="4"/>
                <w:szCs w:val="4"/>
              </w:rPr>
            </w:pPr>
            <w:r>
              <w:rPr>
                <w:sz w:val="4"/>
                <w:szCs w:val="4"/>
              </w:rPr>
            </w:r>
          </w:p>
        </w:tc>
        <w:tc>
          <w:tcPr>
            <w:tcW w:w="477" w:type="dxa"/>
            <w:tcBorders/>
            <w:vAlign w:val="center"/>
          </w:tcPr>
          <w:p>
            <w:pPr>
              <w:pStyle w:val="TableContents"/>
              <w:bidi w:val="0"/>
              <w:spacing w:before="0" w:after="0"/>
              <w:ind w:left="0" w:right="0" w:hanging="0"/>
              <w:jc w:val="right"/>
              <w:rPr/>
            </w:pPr>
            <w:r>
              <w:rPr/>
              <w:t> </w:t>
            </w:r>
          </w:p>
        </w:tc>
      </w:tr>
      <w:tr>
        <w:trPr/>
        <w:tc>
          <w:tcPr>
            <w:tcW w:w="9728" w:type="dxa"/>
            <w:gridSpan w:val="3"/>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val="false"/>
                  <w:sz w:val="20"/>
                  <w:u w:val="single"/>
                </w:rPr>
                <w:t>PART II. OTHER INFORMATION</w:t>
              </w:r>
            </w:hyperlink>
          </w:p>
        </w:tc>
        <w:tc>
          <w:tcPr>
            <w:tcW w:w="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889" w:type="dxa"/>
            <w:tcBorders/>
            <w:vAlign w:val="center"/>
          </w:tcPr>
          <w:p>
            <w:pPr>
              <w:pStyle w:val="TableContents"/>
              <w:bidi w:val="0"/>
              <w:spacing w:before="0" w:after="283"/>
              <w:ind w:left="0" w:right="0" w:hanging="0"/>
              <w:jc w:val="left"/>
              <w:rPr>
                <w:sz w:val="4"/>
                <w:szCs w:val="4"/>
              </w:rPr>
            </w:pPr>
            <w:r>
              <w:rPr>
                <w:sz w:val="4"/>
                <w:szCs w:val="4"/>
              </w:rPr>
            </w:r>
          </w:p>
        </w:tc>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508" w:type="dxa"/>
            <w:tcBorders/>
            <w:vAlign w:val="center"/>
          </w:tcPr>
          <w:p>
            <w:pPr>
              <w:pStyle w:val="TableContents"/>
              <w:bidi w:val="0"/>
              <w:spacing w:before="0" w:after="283"/>
              <w:ind w:left="0" w:right="0" w:hanging="0"/>
              <w:jc w:val="left"/>
              <w:rPr>
                <w:sz w:val="4"/>
                <w:szCs w:val="4"/>
              </w:rPr>
            </w:pPr>
            <w:r>
              <w:rPr>
                <w:sz w:val="4"/>
                <w:szCs w:val="4"/>
              </w:rPr>
            </w:r>
          </w:p>
        </w:tc>
        <w:tc>
          <w:tcPr>
            <w:tcW w:w="477" w:type="dxa"/>
            <w:tcBorders/>
            <w:vAlign w:val="center"/>
          </w:tcPr>
          <w:p>
            <w:pPr>
              <w:pStyle w:val="TableContents"/>
              <w:bidi w:val="0"/>
              <w:spacing w:before="0" w:after="0"/>
              <w:ind w:left="0" w:right="0" w:firstLine="115"/>
              <w:jc w:val="right"/>
              <w:rPr/>
            </w:pPr>
            <w:r>
              <w:rPr/>
              <w:t> </w:t>
            </w:r>
          </w:p>
        </w:tc>
      </w:tr>
      <w:tr>
        <w:trPr/>
        <w:tc>
          <w:tcPr>
            <w:tcW w:w="889"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1.</w:t>
            </w:r>
          </w:p>
        </w:tc>
        <w:tc>
          <w:tcPr>
            <w:tcW w:w="331" w:type="dxa"/>
            <w:tcBorders/>
            <w:vAlign w:val="center"/>
          </w:tcPr>
          <w:p>
            <w:pPr>
              <w:pStyle w:val="TableContents"/>
              <w:bidi w:val="0"/>
              <w:spacing w:before="0" w:after="283"/>
              <w:ind w:left="0" w:right="0" w:firstLine="245"/>
              <w:jc w:val="left"/>
              <w:rPr>
                <w:sz w:val="4"/>
                <w:szCs w:val="4"/>
              </w:rPr>
            </w:pPr>
            <w:r>
              <w:rPr>
                <w:sz w:val="4"/>
                <w:szCs w:val="4"/>
              </w:rPr>
            </w:r>
          </w:p>
        </w:tc>
        <w:tc>
          <w:tcPr>
            <w:tcW w:w="8508" w:type="dxa"/>
            <w:tcBorders/>
            <w:vAlign w:val="center"/>
          </w:tcPr>
          <w:p>
            <w:pPr>
              <w:pStyle w:val="TableContents"/>
              <w:pBdr/>
              <w:bidi w:val="0"/>
              <w:spacing w:before="0" w:after="0"/>
              <w:ind w:left="0" w:right="0" w:hanging="245"/>
              <w:jc w:val="left"/>
              <w:rPr/>
            </w:pPr>
            <w:hyperlink w:anchor="item_1_legal_proceedings">
              <w:r>
                <w:rPr>
                  <w:rStyle w:val="InternetLink"/>
                  <w:rFonts w:ascii="Times New Roman;serif" w:hAnsi="Times New Roman;serif"/>
                  <w:b w:val="false"/>
                  <w:sz w:val="20"/>
                  <w:u w:val="single"/>
                </w:rPr>
                <w:t>LEGAL PROCEEDINGS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21</w:t>
            </w:r>
          </w:p>
        </w:tc>
      </w:tr>
      <w:tr>
        <w:trPr/>
        <w:tc>
          <w:tcPr>
            <w:tcW w:w="889"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1A.</w:t>
            </w:r>
          </w:p>
        </w:tc>
        <w:tc>
          <w:tcPr>
            <w:tcW w:w="331" w:type="dxa"/>
            <w:tcBorders/>
            <w:vAlign w:val="center"/>
          </w:tcPr>
          <w:p>
            <w:pPr>
              <w:pStyle w:val="TableContents"/>
              <w:bidi w:val="0"/>
              <w:spacing w:before="0" w:after="283"/>
              <w:ind w:left="0" w:right="0" w:firstLine="245"/>
              <w:jc w:val="left"/>
              <w:rPr>
                <w:sz w:val="4"/>
                <w:szCs w:val="4"/>
              </w:rPr>
            </w:pPr>
            <w:r>
              <w:rPr>
                <w:sz w:val="4"/>
                <w:szCs w:val="4"/>
              </w:rPr>
            </w:r>
          </w:p>
        </w:tc>
        <w:tc>
          <w:tcPr>
            <w:tcW w:w="8508" w:type="dxa"/>
            <w:tcBorders/>
            <w:vAlign w:val="center"/>
          </w:tcPr>
          <w:p>
            <w:pPr>
              <w:pStyle w:val="TableContents"/>
              <w:pBdr/>
              <w:bidi w:val="0"/>
              <w:spacing w:before="0" w:after="0"/>
              <w:ind w:left="0" w:right="0" w:hanging="245"/>
              <w:jc w:val="left"/>
              <w:rPr/>
            </w:pPr>
            <w:hyperlink w:anchor="item_1a_risk_factors">
              <w:r>
                <w:rPr>
                  <w:rStyle w:val="InternetLink"/>
                  <w:rFonts w:ascii="Times New Roman;serif" w:hAnsi="Times New Roman;serif"/>
                  <w:b w:val="false"/>
                  <w:sz w:val="20"/>
                  <w:u w:val="single"/>
                </w:rPr>
                <w:t>RISK FACTORS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21</w:t>
            </w:r>
          </w:p>
        </w:tc>
      </w:tr>
      <w:tr>
        <w:trPr/>
        <w:tc>
          <w:tcPr>
            <w:tcW w:w="889"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2.</w:t>
            </w:r>
          </w:p>
        </w:tc>
        <w:tc>
          <w:tcPr>
            <w:tcW w:w="331" w:type="dxa"/>
            <w:tcBorders/>
            <w:vAlign w:val="center"/>
          </w:tcPr>
          <w:p>
            <w:pPr>
              <w:pStyle w:val="TableContents"/>
              <w:bidi w:val="0"/>
              <w:spacing w:before="0" w:after="283"/>
              <w:ind w:left="0" w:right="0" w:firstLine="245"/>
              <w:jc w:val="left"/>
              <w:rPr>
                <w:sz w:val="4"/>
                <w:szCs w:val="4"/>
              </w:rPr>
            </w:pPr>
            <w:r>
              <w:rPr>
                <w:sz w:val="4"/>
                <w:szCs w:val="4"/>
              </w:rPr>
            </w:r>
          </w:p>
        </w:tc>
        <w:tc>
          <w:tcPr>
            <w:tcW w:w="8508" w:type="dxa"/>
            <w:tcBorders/>
            <w:vAlign w:val="center"/>
          </w:tcPr>
          <w:p>
            <w:pPr>
              <w:pStyle w:val="TableContents"/>
              <w:pBdr/>
              <w:bidi w:val="0"/>
              <w:spacing w:before="0" w:after="0"/>
              <w:ind w:left="0" w:right="0" w:hanging="245"/>
              <w:jc w:val="left"/>
              <w:rPr/>
            </w:pPr>
            <w:hyperlink w:anchor="item_2_unregistered_sales_equity_secutit">
              <w:r>
                <w:rPr>
                  <w:rStyle w:val="InternetLink"/>
                  <w:rFonts w:ascii="Times New Roman;serif" w:hAnsi="Times New Roman;serif"/>
                  <w:b w:val="false"/>
                  <w:sz w:val="20"/>
                  <w:u w:val="single"/>
                </w:rPr>
                <w:t>UNREGISTERED SALES OF EQUITY SECURITIES AND USE OF PROCEEDS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21</w:t>
            </w:r>
          </w:p>
        </w:tc>
      </w:tr>
      <w:tr>
        <w:trPr/>
        <w:tc>
          <w:tcPr>
            <w:tcW w:w="889"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3.</w:t>
            </w:r>
          </w:p>
        </w:tc>
        <w:tc>
          <w:tcPr>
            <w:tcW w:w="331" w:type="dxa"/>
            <w:tcBorders/>
            <w:vAlign w:val="center"/>
          </w:tcPr>
          <w:p>
            <w:pPr>
              <w:pStyle w:val="TableContents"/>
              <w:bidi w:val="0"/>
              <w:spacing w:before="0" w:after="283"/>
              <w:ind w:left="0" w:right="0" w:firstLine="245"/>
              <w:jc w:val="left"/>
              <w:rPr>
                <w:sz w:val="4"/>
                <w:szCs w:val="4"/>
              </w:rPr>
            </w:pPr>
            <w:r>
              <w:rPr>
                <w:sz w:val="4"/>
                <w:szCs w:val="4"/>
              </w:rPr>
            </w:r>
          </w:p>
        </w:tc>
        <w:tc>
          <w:tcPr>
            <w:tcW w:w="8508" w:type="dxa"/>
            <w:tcBorders/>
            <w:vAlign w:val="center"/>
          </w:tcPr>
          <w:p>
            <w:pPr>
              <w:pStyle w:val="TableContents"/>
              <w:pBdr/>
              <w:bidi w:val="0"/>
              <w:spacing w:before="0" w:after="0"/>
              <w:ind w:left="0" w:right="0" w:hanging="245"/>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21</w:t>
            </w:r>
          </w:p>
        </w:tc>
      </w:tr>
      <w:tr>
        <w:trPr/>
        <w:tc>
          <w:tcPr>
            <w:tcW w:w="889"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4.</w:t>
            </w:r>
          </w:p>
        </w:tc>
        <w:tc>
          <w:tcPr>
            <w:tcW w:w="331" w:type="dxa"/>
            <w:tcBorders/>
            <w:vAlign w:val="center"/>
          </w:tcPr>
          <w:p>
            <w:pPr>
              <w:pStyle w:val="TableContents"/>
              <w:bidi w:val="0"/>
              <w:spacing w:before="0" w:after="283"/>
              <w:ind w:left="0" w:right="0" w:firstLine="245"/>
              <w:jc w:val="left"/>
              <w:rPr>
                <w:sz w:val="4"/>
                <w:szCs w:val="4"/>
              </w:rPr>
            </w:pPr>
            <w:r>
              <w:rPr>
                <w:sz w:val="4"/>
                <w:szCs w:val="4"/>
              </w:rPr>
            </w:r>
          </w:p>
        </w:tc>
        <w:tc>
          <w:tcPr>
            <w:tcW w:w="8508" w:type="dxa"/>
            <w:tcBorders/>
            <w:vAlign w:val="center"/>
          </w:tcPr>
          <w:p>
            <w:pPr>
              <w:pStyle w:val="TableContents"/>
              <w:pBdr/>
              <w:bidi w:val="0"/>
              <w:spacing w:before="0" w:after="0"/>
              <w:ind w:left="0" w:right="0" w:hanging="245"/>
              <w:jc w:val="left"/>
              <w:rPr/>
            </w:pPr>
            <w:hyperlink w:anchor="item_4_mine_safety_disclosures">
              <w:r>
                <w:rPr>
                  <w:rStyle w:val="InternetLink"/>
                  <w:rFonts w:ascii="Times New Roman;serif" w:hAnsi="Times New Roman;serif"/>
                  <w:b w:val="false"/>
                  <w:sz w:val="20"/>
                  <w:u w:val="single"/>
                </w:rPr>
                <w:t>MINE SAFETY DISCLOSURES</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21</w:t>
            </w:r>
          </w:p>
        </w:tc>
      </w:tr>
      <w:tr>
        <w:trPr/>
        <w:tc>
          <w:tcPr>
            <w:tcW w:w="889"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5.</w:t>
            </w:r>
          </w:p>
        </w:tc>
        <w:tc>
          <w:tcPr>
            <w:tcW w:w="331" w:type="dxa"/>
            <w:tcBorders/>
            <w:vAlign w:val="center"/>
          </w:tcPr>
          <w:p>
            <w:pPr>
              <w:pStyle w:val="TableContents"/>
              <w:bidi w:val="0"/>
              <w:spacing w:before="0" w:after="283"/>
              <w:ind w:left="0" w:right="0" w:firstLine="245"/>
              <w:jc w:val="left"/>
              <w:rPr>
                <w:sz w:val="4"/>
                <w:szCs w:val="4"/>
              </w:rPr>
            </w:pPr>
            <w:r>
              <w:rPr>
                <w:sz w:val="4"/>
                <w:szCs w:val="4"/>
              </w:rPr>
            </w:r>
          </w:p>
        </w:tc>
        <w:tc>
          <w:tcPr>
            <w:tcW w:w="8508" w:type="dxa"/>
            <w:tcBorders/>
            <w:vAlign w:val="center"/>
          </w:tcPr>
          <w:p>
            <w:pPr>
              <w:pStyle w:val="TableContents"/>
              <w:pBdr/>
              <w:bidi w:val="0"/>
              <w:spacing w:before="0" w:after="0"/>
              <w:ind w:left="0" w:right="0" w:hanging="245"/>
              <w:jc w:val="left"/>
              <w:rPr/>
            </w:pPr>
            <w:hyperlink w:anchor="item_5_or_information">
              <w:r>
                <w:rPr>
                  <w:rStyle w:val="InternetLink"/>
                  <w:rFonts w:ascii="Times New Roman;serif" w:hAnsi="Times New Roman;serif"/>
                  <w:b w:val="false"/>
                  <w:sz w:val="20"/>
                  <w:u w:val="single"/>
                </w:rPr>
                <w:t>OTHER INFORMATION</w:t>
              </w:r>
            </w:hyperlink>
          </w:p>
        </w:tc>
        <w:tc>
          <w:tcPr>
            <w:tcW w:w="477" w:type="dxa"/>
            <w:tcBorders/>
            <w:vAlign w:val="center"/>
          </w:tcPr>
          <w:p>
            <w:pPr>
              <w:pStyle w:val="TableContents"/>
              <w:bidi w:val="0"/>
              <w:spacing w:before="0" w:after="0"/>
              <w:ind w:left="0" w:right="0" w:firstLine="115"/>
              <w:jc w:val="right"/>
              <w:rPr>
                <w:rFonts w:ascii="Times New Roman;serif" w:hAnsi="Times New Roman;serif"/>
                <w:b w:val="false"/>
                <w:sz w:val="20"/>
              </w:rPr>
            </w:pPr>
            <w:r>
              <w:rPr>
                <w:rFonts w:ascii="Times New Roman;serif" w:hAnsi="Times New Roman;serif"/>
                <w:b w:val="false"/>
                <w:sz w:val="20"/>
              </w:rPr>
              <w:t>21</w:t>
            </w:r>
          </w:p>
        </w:tc>
      </w:tr>
      <w:tr>
        <w:trPr/>
        <w:tc>
          <w:tcPr>
            <w:tcW w:w="889" w:type="dxa"/>
            <w:tcBorders/>
            <w:vAlign w:val="center"/>
          </w:tcPr>
          <w:p>
            <w:pPr>
              <w:pStyle w:val="TableContents"/>
              <w:bidi w:val="0"/>
              <w:spacing w:before="0" w:after="0"/>
              <w:ind w:left="115" w:right="0" w:hanging="0"/>
              <w:jc w:val="left"/>
              <w:rPr>
                <w:rFonts w:ascii="Times New Roman;serif" w:hAnsi="Times New Roman;serif"/>
                <w:b w:val="false"/>
                <w:sz w:val="20"/>
              </w:rPr>
            </w:pPr>
            <w:r>
              <w:rPr>
                <w:rFonts w:ascii="Times New Roman;serif" w:hAnsi="Times New Roman;serif"/>
                <w:b w:val="false"/>
                <w:sz w:val="20"/>
              </w:rPr>
              <w:t>ITEM 6.</w:t>
            </w:r>
          </w:p>
        </w:tc>
        <w:tc>
          <w:tcPr>
            <w:tcW w:w="331" w:type="dxa"/>
            <w:tcBorders/>
            <w:vAlign w:val="center"/>
          </w:tcPr>
          <w:p>
            <w:pPr>
              <w:pStyle w:val="TableContents"/>
              <w:bidi w:val="0"/>
              <w:spacing w:before="0" w:after="283"/>
              <w:ind w:left="0" w:right="0" w:firstLine="245"/>
              <w:jc w:val="left"/>
              <w:rPr>
                <w:sz w:val="4"/>
                <w:szCs w:val="4"/>
              </w:rPr>
            </w:pPr>
            <w:r>
              <w:rPr>
                <w:sz w:val="4"/>
                <w:szCs w:val="4"/>
              </w:rPr>
            </w:r>
          </w:p>
        </w:tc>
        <w:tc>
          <w:tcPr>
            <w:tcW w:w="8508" w:type="dxa"/>
            <w:tcBorders/>
            <w:vAlign w:val="center"/>
          </w:tcPr>
          <w:p>
            <w:pPr>
              <w:pStyle w:val="TableContents"/>
              <w:pBdr/>
              <w:bidi w:val="0"/>
              <w:spacing w:before="0" w:after="0"/>
              <w:ind w:left="0" w:right="0" w:hanging="245"/>
              <w:jc w:val="left"/>
              <w:rPr/>
            </w:pPr>
            <w:hyperlink w:anchor="item_6_exhibits">
              <w:r>
                <w:rPr>
                  <w:rStyle w:val="InternetLink"/>
                  <w:rFonts w:ascii="Times New Roman;serif" w:hAnsi="Times New Roman;serif"/>
                  <w:b w:val="false"/>
                  <w:sz w:val="20"/>
                  <w:u w:val="single"/>
                </w:rPr>
                <w:t>EXHIBITS</w:t>
              </w:r>
            </w:hyperlink>
          </w:p>
        </w:tc>
        <w:tc>
          <w:tcPr>
            <w:tcW w:w="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9728" w:type="dxa"/>
            <w:gridSpan w:val="3"/>
            <w:tcBorders/>
            <w:vAlign w:val="center"/>
          </w:tcPr>
          <w:p>
            <w:pPr>
              <w:pStyle w:val="TableContents"/>
              <w:bidi w:val="0"/>
              <w:spacing w:before="0" w:after="283"/>
              <w:ind w:left="0" w:right="0" w:hanging="0"/>
              <w:jc w:val="left"/>
              <w:rPr>
                <w:sz w:val="4"/>
                <w:szCs w:val="4"/>
              </w:rPr>
            </w:pPr>
            <w:r>
              <w:rPr>
                <w:sz w:val="4"/>
                <w:szCs w:val="4"/>
              </w:rPr>
            </w:r>
          </w:p>
        </w:tc>
        <w:tc>
          <w:tcPr>
            <w:tcW w:w="477" w:type="dxa"/>
            <w:tcBorders/>
            <w:vAlign w:val="center"/>
          </w:tcPr>
          <w:p>
            <w:pPr>
              <w:pStyle w:val="TableContents"/>
              <w:bidi w:val="0"/>
              <w:spacing w:before="0" w:after="0"/>
              <w:ind w:left="0" w:right="0" w:hanging="0"/>
              <w:jc w:val="right"/>
              <w:rPr/>
            </w:pPr>
            <w:r>
              <w:rPr/>
              <w:t> </w:t>
            </w:r>
          </w:p>
        </w:tc>
      </w:tr>
      <w:tr>
        <w:trPr/>
        <w:tc>
          <w:tcPr>
            <w:tcW w:w="9728" w:type="dxa"/>
            <w:gridSpan w:val="3"/>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_financial_information"/>
      <w:bookmarkEnd w:id="2"/>
      <w:r>
        <w:rPr>
          <w:rFonts w:ascii="Times New Roman;serif" w:hAnsi="Times New Roman;serif"/>
          <w:b/>
          <w:sz w:val="20"/>
        </w:rPr>
        <w:t>PART I. FINANCIAL INFORMATION</w:t>
      </w:r>
    </w:p>
    <w:p>
      <w:pPr>
        <w:pStyle w:val="TextBody"/>
        <w:bidi w:val="0"/>
        <w:spacing w:before="240" w:after="0"/>
        <w:jc w:val="left"/>
        <w:rPr>
          <w:rFonts w:ascii="Times New Roman;serif" w:hAnsi="Times New Roman;serif"/>
          <w:b/>
          <w:sz w:val="20"/>
        </w:rPr>
      </w:pPr>
      <w:bookmarkStart w:id="3" w:name="item_1_consolidated_financial_statements"/>
      <w:bookmarkEnd w:id="3"/>
      <w:r>
        <w:rPr>
          <w:rFonts w:ascii="Times New Roman;serif" w:hAnsi="Times New Roman;serif"/>
          <w:b/>
          <w:sz w:val="20"/>
        </w:rPr>
        <w:t>ITEM 1. CONDENSED CONSOLIDATED FINANCIAL STATEMENTS.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240" w:after="0"/>
        <w:jc w:val="center"/>
        <w:rPr>
          <w:rFonts w:ascii="Times New Roman;serif" w:hAnsi="Times New Roman;serif"/>
          <w:b/>
          <w:sz w:val="20"/>
        </w:rPr>
      </w:pPr>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9509" w:type="dxa"/>
        <w:jc w:val="left"/>
        <w:tblInd w:w="0" w:type="dxa"/>
        <w:tblLayout w:type="fixed"/>
        <w:tblCellMar>
          <w:top w:w="28" w:type="dxa"/>
          <w:left w:w="28" w:type="dxa"/>
          <w:bottom w:w="28" w:type="dxa"/>
          <w:right w:w="28" w:type="dxa"/>
        </w:tblCellMar>
      </w:tblPr>
      <w:tblGrid>
        <w:gridCol w:w="5716"/>
        <w:gridCol w:w="146"/>
        <w:gridCol w:w="211"/>
        <w:gridCol w:w="1201"/>
        <w:gridCol w:w="166"/>
        <w:gridCol w:w="146"/>
        <w:gridCol w:w="211"/>
        <w:gridCol w:w="1201"/>
        <w:gridCol w:w="51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7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1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1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11" w:type="dxa"/>
            <w:tcBorders/>
            <w:vAlign w:val="center"/>
          </w:tcPr>
          <w:p>
            <w:pPr>
              <w:pStyle w:val="TableContents"/>
              <w:bidi w:val="0"/>
              <w:spacing w:before="0" w:after="0"/>
              <w:ind w:left="0" w:right="0" w:hanging="0"/>
              <w:jc w:val="center"/>
              <w:rPr/>
            </w:pPr>
            <w:r>
              <w:rPr/>
              <w:t> </w:t>
            </w:r>
          </w:p>
        </w:tc>
      </w:tr>
      <w:tr>
        <w:trPr/>
        <w:tc>
          <w:tcPr>
            <w:tcW w:w="57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300"/>
              <w:jc w:val="right"/>
              <w:rPr/>
            </w:pPr>
            <w:r>
              <w:rPr/>
              <w:t> </w:t>
            </w:r>
          </w:p>
        </w:tc>
      </w:tr>
      <w:tr>
        <w:trPr/>
        <w:tc>
          <w:tcPr>
            <w:tcW w:w="57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52,876,271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18,505,493</w:t>
            </w:r>
          </w:p>
        </w:tc>
        <w:tc>
          <w:tcPr>
            <w:tcW w:w="511" w:type="dxa"/>
            <w:tcBorders/>
            <w:vAlign w:val="center"/>
          </w:tcPr>
          <w:p>
            <w:pPr>
              <w:pStyle w:val="TableContents"/>
              <w:bidi w:val="0"/>
              <w:spacing w:before="0" w:after="0"/>
              <w:ind w:left="0" w:right="0" w:firstLine="300"/>
              <w:jc w:val="left"/>
              <w:rPr/>
            </w:pPr>
            <w:r>
              <w:rPr/>
              <w:t> </w:t>
            </w:r>
          </w:p>
        </w:tc>
      </w:tr>
      <w:tr>
        <w:trPr/>
        <w:tc>
          <w:tcPr>
            <w:tcW w:w="57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645,464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499,403</w:t>
            </w:r>
          </w:p>
        </w:tc>
        <w:tc>
          <w:tcPr>
            <w:tcW w:w="511" w:type="dxa"/>
            <w:tcBorders/>
            <w:vAlign w:val="center"/>
          </w:tcPr>
          <w:p>
            <w:pPr>
              <w:pStyle w:val="TableContents"/>
              <w:bidi w:val="0"/>
              <w:spacing w:before="0" w:after="0"/>
              <w:ind w:left="0" w:right="0" w:firstLine="300"/>
              <w:jc w:val="left"/>
              <w:rPr/>
            </w:pPr>
            <w:r>
              <w:rPr/>
              <w:t> </w:t>
            </w:r>
          </w:p>
        </w:tc>
      </w:tr>
      <w:tr>
        <w:trPr/>
        <w:tc>
          <w:tcPr>
            <w:tcW w:w="57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39,982,213</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53,521,735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58,987,109</w:t>
            </w:r>
          </w:p>
        </w:tc>
        <w:tc>
          <w:tcPr>
            <w:tcW w:w="51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9,600,240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9,600,240</w:t>
            </w:r>
          </w:p>
        </w:tc>
        <w:tc>
          <w:tcPr>
            <w:tcW w:w="51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In-process 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4,800,000</w:t>
            </w:r>
          </w:p>
        </w:tc>
        <w:tc>
          <w:tcPr>
            <w:tcW w:w="51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45,269</w:t>
            </w:r>
          </w:p>
        </w:tc>
        <w:tc>
          <w:tcPr>
            <w:tcW w:w="51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669,314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629,495</w:t>
            </w:r>
          </w:p>
        </w:tc>
        <w:tc>
          <w:tcPr>
            <w:tcW w:w="51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92,792</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68,718,642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74,154,905</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300"/>
              <w:jc w:val="right"/>
              <w:rPr/>
            </w:pPr>
            <w:r>
              <w:rPr/>
              <w:t> </w:t>
            </w:r>
          </w:p>
        </w:tc>
      </w:tr>
      <w:tr>
        <w:trPr/>
        <w:tc>
          <w:tcPr>
            <w:tcW w:w="57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548,221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424,646</w:t>
            </w:r>
          </w:p>
        </w:tc>
        <w:tc>
          <w:tcPr>
            <w:tcW w:w="511" w:type="dxa"/>
            <w:tcBorders/>
            <w:vAlign w:val="center"/>
          </w:tcPr>
          <w:p>
            <w:pPr>
              <w:pStyle w:val="TableContents"/>
              <w:bidi w:val="0"/>
              <w:spacing w:before="0" w:after="0"/>
              <w:ind w:left="0" w:right="0" w:firstLine="300"/>
              <w:jc w:val="left"/>
              <w:rPr/>
            </w:pPr>
            <w:r>
              <w:rPr/>
              <w:t> </w:t>
            </w:r>
          </w:p>
        </w:tc>
      </w:tr>
      <w:tr>
        <w:trPr/>
        <w:tc>
          <w:tcPr>
            <w:tcW w:w="57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Accrued liabilities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2,071,738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2,605,308</w:t>
            </w:r>
          </w:p>
        </w:tc>
        <w:tc>
          <w:tcPr>
            <w:tcW w:w="511" w:type="dxa"/>
            <w:tcBorders/>
            <w:vAlign w:val="center"/>
          </w:tcPr>
          <w:p>
            <w:pPr>
              <w:pStyle w:val="TableContents"/>
              <w:bidi w:val="0"/>
              <w:spacing w:before="0" w:after="0"/>
              <w:ind w:left="0" w:right="0" w:firstLine="300"/>
              <w:jc w:val="left"/>
              <w:rPr/>
            </w:pPr>
            <w:r>
              <w:rPr/>
              <w:t> </w:t>
            </w:r>
          </w:p>
        </w:tc>
      </w:tr>
      <w:tr>
        <w:trPr/>
        <w:tc>
          <w:tcPr>
            <w:tcW w:w="57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Operating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201,277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157,505</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2,821,236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3,187,459</w:t>
            </w:r>
          </w:p>
        </w:tc>
        <w:tc>
          <w:tcPr>
            <w:tcW w:w="51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201,792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201,792</w:t>
            </w:r>
          </w:p>
        </w:tc>
        <w:tc>
          <w:tcPr>
            <w:tcW w:w="511" w:type="dxa"/>
            <w:tcBorders/>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519,685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523,619</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3,542,713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3,912,870</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4)</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2" w:type="dxa"/>
            <w:gridSpan w:val="2"/>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300"/>
              <w:jc w:val="right"/>
              <w:rPr/>
            </w:pPr>
            <w:r>
              <w:rPr/>
              <w:t> </w:t>
            </w:r>
          </w:p>
        </w:tc>
      </w:tr>
      <w:tr>
        <w:trPr/>
        <w:tc>
          <w:tcPr>
            <w:tcW w:w="5716" w:type="dxa"/>
            <w:tcBorders/>
            <w:vAlign w:val="center"/>
          </w:tcPr>
          <w:p>
            <w:pPr>
              <w:pStyle w:val="TableContents"/>
              <w:bidi w:val="0"/>
              <w:spacing w:before="0" w:after="0"/>
              <w:ind w:left="3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100,000,000</w:t>
            </w:r>
            <w:r>
              <w:rPr>
                <w:rFonts w:ascii="Times New Roman" w:hAnsi="Times New Roman"/>
                <w:sz w:val="20"/>
              </w:rPr>
              <w:t> </w:t>
            </w:r>
            <w:r>
              <w:rPr>
                <w:rFonts w:ascii="Times New Roman;serif" w:hAnsi="Times New Roman;serif"/>
                <w:b w:val="false"/>
                <w:sz w:val="20"/>
              </w:rPr>
              <w:t>shares authorized at</w:t>
              <w:br/>
              <w:t>   June 30, 2023 and December 31, 2022; 49,046,246</w:t>
            </w:r>
            <w:r>
              <w:rPr>
                <w:rFonts w:ascii="Times New Roman" w:hAnsi="Times New Roman"/>
                <w:sz w:val="20"/>
              </w:rPr>
              <w:t> </w:t>
            </w:r>
            <w:r>
              <w:rPr>
                <w:rFonts w:ascii="Times New Roman;serif" w:hAnsi="Times New Roman;serif"/>
                <w:b w:val="false"/>
                <w:sz w:val="20"/>
              </w:rPr>
              <w:t>and 49,046,246</w:t>
              <w:br/>
              <w:t>   shares issued and outstanding at June 30, 2023 and December</w:t>
              <w:br/>
              <w:t>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49,046</w:t>
            </w:r>
          </w:p>
        </w:tc>
        <w:tc>
          <w:tcPr>
            <w:tcW w:w="511" w:type="dxa"/>
            <w:tcBorders/>
            <w:vAlign w:val="center"/>
          </w:tcPr>
          <w:p>
            <w:pPr>
              <w:pStyle w:val="TableContents"/>
              <w:bidi w:val="0"/>
              <w:spacing w:before="0" w:after="0"/>
              <w:ind w:left="0" w:right="0" w:firstLine="300"/>
              <w:jc w:val="left"/>
              <w:rPr/>
            </w:pPr>
            <w:r>
              <w:rPr/>
              <w:t> </w:t>
            </w:r>
          </w:p>
        </w:tc>
      </w:tr>
      <w:tr>
        <w:trPr/>
        <w:tc>
          <w:tcPr>
            <w:tcW w:w="57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478,167,424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477,438,451</w:t>
            </w:r>
          </w:p>
        </w:tc>
        <w:tc>
          <w:tcPr>
            <w:tcW w:w="511" w:type="dxa"/>
            <w:tcBorders/>
            <w:vAlign w:val="center"/>
          </w:tcPr>
          <w:p>
            <w:pPr>
              <w:pStyle w:val="TableContents"/>
              <w:bidi w:val="0"/>
              <w:spacing w:before="0" w:after="0"/>
              <w:ind w:left="0" w:right="0" w:firstLine="300"/>
              <w:jc w:val="left"/>
              <w:rPr/>
            </w:pPr>
            <w:r>
              <w:rPr/>
              <w:t> </w:t>
            </w:r>
          </w:p>
        </w:tc>
      </w:tr>
      <w:tr>
        <w:trPr/>
        <w:tc>
          <w:tcPr>
            <w:tcW w:w="57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(115,285</w:t>
            </w:r>
          </w:p>
        </w:tc>
        <w:tc>
          <w:tcPr>
            <w:tcW w:w="5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5716"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(412,919,501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(407,130,177</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65,175,929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70,242,035</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68,718,642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74,154,905</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0" w:after="0"/>
        <w:jc w:val="center"/>
        <w:rPr>
          <w:rFonts w:ascii="Times New Roman" w:hAnsi="Times New Roman"/>
          <w:sz w:val="20"/>
        </w:rPr>
      </w:pPr>
      <w:bookmarkStart w:id="4" w:name="condensed_consolidated_statements_operat"/>
      <w:bookmarkEnd w:id="4"/>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OPERATIONS AND COMPREHENSIVE LOSS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644"/>
        <w:gridCol w:w="146"/>
        <w:gridCol w:w="211"/>
        <w:gridCol w:w="1036"/>
        <w:gridCol w:w="166"/>
        <w:gridCol w:w="146"/>
        <w:gridCol w:w="211"/>
        <w:gridCol w:w="1036"/>
        <w:gridCol w:w="166"/>
        <w:gridCol w:w="146"/>
        <w:gridCol w:w="211"/>
        <w:gridCol w:w="1036"/>
        <w:gridCol w:w="166"/>
        <w:gridCol w:w="146"/>
        <w:gridCol w:w="211"/>
        <w:gridCol w:w="1036"/>
        <w:gridCol w:w="491"/>
      </w:tblGrid>
      <w:tr>
        <w:trPr/>
        <w:tc>
          <w:tcPr>
            <w:tcW w:w="3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91" w:type="dxa"/>
            <w:tcBorders/>
            <w:vAlign w:val="center"/>
          </w:tcPr>
          <w:p>
            <w:pPr>
              <w:pStyle w:val="TableContents"/>
              <w:bidi w:val="0"/>
              <w:spacing w:before="0" w:after="0"/>
              <w:ind w:left="0" w:right="0" w:hanging="0"/>
              <w:jc w:val="center"/>
              <w:rPr/>
            </w:pPr>
            <w:r>
              <w:rPr/>
              <w:t> </w:t>
            </w:r>
          </w:p>
        </w:tc>
      </w:tr>
      <w:tr>
        <w:trPr/>
        <w:tc>
          <w:tcPr>
            <w:tcW w:w="36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4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300"/>
              <w:jc w:val="right"/>
              <w:rPr/>
            </w:pPr>
            <w:r>
              <w:rPr/>
              <w:t> </w:t>
            </w:r>
          </w:p>
        </w:tc>
      </w:tr>
      <w:tr>
        <w:trPr/>
        <w:tc>
          <w:tcPr>
            <w:tcW w:w="364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Research, development and patents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1,735,735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2,564,969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3,212,411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4,676,965</w:t>
            </w:r>
          </w:p>
        </w:tc>
        <w:tc>
          <w:tcPr>
            <w:tcW w:w="491" w:type="dxa"/>
            <w:tcBorders/>
            <w:vAlign w:val="center"/>
          </w:tcPr>
          <w:p>
            <w:pPr>
              <w:pStyle w:val="TableContents"/>
              <w:bidi w:val="0"/>
              <w:spacing w:before="0" w:after="0"/>
              <w:ind w:left="0" w:right="0" w:firstLine="300"/>
              <w:jc w:val="left"/>
              <w:rPr/>
            </w:pPr>
            <w:r>
              <w:rPr/>
              <w:t> </w:t>
            </w:r>
          </w:p>
        </w:tc>
      </w:tr>
      <w:tr>
        <w:trPr/>
        <w:tc>
          <w:tcPr>
            <w:tcW w:w="364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1,564,295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1,524,966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3,050,862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2,822,982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3,300,030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4,089,935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6,263,273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7,499,947</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(3,300,030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(4,089,935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(6,263,273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(7,499,947</w:t>
            </w:r>
          </w:p>
        </w:tc>
        <w:tc>
          <w:tcPr>
            <w:tcW w:w="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451,420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960,466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128,614</w:t>
            </w:r>
          </w:p>
        </w:tc>
        <w:tc>
          <w:tcPr>
            <w:tcW w:w="491" w:type="dxa"/>
            <w:tcBorders/>
            <w:vAlign w:val="center"/>
          </w:tcPr>
          <w:p>
            <w:pPr>
              <w:pStyle w:val="TableContents"/>
              <w:bidi w:val="0"/>
              <w:spacing w:before="0" w:after="0"/>
              <w:ind w:left="0" w:right="0" w:hanging="0"/>
              <w:jc w:val="left"/>
              <w:rPr/>
            </w:pPr>
            <w:r>
              <w:rPr/>
              <w:t> </w:t>
            </w:r>
          </w:p>
        </w:tc>
      </w:tr>
      <w:tr>
        <w:trPr/>
        <w:tc>
          <w:tcPr>
            <w:tcW w:w="3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(486,517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(44,082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applicable to common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(2,871,820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(4,028,998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(5,789,324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(7,415,415</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net loss per common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used to compute basic and diluted net loss per common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49,046,246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49,045,587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49,046,246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49,044,423</w:t>
            </w:r>
          </w:p>
        </w:tc>
        <w:tc>
          <w:tcPr>
            <w:tcW w:w="491" w:type="dxa"/>
            <w:tcBorders/>
            <w:vAlign w:val="center"/>
          </w:tcPr>
          <w:p>
            <w:pPr>
              <w:pStyle w:val="TableContents"/>
              <w:bidi w:val="0"/>
              <w:spacing w:before="0" w:after="0"/>
              <w:ind w:left="0" w:right="0" w:hanging="0"/>
              <w:jc w:val="left"/>
              <w:rPr/>
            </w:pPr>
            <w:r>
              <w:rPr/>
              <w:t> </w:t>
            </w:r>
          </w:p>
        </w:tc>
      </w:tr>
      <w:tr>
        <w:trPr/>
        <w:tc>
          <w:tcPr>
            <w:tcW w:w="3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applicable to common stockholders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(2,871,820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(4,028,998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(5,789,324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(7,415,415</w:t>
            </w:r>
          </w:p>
        </w:tc>
        <w:tc>
          <w:tcPr>
            <w:tcW w:w="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 net of tax:</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300"/>
              <w:jc w:val="right"/>
              <w:rPr/>
            </w:pPr>
            <w:r>
              <w:rPr/>
              <w:t> </w:t>
            </w:r>
          </w:p>
        </w:tc>
      </w:tr>
      <w:tr>
        <w:trPr/>
        <w:tc>
          <w:tcPr>
            <w:tcW w:w="3644"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(19,415</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(2,876,033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(4,040,978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(5,795,079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(7,434,830</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center"/>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0" w:after="0"/>
        <w:jc w:val="center"/>
        <w:rPr>
          <w:rFonts w:ascii="Times New Roman" w:hAnsi="Times New Roman"/>
          <w:sz w:val="20"/>
        </w:rPr>
      </w:pPr>
      <w:bookmarkStart w:id="5" w:name="condensed_consolidated_statements_stockh"/>
      <w:bookmarkEnd w:id="5"/>
      <w:r>
        <w:rPr>
          <w:rFonts w:ascii="Times New Roman;serif" w:hAnsi="Times New Roman;serif"/>
          <w:b/>
          <w:sz w:val="20"/>
        </w:rPr>
        <w:t>CONDENSED CONSOLIDATED STATEMENTS OF STOCKHOLDERS’ EQUITY</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146"/>
        <w:gridCol w:w="146"/>
        <w:gridCol w:w="916"/>
        <w:gridCol w:w="146"/>
        <w:gridCol w:w="146"/>
        <w:gridCol w:w="196"/>
        <w:gridCol w:w="601"/>
        <w:gridCol w:w="146"/>
        <w:gridCol w:w="146"/>
        <w:gridCol w:w="196"/>
        <w:gridCol w:w="1006"/>
        <w:gridCol w:w="146"/>
        <w:gridCol w:w="146"/>
        <w:gridCol w:w="242"/>
        <w:gridCol w:w="929"/>
        <w:gridCol w:w="166"/>
        <w:gridCol w:w="146"/>
        <w:gridCol w:w="196"/>
        <w:gridCol w:w="1066"/>
        <w:gridCol w:w="166"/>
        <w:gridCol w:w="146"/>
        <w:gridCol w:w="196"/>
        <w:gridCol w:w="916"/>
        <w:gridCol w:w="411"/>
      </w:tblGrid>
      <w:tr>
        <w:trPr/>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06"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411" w:type="dxa"/>
            <w:tcBorders/>
            <w:vAlign w:val="center"/>
          </w:tcPr>
          <w:p>
            <w:pPr>
              <w:pStyle w:val="TableContents"/>
              <w:bidi w:val="0"/>
              <w:spacing w:before="0" w:after="0"/>
              <w:ind w:left="0" w:right="0" w:hanging="0"/>
              <w:jc w:val="center"/>
              <w:rPr/>
            </w:pPr>
            <w:r>
              <w:rPr/>
              <w:t> </w:t>
            </w:r>
          </w:p>
        </w:tc>
      </w:tr>
      <w:tr>
        <w:trPr/>
        <w:tc>
          <w:tcPr>
            <w:tcW w:w="15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154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Balance at December 31, 2022</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49,046,246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477,438,451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(115,285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(407,130,177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70,242,035</w:t>
            </w:r>
          </w:p>
        </w:tc>
        <w:tc>
          <w:tcPr>
            <w:tcW w:w="411" w:type="dxa"/>
            <w:tcBorders/>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Share-based compensation</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403,263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403,263</w:t>
            </w:r>
          </w:p>
        </w:tc>
        <w:tc>
          <w:tcPr>
            <w:tcW w:w="411" w:type="dxa"/>
            <w:tcBorders/>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0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(2,917,504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(2,917,504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adjustments</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54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Balance at March 31, 2023</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49,046,246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477,841,714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(116,827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(410,047,681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67,726,252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Share-based compensation</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325,710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325,710</w:t>
            </w:r>
          </w:p>
        </w:tc>
        <w:tc>
          <w:tcPr>
            <w:tcW w:w="411" w:type="dxa"/>
            <w:tcBorders/>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(2,871,820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(2,871,820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adjustments</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(4,213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54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Balance at June 30, 2023</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49,046,246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478,167,424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(121,040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(412,919,501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65,175,929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146"/>
        <w:gridCol w:w="146"/>
        <w:gridCol w:w="916"/>
        <w:gridCol w:w="146"/>
        <w:gridCol w:w="146"/>
        <w:gridCol w:w="196"/>
        <w:gridCol w:w="601"/>
        <w:gridCol w:w="146"/>
        <w:gridCol w:w="146"/>
        <w:gridCol w:w="196"/>
        <w:gridCol w:w="1006"/>
        <w:gridCol w:w="146"/>
        <w:gridCol w:w="146"/>
        <w:gridCol w:w="242"/>
        <w:gridCol w:w="929"/>
        <w:gridCol w:w="166"/>
        <w:gridCol w:w="146"/>
        <w:gridCol w:w="196"/>
        <w:gridCol w:w="1066"/>
        <w:gridCol w:w="166"/>
        <w:gridCol w:w="146"/>
        <w:gridCol w:w="196"/>
        <w:gridCol w:w="916"/>
        <w:gridCol w:w="411"/>
      </w:tblGrid>
      <w:tr>
        <w:trPr/>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06"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411" w:type="dxa"/>
            <w:tcBorders/>
            <w:vAlign w:val="center"/>
          </w:tcPr>
          <w:p>
            <w:pPr>
              <w:pStyle w:val="TableContents"/>
              <w:bidi w:val="0"/>
              <w:spacing w:before="0" w:after="0"/>
              <w:ind w:left="0" w:right="0" w:hanging="0"/>
              <w:jc w:val="center"/>
              <w:rPr/>
            </w:pPr>
            <w:r>
              <w:rPr/>
              <w:t> </w:t>
            </w:r>
          </w:p>
        </w:tc>
      </w:tr>
      <w:tr>
        <w:trPr/>
        <w:tc>
          <w:tcPr>
            <w:tcW w:w="15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154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Balance at December 31, 2021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49,043,246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476,788,012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(98,877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(393,061,094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83,677,084</w:t>
            </w:r>
          </w:p>
        </w:tc>
        <w:tc>
          <w:tcPr>
            <w:tcW w:w="411" w:type="dxa"/>
            <w:tcBorders/>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Share-based compensation</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81,053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81,053</w:t>
            </w:r>
          </w:p>
        </w:tc>
        <w:tc>
          <w:tcPr>
            <w:tcW w:w="411" w:type="dxa"/>
            <w:tcBorders/>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0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(3,386,417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(3,386,417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adjustments</w:t>
            </w:r>
          </w:p>
        </w:tc>
        <w:tc>
          <w:tcPr>
            <w:tcW w:w="146" w:type="dxa"/>
            <w:tcBorders/>
            <w:vAlign w:val="center"/>
          </w:tcPr>
          <w:p>
            <w:pPr>
              <w:pStyle w:val="TableContents"/>
              <w:bidi w:val="0"/>
              <w:spacing w:before="0" w:after="0"/>
              <w:ind w:left="0" w:right="0" w:hanging="0"/>
              <w:jc w:val="righ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(7,435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54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Balance at March 31, 2022</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49,043,246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476,869,065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(106,312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(396,447,511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80,364,285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Share-based compensation</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274,502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274,502</w:t>
            </w:r>
          </w:p>
        </w:tc>
        <w:tc>
          <w:tcPr>
            <w:tcW w:w="411" w:type="dxa"/>
            <w:tcBorders/>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for option exercises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7,920</w:t>
            </w:r>
          </w:p>
        </w:tc>
        <w:tc>
          <w:tcPr>
            <w:tcW w:w="411" w:type="dxa"/>
            <w:tcBorders/>
            <w:vAlign w:val="center"/>
          </w:tcPr>
          <w:p>
            <w:pPr>
              <w:pStyle w:val="TableContents"/>
              <w:bidi w:val="0"/>
              <w:spacing w:before="0" w:after="0"/>
              <w:ind w:left="0" w:right="0" w:hanging="0"/>
              <w:jc w:val="left"/>
              <w:rPr/>
            </w:pPr>
            <w:r>
              <w:rPr/>
              <w:t> </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(4,028,998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(4,028,998</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54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adjustments</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(11,980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542"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Balance at June 30, 2022</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49,046,246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49,046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477,151,484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(118,292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(400,476,509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76,605,729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0" w:after="0"/>
        <w:jc w:val="center"/>
        <w:rPr>
          <w:rFonts w:ascii="Times New Roman;serif" w:hAnsi="Times New Roman;serif"/>
          <w:b/>
          <w:sz w:val="20"/>
        </w:rPr>
      </w:pPr>
      <w:bookmarkStart w:id="6" w:name="condensed_consolidated_statements_cash_f"/>
      <w:bookmarkEnd w:id="6"/>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tbl>
      <w:tblPr>
        <w:tblW w:w="10094" w:type="dxa"/>
        <w:jc w:val="left"/>
        <w:tblInd w:w="0" w:type="dxa"/>
        <w:tblLayout w:type="fixed"/>
        <w:tblCellMar>
          <w:top w:w="28" w:type="dxa"/>
          <w:left w:w="28" w:type="dxa"/>
          <w:bottom w:w="28" w:type="dxa"/>
          <w:right w:w="28" w:type="dxa"/>
        </w:tblCellMar>
      </w:tblPr>
      <w:tblGrid>
        <w:gridCol w:w="6031"/>
        <w:gridCol w:w="146"/>
        <w:gridCol w:w="211"/>
        <w:gridCol w:w="1036"/>
        <w:gridCol w:w="166"/>
        <w:gridCol w:w="146"/>
        <w:gridCol w:w="211"/>
        <w:gridCol w:w="1036"/>
        <w:gridCol w:w="11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0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111" w:type="dxa"/>
            <w:tcBorders/>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111" w:type="dxa"/>
            <w:tcBorders/>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111" w:type="dxa"/>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firstLine="300"/>
              <w:jc w:val="right"/>
              <w:rPr/>
            </w:pPr>
            <w:r>
              <w:rPr/>
              <w:t> </w:t>
            </w:r>
          </w:p>
        </w:tc>
      </w:tr>
      <w:tr>
        <w:trPr/>
        <w:tc>
          <w:tcPr>
            <w:tcW w:w="603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(5,789,324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(7,415,415</w:t>
            </w:r>
          </w:p>
        </w:tc>
        <w:tc>
          <w:tcPr>
            <w:tcW w:w="1111"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firstLine="600"/>
              <w:jc w:val="righ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Non-cash 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728,973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355,555</w:t>
            </w:r>
          </w:p>
        </w:tc>
        <w:tc>
          <w:tcPr>
            <w:tcW w:w="1111" w:type="dxa"/>
            <w:tcBorders/>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8,917</w:t>
            </w:r>
          </w:p>
        </w:tc>
        <w:tc>
          <w:tcPr>
            <w:tcW w:w="1111" w:type="dxa"/>
            <w:tcBorders/>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Loss on disposal of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Change in carrying amount of right-of-use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101,394</w:t>
            </w:r>
          </w:p>
        </w:tc>
        <w:tc>
          <w:tcPr>
            <w:tcW w:w="1111" w:type="dxa"/>
            <w:tcBorders/>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firstLine="900"/>
              <w:jc w:val="right"/>
              <w:rPr/>
            </w:pPr>
            <w:r>
              <w:rPr/>
              <w:t> </w:t>
            </w:r>
          </w:p>
        </w:tc>
      </w:tr>
      <w:tr>
        <w:trPr/>
        <w:tc>
          <w:tcPr>
            <w:tcW w:w="6031" w:type="dxa"/>
            <w:tcBorders/>
            <w:vAlign w:val="center"/>
          </w:tcPr>
          <w:p>
            <w:pPr>
              <w:pStyle w:val="TableContents"/>
              <w:bidi w:val="0"/>
              <w:spacing w:before="0" w:after="0"/>
              <w:ind w:left="9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(182,896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(135,311</w:t>
            </w:r>
          </w:p>
        </w:tc>
        <w:tc>
          <w:tcPr>
            <w:tcW w:w="1111" w:type="dxa"/>
            <w:tcBorders/>
            <w:vAlign w:val="center"/>
          </w:tcPr>
          <w:p>
            <w:pPr>
              <w:pStyle w:val="TableContents"/>
              <w:bidi w:val="0"/>
              <w:spacing w:before="0" w:after="0"/>
              <w:ind w:left="0" w:right="0" w:firstLine="9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900" w:right="0" w:hanging="0"/>
              <w:jc w:val="left"/>
              <w:rPr>
                <w:rFonts w:ascii="Times New Roman;serif" w:hAnsi="Times New Roman;serif"/>
                <w:b w:val="false"/>
                <w:sz w:val="20"/>
              </w:rPr>
            </w:pPr>
            <w:r>
              <w:rPr>
                <w:rFonts w:ascii="Times New Roman;serif" w:hAnsi="Times New Roman;serif"/>
                <w:b w:val="false"/>
                <w:sz w:val="20"/>
              </w:rPr>
              <w:t>Accounts payable, accrued liabilities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(428,876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956,112</w:t>
            </w:r>
          </w:p>
        </w:tc>
        <w:tc>
          <w:tcPr>
            <w:tcW w:w="1111" w:type="dxa"/>
            <w:tcBorders/>
            <w:vAlign w:val="center"/>
          </w:tcPr>
          <w:p>
            <w:pPr>
              <w:pStyle w:val="TableContents"/>
              <w:bidi w:val="0"/>
              <w:spacing w:before="0" w:after="0"/>
              <w:ind w:left="0" w:right="0" w:firstLine="900"/>
              <w:jc w:val="left"/>
              <w:rPr/>
            </w:pPr>
            <w:r>
              <w:rPr/>
              <w:t> </w:t>
            </w:r>
          </w:p>
        </w:tc>
      </w:tr>
      <w:tr>
        <w:trPr/>
        <w:tc>
          <w:tcPr>
            <w:tcW w:w="6031" w:type="dxa"/>
            <w:tcBorders/>
            <w:vAlign w:val="center"/>
          </w:tcPr>
          <w:p>
            <w:pPr>
              <w:pStyle w:val="TableContents"/>
              <w:bidi w:val="0"/>
              <w:spacing w:before="0" w:after="0"/>
              <w:ind w:left="9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(55,620</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(5,560,429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(6,184,368</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firstLine="300"/>
              <w:jc w:val="right"/>
              <w:rPr/>
            </w:pPr>
            <w:r>
              <w:rPr/>
              <w:t> </w:t>
            </w:r>
          </w:p>
        </w:tc>
      </w:tr>
      <w:tr>
        <w:trPr/>
        <w:tc>
          <w:tcPr>
            <w:tcW w:w="603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Proceeds from disposal of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39,929,015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firstLine="300"/>
              <w:jc w:val="left"/>
              <w:rPr/>
            </w:pPr>
            <w:r>
              <w:rPr/>
              <w:t> </w:t>
            </w:r>
          </w:p>
        </w:tc>
      </w:tr>
      <w:tr>
        <w:trPr/>
        <w:tc>
          <w:tcPr>
            <w:tcW w:w="603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Acquisitions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39,910,438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firstLine="300"/>
              <w:jc w:val="right"/>
              <w:rPr/>
            </w:pPr>
            <w:r>
              <w:rPr/>
              <w:t> </w:t>
            </w:r>
          </w:p>
        </w:tc>
      </w:tr>
      <w:tr>
        <w:trPr/>
        <w:tc>
          <w:tcPr>
            <w:tcW w:w="603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Proceeds from issuance of common stock and exercise of common</w:t>
              <w:br/>
              <w:t>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7,920</w:t>
            </w:r>
          </w:p>
        </w:tc>
        <w:tc>
          <w:tcPr>
            <w:tcW w:w="11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7,920</w:t>
            </w:r>
          </w:p>
        </w:tc>
        <w:tc>
          <w:tcPr>
            <w:tcW w:w="11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changes on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(21,238</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34,370,778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(6,197,686</w:t>
            </w:r>
          </w:p>
        </w:tc>
        <w:tc>
          <w:tcPr>
            <w:tcW w:w="1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18,505,493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71,430,954</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52,876,271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65,233,268</w:t>
            </w:r>
          </w:p>
        </w:tc>
        <w:tc>
          <w:tcPr>
            <w:tcW w:w="11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of non-cash investing activities: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1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right"/>
              <w:rPr/>
            </w:pPr>
            <w:r>
              <w:rPr/>
              <w:t> </w:t>
            </w:r>
          </w:p>
        </w:tc>
      </w:tr>
      <w:tr>
        <w:trPr/>
        <w:tc>
          <w:tcPr>
            <w:tcW w:w="603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Right-of-use asset obtained in exchange for operating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1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See accompanying notes.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Condensed Consolidated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 Interim Financial Information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Organization and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MediciNova, Inc. (the “Company” or “MediciNova”) was incorporated in the state of Delaware in September 2000.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and Long COVID, and MN-001 (tipelukast) for fibrotic and other diseases such as nonalcoholic fatty liver disease (NAFLD) and idiopathic pulmonary fibrosis (IPF). The Company’s pipeline also includes MN-221 (bedoradrine) for the treatment of acute exacerbation of asthma and MN-029 (denibulin) for solid tumor cancers.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Basis of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pStyle w:val="TextBody"/>
        <w:bidi w:val="0"/>
        <w:spacing w:before="240" w:after="0"/>
        <w:jc w:val="left"/>
        <w:rPr>
          <w:rFonts w:ascii="Times New Roman" w:hAnsi="Times New Roman"/>
          <w:sz w:val="20"/>
        </w:rPr>
      </w:pPr>
      <w:r>
        <w:rPr>
          <w:rFonts w:ascii="Times New Roman;serif" w:hAnsi="Times New Roman;serif"/>
          <w:b w:val="false"/>
          <w:sz w:val="20"/>
        </w:rPr>
        <w:t>These financial statements should be read in conjunction with the audited consolidated financial statements and notes thereto for the year ended December 31, 2022 included in the Company’s Amendment No. 1 to Annual Report on Form 10-K filed with the SEC. The results of operations for the interim period shown in this report are not necessarily indicative of the results that may be expected for any other interim period or for the full year. The balance sheet at December 31, 2022</w:t>
      </w:r>
      <w:r>
        <w:rPr>
          <w:rFonts w:ascii="Times New Roman" w:hAnsi="Times New Roman"/>
          <w:sz w:val="20"/>
        </w:rPr>
        <w:t xml:space="preserve"> </w:t>
      </w:r>
      <w:r>
        <w:rPr>
          <w:rFonts w:ascii="Times New Roman;serif" w:hAnsi="Times New Roman;serif"/>
          <w:b w:val="false"/>
          <w:sz w:val="20"/>
        </w:rPr>
        <w:t>has been derived from the audited financial statements at that date but does not include all the information and footnotes required by GAAP for complete financial statements.</w:t>
      </w:r>
    </w:p>
    <w:p>
      <w:pPr>
        <w:pStyle w:val="TextBody"/>
        <w:bidi w:val="0"/>
        <w:spacing w:before="396" w:after="0"/>
        <w:jc w:val="left"/>
        <w:rPr>
          <w:rFonts w:ascii="Times New Roman;serif" w:hAnsi="Times New Roman;serif"/>
          <w:b/>
          <w:i/>
          <w:sz w:val="20"/>
        </w:rPr>
      </w:pPr>
      <w:r>
        <w:rPr>
          <w:rFonts w:ascii="Times New Roman;serif" w:hAnsi="Times New Roman;serif"/>
          <w:b/>
          <w:i/>
          <w:sz w:val="20"/>
        </w:rPr>
        <w:t>Principles of Consolidation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consolidated financial statements include the accounts of MediciNova, Inc. and its wholly owned subsidiaries, MediciNova Japan, Inc., MediciNova (Europe) Limited, MediciNova Europe GmbH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 </w:t>
      </w:r>
    </w:p>
    <w:p>
      <w:pPr>
        <w:pStyle w:val="TextBody"/>
        <w:bidi w:val="0"/>
        <w:spacing w:before="396" w:after="0"/>
        <w:jc w:val="left"/>
        <w:rPr>
          <w:rFonts w:ascii="Times New Roman;serif" w:hAnsi="Times New Roman;serif"/>
          <w:b/>
          <w:i/>
          <w:sz w:val="20"/>
        </w:rPr>
      </w:pPr>
      <w:r>
        <w:rPr>
          <w:rFonts w:ascii="Times New Roman;serif" w:hAnsi="Times New Roman;serif"/>
          <w:b/>
          <w:i/>
          <w:sz w:val="20"/>
        </w:rPr>
        <w:t>Segment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Cash and Cash Equivalents</w:t>
      </w:r>
    </w:p>
    <w:p>
      <w:pPr>
        <w:pStyle w:val="TextBody"/>
        <w:bidi w:val="0"/>
        <w:spacing w:before="132" w:after="0"/>
        <w:jc w:val="left"/>
        <w:rPr>
          <w:rFonts w:ascii="Times New Roman;serif" w:hAnsi="Times New Roman;serif"/>
          <w:b w:val="false"/>
          <w:sz w:val="20"/>
        </w:rPr>
      </w:pPr>
      <w:r>
        <w:rPr>
          <w:rFonts w:ascii="Times New Roman;serif" w:hAnsi="Times New Roman;serif"/>
          <w:b w:val="false"/>
          <w:sz w:val="20"/>
        </w:rPr>
        <w:t>Cash and cash equivalents consist of cash and other highly liquid investments including money market accounts, with original maturities of three months or less from the date of purchase.</w:t>
      </w:r>
    </w:p>
    <w:p>
      <w:pPr>
        <w:pStyle w:val="TextBody"/>
        <w:bidi w:val="0"/>
        <w:spacing w:before="132"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Investments</w:t>
      </w:r>
    </w:p>
    <w:p>
      <w:pPr>
        <w:pStyle w:val="TextBody"/>
        <w:bidi w:val="0"/>
        <w:spacing w:before="132" w:after="0"/>
        <w:jc w:val="left"/>
        <w:rPr>
          <w:rFonts w:ascii="Times New Roman" w:hAnsi="Times New Roman"/>
          <w:sz w:val="20"/>
        </w:rPr>
      </w:pPr>
      <w:r>
        <w:rPr>
          <w:rFonts w:ascii="Times New Roman;serif" w:hAnsi="Times New Roman;serif"/>
          <w:b w:val="false"/>
          <w:sz w:val="20"/>
        </w:rPr>
        <w:t>Investments purchased with an original maturity of greater than three months are classified as investments. Investments are stated at fair value and are classified as current or non-current based on the nature of the securities as well as their stated maturities.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Research, Development and Patents</w:t>
      </w:r>
    </w:p>
    <w:p>
      <w:pPr>
        <w:pStyle w:val="TextBody"/>
        <w:bidi w:val="0"/>
        <w:spacing w:before="132" w:after="0"/>
        <w:jc w:val="left"/>
        <w:rPr>
          <w:rFonts w:ascii="Times New Roman" w:hAnsi="Times New Roman"/>
          <w:sz w:val="20"/>
        </w:rPr>
      </w:pPr>
      <w:r>
        <w:rPr>
          <w:rFonts w:ascii="Times New Roman;serif" w:hAnsi="Times New Roman;serif"/>
          <w:b w:val="false"/>
          <w:sz w:val="20"/>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$1.6</w:t>
      </w:r>
      <w:r>
        <w:rPr>
          <w:rFonts w:ascii="Times New Roman" w:hAnsi="Times New Roman"/>
          <w:sz w:val="20"/>
        </w:rPr>
        <w:t xml:space="preserve"> </w:t>
      </w:r>
      <w:r>
        <w:rPr>
          <w:rFonts w:ascii="Times New Roman;serif" w:hAnsi="Times New Roman;serif"/>
          <w:b w:val="false"/>
          <w:sz w:val="20"/>
        </w:rPr>
        <w:t>million and $2.5</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$3.0</w:t>
      </w:r>
      <w:r>
        <w:rPr>
          <w:rFonts w:ascii="Times New Roman" w:hAnsi="Times New Roman"/>
          <w:sz w:val="20"/>
        </w:rPr>
        <w:t xml:space="preserve"> </w:t>
      </w:r>
      <w:r>
        <w:rPr>
          <w:rFonts w:ascii="Times New Roman;serif" w:hAnsi="Times New Roman;serif"/>
          <w:b w:val="false"/>
          <w:sz w:val="20"/>
        </w:rPr>
        <w:t>million and $4.5</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$0.2</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Clinical Trial Accruals and Prepaid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Leases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pStyle w:val="TextBody"/>
        <w:bidi w:val="0"/>
        <w:spacing w:before="36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Recently Issued Accounting Pronouncements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June 2016, the FASB issued Accounting Standards Update (“ASU”) No. 2016-13, </w:t>
      </w:r>
      <w:r>
        <w:rPr>
          <w:rFonts w:ascii="Times New Roman;serif" w:hAnsi="Times New Roman;serif"/>
          <w:b w:val="false"/>
          <w:i/>
          <w:sz w:val="20"/>
        </w:rPr>
        <w:t>Financial Instruments— Credit Losses (Topic 326): Measurement of Credit Losses on Financial Instruments</w:t>
      </w:r>
      <w:r>
        <w:rPr>
          <w:rFonts w:ascii="Times New Roman" w:hAnsi="Times New Roman"/>
          <w:sz w:val="20"/>
        </w:rPr>
        <w:t xml:space="preserve"> </w:t>
      </w:r>
      <w:r>
        <w:rPr>
          <w:rFonts w:ascii="Times New Roman;serif" w:hAnsi="Times New Roman;serif"/>
          <w:b w:val="false"/>
          <w:sz w:val="20"/>
        </w:rPr>
        <w:t>(“ASU 2016-13”). The ASU 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was effective for the Company on January 1, 2023. There was no impact on the consolidated financial statements upon adoption of this standard on January 1,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2. Revenue Recognition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Revenue Recognition Policy</w:t>
      </w:r>
    </w:p>
    <w:p>
      <w:pPr>
        <w:pStyle w:val="TextBody"/>
        <w:bidi w:val="0"/>
        <w:spacing w:before="120" w:after="0"/>
        <w:jc w:val="left"/>
        <w:rPr>
          <w:rFonts w:ascii="Times New Roman" w:hAnsi="Times New Roman"/>
          <w:sz w:val="20"/>
        </w:rPr>
      </w:pPr>
      <w:r>
        <w:rPr>
          <w:rFonts w:ascii="Times New Roman;serif" w:hAnsi="Times New Roman;serif"/>
          <w:b w:val="false"/>
          <w:sz w:val="20"/>
        </w:rPr>
        <w:t>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3. Fair Value Measurements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56"/>
        <w:gridCol w:w="9449"/>
      </w:tblGrid>
      <w:tr>
        <w:trPr/>
        <w:tc>
          <w:tcPr>
            <w:tcW w:w="756" w:type="dxa"/>
            <w:tcBorders/>
            <w:vAlign w:val="center"/>
          </w:tcPr>
          <w:p>
            <w:pPr>
              <w:pStyle w:val="TableContents"/>
              <w:bidi w:val="0"/>
              <w:spacing w:before="0" w:after="283"/>
              <w:jc w:val="left"/>
              <w:rPr>
                <w:sz w:val="4"/>
                <w:szCs w:val="4"/>
              </w:rPr>
            </w:pPr>
            <w:r>
              <w:rPr>
                <w:sz w:val="4"/>
                <w:szCs w:val="4"/>
              </w:rPr>
            </w:r>
          </w:p>
        </w:tc>
        <w:tc>
          <w:tcPr>
            <w:tcW w:w="9449" w:type="dxa"/>
            <w:tcBorders/>
            <w:vAlign w:val="center"/>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Level 1:</w:t>
            </w:r>
            <w:r>
              <w:rPr>
                <w:rFonts w:ascii="Times New Roman" w:hAnsi="Times New Roman"/>
                <w:sz w:val="20"/>
              </w:rPr>
              <w:t xml:space="preserve"> </w:t>
            </w:r>
          </w:p>
        </w:tc>
        <w:tc>
          <w:tcPr>
            <w:tcW w:w="94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Observable inputs such as quoted prices in active markets;</w:t>
            </w:r>
          </w:p>
        </w:tc>
      </w:tr>
      <w:tr>
        <w:trPr/>
        <w:tc>
          <w:tcPr>
            <w:tcW w:w="756" w:type="dxa"/>
            <w:tcBorders/>
            <w:vAlign w:val="center"/>
          </w:tcPr>
          <w:p>
            <w:pPr>
              <w:pStyle w:val="TableContents"/>
              <w:bidi w:val="0"/>
              <w:spacing w:before="0" w:after="0"/>
              <w:ind w:left="0" w:right="0" w:hanging="0"/>
              <w:jc w:val="left"/>
              <w:rPr/>
            </w:pPr>
            <w:r>
              <w:rPr/>
              <w:t> </w:t>
            </w:r>
          </w:p>
        </w:tc>
        <w:tc>
          <w:tcPr>
            <w:tcW w:w="9449" w:type="dxa"/>
            <w:tcBorders/>
            <w:vAlign w:val="center"/>
          </w:tcPr>
          <w:p>
            <w:pPr>
              <w:pStyle w:val="TableContents"/>
              <w:bidi w:val="0"/>
              <w:spacing w:before="0" w:after="0"/>
              <w:ind w:left="0" w:right="0" w:hanging="0"/>
              <w:jc w:val="left"/>
              <w:rPr/>
            </w:pPr>
            <w:r>
              <w:rPr/>
              <w:t> </w:t>
            </w:r>
          </w:p>
        </w:tc>
      </w:tr>
      <w:tr>
        <w:trPr/>
        <w:tc>
          <w:tcPr>
            <w:tcW w:w="7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Level 2:</w:t>
            </w:r>
            <w:r>
              <w:rPr>
                <w:rFonts w:ascii="Times New Roman" w:hAnsi="Times New Roman"/>
                <w:sz w:val="20"/>
              </w:rPr>
              <w:t xml:space="preserve"> </w:t>
            </w:r>
          </w:p>
        </w:tc>
        <w:tc>
          <w:tcPr>
            <w:tcW w:w="94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Inputs are quoted prices for similar items in active markets or quoted prices for identical or similar items in markets that are not active near the measurement date; and</w:t>
            </w:r>
          </w:p>
        </w:tc>
      </w:tr>
      <w:tr>
        <w:trPr/>
        <w:tc>
          <w:tcPr>
            <w:tcW w:w="756" w:type="dxa"/>
            <w:tcBorders/>
            <w:vAlign w:val="center"/>
          </w:tcPr>
          <w:p>
            <w:pPr>
              <w:pStyle w:val="TableContents"/>
              <w:bidi w:val="0"/>
              <w:spacing w:before="0" w:after="0"/>
              <w:ind w:left="0" w:right="0" w:hanging="0"/>
              <w:jc w:val="left"/>
              <w:rPr/>
            </w:pPr>
            <w:r>
              <w:rPr/>
              <w:t> </w:t>
            </w:r>
          </w:p>
        </w:tc>
        <w:tc>
          <w:tcPr>
            <w:tcW w:w="9449" w:type="dxa"/>
            <w:tcBorders/>
            <w:vAlign w:val="center"/>
          </w:tcPr>
          <w:p>
            <w:pPr>
              <w:pStyle w:val="TableContents"/>
              <w:bidi w:val="0"/>
              <w:spacing w:before="0" w:after="0"/>
              <w:ind w:left="0" w:right="0" w:hanging="0"/>
              <w:jc w:val="left"/>
              <w:rPr/>
            </w:pPr>
            <w:r>
              <w:rPr/>
              <w:t> </w:t>
            </w:r>
          </w:p>
        </w:tc>
      </w:tr>
      <w:tr>
        <w:trPr/>
        <w:tc>
          <w:tcPr>
            <w:tcW w:w="7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Level 3:</w:t>
            </w:r>
            <w:r>
              <w:rPr>
                <w:rFonts w:ascii="Times New Roman" w:hAnsi="Times New Roman"/>
                <w:sz w:val="20"/>
              </w:rPr>
              <w:t xml:space="preserve"> </w:t>
            </w:r>
          </w:p>
        </w:tc>
        <w:tc>
          <w:tcPr>
            <w:tcW w:w="94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Unobservable inputs due to little or no market data, which require the reporting entity to develop its own assumptions.</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carrying amount and approximate fair value of financial instruments as of June 30, 2023 and December 31, 2022, were as follows: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515"/>
        <w:gridCol w:w="146"/>
        <w:gridCol w:w="295"/>
        <w:gridCol w:w="1094"/>
        <w:gridCol w:w="146"/>
        <w:gridCol w:w="146"/>
        <w:gridCol w:w="211"/>
        <w:gridCol w:w="781"/>
        <w:gridCol w:w="146"/>
        <w:gridCol w:w="146"/>
        <w:gridCol w:w="236"/>
        <w:gridCol w:w="1165"/>
        <w:gridCol w:w="146"/>
        <w:gridCol w:w="146"/>
        <w:gridCol w:w="211"/>
        <w:gridCol w:w="1036"/>
        <w:gridCol w:w="146"/>
        <w:gridCol w:w="146"/>
        <w:gridCol w:w="1347"/>
      </w:tblGrid>
      <w:tr>
        <w:trPr/>
        <w:tc>
          <w:tcPr>
            <w:tcW w:w="2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25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94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47" w:type="dxa"/>
            <w:tcBorders/>
            <w:vAlign w:val="center"/>
          </w:tcPr>
          <w:p>
            <w:pPr>
              <w:pStyle w:val="TableContents"/>
              <w:bidi w:val="0"/>
              <w:spacing w:before="0" w:after="0"/>
              <w:ind w:left="0" w:right="0" w:hanging="0"/>
              <w:jc w:val="center"/>
              <w:rPr/>
            </w:pPr>
            <w:r>
              <w:rPr/>
              <w:t> </w:t>
            </w:r>
          </w:p>
        </w:tc>
      </w:tr>
      <w:tr>
        <w:trPr/>
        <w:tc>
          <w:tcPr>
            <w:tcW w:w="251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 Inputs</w:t>
            </w:r>
          </w:p>
        </w:tc>
      </w:tr>
      <w:tr>
        <w:trPr/>
        <w:tc>
          <w:tcPr>
            <w:tcW w:w="2515"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13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0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47" w:type="dxa"/>
            <w:tcBorders/>
            <w:vAlign w:val="center"/>
          </w:tcPr>
          <w:p>
            <w:pPr>
              <w:pStyle w:val="TableContents"/>
              <w:bidi w:val="0"/>
              <w:spacing w:before="0" w:after="0"/>
              <w:ind w:left="0" w:right="0" w:hanging="0"/>
              <w:jc w:val="right"/>
              <w:rPr/>
            </w:pPr>
            <w:r>
              <w:rPr/>
              <w:t> </w:t>
            </w:r>
          </w:p>
        </w:tc>
      </w:tr>
      <w:tr>
        <w:trPr/>
        <w:tc>
          <w:tcPr>
            <w:tcW w:w="2515"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762,116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762,116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4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r>
      <w:tr>
        <w:trPr/>
        <w:tc>
          <w:tcPr>
            <w:tcW w:w="2515"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Investments</w:t>
            </w:r>
          </w:p>
        </w:tc>
        <w:tc>
          <w:tcPr>
            <w:tcW w:w="146" w:type="dxa"/>
            <w:tcBorders/>
            <w:vAlign w:val="center"/>
          </w:tcPr>
          <w:p>
            <w:pPr>
              <w:pStyle w:val="TableContents"/>
              <w:bidi w:val="0"/>
              <w:spacing w:before="0" w:after="0"/>
              <w:ind w:left="0" w:right="0" w:hanging="0"/>
              <w:jc w:val="left"/>
              <w:rPr/>
            </w:pPr>
            <w:r>
              <w:rPr/>
              <w:t> </w:t>
            </w:r>
          </w:p>
        </w:tc>
        <w:tc>
          <w:tcPr>
            <w:tcW w:w="13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0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47" w:type="dxa"/>
            <w:tcBorders/>
            <w:vAlign w:val="center"/>
          </w:tcPr>
          <w:p>
            <w:pPr>
              <w:pStyle w:val="TableContents"/>
              <w:bidi w:val="0"/>
              <w:spacing w:before="0" w:after="0"/>
              <w:ind w:left="0" w:right="0" w:hanging="0"/>
              <w:jc w:val="center"/>
              <w:rPr/>
            </w:pPr>
            <w:r>
              <w:rPr/>
              <w:t> </w:t>
            </w:r>
          </w:p>
        </w:tc>
      </w:tr>
      <w:tr>
        <w:trPr/>
        <w:tc>
          <w:tcPr>
            <w:tcW w:w="2515"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Bank certificates of deposit</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109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39,982,213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39,982,213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4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Short-term investments consisting of bank certificates of deposit with an original purchased maturity greater than three months are classified as held-to-maturity and are stated at amortized cost, which approximates fair value due to the short-term maturities and market rates of interest of these instruments.</w:t>
      </w:r>
    </w:p>
    <w:p>
      <w:pPr>
        <w:pStyle w:val="TextBody"/>
        <w:bidi w:val="0"/>
        <w:spacing w:before="360" w:after="0"/>
        <w:jc w:val="left"/>
        <w:rPr>
          <w:rFonts w:ascii="Times New Roman;serif" w:hAnsi="Times New Roman;serif"/>
          <w:b/>
          <w:sz w:val="20"/>
        </w:rPr>
      </w:pPr>
      <w:r>
        <w:rPr>
          <w:rFonts w:ascii="Times New Roman;serif" w:hAnsi="Times New Roman;serif"/>
          <w:b/>
          <w:sz w:val="20"/>
        </w:rPr>
        <w:t>4. Commitments and Contingencies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Lease Commitments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operating leases primarily for real estate in the United States and Japan. The United States lease is for the Company’s headquarters in San Diego and has a term of five years</w:t>
      </w:r>
      <w:r>
        <w:rPr>
          <w:rFonts w:ascii="Times New Roman" w:hAnsi="Times New Roman"/>
          <w:sz w:val="20"/>
        </w:rPr>
        <w:t xml:space="preserve"> </w:t>
      </w:r>
      <w:r>
        <w:rPr>
          <w:rFonts w:ascii="Times New Roman;serif" w:hAnsi="Times New Roman;serif"/>
          <w:b w:val="false"/>
          <w:sz w:val="20"/>
        </w:rPr>
        <w:t>ending January 31, 2027, with annual escalations. The Company’s lease in Tokyo, Japan has a term of two years</w:t>
      </w:r>
      <w:r>
        <w:rPr>
          <w:rFonts w:ascii="Times New Roman" w:hAnsi="Times New Roman"/>
          <w:sz w:val="20"/>
        </w:rPr>
        <w:t xml:space="preserve"> </w:t>
      </w:r>
      <w:r>
        <w:rPr>
          <w:rFonts w:ascii="Times New Roman;serif" w:hAnsi="Times New Roman;serif"/>
          <w:b w:val="false"/>
          <w:sz w:val="20"/>
        </w:rPr>
        <w:t>ending</w:t>
      </w:r>
      <w:r>
        <w:rPr>
          <w:rFonts w:ascii="Times New Roman" w:hAnsi="Times New Roman"/>
          <w:sz w:val="20"/>
        </w:rPr>
        <w:t xml:space="preserve"> </w:t>
      </w:r>
      <w:r>
        <w:rPr>
          <w:rFonts w:ascii="Times New Roman;serif" w:hAnsi="Times New Roman;serif"/>
          <w:b w:val="false"/>
          <w:sz w:val="20"/>
        </w:rPr>
        <w:t>May 2025</w:t>
      </w:r>
      <w:r>
        <w:rPr>
          <w:rFonts w:ascii="Times New Roman" w:hAnsi="Times New Roman"/>
          <w:sz w:val="20"/>
        </w:rPr>
        <w:t xml:space="preserve"> </w:t>
      </w:r>
      <w:r>
        <w:rPr>
          <w:rFonts w:ascii="Times New Roman;serif" w:hAnsi="Times New Roman;serif"/>
          <w:b w:val="false"/>
          <w:sz w:val="20"/>
        </w:rPr>
        <w:t>with an auto-renewal, two-year</w:t>
      </w:r>
      <w:r>
        <w:rPr>
          <w:rFonts w:ascii="Times New Roman" w:hAnsi="Times New Roman"/>
          <w:sz w:val="20"/>
        </w:rPr>
        <w:t xml:space="preserve"> </w:t>
      </w:r>
      <w:r>
        <w:rPr>
          <w:rFonts w:ascii="Times New Roman;serif" w:hAnsi="Times New Roman;serif"/>
          <w:b w:val="false"/>
          <w:sz w:val="20"/>
        </w:rPr>
        <w:t>extension. The real estate operating leases are included in "Right-of-use asset” on the Company's balance sheet and represents the Company’s right to use the underlying assets for the lease term. The Company’s obligation to make lease payments are included in "Operating lease liability" and "Other non-current liabilities" on the Company's balance sheet.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120"/>
        <w:jc w:val="left"/>
        <w:rPr>
          <w:rFonts w:ascii="Times New Roman" w:hAnsi="Times New Roman"/>
          <w:sz w:val="20"/>
        </w:rPr>
      </w:pPr>
      <w:r>
        <w:rPr>
          <w:rFonts w:ascii="Times New Roman;serif" w:hAnsi="Times New Roman;serif"/>
          <w:b w:val="false"/>
          <w:sz w:val="20"/>
        </w:rPr>
        <w:t>Information related to the Company’s right-of-use assets and related lease liabilities are as follows:</w:t>
      </w:r>
      <w:r>
        <w:rPr>
          <w:rFonts w:ascii="Times New Roman" w:hAnsi="Times New Roman"/>
          <w:sz w:val="20"/>
        </w:rPr>
        <w:t xml:space="preserve"> </w:t>
      </w:r>
    </w:p>
    <w:tbl>
      <w:tblPr>
        <w:tblW w:w="8272" w:type="dxa"/>
        <w:jc w:val="left"/>
        <w:tblInd w:w="0" w:type="dxa"/>
        <w:tblLayout w:type="fixed"/>
        <w:tblCellMar>
          <w:top w:w="28" w:type="dxa"/>
          <w:left w:w="28" w:type="dxa"/>
          <w:bottom w:w="28" w:type="dxa"/>
          <w:right w:w="28" w:type="dxa"/>
        </w:tblCellMar>
      </w:tblPr>
      <w:tblGrid>
        <w:gridCol w:w="3301"/>
        <w:gridCol w:w="146"/>
        <w:gridCol w:w="211"/>
        <w:gridCol w:w="676"/>
        <w:gridCol w:w="146"/>
        <w:gridCol w:w="146"/>
        <w:gridCol w:w="211"/>
        <w:gridCol w:w="676"/>
        <w:gridCol w:w="146"/>
        <w:gridCol w:w="146"/>
        <w:gridCol w:w="211"/>
        <w:gridCol w:w="781"/>
        <w:gridCol w:w="146"/>
        <w:gridCol w:w="146"/>
        <w:gridCol w:w="211"/>
        <w:gridCol w:w="78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91" w:type="dxa"/>
            <w:tcBorders/>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91" w:type="dxa"/>
            <w:tcBorders/>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top w:val="single" w:sz="18" w:space="0" w:color="000000"/>
              <w:bottom w:val="single" w:sz="18"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68,565</w:t>
            </w:r>
          </w:p>
        </w:tc>
        <w:tc>
          <w:tcPr>
            <w:tcW w:w="19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115,222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7092" w:type="dxa"/>
        <w:jc w:val="left"/>
        <w:tblInd w:w="0" w:type="dxa"/>
        <w:tblLayout w:type="fixed"/>
        <w:tblCellMar>
          <w:top w:w="28" w:type="dxa"/>
          <w:left w:w="28" w:type="dxa"/>
          <w:bottom w:w="28" w:type="dxa"/>
          <w:right w:w="28" w:type="dxa"/>
        </w:tblCellMar>
      </w:tblPr>
      <w:tblGrid>
        <w:gridCol w:w="4126"/>
        <w:gridCol w:w="146"/>
        <w:gridCol w:w="211"/>
        <w:gridCol w:w="781"/>
        <w:gridCol w:w="271"/>
        <w:gridCol w:w="146"/>
        <w:gridCol w:w="233"/>
        <w:gridCol w:w="862"/>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16" w:type="dxa"/>
            <w:tcBorders/>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201,277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157,505</w:t>
            </w:r>
          </w:p>
        </w:tc>
        <w:tc>
          <w:tcPr>
            <w:tcW w:w="316"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519,685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523,619</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720,962</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681,124</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remaining lease term (in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316"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discount rate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8192" w:type="dxa"/>
        <w:jc w:val="left"/>
        <w:tblInd w:w="0" w:type="dxa"/>
        <w:tblLayout w:type="fixed"/>
        <w:tblCellMar>
          <w:top w:w="28" w:type="dxa"/>
          <w:left w:w="28" w:type="dxa"/>
          <w:bottom w:w="28" w:type="dxa"/>
          <w:right w:w="28" w:type="dxa"/>
        </w:tblCellMar>
      </w:tblPr>
      <w:tblGrid>
        <w:gridCol w:w="6211"/>
        <w:gridCol w:w="146"/>
        <w:gridCol w:w="146"/>
        <w:gridCol w:w="146"/>
        <w:gridCol w:w="211"/>
        <w:gridCol w:w="841"/>
        <w:gridCol w:w="49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Maturities of operating lease liabilities as of June 30, 2023 were as follows: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six months)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128,491</w:t>
            </w:r>
          </w:p>
        </w:tc>
        <w:tc>
          <w:tcPr>
            <w:tcW w:w="49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263,811</w:t>
            </w:r>
          </w:p>
        </w:tc>
        <w:tc>
          <w:tcPr>
            <w:tcW w:w="49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228,686</w:t>
            </w:r>
          </w:p>
        </w:tc>
        <w:tc>
          <w:tcPr>
            <w:tcW w:w="49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206,483</w:t>
            </w:r>
          </w:p>
        </w:tc>
        <w:tc>
          <w:tcPr>
            <w:tcW w:w="49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17,269</w:t>
            </w:r>
          </w:p>
        </w:tc>
        <w:tc>
          <w:tcPr>
            <w:tcW w:w="49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621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minimum payments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844,740</w:t>
            </w:r>
          </w:p>
        </w:tc>
        <w:tc>
          <w:tcPr>
            <w:tcW w:w="491" w:type="dxa"/>
            <w:tcBorders/>
            <w:vAlign w:val="center"/>
          </w:tcPr>
          <w:p>
            <w:pPr>
              <w:pStyle w:val="TableContents"/>
              <w:bidi w:val="0"/>
              <w:spacing w:before="0" w:after="0"/>
              <w:ind w:left="0" w:right="0" w:hanging="0"/>
              <w:jc w:val="left"/>
              <w:rPr/>
            </w:pPr>
            <w:r>
              <w:rPr/>
              <w:t> </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(123,778</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720,962</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Product Liability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License and Research Agreements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pStyle w:val="TextBody"/>
        <w:bidi w:val="0"/>
        <w:spacing w:before="24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milestone payments have been made under these agreements during the three and six months ended June 30, 2023 and 2022. For products currently in development, future potential milestone payments based on product development of MN-166 (ibudilast) and MN-001 (tipelukast) are $10</w:t>
      </w:r>
      <w:r>
        <w:rPr>
          <w:rFonts w:ascii="Times New Roman" w:hAnsi="Times New Roman"/>
          <w:sz w:val="20"/>
        </w:rPr>
        <w:t xml:space="preserve"> </w:t>
      </w:r>
      <w:r>
        <w:rPr>
          <w:rFonts w:ascii="Times New Roman;serif" w:hAnsi="Times New Roman;serif"/>
          <w:b w:val="false"/>
          <w:sz w:val="20"/>
        </w:rPr>
        <w:t>million as of June 30, 2023. For all other products, future potential milestone payments related to development milestones and commercialization milestones totaled $16.5</w:t>
      </w:r>
      <w:r>
        <w:rPr>
          <w:rFonts w:ascii="Times New Roman" w:hAnsi="Times New Roman"/>
          <w:sz w:val="20"/>
        </w:rPr>
        <w:t xml:space="preserve"> </w:t>
      </w:r>
      <w:r>
        <w:rPr>
          <w:rFonts w:ascii="Times New Roman;serif" w:hAnsi="Times New Roman;serif"/>
          <w:b w:val="false"/>
          <w:sz w:val="20"/>
        </w:rPr>
        <w:t>million as of June 30, 2023.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5. Stock-based Compensation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 Incentive Plans</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2013, the Company adopted the 2013 Equity Incentive Plan, or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w:t>
      </w:r>
      <w:r>
        <w:rPr>
          <w:rFonts w:ascii="Times New Roman" w:hAnsi="Times New Roman"/>
          <w:sz w:val="20"/>
        </w:rPr>
        <w:t xml:space="preserve"> </w:t>
      </w:r>
      <w:r>
        <w:rPr>
          <w:rFonts w:ascii="Times New Roman;serif" w:hAnsi="Times New Roman;serif"/>
          <w:b w:val="false"/>
          <w:sz w:val="20"/>
        </w:rPr>
        <w:t>shares of common stock were reserved for issuance under the 2013 Plan. In addition, “returning shares” that may become available from time to time were added back to the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June 2023, the Company adopted the 2023 Equity Incentive Plan, or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A total of 8,700,000</w:t>
      </w:r>
      <w:r>
        <w:rPr>
          <w:rFonts w:ascii="Times New Roman" w:hAnsi="Times New Roman"/>
          <w:sz w:val="20"/>
        </w:rPr>
        <w:t xml:space="preserve"> </w:t>
      </w:r>
      <w:r>
        <w:rPr>
          <w:rFonts w:ascii="Times New Roman;serif" w:hAnsi="Times New Roman;serif"/>
          <w:b w:val="false"/>
          <w:sz w:val="20"/>
        </w:rPr>
        <w:t>shares of common stock are reserved for issuance under the 2023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 Plan and are subsequently forfeited to or reacquired by the Company and (b) shares reserved under the 2013 Plan that were not issued or subject to outstanding awards under the 2013 Plan upon expiration of the 2013 Plan. While a maximum of 9,934,567</w:t>
      </w:r>
      <w:r>
        <w:rPr>
          <w:rFonts w:ascii="Times New Roman" w:hAnsi="Times New Roman"/>
          <w:sz w:val="20"/>
        </w:rPr>
        <w:t xml:space="preserve"> </w:t>
      </w:r>
      <w:r>
        <w:rPr>
          <w:rFonts w:ascii="Times New Roman;serif" w:hAnsi="Times New Roman;serif"/>
          <w:b w:val="false"/>
          <w:sz w:val="20"/>
        </w:rPr>
        <w:t>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1,648,151</w:t>
      </w:r>
      <w:r>
        <w:rPr>
          <w:rFonts w:ascii="Times New Roman" w:hAnsi="Times New Roman"/>
          <w:sz w:val="20"/>
        </w:rPr>
        <w:t xml:space="preserve"> </w:t>
      </w:r>
      <w:r>
        <w:rPr>
          <w:rFonts w:ascii="Times New Roman;serif" w:hAnsi="Times New Roman;serif"/>
          <w:b w:val="false"/>
          <w:sz w:val="20"/>
        </w:rPr>
        <w:t>shares remain available for future grants under the 2023 Plan.</w:t>
      </w:r>
    </w:p>
    <w:p>
      <w:pPr>
        <w:pStyle w:val="TextBody"/>
        <w:bidi w:val="0"/>
        <w:spacing w:before="240" w:after="0"/>
        <w:jc w:val="left"/>
        <w:rPr>
          <w:rFonts w:ascii="Times New Roman" w:hAnsi="Times New Roman"/>
          <w:sz w:val="20"/>
        </w:rPr>
      </w:pPr>
      <w:r>
        <w:rPr>
          <w:rFonts w:ascii="Times New Roman;serif" w:hAnsi="Times New Roman;serif"/>
          <w:b w:val="false"/>
          <w:sz w:val="20"/>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June 30, 2023, there were a total of</w:t>
      </w:r>
      <w:r>
        <w:rPr>
          <w:rFonts w:ascii="Times New Roman" w:hAnsi="Times New Roman"/>
          <w:sz w:val="20"/>
        </w:rPr>
        <w:t xml:space="preserve"> </w:t>
      </w:r>
      <w:r>
        <w:rPr>
          <w:rFonts w:ascii="Times New Roman;serif" w:hAnsi="Times New Roman;serif"/>
          <w:b w:val="false"/>
          <w:sz w:val="20"/>
        </w:rPr>
        <w:t>730,350</w:t>
      </w:r>
      <w:r>
        <w:rPr>
          <w:rFonts w:ascii="Times New Roman" w:hAnsi="Times New Roman"/>
          <w:sz w:val="20"/>
        </w:rPr>
        <w:t xml:space="preserve"> </w:t>
      </w:r>
      <w:r>
        <w:rPr>
          <w:rFonts w:ascii="Times New Roman;serif" w:hAnsi="Times New Roman;serif"/>
          <w:b w:val="false"/>
          <w:sz w:val="20"/>
        </w:rPr>
        <w:t>shares underlying performance options that were subject to vesting based on achievement of corporate objectives for 2023.</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Stock Options</w:t>
      </w:r>
    </w:p>
    <w:p>
      <w:pPr>
        <w:pStyle w:val="TextBody"/>
        <w:bidi w:val="0"/>
        <w:spacing w:before="120" w:after="0"/>
        <w:jc w:val="left"/>
        <w:rPr>
          <w:rFonts w:ascii="Times New Roman" w:hAnsi="Times New Roman"/>
          <w:sz w:val="20"/>
        </w:rPr>
      </w:pPr>
      <w:r>
        <w:rPr>
          <w:rFonts w:ascii="Times New Roman;serif" w:hAnsi="Times New Roman;serif"/>
          <w:b w:val="false"/>
          <w:sz w:val="20"/>
        </w:rPr>
        <w:t>Options granted under the 2023 Plan and the 2013 Plan have terms of ten years</w:t>
      </w:r>
      <w:r>
        <w:rPr>
          <w:rFonts w:ascii="Times New Roman" w:hAnsi="Times New Roman"/>
          <w:sz w:val="20"/>
        </w:rPr>
        <w:t xml:space="preserve"> </w:t>
      </w:r>
      <w:r>
        <w:rPr>
          <w:rFonts w:ascii="Times New Roman;serif" w:hAnsi="Times New Roman;serif"/>
          <w:b w:val="false"/>
          <w:sz w:val="20"/>
        </w:rPr>
        <w:t>from the date of grant unless earlier terminated and generally vest over a one</w:t>
      </w:r>
      <w:r>
        <w:rPr>
          <w:rFonts w:ascii="Times New Roman" w:hAnsi="Times New Roman"/>
          <w:sz w:val="20"/>
        </w:rPr>
        <w:t xml:space="preserve"> </w:t>
      </w:r>
      <w:r>
        <w:rPr>
          <w:rFonts w:ascii="Times New Roman;serif" w:hAnsi="Times New Roman;serif"/>
          <w:b w:val="false"/>
          <w:sz w:val="20"/>
        </w:rPr>
        <w:t>or four year</w:t>
      </w:r>
      <w:r>
        <w:rPr>
          <w:rFonts w:ascii="Times New Roman" w:hAnsi="Times New Roman"/>
          <w:sz w:val="20"/>
        </w:rPr>
        <w:t xml:space="preserve"> </w:t>
      </w:r>
      <w:r>
        <w:rPr>
          <w:rFonts w:ascii="Times New Roman;serif" w:hAnsi="Times New Roman;serif"/>
          <w:b w:val="false"/>
          <w:sz w:val="20"/>
        </w:rPr>
        <w:t>period. The exercise price of all options granted through June 30, 2023 and 2022, was equal to the fair market value of the Company’s common stock on the date of grant.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 summary of stock option activity and related information as of June 30, 2023 is as follows:</w:t>
      </w:r>
    </w:p>
    <w:tbl>
      <w:tblPr>
        <w:tblW w:w="6391" w:type="dxa"/>
        <w:jc w:val="left"/>
        <w:tblInd w:w="0" w:type="dxa"/>
        <w:tblLayout w:type="fixed"/>
        <w:tblCellMar>
          <w:top w:w="28" w:type="dxa"/>
          <w:left w:w="28" w:type="dxa"/>
          <w:bottom w:w="28" w:type="dxa"/>
          <w:right w:w="28" w:type="dxa"/>
        </w:tblCellMar>
      </w:tblPr>
      <w:tblGrid>
        <w:gridCol w:w="3001"/>
        <w:gridCol w:w="146"/>
        <w:gridCol w:w="154"/>
        <w:gridCol w:w="986"/>
        <w:gridCol w:w="166"/>
        <w:gridCol w:w="146"/>
        <w:gridCol w:w="453"/>
        <w:gridCol w:w="1002"/>
        <w:gridCol w:w="146"/>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Number</w:t>
            </w:r>
            <w:r>
              <w:rPr>
                <w:rFonts w:ascii="Times New Roman" w:hAnsi="Times New Roman"/>
                <w:sz w:val="16"/>
              </w:rPr>
              <w:t xml:space="preserve"> </w:t>
            </w:r>
            <w:r>
              <w:rPr>
                <w:rFonts w:ascii="Times New Roman;serif" w:hAnsi="Times New Roman;serif"/>
                <w:b/>
                <w:sz w:val="16"/>
              </w:rPr>
              <w:t>of</w:t>
              <w:br/>
              <w:t>Option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7,985,250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770,350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9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(469,184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Outstanding at June 30, 2023</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8,286,416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0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Exercisable at June 30, 2023</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7,492,898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serif" w:hAnsi="Times New Roman;serif"/>
          <w:b/>
          <w:i/>
          <w:sz w:val="20"/>
        </w:rPr>
      </w:pPr>
      <w:r>
        <w:rPr>
          <w:rFonts w:ascii="Times New Roman;serif" w:hAnsi="Times New Roman;serif"/>
          <w:b/>
          <w:i/>
          <w:sz w:val="20"/>
        </w:rPr>
        <w:t>Compensation Expense</w:t>
      </w:r>
    </w:p>
    <w:p>
      <w:pPr>
        <w:pStyle w:val="TextBody"/>
        <w:bidi w:val="0"/>
        <w:spacing w:before="120" w:after="0"/>
        <w:jc w:val="left"/>
        <w:rPr>
          <w:rFonts w:ascii="Times New Roman" w:hAnsi="Times New Roman"/>
          <w:sz w:val="20"/>
        </w:rPr>
      </w:pPr>
      <w:r>
        <w:rPr>
          <w:rFonts w:ascii="Times New Roman;serif" w:hAnsi="Times New Roman;serif"/>
          <w:b w:val="false"/>
          <w:sz w:val="20"/>
        </w:rPr>
        <w:t>Stock-based compensation expense for stock option awards are reflected in total operating expenses for each respective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stock-based compensation expense for the three and six months ended June 30, 2023 and 2022, respectively:</w:t>
      </w:r>
      <w:r>
        <w:rPr>
          <w:rFonts w:ascii="Times New Roman" w:hAnsi="Times New Roman"/>
          <w:sz w:val="20"/>
        </w:rPr>
        <w:t xml:space="preserve"> </w:t>
      </w:r>
    </w:p>
    <w:p>
      <w:pPr>
        <w:pStyle w:val="TextBody"/>
        <w:bidi w:val="0"/>
        <w:spacing w:before="0" w:after="0"/>
        <w:jc w:val="left"/>
        <w:rPr/>
      </w:pPr>
      <w:r>
        <w:rPr/>
        <w:t> </w:t>
      </w:r>
    </w:p>
    <w:tbl>
      <w:tblPr>
        <w:tblW w:w="8632"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781"/>
        <w:gridCol w:w="146"/>
        <w:gridCol w:w="146"/>
        <w:gridCol w:w="211"/>
        <w:gridCol w:w="781"/>
        <w:gridCol w:w="146"/>
        <w:gridCol w:w="146"/>
        <w:gridCol w:w="211"/>
        <w:gridCol w:w="78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91"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development and patents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138,871</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205,673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178,138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467,818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216,684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325,710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274,502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728,973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355,555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six months ended June 30, 2023 and 2022, and to estimate the fair value of performance-based stock options as of June 30, 2023 and 2022. </w:t>
      </w:r>
    </w:p>
    <w:p>
      <w:pPr>
        <w:pStyle w:val="TextBody"/>
        <w:bidi w:val="0"/>
        <w:spacing w:before="0" w:after="0"/>
        <w:jc w:val="left"/>
        <w:rPr/>
      </w:pPr>
      <w:r>
        <w:rPr/>
        <w:t> </w:t>
      </w:r>
    </w:p>
    <w:tbl>
      <w:tblPr>
        <w:tblW w:w="6175" w:type="dxa"/>
        <w:jc w:val="left"/>
        <w:tblInd w:w="0" w:type="dxa"/>
        <w:tblLayout w:type="fixed"/>
        <w:tblCellMar>
          <w:top w:w="28" w:type="dxa"/>
          <w:left w:w="28" w:type="dxa"/>
          <w:bottom w:w="28" w:type="dxa"/>
          <w:right w:w="28" w:type="dxa"/>
        </w:tblCellMar>
      </w:tblPr>
      <w:tblGrid>
        <w:gridCol w:w="3136"/>
        <w:gridCol w:w="146"/>
        <w:gridCol w:w="1351"/>
        <w:gridCol w:w="146"/>
        <w:gridCol w:w="139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3" w:type="dxa"/>
            <w:gridSpan w:val="3"/>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r>
      <w:tr>
        <w:trPr/>
        <w:tc>
          <w:tcPr>
            <w:tcW w:w="31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Stock Option assumptions:</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center"/>
              <w:rPr/>
            </w:pPr>
            <w:r>
              <w:rPr/>
              <w:t> </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3.59</w:t>
            </w:r>
            <w:r>
              <w:rPr>
                <w:rFonts w:ascii="Times New Roman" w:hAnsi="Times New Roman"/>
                <w:sz w:val="20"/>
              </w:rPr>
              <w:t> </w:t>
            </w:r>
            <w:r>
              <w:rPr>
                <w:rFonts w:ascii="Times New Roman;serif" w:hAnsi="Times New Roman;serif"/>
                <w:b w:val="false"/>
                <w:sz w:val="20"/>
              </w:rPr>
              <w:t>- 4.13%</w:t>
            </w:r>
          </w:p>
        </w:tc>
        <w:tc>
          <w:tcPr>
            <w:tcW w:w="146" w:type="dxa"/>
            <w:tcBorders/>
            <w:vAlign w:val="center"/>
          </w:tcPr>
          <w:p>
            <w:pPr>
              <w:pStyle w:val="TableContents"/>
              <w:bidi w:val="0"/>
              <w:spacing w:before="0" w:after="0"/>
              <w:ind w:left="0" w:right="0" w:hanging="0"/>
              <w:jc w:val="center"/>
              <w:rPr/>
            </w:pPr>
            <w:r>
              <w:rPr/>
              <w:t> </w:t>
            </w:r>
          </w:p>
        </w:tc>
        <w:tc>
          <w:tcPr>
            <w:tcW w:w="139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2.42</w:t>
            </w:r>
            <w:r>
              <w:rPr>
                <w:rFonts w:ascii="Times New Roman" w:hAnsi="Times New Roman"/>
                <w:sz w:val="20"/>
              </w:rPr>
              <w:t> </w:t>
            </w:r>
            <w:r>
              <w:rPr>
                <w:rFonts w:ascii="Times New Roman;serif" w:hAnsi="Times New Roman;serif"/>
                <w:b w:val="false"/>
                <w:sz w:val="20"/>
              </w:rPr>
              <w:t>- 3.01%</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 of common stock</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75.81</w:t>
            </w:r>
            <w:r>
              <w:rPr>
                <w:rFonts w:ascii="Times New Roman" w:hAnsi="Times New Roman"/>
                <w:sz w:val="20"/>
              </w:rPr>
              <w:t> </w:t>
            </w:r>
            <w:r>
              <w:rPr>
                <w:rFonts w:ascii="Times New Roman;serif" w:hAnsi="Times New Roman;serif"/>
                <w:b w:val="false"/>
                <w:sz w:val="20"/>
              </w:rPr>
              <w:t>- 77.96%</w:t>
            </w:r>
          </w:p>
        </w:tc>
        <w:tc>
          <w:tcPr>
            <w:tcW w:w="146" w:type="dxa"/>
            <w:tcBorders/>
            <w:vAlign w:val="center"/>
          </w:tcPr>
          <w:p>
            <w:pPr>
              <w:pStyle w:val="TableContents"/>
              <w:bidi w:val="0"/>
              <w:spacing w:before="0" w:after="0"/>
              <w:ind w:left="0" w:right="0" w:hanging="0"/>
              <w:jc w:val="center"/>
              <w:rPr/>
            </w:pPr>
            <w:r>
              <w:rPr/>
              <w:t> </w:t>
            </w:r>
          </w:p>
        </w:tc>
        <w:tc>
          <w:tcPr>
            <w:tcW w:w="139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75.13</w:t>
            </w:r>
            <w:r>
              <w:rPr>
                <w:rFonts w:ascii="Times New Roman" w:hAnsi="Times New Roman"/>
                <w:sz w:val="20"/>
              </w:rPr>
              <w:t> </w:t>
            </w:r>
            <w:r>
              <w:rPr>
                <w:rFonts w:ascii="Times New Roman;serif" w:hAnsi="Times New Roman;serif"/>
                <w:b w:val="false"/>
                <w:sz w:val="20"/>
              </w:rPr>
              <w:t>- 78.45%</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0.00%</w:t>
            </w:r>
          </w:p>
        </w:tc>
        <w:tc>
          <w:tcPr>
            <w:tcW w:w="146" w:type="dxa"/>
            <w:tcBorders/>
            <w:vAlign w:val="center"/>
          </w:tcPr>
          <w:p>
            <w:pPr>
              <w:pStyle w:val="TableContents"/>
              <w:bidi w:val="0"/>
              <w:spacing w:before="0" w:after="0"/>
              <w:ind w:left="0" w:right="0" w:hanging="0"/>
              <w:jc w:val="center"/>
              <w:rPr/>
            </w:pPr>
            <w:r>
              <w:rPr/>
              <w:t> </w:t>
            </w:r>
          </w:p>
        </w:tc>
        <w:tc>
          <w:tcPr>
            <w:tcW w:w="13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0.00%</w:t>
            </w:r>
          </w:p>
        </w:tc>
      </w:tr>
      <w:tr>
        <w:trPr/>
        <w:tc>
          <w:tcPr>
            <w:tcW w:w="31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5.13</w:t>
            </w:r>
            <w:r>
              <w:rPr>
                <w:rFonts w:ascii="Times New Roman" w:hAnsi="Times New Roman"/>
                <w:sz w:val="20"/>
              </w:rPr>
              <w:t> </w:t>
            </w:r>
            <w:r>
              <w:rPr>
                <w:rFonts w:ascii="Times New Roman;serif" w:hAnsi="Times New Roman;serif"/>
                <w:b w:val="false"/>
                <w:sz w:val="20"/>
              </w:rPr>
              <w:t>- 5.38</w:t>
            </w:r>
          </w:p>
        </w:tc>
        <w:tc>
          <w:tcPr>
            <w:tcW w:w="146" w:type="dxa"/>
            <w:tcBorders/>
            <w:vAlign w:val="center"/>
          </w:tcPr>
          <w:p>
            <w:pPr>
              <w:pStyle w:val="TableContents"/>
              <w:bidi w:val="0"/>
              <w:spacing w:before="0" w:after="0"/>
              <w:ind w:left="0" w:right="0" w:hanging="0"/>
              <w:jc w:val="center"/>
              <w:rPr/>
            </w:pPr>
            <w:r>
              <w:rPr/>
              <w:t> </w:t>
            </w:r>
          </w:p>
        </w:tc>
        <w:tc>
          <w:tcPr>
            <w:tcW w:w="13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5.12 - 5.77</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As of June 30, 2023, there was</w:t>
      </w:r>
      <w:r>
        <w:rPr>
          <w:rFonts w:ascii="Times New Roman" w:hAnsi="Times New Roman"/>
          <w:sz w:val="20"/>
        </w:rPr>
        <w:t xml:space="preserve"> </w:t>
      </w:r>
      <w:r>
        <w:rPr>
          <w:rFonts w:ascii="Times New Roman;serif" w:hAnsi="Times New Roman;serif"/>
          <w:b w:val="false"/>
          <w:sz w:val="20"/>
        </w:rPr>
        <w:t>$0.7</w:t>
      </w:r>
      <w:r>
        <w:rPr>
          <w:rFonts w:ascii="Times New Roman" w:hAnsi="Times New Roman"/>
          <w:sz w:val="20"/>
        </w:rPr>
        <w:t xml:space="preserve"> </w:t>
      </w:r>
      <w:r>
        <w:rPr>
          <w:rFonts w:ascii="Times New Roman;serif" w:hAnsi="Times New Roman;serif"/>
          <w:b w:val="false"/>
          <w:sz w:val="20"/>
        </w:rPr>
        <w:t>million of unamortized compensation cost related to unvested stock option awards which is expected to be recognized over a remaining weighted-average vesting period of 0.6</w:t>
      </w:r>
      <w:r>
        <w:rPr>
          <w:rFonts w:ascii="Times New Roman" w:hAnsi="Times New Roman"/>
          <w:sz w:val="20"/>
        </w:rPr>
        <w:t xml:space="preserve"> </w:t>
      </w:r>
      <w:r>
        <w:rPr>
          <w:rFonts w:ascii="Times New Roman;serif" w:hAnsi="Times New Roman;serif"/>
          <w:b w:val="false"/>
          <w:sz w:val="20"/>
        </w:rPr>
        <w:t>years, on a straight-line basis. Such compensation cost will ultimately be adjusted based upon actual performance compared to the corporate objectives as described above.</w:t>
      </w:r>
    </w:p>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weighted-average fair value of each stock option granted during the six months ended June 30, 2023 and 2022, estimated as of the grant date using the Black-Scholes option valuation model, was $1.60</w:t>
      </w:r>
      <w:r>
        <w:rPr>
          <w:rFonts w:ascii="Times New Roman" w:hAnsi="Times New Roman"/>
          <w:sz w:val="20"/>
        </w:rPr>
        <w:t xml:space="preserve"> </w:t>
      </w:r>
      <w:r>
        <w:rPr>
          <w:rFonts w:ascii="Times New Roman;serif" w:hAnsi="Times New Roman;serif"/>
          <w:b w:val="false"/>
          <w:sz w:val="20"/>
        </w:rPr>
        <w:t>and $1.47, respectively.</w:t>
      </w:r>
      <w:r>
        <w:rPr>
          <w:rFonts w:ascii="Times New Roman" w:hAnsi="Times New Roman"/>
          <w:sz w:val="20"/>
        </w:rPr>
        <w:t xml:space="preserve"> </w:t>
      </w:r>
    </w:p>
    <w:p>
      <w:pPr>
        <w:pStyle w:val="TextBody"/>
        <w:bidi w:val="0"/>
        <w:spacing w:before="280" w:after="0"/>
        <w:jc w:val="left"/>
        <w:rPr>
          <w:rFonts w:ascii="Times New Roman;serif" w:hAnsi="Times New Roman;serif"/>
          <w:b/>
          <w:sz w:val="20"/>
        </w:rPr>
      </w:pPr>
      <w:r>
        <w:rPr>
          <w:rFonts w:ascii="Times New Roman;serif" w:hAnsi="Times New Roman;serif"/>
          <w:b/>
          <w:sz w:val="20"/>
        </w:rPr>
        <w:t>6. Stockholders’ Equity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At-The-Market Issuance Sales Agreements and Private Placement Transactions</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w:t>
      </w:r>
      <w:r>
        <w:rPr>
          <w:rFonts w:ascii="Times New Roman" w:hAnsi="Times New Roman"/>
          <w:sz w:val="20"/>
        </w:rPr>
        <w:t xml:space="preserve"> </w:t>
      </w:r>
      <w:r>
        <w:rPr>
          <w:rFonts w:ascii="Times New Roman;serif" w:hAnsi="Times New Roman;serif"/>
          <w:b w:val="false"/>
          <w:sz w:val="20"/>
        </w:rPr>
        <w:t>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shares of common stock were sold under the ATM Agreement in the three and six months ended June 30, 2023 and 2022, respectively.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20" w:after="0"/>
        <w:jc w:val="left"/>
        <w:rPr>
          <w:rFonts w:ascii="Times New Roman;serif" w:hAnsi="Times New Roman;serif"/>
          <w:b/>
          <w:sz w:val="20"/>
        </w:rPr>
      </w:pPr>
      <w:r>
        <w:rPr>
          <w:rFonts w:ascii="Times New Roman;serif" w:hAnsi="Times New Roman;serif"/>
          <w:b/>
          <w:sz w:val="20"/>
        </w:rPr>
        <w:t>7. 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Potentially dilutive outstanding stock options excluded from diluted net loss per common share due to their anti-dilutive effect totaled 8,286,416</w:t>
      </w:r>
      <w:r>
        <w:rPr>
          <w:rFonts w:ascii="Times New Roman" w:hAnsi="Times New Roman"/>
          <w:sz w:val="20"/>
        </w:rPr>
        <w:t xml:space="preserve"> </w:t>
      </w:r>
      <w:r>
        <w:rPr>
          <w:rFonts w:ascii="Times New Roman;serif" w:hAnsi="Times New Roman;serif"/>
          <w:b w:val="false"/>
          <w:sz w:val="20"/>
        </w:rPr>
        <w:t>shares for both the three and six months ended June 30, 2023</w:t>
      </w:r>
      <w:r>
        <w:rPr>
          <w:rFonts w:ascii="Times New Roman" w:hAnsi="Times New Roman"/>
          <w:sz w:val="20"/>
        </w:rPr>
        <w:t xml:space="preserve"> </w:t>
      </w:r>
      <w:r>
        <w:rPr>
          <w:rFonts w:ascii="Times New Roman;serif" w:hAnsi="Times New Roman;serif"/>
          <w:b w:val="false"/>
          <w:sz w:val="20"/>
        </w:rPr>
        <w:t>and 8,013,920</w:t>
      </w:r>
      <w:r>
        <w:rPr>
          <w:rFonts w:ascii="Times New Roman" w:hAnsi="Times New Roman"/>
          <w:sz w:val="20"/>
        </w:rPr>
        <w:t xml:space="preserve"> </w:t>
      </w:r>
      <w:r>
        <w:rPr>
          <w:rFonts w:ascii="Times New Roman;serif" w:hAnsi="Times New Roman;serif"/>
          <w:b w:val="false"/>
          <w:sz w:val="20"/>
        </w:rPr>
        <w:t>shares for both the three and six months ended June 30, 2022.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7" w:name="item_2_managements_discussion_analysis_f"/>
      <w:bookmarkEnd w:id="7"/>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2022 included in our Annual Report on Form 10-K, as amended, as filed with the Securities and Exchange Commission (SEC) on March 28, 2023 (Annual Report on Form 10-K, as amended). Past operating results are not necessarily indicative of results that may occur in future periods.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as amended.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pStyle w:val="TextBody"/>
        <w:bidi w:val="0"/>
        <w:spacing w:before="36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and Long COVID, and MN-001 (tipelukast) for fibrotic and other diseases such as nonalcoholic fatty liver disease (NAFLD) and idiopathic pulmonary fibrosis (IPF). Our pipeline also includes MN-221 (bedoradrine) for the treatment of acute exacerbation of asthma and MN-029 (denibulin) for solid tumor cancers. We were incorporated in Delaware in September 2000.</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incurred significant net losses since our inception. As of June 30, 2023, from inception, our accumulated deficit was $412.9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pStyle w:val="TextBody"/>
        <w:bidi w:val="0"/>
        <w:spacing w:before="132" w:after="0"/>
        <w:jc w:val="left"/>
        <w:rPr>
          <w:rFonts w:ascii="Times New Roman;serif" w:hAnsi="Times New Roman;serif"/>
          <w:b w:val="false"/>
          <w:sz w:val="20"/>
        </w:rPr>
      </w:pPr>
      <w:r>
        <w:rPr>
          <w:rFonts w:ascii="Times New Roman;serif" w:hAnsi="Times New Roman;serif"/>
          <w:b w:val="false"/>
          <w:sz w:val="20"/>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i/>
          <w:sz w:val="20"/>
        </w:rPr>
        <w:t>Pursue the development of MN-166 (ibudilast)</w:t>
      </w:r>
      <w:r>
        <w:rPr/>
        <w:t xml:space="preserve"> </w:t>
      </w:r>
      <w:r>
        <w:rPr>
          <w:rFonts w:ascii="Times New Roman;serif" w:hAnsi="Times New Roman;serif"/>
          <w:b w:val="false"/>
          <w:i/>
          <w:sz w:val="20"/>
        </w:rPr>
        <w:t>for multiple potential indications with the support of non-dilutive financings.</w:t>
      </w:r>
    </w:p>
    <w:p>
      <w:pPr>
        <w:pStyle w:val="TextBody"/>
        <w:bidi w:val="0"/>
        <w:spacing w:before="132" w:after="0"/>
        <w:jc w:val="left"/>
        <w:rPr>
          <w:rFonts w:ascii="Times New Roman;serif" w:hAnsi="Times New Roman;serif"/>
          <w:b w:val="false"/>
          <w:sz w:val="20"/>
        </w:rPr>
      </w:pPr>
      <w:r>
        <w:rPr>
          <w:rFonts w:ascii="Times New Roman;serif" w:hAnsi="Times New Roman;serif"/>
          <w:b w:val="false"/>
          <w:sz w:val="20"/>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i/>
          <w:sz w:val="20"/>
        </w:rPr>
      </w:pPr>
      <w:r>
        <w:rPr>
          <w:rFonts w:ascii="Times New Roman;serif" w:hAnsi="Times New Roman;serif"/>
          <w:b w:val="false"/>
          <w:i/>
          <w:sz w:val="20"/>
        </w:rPr>
        <w:t>Pursue the development of MN-001 (tipelukast) for fibrotic and other diseases.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intend to advance development of MN-001 (tipelukast) through a variety of means, which may include investigator-sponsored trials with or without grant funding as well as trials funded by us.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i/>
          <w:sz w:val="20"/>
        </w:rPr>
      </w:pPr>
      <w:r>
        <w:rPr>
          <w:rFonts w:ascii="Times New Roman;serif" w:hAnsi="Times New Roman;serif"/>
          <w:b w:val="false"/>
          <w:i/>
          <w:sz w:val="20"/>
        </w:rPr>
        <w:t>Consider strategic partnerships with one or more leading pharmaceutical companies to complete product development and successfully commercialize our products.</w:t>
      </w:r>
    </w:p>
    <w:p>
      <w:pPr>
        <w:pStyle w:val="TextBody"/>
        <w:bidi w:val="0"/>
        <w:spacing w:before="132" w:after="0"/>
        <w:jc w:val="left"/>
        <w:rPr>
          <w:rFonts w:ascii="Times New Roman;serif" w:hAnsi="Times New Roman;serif"/>
          <w:b w:val="false"/>
          <w:sz w:val="20"/>
        </w:rPr>
      </w:pPr>
      <w:r>
        <w:rPr>
          <w:rFonts w:ascii="Times New Roman;serif" w:hAnsi="Times New Roman;serif"/>
          <w:b w:val="false"/>
          <w:sz w:val="20"/>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160"/>
        <w:jc w:val="left"/>
        <w:rPr>
          <w:rFonts w:ascii="Times New Roman;serif" w:hAnsi="Times New Roman;serif"/>
          <w:b/>
          <w:i/>
          <w:sz w:val="20"/>
        </w:rPr>
      </w:pPr>
      <w:r>
        <w:rPr>
          <w:rFonts w:ascii="Times New Roman;serif" w:hAnsi="Times New Roman;serif"/>
          <w:b/>
          <w:i/>
          <w:sz w:val="20"/>
        </w:rPr>
        <w:t>Impact of COVID-19 and the Macroeconomic Environment on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The ongoing COVID-19 pandemic has resulted in significant national and global economic disruption and has, and may continue to adversely affect our business. To date, we have experienced certain adverse effects on our business as well as been provided certain opportunities as a result of the pandemic. The pandemic caused a decrease in the number of patient visits at some clinical trial sites which we believe resulted in slower enrollment in our clinical trials than would have occurred without the pandemic. However, we have seen an increase in the number of patient visits compared to earlier in the pandemic and we continue to enroll patients in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trials and the opening of new clinical trial sites, although some of these activities took longer to complete than what we experienced prior to the pandemic.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pandemic created certain opportunities for our clinical development and we have pursued those opportunities. Following the outbreak of the pandemic, we designed a clinical trial to evaluate MN-166 (ibudilast) for prevention of acute respiratory distress syndrome (ARDS) caused by COVID-19. In June 2022, we announced positive top-line results from this Phase 2 clinical trial in which MN-166 (ibudilast) demonstrated large improvements compared to placebo for all four clinical endpoints analyzed. Separately, in August 2022, we announced plans to participate in RECLAIM (Recovering from COVID-19 Lingering Symptoms Adaptive Integrative Medicine Trial), a grant-funded clinical trial to evaluate MN-166 (ibudilast) and other therapies for the treatment of Long COVID, the lingering symptoms of COVID-19. In February 2023, we announced that Health Canada completed its review of the clinical trial application and granted authorization to commence the RECLAIM trial.</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continue to actively monitor the pandemic situation and the possible effects on our financial condition, liquidity, operations, suppliers, industry, and workforce. To the extent that there is a resurgence in the COVID-19 pandemic, or other health epidemics or outbreaks, our operations could be disrupted and our business adversely impacted.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Further, the COVID-19 pandemic and government responses to the pandemic has resulted in, and may continue to result in, downward pressure, extreme volatility, and disruptions in the capital and credit markets, reducing our ability to raise additional capital through equity, equity-linked or debt financings, which could negatively impact our short-term and long-term liquidity, access to capital markets, and our ability to operate in accordance with our operating plan, or at all.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we may be exposed to credit risk on deposits at financial institutions to the extent our account balances exceed the amount insured by the Federal Deposit Insurance Corporation. We are monitoring ongoing events involving limited liquidity, defaults, non-performance or other adverse developments that affect financial institutions.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Research, Development and Patents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2023 as our development programs progress.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pStyle w:val="TextBody"/>
        <w:bidi w:val="0"/>
        <w:spacing w:before="0" w:after="0"/>
        <w:jc w:val="left"/>
        <w:rPr/>
      </w:pPr>
      <w:r>
        <w:rPr/>
        <w:t> </w:t>
      </w:r>
    </w:p>
    <w:tbl>
      <w:tblPr>
        <w:tblW w:w="8682" w:type="dxa"/>
        <w:jc w:val="left"/>
        <w:tblInd w:w="0" w:type="dxa"/>
        <w:tblLayout w:type="fixed"/>
        <w:tblCellMar>
          <w:top w:w="28" w:type="dxa"/>
          <w:left w:w="28" w:type="dxa"/>
          <w:bottom w:w="28" w:type="dxa"/>
          <w:right w:w="28" w:type="dxa"/>
        </w:tblCellMar>
      </w:tblPr>
      <w:tblGrid>
        <w:gridCol w:w="4021"/>
        <w:gridCol w:w="146"/>
        <w:gridCol w:w="211"/>
        <w:gridCol w:w="571"/>
        <w:gridCol w:w="146"/>
        <w:gridCol w:w="146"/>
        <w:gridCol w:w="211"/>
        <w:gridCol w:w="571"/>
        <w:gridCol w:w="166"/>
        <w:gridCol w:w="146"/>
        <w:gridCol w:w="211"/>
        <w:gridCol w:w="571"/>
        <w:gridCol w:w="146"/>
        <w:gridCol w:w="146"/>
        <w:gridCol w:w="211"/>
        <w:gridCol w:w="571"/>
        <w:gridCol w:w="4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91"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sz w:val="16"/>
              </w:rPr>
            </w:pPr>
            <w:r>
              <w:rPr>
                <w:rFonts w:ascii="Times New Roman;serif" w:hAnsi="Times New Roman;serif"/>
                <w:b/>
                <w:sz w:val="16"/>
              </w:rPr>
              <w:t>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development expense:</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491" w:type="dxa"/>
            <w:tcBorders/>
            <w:vAlign w:val="center"/>
          </w:tcPr>
          <w:p>
            <w:pPr>
              <w:pStyle w:val="TableContents"/>
              <w:bidi w:val="0"/>
              <w:spacing w:before="0" w:after="0"/>
              <w:ind w:left="0" w:right="0" w:firstLine="300"/>
              <w:jc w:val="right"/>
              <w:rPr/>
            </w:pPr>
            <w:r>
              <w:rPr/>
              <w:t> </w:t>
            </w:r>
          </w:p>
        </w:tc>
      </w:tr>
      <w:tr>
        <w:trPr/>
        <w:tc>
          <w:tcPr>
            <w:tcW w:w="402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MN-221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491" w:type="dxa"/>
            <w:tcBorders/>
            <w:vAlign w:val="center"/>
          </w:tcPr>
          <w:p>
            <w:pPr>
              <w:pStyle w:val="TableContents"/>
              <w:bidi w:val="0"/>
              <w:spacing w:before="0" w:after="0"/>
              <w:ind w:left="0" w:right="0" w:firstLine="300"/>
              <w:jc w:val="left"/>
              <w:rPr/>
            </w:pPr>
            <w:r>
              <w:rPr/>
              <w:t> </w:t>
            </w:r>
          </w:p>
        </w:tc>
      </w:tr>
      <w:tr>
        <w:trPr/>
        <w:tc>
          <w:tcPr>
            <w:tcW w:w="402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MN-166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3,155</w:t>
            </w:r>
          </w:p>
        </w:tc>
        <w:tc>
          <w:tcPr>
            <w:tcW w:w="491" w:type="dxa"/>
            <w:tcBorders/>
            <w:vAlign w:val="center"/>
          </w:tcPr>
          <w:p>
            <w:pPr>
              <w:pStyle w:val="TableContents"/>
              <w:bidi w:val="0"/>
              <w:spacing w:before="0" w:after="0"/>
              <w:ind w:left="0" w:right="0" w:firstLine="300"/>
              <w:jc w:val="left"/>
              <w:rPr/>
            </w:pPr>
            <w:r>
              <w:rPr/>
              <w:t> </w:t>
            </w:r>
          </w:p>
        </w:tc>
      </w:tr>
      <w:tr>
        <w:trPr/>
        <w:tc>
          <w:tcPr>
            <w:tcW w:w="402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MN-001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491" w:type="dxa"/>
            <w:tcBorders/>
            <w:vAlign w:val="center"/>
          </w:tcPr>
          <w:p>
            <w:pPr>
              <w:pStyle w:val="TableContents"/>
              <w:bidi w:val="0"/>
              <w:spacing w:before="0" w:after="0"/>
              <w:ind w:left="0" w:right="0" w:firstLine="300"/>
              <w:jc w:val="left"/>
              <w:rPr/>
            </w:pPr>
            <w:r>
              <w:rPr/>
              <w:t> </w:t>
            </w:r>
          </w:p>
        </w:tc>
      </w:tr>
      <w:tr>
        <w:trPr/>
        <w:tc>
          <w:tcPr>
            <w:tcW w:w="402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MN-029</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91" w:type="dxa"/>
            <w:tcBorders/>
            <w:vAlign w:val="center"/>
          </w:tcPr>
          <w:p>
            <w:pPr>
              <w:pStyle w:val="TableContents"/>
              <w:bidi w:val="0"/>
              <w:spacing w:before="0" w:after="0"/>
              <w:ind w:left="0" w:right="0" w:firstLine="300"/>
              <w:jc w:val="left"/>
              <w:rPr/>
            </w:pPr>
            <w:r>
              <w:rPr/>
              <w:t> </w:t>
            </w:r>
          </w:p>
        </w:tc>
      </w:tr>
      <w:tr>
        <w:trPr/>
        <w:tc>
          <w:tcPr>
            <w:tcW w:w="4021"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external development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3,611</w:t>
            </w:r>
          </w:p>
        </w:tc>
        <w:tc>
          <w:tcPr>
            <w:tcW w:w="4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R&amp;D personnel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4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R&amp;D facility and depreciation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4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4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R&amp;D expense (gain)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development and patent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4,677</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serif" w:hAnsi="Times New Roman;serif"/>
          <w:b/>
          <w:i/>
          <w:sz w:val="20"/>
        </w:rPr>
      </w:pPr>
      <w:r>
        <w:rPr>
          <w:rFonts w:ascii="Times New Roman;serif" w:hAnsi="Times New Roman;serif"/>
          <w:b/>
          <w:i/>
          <w:sz w:val="20"/>
        </w:rPr>
        <w:t>General and Administrative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pStyle w:val="TextBody"/>
        <w:bidi w:val="0"/>
        <w:spacing w:before="36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pStyle w:val="TextBody"/>
        <w:bidi w:val="0"/>
        <w:spacing w:before="240" w:after="0"/>
        <w:jc w:val="left"/>
        <w:rPr>
          <w:rFonts w:ascii="Times New Roman" w:hAnsi="Times New Roman"/>
          <w:sz w:val="20"/>
        </w:rPr>
      </w:pPr>
      <w:r>
        <w:rPr>
          <w:rFonts w:ascii="Times New Roman;serif" w:hAnsi="Times New Roman;serif"/>
          <w:b w:val="false"/>
          <w:sz w:val="20"/>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please see the section entitled “Management’s Discussion and Analysis of Financial Condition and Results of Operations — Critical Accounting Policies and Use of Estimates” contained in our Annual Report on Form 10-K, as amended, for the year ended December 31, 2022. There have not been any material changes to the critical accounting policies discussed therein during the six months ended June 30, 2023.</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the three months ended June 30, 2023 and 2022</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Research, Development and Patents Expenses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Research, development and patents expenses were $1.7 million and $2.6 million for the three months ended June 30, 2023 and 2022, respectively. The decrease of $0.9 million expense was primarily due to a decrease in MN-221 and MN-166 related manufacturing expenses, partially offset by increased MN-001 related expenses.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General and administrative expenses were $1.6 million and $1.5 million for the three months ended June 30, 2023 and 2022, respectively. The increase of $0.1 million was primarily due to an increase in performance-based stock option expense.</w:t>
      </w:r>
      <w:r>
        <w:rPr>
          <w:rFonts w:ascii="Times New Roman" w:hAnsi="Times New Roman"/>
          <w:sz w:val="20"/>
        </w:rPr>
        <w:t xml:space="preserve"> </w:t>
      </w:r>
    </w:p>
    <w:p>
      <w:pPr>
        <w:pStyle w:val="TextBody"/>
        <w:bidi w:val="0"/>
        <w:spacing w:before="120" w:after="120"/>
        <w:jc w:val="left"/>
        <w:rPr>
          <w:rFonts w:ascii="Times New Roman;serif" w:hAnsi="Times New Roman;serif"/>
          <w:b w:val="false"/>
          <w:i/>
          <w:sz w:val="20"/>
        </w:rPr>
      </w:pPr>
      <w:r>
        <w:rPr>
          <w:rFonts w:ascii="Times New Roman;serif" w:hAnsi="Times New Roman;serif"/>
          <w:b w:val="false"/>
          <w:i/>
          <w:sz w:val="20"/>
        </w:rPr>
        <w:t>Interest Income</w:t>
      </w:r>
    </w:p>
    <w:p>
      <w:pPr>
        <w:pStyle w:val="TextBody"/>
        <w:bidi w:val="0"/>
        <w:spacing w:before="0" w:after="0"/>
        <w:jc w:val="left"/>
        <w:rPr>
          <w:rFonts w:ascii="Times New Roman" w:hAnsi="Times New Roman"/>
          <w:sz w:val="20"/>
        </w:rPr>
      </w:pPr>
      <w:r>
        <w:rPr>
          <w:rFonts w:ascii="Times New Roman;serif" w:hAnsi="Times New Roman;serif"/>
          <w:b w:val="false"/>
          <w:sz w:val="20"/>
        </w:rPr>
        <w:t>Interest income was $0.5 million and $0.1 million for the three months ended June 30, 2023 and 2022, respectively. The increase of $0.4 million was primarily driven by higher interest rates on cash and bank certificates of deposit. Interest income consists of interest earned on our cash and cash equivalents and investments.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the six months ended June 30, 2023 and 2022</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Research, Development and Patents Expenses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Research, development and patents expenses were $3.2 million and $4.7 million for the six months ended June 30, 2023 and 2022, respectively. The decrease of $1.5 million expense was primarily due to a decrease in MN-221 and MN-166 related manufacturing expenses, partially offset by increased MN-001 related expenses.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General and administrative expenses were $3.1 million and $2.8 million for the six months ended June 30, 2023 and 2022, respectively. The increase of $0.3 million was primarily due to an increase in performance-based stock option expense.</w:t>
      </w:r>
      <w:r>
        <w:rPr>
          <w:rFonts w:ascii="Times New Roman" w:hAnsi="Times New Roman"/>
          <w:sz w:val="20"/>
        </w:rPr>
        <w:t xml:space="preserve"> </w:t>
      </w:r>
    </w:p>
    <w:p>
      <w:pPr>
        <w:pStyle w:val="TextBody"/>
        <w:bidi w:val="0"/>
        <w:spacing w:before="120" w:after="120"/>
        <w:jc w:val="left"/>
        <w:rPr>
          <w:rFonts w:ascii="Times New Roman;serif" w:hAnsi="Times New Roman;serif"/>
          <w:b w:val="false"/>
          <w:i/>
          <w:sz w:val="20"/>
        </w:rPr>
      </w:pPr>
      <w:r>
        <w:rPr>
          <w:rFonts w:ascii="Times New Roman;serif" w:hAnsi="Times New Roman;serif"/>
          <w:b w:val="false"/>
          <w:i/>
          <w:sz w:val="20"/>
        </w:rPr>
        <w:t>Interest Income</w:t>
      </w:r>
    </w:p>
    <w:p>
      <w:pPr>
        <w:pStyle w:val="TextBody"/>
        <w:bidi w:val="0"/>
        <w:spacing w:before="0" w:after="0"/>
        <w:jc w:val="left"/>
        <w:rPr>
          <w:rFonts w:ascii="Times New Roman" w:hAnsi="Times New Roman"/>
          <w:sz w:val="20"/>
        </w:rPr>
      </w:pPr>
      <w:r>
        <w:rPr>
          <w:rFonts w:ascii="Times New Roman;serif" w:hAnsi="Times New Roman;serif"/>
          <w:b w:val="false"/>
          <w:sz w:val="20"/>
        </w:rPr>
        <w:t>Interest income was $1.0 million and $0.1 million for the six months ended June 30, 2023 and 2022, respectively. The increase of $0.9 million was primarily driven by higher interest rates on cash and bank certificates of deposit. Interest income consists of interest earned on our cash and cash equivalents and investments.</w:t>
      </w:r>
      <w:r>
        <w:rPr>
          <w:rFonts w:ascii="Times New Roman" w:hAnsi="Times New Roman"/>
          <w:sz w:val="20"/>
        </w:rPr>
        <w:t xml:space="preserve"> </w:t>
      </w:r>
    </w:p>
    <w:p>
      <w:pPr>
        <w:pStyle w:val="TextBody"/>
        <w:bidi w:val="0"/>
        <w:spacing w:before="120" w:after="120"/>
        <w:jc w:val="left"/>
        <w:rPr>
          <w:rFonts w:ascii="Times New Roman;serif" w:hAnsi="Times New Roman;serif"/>
          <w:b w:val="false"/>
          <w:i/>
          <w:sz w:val="20"/>
        </w:rPr>
      </w:pPr>
      <w:r>
        <w:rPr>
          <w:rFonts w:ascii="Times New Roman;serif" w:hAnsi="Times New Roman;serif"/>
          <w:b w:val="false"/>
          <w:i/>
          <w:sz w:val="20"/>
        </w:rPr>
        <w:t>Other Expense</w:t>
      </w:r>
    </w:p>
    <w:p>
      <w:pPr>
        <w:pStyle w:val="TextBody"/>
        <w:bidi w:val="0"/>
        <w:spacing w:before="0" w:after="0"/>
        <w:jc w:val="left"/>
        <w:rPr>
          <w:rFonts w:ascii="Times New Roman" w:hAnsi="Times New Roman"/>
          <w:sz w:val="20"/>
        </w:rPr>
      </w:pPr>
      <w:r>
        <w:rPr>
          <w:rFonts w:ascii="Times New Roman;serif" w:hAnsi="Times New Roman;serif"/>
          <w:b w:val="false"/>
          <w:sz w:val="20"/>
        </w:rPr>
        <w:t>Other expense was $0.5 million and $0.0 million for the six months ended June 30, 2023 and 2022, respectively. The increase of $0.5 million was primarily driven by penalties on early disposal of bank certificates of deposit.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during the six months ended June 30, 2023 was $5.6 million compared to $6.2 million during the same period in 2022. The $0.6 million change is primarily related to the decreased net loss and changes in operating assets and liabilities for those periods.</w:t>
      </w:r>
    </w:p>
    <w:p>
      <w:pPr>
        <w:pStyle w:val="TextBody"/>
        <w:bidi w:val="0"/>
        <w:spacing w:before="132" w:after="0"/>
        <w:jc w:val="left"/>
        <w:rPr>
          <w:rFonts w:ascii="Times New Roman;serif" w:hAnsi="Times New Roman;serif"/>
          <w:b w:val="false"/>
          <w:sz w:val="20"/>
        </w:rPr>
      </w:pPr>
      <w:r>
        <w:rPr>
          <w:rFonts w:ascii="Times New Roman;serif" w:hAnsi="Times New Roman;serif"/>
          <w:b w:val="false"/>
          <w:sz w:val="20"/>
        </w:rPr>
        <w:t>Net cash provided by investing activities during the six months ended June 30, 2023 was $39.9 million compared to $0.0 million during the same period in 2022 due to the disposal of certificates of deposit.</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we had available cash and cash equivalents of $52.9 million and working capital of $50.7 million. As of the date of this report, we believe we have working capital sufficient to fund operations at least through the end of 2024. However, we cannot provide assurance that these capital resources will be sufficient to conduct all our research and development programs as planned.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Equity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On August 23, 2019, we entered into an at the market issuance sales agreement, which was amended on August 26, 2022 (as amended, the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No shares of common stock were sold under the ATM Agreement in the three and six months ended June 30, 2023 and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8" w:name="item_3_quantitative_qualitative_disclosu"/>
      <w:bookmarkEnd w:id="8"/>
      <w:r>
        <w:rPr>
          <w:rFonts w:ascii="Times New Roman;serif" w:hAnsi="Times New Roman;serif"/>
          <w:b/>
          <w:sz w:val="20"/>
        </w:rPr>
        <w:t>ITEM 3. QUANTITATIVE AND QUALITATIVE DISCLOSURES ABOUT MARKET RISK.</w:t>
      </w:r>
    </w:p>
    <w:p>
      <w:pPr>
        <w:pStyle w:val="TextBody"/>
        <w:bidi w:val="0"/>
        <w:spacing w:before="24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9" w:name="item_4_controls_procedures"/>
      <w:bookmarkEnd w:id="9"/>
      <w:r>
        <w:rPr>
          <w:rFonts w:ascii="Times New Roman;serif" w:hAnsi="Times New Roman;serif"/>
          <w:b/>
          <w:sz w:val="20"/>
        </w:rPr>
        <w:t>ITEM 4.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pStyle w:val="TextBody"/>
        <w:bidi w:val="0"/>
        <w:spacing w:before="36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period covered by this report. Based on the foregoing, our Chief Executive Officer and our Chief Financial Officer concluded that our disclosure controls and procedures were effective at the reasonable assurance level.</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before="120" w:after="0"/>
        <w:jc w:val="left"/>
        <w:rPr>
          <w:rFonts w:ascii="Times New Roman" w:hAnsi="Times New Roman"/>
          <w:sz w:val="20"/>
        </w:rPr>
      </w:pPr>
      <w:r>
        <w:rPr>
          <w:rFonts w:ascii="Times New Roman;serif" w:hAnsi="Times New Roman;serif"/>
          <w:b w:val="false"/>
          <w:sz w:val="20"/>
        </w:rPr>
        <w:t>There has been no change in our internal control over financial reporting during our most recent fiscal quarter that has materially affected, or is reasonably likely to materially affect, our internal control over financial reporting.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0" w:name="part_ii_or_information"/>
      <w:bookmarkEnd w:id="10"/>
      <w:r>
        <w:rPr>
          <w:rFonts w:ascii="Times New Roman;serif" w:hAnsi="Times New Roman;serif"/>
          <w:b/>
          <w:sz w:val="20"/>
        </w:rPr>
        <w:t>PART II.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left"/>
        <w:rPr>
          <w:rFonts w:ascii="Times New Roman" w:hAnsi="Times New Roman"/>
          <w:sz w:val="20"/>
        </w:rPr>
      </w:pPr>
      <w:bookmarkStart w:id="11" w:name="item_1_legal_proceedings"/>
      <w:bookmarkEnd w:id="11"/>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involved in any material legal proceedings as of June 30, 2023.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pStyle w:val="TextBody"/>
        <w:bidi w:val="0"/>
        <w:spacing w:before="360" w:after="0"/>
        <w:jc w:val="left"/>
        <w:rPr>
          <w:rFonts w:ascii="Times New Roman;serif" w:hAnsi="Times New Roman;serif"/>
          <w:b/>
          <w:sz w:val="20"/>
        </w:rPr>
      </w:pPr>
      <w:bookmarkStart w:id="12" w:name="item_1a_risk_factors"/>
      <w:bookmarkEnd w:id="12"/>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the other information set forth in this report, you should carefully consider the factors discussed in Part I, “Item 1A. Risk Factors” in our Annual Report on Form 10-K, as amended, for the year ended December 31, 2022, which are incorporated herein by reference and which could materially affect our business, financial condition or future results. The risks described in our Annual Report on Form 10-K, as amended,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as amended, for the year ended December 31, 2022.</w:t>
      </w:r>
    </w:p>
    <w:p>
      <w:pPr>
        <w:pStyle w:val="TextBody"/>
        <w:bidi w:val="0"/>
        <w:spacing w:before="360" w:after="0"/>
        <w:jc w:val="left"/>
        <w:rPr>
          <w:rFonts w:ascii="Times New Roman;serif" w:hAnsi="Times New Roman;serif"/>
          <w:b/>
          <w:sz w:val="20"/>
        </w:rPr>
      </w:pPr>
      <w:bookmarkStart w:id="13" w:name="item_2_unregistered_sales_equity_secutit"/>
      <w:bookmarkEnd w:id="13"/>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 w:hAnsi="Times New Roman"/>
          <w:sz w:val="20"/>
        </w:rPr>
      </w:pPr>
      <w:bookmarkStart w:id="14" w:name="item_3_defaults_upon_senior_securities"/>
      <w:bookmarkEnd w:id="14"/>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15" w:name="item_4_mine_safety_disclosures"/>
      <w:bookmarkEnd w:id="15"/>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 w:hAnsi="Times New Roman"/>
          <w:sz w:val="20"/>
        </w:rPr>
      </w:pPr>
      <w:bookmarkStart w:id="16" w:name="item_5_or_information"/>
      <w:bookmarkEnd w:id="16"/>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7" w:name="item_6_exhibits"/>
      <w:bookmarkEnd w:id="17"/>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61"/>
        <w:gridCol w:w="146"/>
        <w:gridCol w:w="9198"/>
      </w:tblGrid>
      <w:tr>
        <w:trPr/>
        <w:tc>
          <w:tcPr>
            <w:tcW w:w="8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98" w:type="dxa"/>
            <w:tcBorders/>
            <w:shd w:fill="FFFFFF" w:val="clear"/>
            <w:vAlign w:val="center"/>
          </w:tcPr>
          <w:p>
            <w:pPr>
              <w:pStyle w:val="TableContents"/>
              <w:bidi w:val="0"/>
              <w:spacing w:before="0" w:after="283"/>
              <w:jc w:val="left"/>
              <w:rPr>
                <w:sz w:val="4"/>
                <w:szCs w:val="4"/>
              </w:rPr>
            </w:pPr>
            <w:r>
              <w:rPr>
                <w:sz w:val="4"/>
                <w:szCs w:val="4"/>
              </w:rPr>
            </w:r>
          </w:p>
        </w:tc>
      </w:tr>
      <w:tr>
        <w:trPr/>
        <w:tc>
          <w:tcPr>
            <w:tcW w:w="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98"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Restated Certificate of Incorporation of the Registrant, as amended (incorporated by reference to Exhibit 3.1 of the Registrant’s Quarterly Report on Form 10-Q filed with the SEC on August 9, 2012 (File No. 001-33185)).</w:t>
              </w:r>
            </w:hyperlink>
          </w:p>
        </w:tc>
      </w:tr>
      <w:tr>
        <w:trPr/>
        <w:tc>
          <w:tcPr>
            <w:tcW w:w="8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98" w:type="dxa"/>
            <w:tcBorders/>
            <w:vAlign w:val="center"/>
          </w:tcPr>
          <w:p>
            <w:pPr>
              <w:pStyle w:val="TableContents"/>
              <w:bidi w:val="0"/>
              <w:spacing w:before="0" w:after="283"/>
              <w:ind w:left="0" w:right="0" w:hanging="0"/>
              <w:jc w:val="left"/>
              <w:rPr>
                <w:sz w:val="4"/>
                <w:szCs w:val="4"/>
              </w:rPr>
            </w:pPr>
            <w:r>
              <w:rPr>
                <w:sz w:val="4"/>
                <w:szCs w:val="4"/>
              </w:rPr>
            </w:r>
          </w:p>
        </w:tc>
      </w:tr>
      <w:tr>
        <w:trPr/>
        <w:tc>
          <w:tcPr>
            <w:tcW w:w="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98"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 of the Registrant (incorporated by reference to Exhibit 3.1 of the Registrant’s Current Report on Form 8-K filed with the SEC on April 25, 2019 (File No. 001-33185)).</w:t>
              </w:r>
            </w:hyperlink>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31.1</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hyperlink w:anchor="mnov-ex31_1.htm">
              <w:r>
                <w:rPr>
                  <w:rStyle w:val="InternetLink"/>
                  <w:rFonts w:ascii="Times New Roman;serif" w:hAnsi="Times New Roman;serif"/>
                  <w:b w:val="false"/>
                  <w:sz w:val="20"/>
                  <w:u w:val="single"/>
                </w:rPr>
                <w:t>Certification of Principal Executive Officer pursuant to Section 302 of the Sarbanes-Oxley Act of 2002.</w:t>
              </w:r>
            </w:hyperlink>
            <w:hyperlink w:anchor="mnov-ex31_1.htm">
              <w:r>
                <w:rPr>
                  <w:rStyle w:val="InternetLink"/>
                  <w:rFonts w:ascii="Times New Roman" w:hAnsi="Times New Roman"/>
                  <w:sz w:val="20"/>
                </w:rPr>
                <w:t xml:space="preserve"> </w:t>
              </w:r>
            </w:hyperlink>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31.2</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hyperlink w:anchor="mnov-ex31_2.htm">
              <w:r>
                <w:rPr>
                  <w:rStyle w:val="InternetLink"/>
                  <w:rFonts w:ascii="Times New Roman;serif" w:hAnsi="Times New Roman;serif"/>
                  <w:b w:val="false"/>
                  <w:sz w:val="20"/>
                  <w:u w:val="single"/>
                </w:rPr>
                <w:t>Certification of Principal Financial Officer pursuant to Section 302 of the Sarbanes-Oxley Act of 2002.</w:t>
              </w:r>
            </w:hyperlink>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32.1</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hyperlink w:anchor="mnov-ex32_1.htm">
              <w:r>
                <w:rPr>
                  <w:rStyle w:val="InternetLink"/>
                  <w:rFonts w:ascii="Times New Roman;serif" w:hAnsi="Times New Roman;serif"/>
                  <w:b w:val="false"/>
                  <w:sz w:val="20"/>
                  <w:u w:val="single"/>
                </w:rPr>
                <w:t>Certification of Principal Executive Officer pursuant to 18 U.S.C. Section 1350 (Section 906 of the Sarbanes-Oxley Act of 2002).</w:t>
              </w:r>
            </w:hyperlink>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32.2</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hyperlink w:anchor="mnov-ex32_2.htm">
              <w:r>
                <w:rPr>
                  <w:rStyle w:val="InternetLink"/>
                  <w:rFonts w:ascii="Times New Roman;serif" w:hAnsi="Times New Roman;serif"/>
                  <w:b w:val="false"/>
                  <w:sz w:val="20"/>
                  <w:u w:val="single"/>
                </w:rPr>
                <w:t>Certification of Principal Financial Officer pursuant to 18 U.S.C. Section 1350 (Section 906 of the Sarbanes-Oxley Act of 2002).</w:t>
              </w:r>
            </w:hyperlink>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101.INS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101.SCH</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101.CAL</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101.DEF</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101.LAB</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101.PRE</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pPr>
            <w:r>
              <w:rPr/>
              <w:t> </w:t>
            </w:r>
          </w:p>
        </w:tc>
      </w:tr>
      <w:tr>
        <w:trPr/>
        <w:tc>
          <w:tcPr>
            <w:tcW w:w="8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104</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91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8"/>
        </w:rPr>
      </w:pPr>
      <w:r>
        <w:rPr>
          <w:rFonts w:ascii="Times New Roman" w:hAnsi="Times New Roman"/>
          <w:b w:val="false"/>
          <w:sz w:val="18"/>
        </w:rPr>
        <w:t>(1)</w:t>
      </w:r>
    </w:p>
    <w:p>
      <w:pPr>
        <w:pStyle w:val="TextBody"/>
        <w:bidi w:val="0"/>
        <w:jc w:val="left"/>
        <w:rPr>
          <w:rFonts w:ascii="Times New Roman;serif" w:hAnsi="Times New Roman;serif"/>
          <w:b w:val="false"/>
          <w:sz w:val="18"/>
        </w:rPr>
      </w:pPr>
      <w:r>
        <w:rPr>
          <w:rFonts w:ascii="Times New Roman;serif" w:hAnsi="Times New Roman;serif"/>
          <w:b w:val="false"/>
          <w:sz w:val="18"/>
        </w:rPr>
        <w:t>Filed Herewith</w:t>
      </w:r>
    </w:p>
    <w:p>
      <w:pPr>
        <w:pStyle w:val="TextBody"/>
        <w:bidi w:val="0"/>
        <w:spacing w:before="0" w:after="0"/>
        <w:jc w:val="left"/>
        <w:rPr>
          <w:rFonts w:ascii="Times New Roman" w:hAnsi="Times New Roman"/>
          <w:sz w:val="20"/>
        </w:rPr>
      </w:pPr>
      <w:r>
        <w:rPr>
          <w:rFonts w:ascii="Times New Roman;serif" w:hAnsi="Times New Roman;serif"/>
          <w:b w:val="false"/>
          <w:sz w:val="18"/>
        </w:rPr>
        <w:t>*</w:t>
      </w:r>
      <w:r>
        <w:rPr>
          <w:rFonts w:ascii="Times New Roman" w:hAnsi="Times New Roman"/>
          <w:sz w:val="20"/>
        </w:rPr>
        <w:t xml:space="preserve">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The certifications attached as Exhibit 32.1 and 32.2 that accompany this Quarterly Report on Form 10-Q are not deemed filed with the Securities and Exchange Commission and are not to be incorporated by reference into any filing of MediciNova,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8" w:name="signatures"/>
      <w:bookmarkEnd w:id="18"/>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5939" w:type="dxa"/>
        <w:jc w:val="left"/>
        <w:tblInd w:w="0" w:type="dxa"/>
        <w:tblLayout w:type="fixed"/>
        <w:tblCellMar>
          <w:top w:w="28" w:type="dxa"/>
          <w:left w:w="28" w:type="dxa"/>
          <w:bottom w:w="28" w:type="dxa"/>
          <w:right w:w="28" w:type="dxa"/>
        </w:tblCellMar>
      </w:tblPr>
      <w:tblGrid>
        <w:gridCol w:w="1846"/>
        <w:gridCol w:w="146"/>
        <w:gridCol w:w="406"/>
        <w:gridCol w:w="35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947"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MEDICINOVA, INC.</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/s/ Y</w:t>
            </w:r>
            <w:r>
              <w:rPr>
                <w:rFonts w:ascii="Times New Roman;serif" w:hAnsi="Times New Roman;serif"/>
                <w:b w:val="false"/>
                <w:sz w:val="15"/>
              </w:rPr>
              <w:t>UICHI</w:t>
            </w:r>
            <w:r>
              <w:rPr>
                <w:rFonts w:ascii="Times New Roman" w:hAnsi="Times New Roman"/>
                <w:sz w:val="20"/>
              </w:rPr>
              <w:t> </w:t>
            </w:r>
            <w:r>
              <w:rPr>
                <w:rFonts w:ascii="Times New Roman;serif" w:hAnsi="Times New Roman;serif"/>
                <w:b w:val="false"/>
                <w:sz w:val="20"/>
              </w:rPr>
              <w:t>I</w:t>
            </w:r>
            <w:r>
              <w:rPr>
                <w:rFonts w:ascii="Times New Roman;serif" w:hAnsi="Times New Roman;serif"/>
                <w:b w:val="false"/>
                <w:sz w:val="15"/>
              </w:rPr>
              <w:t>WAKI</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Yuichi Iwaki, M.D., Ph.D.</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President and Chief Executive Officer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(on behalf of the registrant and</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the registrant’s Principal Executive Officer)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/s/ J</w:t>
            </w:r>
            <w:r>
              <w:rPr>
                <w:rFonts w:ascii="Times New Roman;serif" w:hAnsi="Times New Roman;serif"/>
                <w:b w:val="false"/>
                <w:sz w:val="15"/>
              </w:rPr>
              <w:t xml:space="preserve">ASON </w:t>
            </w:r>
            <w:r>
              <w:rPr>
                <w:rFonts w:ascii="Times New Roman;serif" w:hAnsi="Times New Roman;serif"/>
                <w:b w:val="false"/>
                <w:sz w:val="20"/>
              </w:rPr>
              <w:t>K</w:t>
            </w:r>
            <w:r>
              <w:rPr>
                <w:rFonts w:ascii="Times New Roman;serif" w:hAnsi="Times New Roman;serif"/>
                <w:b w:val="false"/>
                <w:sz w:val="15"/>
              </w:rPr>
              <w:t>RUGER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Jason Kruger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Chief Financial Officer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(on behalf of the registrant and</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the registrant’s Principal Financial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19" w:name="mnov-ex31_1.htm"/>
      <w:bookmarkStart w:id="20" w:name="ksmnovex31_1"/>
      <w:bookmarkEnd w:id="19"/>
      <w:bookmarkEnd w:id="20"/>
      <w:r>
        <w:rPr>
          <w:rFonts w:ascii="Times New Roman;serif" w:hAnsi="Times New Roman;serif"/>
          <w:b/>
          <w:sz w:val="20"/>
        </w:rPr>
        <w:t>Exhibit 31.1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the Principal Executive Officer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Yuichi Iwaki, certify that: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 I have reviewed this Quarterly Report on Form 10-Q for the quarter ended June 30, 2023 of MediciNova, Inc.;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3463" w:type="dxa"/>
        <w:jc w:val="left"/>
        <w:tblInd w:w="0" w:type="dxa"/>
        <w:tblLayout w:type="fixed"/>
        <w:tblCellMar>
          <w:top w:w="28" w:type="dxa"/>
          <w:left w:w="28" w:type="dxa"/>
          <w:bottom w:w="28" w:type="dxa"/>
          <w:right w:w="28" w:type="dxa"/>
        </w:tblCellMar>
      </w:tblPr>
      <w:tblGrid>
        <w:gridCol w:w="421"/>
        <w:gridCol w:w="146"/>
        <w:gridCol w:w="28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6"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left"/>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 Y</w:t>
            </w:r>
            <w:r>
              <w:rPr>
                <w:rFonts w:ascii="Times New Roman;serif" w:hAnsi="Times New Roman;serif"/>
                <w:b w:val="false"/>
                <w:sz w:val="15"/>
              </w:rPr>
              <w:t>UICHI</w:t>
            </w:r>
            <w:r>
              <w:rPr>
                <w:rFonts w:ascii="Times New Roman" w:hAnsi="Times New Roman"/>
                <w:sz w:val="20"/>
              </w:rPr>
              <w:t> </w:t>
            </w:r>
            <w:r>
              <w:rPr>
                <w:rFonts w:ascii="Times New Roman;serif" w:hAnsi="Times New Roman;serif"/>
                <w:b w:val="false"/>
                <w:sz w:val="20"/>
              </w:rPr>
              <w:t>I</w:t>
            </w:r>
            <w:r>
              <w:rPr>
                <w:rFonts w:ascii="Times New Roman;serif" w:hAnsi="Times New Roman;serif"/>
                <w:b w:val="false"/>
                <w:sz w:val="15"/>
              </w:rPr>
              <w:t>WAKI</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Yuichi Iwaki, M.D., Ph.D.</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President and Chief Executive Officer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1" w:name="mnov-ex31_2.htm"/>
      <w:bookmarkStart w:id="22" w:name="ksmnovex31_2"/>
      <w:bookmarkEnd w:id="21"/>
      <w:bookmarkEnd w:id="22"/>
      <w:r>
        <w:rPr>
          <w:rFonts w:ascii="Times New Roman;serif" w:hAnsi="Times New Roman;serif"/>
          <w:b/>
          <w:sz w:val="20"/>
        </w:rPr>
        <w:t>Exhibit 31.2</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MEDICINOVA, INC.</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the Principal Financial Officer Pursuant to</w:t>
      </w:r>
    </w:p>
    <w:p>
      <w:pPr>
        <w:pStyle w:val="TextBody"/>
        <w:bidi w:val="0"/>
        <w:spacing w:before="0" w:after="0"/>
        <w:jc w:val="center"/>
        <w:rPr>
          <w:rFonts w:ascii="Times New Roman" w:hAnsi="Times New Roman"/>
          <w:sz w:val="20"/>
        </w:rPr>
      </w:pPr>
      <w:r>
        <w:rPr>
          <w:rFonts w:ascii="Times New Roman;serif" w:hAnsi="Times New Roman;serif"/>
          <w:b/>
          <w:sz w:val="20"/>
        </w:rPr>
        <w:t>Section 302 of the Sarbanes-Oxley Act of 2002</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Jason Kruger, certify that: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 I have reviewed this Quarterly Report on Form 10-Q for the quarter ended June 30, 2023 of MediciNova, Inc.;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248" w:type="dxa"/>
        <w:jc w:val="left"/>
        <w:tblInd w:w="0" w:type="dxa"/>
        <w:tblLayout w:type="fixed"/>
        <w:tblCellMar>
          <w:top w:w="28" w:type="dxa"/>
          <w:left w:w="28" w:type="dxa"/>
          <w:bottom w:w="28" w:type="dxa"/>
          <w:right w:w="28" w:type="dxa"/>
        </w:tblCellMar>
      </w:tblPr>
      <w:tblGrid>
        <w:gridCol w:w="421"/>
        <w:gridCol w:w="14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Date: August 9, 2023</w:t>
            </w:r>
            <w:r>
              <w:rPr>
                <w:rFonts w:ascii="Times New Roman" w:hAnsi="Times New Roman"/>
                <w:sz w:val="20"/>
              </w:rPr>
              <w:t xml:space="preserve"> </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8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center"/>
              <w:rPr/>
            </w:pPr>
            <w:r>
              <w:rPr/>
              <w:t> </w:t>
            </w:r>
          </w:p>
        </w:tc>
        <w:tc>
          <w:tcPr>
            <w:tcW w:w="468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 J</w:t>
            </w:r>
            <w:r>
              <w:rPr>
                <w:rFonts w:ascii="Times New Roman;serif" w:hAnsi="Times New Roman;serif"/>
                <w:b w:val="false"/>
                <w:sz w:val="15"/>
              </w:rPr>
              <w:t>ASON</w:t>
            </w:r>
            <w:r>
              <w:rPr>
                <w:rFonts w:ascii="Times New Roman" w:hAnsi="Times New Roman"/>
                <w:sz w:val="20"/>
              </w:rPr>
              <w:t> </w:t>
            </w:r>
            <w:r>
              <w:rPr>
                <w:rFonts w:ascii="Times New Roman;serif" w:hAnsi="Times New Roman;serif"/>
                <w:b w:val="false"/>
                <w:sz w:val="20"/>
              </w:rPr>
              <w:t>K</w:t>
            </w:r>
            <w:r>
              <w:rPr>
                <w:rFonts w:ascii="Times New Roman;serif" w:hAnsi="Times New Roman;serif"/>
                <w:b w:val="false"/>
                <w:sz w:val="15"/>
              </w:rPr>
              <w:t>RUGER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8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Jason Kruger</w:t>
            </w:r>
            <w:r>
              <w:rPr>
                <w:rFonts w:ascii="Times New Roman" w:hAnsi="Times New Roman"/>
                <w:sz w:val="16"/>
              </w:rPr>
              <w:t xml:space="preserve"> </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Chief Financial Officer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(Principal Financial Officer and Principal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mnov-ex32_1.htm"/>
      <w:bookmarkStart w:id="24" w:name="ksmnovex32_1"/>
      <w:bookmarkEnd w:id="23"/>
      <w:bookmarkEnd w:id="24"/>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accompanying Quarterly Report on Form 10-Q of MediciNova, Inc. (the “Company”) for the quarter ended June 30, 2023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tbl>
      <w:tblPr>
        <w:tblW w:w="3463" w:type="dxa"/>
        <w:jc w:val="left"/>
        <w:tblInd w:w="0" w:type="dxa"/>
        <w:tblLayout w:type="fixed"/>
        <w:tblCellMar>
          <w:top w:w="28" w:type="dxa"/>
          <w:left w:w="28" w:type="dxa"/>
          <w:bottom w:w="28" w:type="dxa"/>
          <w:right w:w="28" w:type="dxa"/>
        </w:tblCellMar>
      </w:tblPr>
      <w:tblGrid>
        <w:gridCol w:w="421"/>
        <w:gridCol w:w="146"/>
        <w:gridCol w:w="289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Date: August 9, 2023</w:t>
            </w:r>
            <w:r>
              <w:rPr>
                <w:rFonts w:ascii="Times New Roman" w:hAnsi="Times New Roman"/>
                <w:sz w:val="20"/>
              </w:rPr>
              <w:t xml:space="preserve"> </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6"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center"/>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 xml:space="preserve">/s/ </w:t>
            </w:r>
            <w:r>
              <w:rPr>
                <w:rFonts w:ascii="Times New Roman;serif" w:hAnsi="Times New Roman;serif"/>
                <w:b w:val="false"/>
                <w:smallCaps/>
                <w:sz w:val="20"/>
              </w:rPr>
              <w:t>Yuichi Iwaki</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Yuichi Iwaki, M.D., Ph.D.</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President and Chief Executive Officer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 Executive Officer)</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mnov-ex32_2.htm"/>
      <w:bookmarkStart w:id="26" w:name="ksmnovex32_2"/>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accompanying Quarterly Report on Form 10-Q of MediciNova, Inc. (the “Company”) for the quarter ended June 30, 2023, as filed with the Securities and Exchange Commission on the date hereof (the “Report”), I, Jason Kruger, as Chief Financial Officer of the Company, hereby certify, pursuant to 18 U.S.C. Section 1350, as adopted pursuant to Section 906 of the Sarbanes-Oxley Act of 2002, that to my knowledge: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tbl>
      <w:tblPr>
        <w:tblW w:w="5248" w:type="dxa"/>
        <w:jc w:val="left"/>
        <w:tblInd w:w="0" w:type="dxa"/>
        <w:tblLayout w:type="fixed"/>
        <w:tblCellMar>
          <w:top w:w="28" w:type="dxa"/>
          <w:left w:w="28" w:type="dxa"/>
          <w:bottom w:w="28" w:type="dxa"/>
          <w:right w:w="28" w:type="dxa"/>
        </w:tblCellMar>
      </w:tblPr>
      <w:tblGrid>
        <w:gridCol w:w="421"/>
        <w:gridCol w:w="14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5248"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81" w:type="dxa"/>
            <w:tcBorders/>
            <w:vAlign w:val="center"/>
          </w:tcPr>
          <w:p>
            <w:pPr>
              <w:pStyle w:val="TableContents"/>
              <w:bidi w:val="0"/>
              <w:spacing w:before="0" w:after="0"/>
              <w:ind w:left="0" w:right="0" w:hanging="0"/>
              <w:jc w:val="left"/>
              <w:rPr/>
            </w:pPr>
            <w:r>
              <w:rPr/>
              <w:t> </w:t>
            </w:r>
          </w:p>
        </w:tc>
      </w:tr>
      <w:tr>
        <w:trPr/>
        <w:tc>
          <w:tcPr>
            <w:tcW w:w="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0"/>
              <w:ind w:left="0" w:right="0" w:hanging="0"/>
              <w:jc w:val="center"/>
              <w:rPr/>
            </w:pPr>
            <w:r>
              <w:rPr/>
              <w:t> </w:t>
            </w:r>
          </w:p>
        </w:tc>
        <w:tc>
          <w:tcPr>
            <w:tcW w:w="4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/s/ J</w:t>
            </w:r>
            <w:r>
              <w:rPr>
                <w:rFonts w:ascii="Times New Roman;serif" w:hAnsi="Times New Roman;serif"/>
                <w:b w:val="false"/>
                <w:sz w:val="15"/>
              </w:rPr>
              <w:t>ASON</w:t>
            </w:r>
            <w:r>
              <w:rPr>
                <w:rFonts w:ascii="Times New Roman" w:hAnsi="Times New Roman"/>
                <w:sz w:val="20"/>
              </w:rPr>
              <w:t> </w:t>
            </w:r>
            <w:r>
              <w:rPr>
                <w:rFonts w:ascii="Times New Roman;serif" w:hAnsi="Times New Roman;serif"/>
                <w:b w:val="false"/>
                <w:sz w:val="20"/>
              </w:rPr>
              <w:t>K</w:t>
            </w:r>
            <w:r>
              <w:rPr>
                <w:rFonts w:ascii="Times New Roman;serif" w:hAnsi="Times New Roman;serif"/>
                <w:b w:val="false"/>
                <w:sz w:val="15"/>
              </w:rPr>
              <w:t>RUGER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8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Jason Kruger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8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Chief Financial Officer</w:t>
            </w:r>
          </w:p>
        </w:tc>
      </w:tr>
      <w:tr>
        <w:trPr/>
        <w:tc>
          <w:tcPr>
            <w:tcW w:w="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68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 Financial Officer and Principal Accounting Officer)</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6616/000119312512347932/d344794dex31.htm" TargetMode="External"/><Relationship Id="rId3" Type="http://schemas.openxmlformats.org/officeDocument/2006/relationships/hyperlink" Target="https://www.sec.gov/Archives/edgar/data/1226616/000119312519119751/d727763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11208</Words>
  <Characters>63098</Characters>
  <CharactersWithSpaces>74720</CharactersWithSpaces>
  <Paragraphs>2664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