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49"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20"/>
          </w:cols>
          <w:pgMar w:left="240" w:top="35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00" w:type="dxa"/>
            <w:vAlign w:val="bottom"/>
          </w:tcPr>
          <w:p>
            <w:pPr>
              <w:jc w:val="center"/>
              <w:ind w:right="3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89"/>
              </w:rPr>
              <w:t>4275 Executive Square, Suite 650</w:t>
            </w:r>
          </w:p>
        </w:tc>
        <w:tc>
          <w:tcPr>
            <w:tcW w:w="1440" w:type="dxa"/>
            <w:vAlign w:val="bottom"/>
          </w:tcPr>
          <w:p>
            <w:pPr>
              <w:spacing w:after="0"/>
              <w:rPr>
                <w:sz w:val="24"/>
                <w:szCs w:val="24"/>
                <w:color w:val="auto"/>
              </w:rPr>
            </w:pPr>
          </w:p>
        </w:tc>
      </w:t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5"/>
              </w:rPr>
              <w:t>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20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40" w:type="dxa"/>
            <w:vAlign w:val="bottom"/>
          </w:tcPr>
          <w:p>
            <w:pPr>
              <w:spacing w:after="0"/>
              <w:rPr>
                <w:sz w:val="24"/>
                <w:szCs w:val="24"/>
                <w:color w:val="auto"/>
              </w:rPr>
            </w:pPr>
          </w:p>
        </w:tc>
      </w:tr>
      <w:tr>
        <w:trPr>
          <w:trHeight w:val="186"/>
        </w:trPr>
        <w:tc>
          <w:tcPr>
            <w:tcW w:w="6200" w:type="dxa"/>
            <w:vAlign w:val="bottom"/>
          </w:tcPr>
          <w:p>
            <w:pPr>
              <w:jc w:val="center"/>
              <w:ind w:left="20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firstLine="51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400"/>
          </w:cols>
          <w:pgMar w:left="240" w:top="355" w:right="25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5">
            <w:col w:w="1800" w:space="720"/>
            <w:col w:w="160" w:space="100"/>
            <w:col w:w="4580" w:space="720"/>
            <w:col w:w="2340" w:space="720"/>
            <w:col w:w="260"/>
          </w:cols>
          <w:pgMar w:left="240" w:top="355" w:right="259" w:bottom="1440" w:gutter="0" w:footer="0" w:header="0"/>
          <w:type w:val="continuous"/>
        </w:sectPr>
      </w:pPr>
    </w:p>
    <w:p>
      <w:pPr>
        <w:ind w:left="520"/>
        <w:spacing w:after="0" w:line="196" w:lineRule="exact"/>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380" w:space="200"/>
            <w:col w:w="1820"/>
          </w:cols>
          <w:pgMar w:left="240" w:top="355" w:right="259" w:bottom="1440" w:gutter="0" w:footer="0" w:header="0"/>
          <w:type w:val="continuous"/>
        </w:sectPr>
      </w:pPr>
    </w:p>
    <w:p>
      <w:pPr>
        <w:spacing w:after="0" w:line="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October 21, 2016, the registrant had 34,487,430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539750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or delay in completing clinical trials or obtaining FDA or foreign regulatory approval for our product candidates in a timely manner;</w:t>
      </w:r>
    </w:p>
    <w:p>
      <w:pPr>
        <w:spacing w:after="0" w:line="128"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joint venture entity in China to develop and commercialize our product candidates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8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80" w:type="dxa"/>
            <w:vAlign w:val="bottom"/>
          </w:tcPr>
          <w:p>
            <w:pPr>
              <w:jc w:val="center"/>
              <w:ind w:left="2510"/>
              <w:spacing w:after="0"/>
              <w:rPr>
                <w:sz w:val="20"/>
                <w:szCs w:val="20"/>
                <w:color w:val="auto"/>
              </w:rPr>
            </w:pPr>
            <w:r>
              <w:rPr>
                <w:rFonts w:ascii="Arial" w:cs="Arial" w:eastAsia="Arial" w:hAnsi="Arial"/>
                <w:sz w:val="18"/>
                <w:szCs w:val="18"/>
                <w:b w:val="1"/>
                <w:bCs w:val="1"/>
                <w:color w:val="auto"/>
              </w:rPr>
              <w:t>MEDICINOVA, INC.</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8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24,971,802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640,195</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25,611,997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9,600,240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631,550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76,513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40,777,871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265,580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1,109,475</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1,375,055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1,490,506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1,956,000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5,032,054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5,153,349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0"/>
              </w:rPr>
              <w:t>Preferred stock, $0.01 par value; 3,000,000 shares authorized at September 30, 2016 and December</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0"/>
              </w:rPr>
              <w:t>31, 2015; 0 shares and 220,000 shares outstanding at September 30, 2016 and December 31, 2015,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00" w:type="dxa"/>
            <w:vAlign w:val="bottom"/>
            <w:gridSpan w:val="2"/>
          </w:tcPr>
          <w:p>
            <w:pPr>
              <w:ind w:left="380"/>
              <w:spacing w:after="0"/>
              <w:rPr>
                <w:sz w:val="20"/>
                <w:szCs w:val="20"/>
                <w:color w:val="auto"/>
              </w:rPr>
            </w:pPr>
            <w:r>
              <w:rPr>
                <w:rFonts w:ascii="Arial" w:cs="Arial" w:eastAsia="Arial" w:hAnsi="Arial"/>
                <w:sz w:val="18"/>
                <w:szCs w:val="18"/>
                <w:color w:val="auto"/>
                <w:w w:val="97"/>
              </w:rPr>
              <w:t>Common stock, $0.001 par value; 100,000,000 shares authorized at September 30, 2016 and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380"/>
              <w:spacing w:after="0"/>
              <w:rPr>
                <w:sz w:val="20"/>
                <w:szCs w:val="20"/>
                <w:color w:val="auto"/>
              </w:rPr>
            </w:pPr>
            <w:r>
              <w:rPr>
                <w:rFonts w:ascii="Arial" w:cs="Arial" w:eastAsia="Arial" w:hAnsi="Arial"/>
                <w:sz w:val="18"/>
                <w:szCs w:val="18"/>
                <w:color w:val="auto"/>
                <w:w w:val="93"/>
              </w:rPr>
              <w:t>December 31, 2015; 34,487,430 and 29,956,495 shares issued and outstanding at September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2016 and December 31, 2015,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364,640,102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352,250,667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(84,957)</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(102,765)</w:t>
            </w: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(328,843,816)</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(319,427,085)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35,745,817</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32,752,974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40,777,871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889,578</w:t>
            </w:r>
          </w:p>
        </w:tc>
        <w:tc>
          <w:tcPr>
            <w:tcW w:w="160" w:type="dxa"/>
            <w:vAlign w:val="bottom"/>
          </w:tcPr>
          <w:p>
            <w:pPr>
              <w:spacing w:after="0"/>
              <w:rPr>
                <w:sz w:val="19"/>
                <w:szCs w:val="19"/>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586,680</w:t>
            </w:r>
          </w:p>
        </w:tc>
        <w:tc>
          <w:tcPr>
            <w:tcW w:w="2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2,927,606</w:t>
            </w:r>
          </w:p>
        </w:tc>
        <w:tc>
          <w:tcPr>
            <w:tcW w:w="2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2,103,416</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1,007,453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6,513,472</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3,982,801</w:t>
            </w:r>
          </w:p>
        </w:tc>
        <w:tc>
          <w:tcPr>
            <w:tcW w:w="120" w:type="dxa"/>
            <w:vAlign w:val="bottom"/>
            <w:shd w:val="clear" w:color="auto" w:fill="CFF0FC"/>
          </w:tcPr>
          <w:p>
            <w:pPr>
              <w:spacing w:after="0"/>
              <w:rPr>
                <w:sz w:val="19"/>
                <w:szCs w:val="19"/>
                <w:color w:val="auto"/>
              </w:rPr>
            </w:pPr>
          </w:p>
        </w:tc>
      </w:tr>
      <w:tr>
        <w:trPr>
          <w:trHeight w:val="22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2,844,745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1,594,133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9,441,078</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6,086,217</w:t>
            </w:r>
          </w:p>
        </w:tc>
        <w:tc>
          <w:tcPr>
            <w:tcW w:w="12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(2,844,745)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(1,594,133)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(9,441,078)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(6,086,217)</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(22,857)</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(17,785)</w:t>
            </w:r>
          </w:p>
        </w:tc>
        <w:tc>
          <w:tcPr>
            <w:tcW w:w="5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(41,298)</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46,323</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23,731</w:t>
            </w:r>
          </w:p>
        </w:tc>
        <w:tc>
          <w:tcPr>
            <w:tcW w:w="120" w:type="dxa"/>
            <w:vAlign w:val="bottom"/>
            <w:shd w:val="clear" w:color="auto" w:fill="CFF0FC"/>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(2,834,137)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(1,606,507)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(9,412,540)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(6,103,784)</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(1,383)</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(4,191)</w:t>
            </w: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(5,990)</w:t>
            </w: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(2,835,812)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(1,607,890)</w:t>
            </w:r>
          </w:p>
        </w:tc>
        <w:tc>
          <w:tcPr>
            <w:tcW w:w="2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(9,416,731)</w:t>
            </w:r>
          </w:p>
        </w:tc>
        <w:tc>
          <w:tcPr>
            <w:tcW w:w="280" w:type="dxa"/>
            <w:vAlign w:val="bottom"/>
            <w:tcBorders>
              <w:bottom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(6,109,774)</w:t>
            </w:r>
          </w:p>
        </w:tc>
        <w:tc>
          <w:tcPr>
            <w:tcW w:w="12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34,476,244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26,931,555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32,477,079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25,441,423</w:t>
            </w:r>
          </w:p>
        </w:tc>
        <w:tc>
          <w:tcPr>
            <w:tcW w:w="120" w:type="dxa"/>
            <w:vAlign w:val="bottom"/>
          </w:tcPr>
          <w:p>
            <w:pPr>
              <w:spacing w:after="0"/>
              <w:rPr>
                <w:sz w:val="20"/>
                <w:szCs w:val="20"/>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(2,835,812)</w:t>
            </w: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(1,607,890)</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(9,416,731)</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(6,109,774)</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17,807</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(1,606,057)</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(9,398,924)</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(6,110,267)</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(9,416,731)</w:t>
            </w: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(6,109,774)</w:t>
            </w:r>
          </w:p>
        </w:tc>
      </w:tr>
      <w:tr>
        <w:trPr>
          <w:trHeight w:val="215"/>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3,961,341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1,143,814</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23,273</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Change in equity method investment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11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60,668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(415,910)</w:t>
            </w:r>
          </w:p>
        </w:tc>
      </w:tr>
      <w:tr>
        <w:trPr>
          <w:trHeight w:val="230"/>
        </w:trPr>
        <w:tc>
          <w:tcPr>
            <w:tcW w:w="70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expenses and other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(118,473)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(302,079)</w:t>
            </w:r>
          </w:p>
        </w:tc>
      </w:tr>
      <w:tr>
        <w:trPr>
          <w:trHeight w:val="230"/>
        </w:trPr>
        <w:tc>
          <w:tcPr>
            <w:tcW w:w="7040" w:type="dxa"/>
            <w:vAlign w:val="bottom"/>
          </w:tcPr>
          <w:p>
            <w:pPr>
              <w:ind w:left="1120"/>
              <w:spacing w:after="0"/>
              <w:rPr>
                <w:sz w:val="20"/>
                <w:szCs w:val="20"/>
                <w:color w:val="auto"/>
              </w:rPr>
            </w:pPr>
            <w:r>
              <w:rPr>
                <w:rFonts w:ascii="Arial" w:cs="Arial" w:eastAsia="Arial" w:hAnsi="Arial"/>
                <w:sz w:val="18"/>
                <w:szCs w:val="18"/>
                <w:color w:val="auto"/>
              </w:rPr>
              <w:t>Deferred tax liability, deferred revenue and other long term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(5,487,620)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(5,635,758)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(66,843)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(2,320)</w:t>
            </w: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exercise of common stock options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520"/>
              <w:spacing w:after="0"/>
              <w:rPr>
                <w:sz w:val="20"/>
                <w:szCs w:val="20"/>
                <w:color w:val="auto"/>
              </w:rPr>
            </w:pPr>
            <w:r>
              <w:rPr>
                <w:rFonts w:ascii="Arial" w:cs="Arial" w:eastAsia="Arial" w:hAnsi="Arial"/>
                <w:sz w:val="18"/>
                <w:szCs w:val="18"/>
                <w:color w:val="auto"/>
              </w:rPr>
              <w:t>warrants, net of issuance costs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8,342,698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17,491,761</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89,908</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8,430,427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17,581,669</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2,895,053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11,942,837</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24,971,802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23,612,272</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Income taxes paid</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6,035</w:t>
            </w:r>
          </w:p>
        </w:tc>
        <w:tc>
          <w:tcPr>
            <w:tcW w:w="160" w:type="dxa"/>
            <w:vAlign w:val="bottom"/>
          </w:tcPr>
          <w:p>
            <w:pPr>
              <w:spacing w:after="0"/>
              <w:rPr>
                <w:sz w:val="20"/>
                <w:szCs w:val="20"/>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$0.8 million and $0.5 million for the three months ended September 30, 2016 and 2015, respectively. Research and development costs totaled $2.7 million and $1.9 million for the nine months ended September 30, 2016 and 2015, respectively.</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September 30, 2016 and 2015 and $0.2 million for each of the nine months ended September 30,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Early adoption is permitted as of January 1, 2017. The amendments may be applied retrospectively to each prior period presented or retrospectively with the cumulative effect recognized as of the date of initial application. The Company is currently evaluating the impact these amendments will have on its consolidated financial statements and has not decided on the method of adoption.</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 xml:space="preserve">In August 2014, the FASB issued Accounting Standards Update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make certain disclosures if it concludes that substantial doubt exists or when its plans alleviate substantial doubt about the entity’s ability to continue as a going concern. The standard is effective for annual periods ending after December 15, 2016. Early adoption is permitted. After adoption at December 31, 2016, the Company will apply this guidance to assess going concern. We do not expect the adoption to have material impact on our financial statements.</w:t>
      </w:r>
    </w:p>
    <w:p>
      <w:pPr>
        <w:spacing w:after="0" w:line="17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188"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services were performed and no revenue was recorded in the three and nine months ended September 30, 2016 and 2015.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98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Included in cash and cash equivalents are $24.8 million and $21.9 million of money market funds as of September 30, 2016 and December 31, 2015, respectively, that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6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September 30, 2016 and December 31, 2015, the investment is reflected as a long-term asset on the Company’s consolidated balance sheet which represents the investment and maximum loss exposure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2016, 654,625 shares remain available for future grant under the 2013 Plan.</w:t>
      </w:r>
    </w:p>
    <w:p>
      <w:pPr>
        <w:spacing w:after="0" w:line="18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under the 2013 Plan and the 2004 Plan have terms of ten years from the date of grant and generally vest over a three or four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exercise price of all options granted through September 31, 2016 and in 2015 was equal to the market value of the Company’s common stock on the date of grant.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2016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(172,585)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(138,800)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2016</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4,980,584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17,801,148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Exercisable at September 30, 2016</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3,797,792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13,601,759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523"/>
        <w:spacing w:after="0" w:line="264" w:lineRule="auto"/>
        <w:rPr>
          <w:sz w:val="20"/>
          <w:szCs w:val="20"/>
          <w:color w:val="auto"/>
        </w:rPr>
      </w:pPr>
      <w:r>
        <w:rPr>
          <w:rFonts w:ascii="Arial" w:cs="Arial" w:eastAsia="Arial" w:hAnsi="Arial"/>
          <w:sz w:val="18"/>
          <w:szCs w:val="18"/>
          <w:color w:val="auto"/>
        </w:rPr>
        <w:t>During the nine months ended September 30, 2016, there were 172,585 options exercised, from which gross proceeds of $829,525 were received. No options were exercised during nine months ended September 30, 2015. The intrinsic value of options exercised during the nine months ended September 30, 2016 was $414,573.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For the nine months ended September 30, 2016, an aggregate of 26,650 shares were issued under the ESPP. As of September 30, 2016, there are 184,125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September 30, 2016 and 2015 stock-based compensation expense related to stock options and the ESPP was $1.2 million and $0.1 million, respectively. For the nine months ended September 30, 2016 and 2015 stock-based compensation expense related to stock options and the ESPP was $4.0 million and $1.1 million, respectively.</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10" w:name="page11"/>
    <w:bookmarkEnd w:id="10"/>
    <w:p>
      <w:pPr>
        <w:ind w:right="60" w:firstLine="518"/>
        <w:spacing w:after="0" w:line="286"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The following table provides the assumptions used in the Black-Scholes valuation model used to estimate the fair value of options granted during the nine months ended September 30, 2016 and 2015 and to estimate the fair value of performance based stock options as of September 30, 2016.</w:t>
      </w:r>
    </w:p>
    <w:p>
      <w:pPr>
        <w:sectPr>
          <w:pgSz w:w="11900" w:h="16838" w:orient="portrait"/>
          <w:cols w:equalWidth="0" w:num="1">
            <w:col w:w="11420"/>
          </w:cols>
          <w:pgMar w:left="240" w:top="557" w:right="239" w:bottom="1440" w:gutter="0" w:footer="0" w:header="0"/>
        </w:sectPr>
      </w:pPr>
    </w:p>
    <w:p>
      <w:pPr>
        <w:spacing w:after="0" w:line="252"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20955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8"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September 30, 2016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20955</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30, 2015</w:t>
      </w:r>
    </w:p>
    <w:p>
      <w:pPr>
        <w:spacing w:after="0" w:line="22" w:lineRule="exact"/>
        <w:rPr>
          <w:sz w:val="20"/>
          <w:szCs w:val="20"/>
          <w:color w:val="auto"/>
        </w:rPr>
      </w:pPr>
    </w:p>
    <w:p>
      <w:pPr>
        <w:sectPr>
          <w:pgSz w:w="11900" w:h="16838" w:orient="portrait"/>
          <w:cols w:equalWidth="0" w:num="2">
            <w:col w:w="8680" w:space="720"/>
            <w:col w:w="202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6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1.14 - 1.61%</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1.48%</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75.1 - 78.46%</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79.3%</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4.8 - 5.7</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0.45%</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0.12%</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90"/>
              </w:rPr>
              <w:t>50.6%</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82.3%</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2"/>
              </w:rPr>
              <w:t>0.0%</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4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September 30, 2016, there was $2.0 million of unamortized compensation cost related to unvested stock option awards which is expected to be recognized over a remaining weighted-average vesting period of 1.0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16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On September 16, 2016, the Company entered into an amendment No.1 to the original sales agreement with MLV to also include FBR Capital Markets &amp; Co. as a sales agent.</w:t>
      </w:r>
    </w:p>
    <w:p>
      <w:pPr>
        <w:spacing w:after="0" w:line="170"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For the year ended December 31, 2015, the Company generated gross proceeds of $32,700 and incurred issuance costs of $121,500 under this agreement on sales of 7,800 shares of the Company’s common stock at prices ranging from $4.16 to $4.23 per share. No shares of common stock were sold in the nine months ended September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During the nine months ended September 30, 2016 and 2015, warrants to purchase 2,131,700 and 252,200 shares of the Company’s common stock were exercised for gross proceeds of $7.6 million and $0.9 million, respectively. On March 29, 2016, warrants to purchase 207,600 shares of the Company’s common stock expired unexercised.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2016, the Company had the following warrants outstanding:</w:t>
      </w:r>
    </w:p>
    <w:p>
      <w:pPr>
        <w:spacing w:after="0" w:line="117"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per share which expire on May 10,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2,200,000</w:t>
            </w:r>
          </w:p>
        </w:tc>
        <w:tc>
          <w:tcPr>
            <w:tcW w:w="6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4,980,584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4,133,969</w:t>
            </w:r>
          </w:p>
        </w:tc>
        <w:tc>
          <w:tcPr>
            <w:tcW w:w="6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1,067,067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3,406,367</w:t>
            </w:r>
          </w:p>
        </w:tc>
        <w:tc>
          <w:tcPr>
            <w:tcW w:w="6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6,047,651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9,740,336</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September 30, 2016, is included on the balance sheet at September 30, 2016 as long-term deferred revenue and will be recognized as revenue in future periods upon the Company’s performance of the remaining services. No services were performed and no revenues related to this services agreements were recognized during the three and nine month periods ended September 30, 2016 and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12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On September 26, 2011, the Company issued and sold to Kissei 220,000 shares of Series B Convertible Preferred Stock. Each share of the Series B Preferred stock was convertible into shares of common stock at a conversion rate of 1:10 at the option of the holder. On June 15, 2016, Kissei elected to convert all 220,000 preferred shares into 2,200,000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evaluated all subsequent events that have occurred after the date of the accompanying financial statements and determined that there were no events or transactions occurring during the subsequent event period which require recognition or disclosure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2015 included in our Annual Report on Form 10-K filed with the Securities and Exchange Commission, or SEC, on February 25, 2016.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September 30, 2016, we had an accumulated deficit of $328.8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rFonts w:ascii="Arial" w:cs="Arial" w:eastAsia="Arial" w:hAnsi="Arial"/>
          <w:sz w:val="18"/>
          <w:szCs w:val="18"/>
          <w:color w:val="auto"/>
        </w:rPr>
      </w:pPr>
    </w:p>
    <w:p>
      <w:pPr>
        <w:ind w:left="1040" w:right="60"/>
        <w:spacing w:after="0" w:line="293" w:lineRule="auto"/>
        <w:rPr>
          <w:rFonts w:ascii="Arial" w:cs="Arial" w:eastAsia="Arial" w:hAnsi="Arial"/>
          <w:sz w:val="18"/>
          <w:szCs w:val="18"/>
          <w:color w:val="auto"/>
        </w:rPr>
      </w:pPr>
      <w:r>
        <w:rPr>
          <w:rFonts w:ascii="Arial" w:cs="Arial" w:eastAsia="Arial" w:hAnsi="Arial"/>
          <w:sz w:val="16"/>
          <w:szCs w:val="16"/>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56"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for fibrotic diseases such as NASH and IPF.</w:t>
      </w:r>
    </w:p>
    <w:p>
      <w:pPr>
        <w:spacing w:after="0" w:line="117" w:lineRule="exact"/>
        <w:rPr>
          <w:rFonts w:ascii="Arial" w:cs="Arial" w:eastAsia="Arial" w:hAnsi="Arial"/>
          <w:sz w:val="18"/>
          <w:szCs w:val="18"/>
          <w:color w:val="auto"/>
        </w:rPr>
      </w:pPr>
    </w:p>
    <w:p>
      <w:pPr>
        <w:ind w:left="1040" w:right="1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through a combination of investigator-sponsored trials with or without grant funding as well as trials we may fund.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1040" w:right="6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26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4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2016,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and nine months ended September 30, 2016 and 2015, we recognized zero revenues associated with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MN-221</w:t>
            </w:r>
          </w:p>
        </w:tc>
        <w:tc>
          <w:tcPr>
            <w:tcW w:w="12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MN-001</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10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4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MN-221</w:t>
            </w:r>
          </w:p>
        </w:tc>
        <w:tc>
          <w:tcPr>
            <w:tcW w:w="12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MN-001</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10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 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September 30, 2016, goodwill and in-process research and development, or IPR&amp;D, was $9.6 million and $4.8 million, respectively.</w:t>
      </w:r>
    </w:p>
    <w:p>
      <w:pPr>
        <w:spacing w:after="0" w:line="19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Research, development and patent expenses were $0.9 million and $0.6 million for the three months ended September 30, 2016 and 2015, respectively. This $0.3 million increase was due primarily to higher stock compensation expense for performance-based stock options due in part to an increase in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General and administrative expenses were $2.0 million and $1.0 million for the three months ended September 30, 2016 and 2015, respectively. This $1.0 million increase was due primarily to higher stock compensation expense for performance-based stock options due in part to an increase in our stock price.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2015</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Research, development and patent expenses were $2.9 million and $2.1 million for the nine months ended September 30, 2016 and 2015, respectively. This $0.8 million increase was due primarily to higher stock compensation expense for performance-based stock options due in part to an increase in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General and administrative expenses were $6.5 million and $4.0 million for the nine months ended September 30, 2016 and 2015, respectively. The increase of $2.5 million was due primarily to higher stock compensation expense for performance based stock options due in part to an increase in our stock price. In addition, the Company had higher professional and legal expenses in the nine months ended September 30, 2016 compared to the same period in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2016 was $5.5 million compared to $5.6 million during the same period in 2015. Net cash primarily reflects the net loss for those periods, which was partially offset by non-cash stock-based compensation and changes in operating assets and liabilities.</w:t>
      </w:r>
    </w:p>
    <w:p>
      <w:pPr>
        <w:spacing w:after="0" w:line="181"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2016 was $8.4 million primarily due to the exercise of 2,131,700 warrants and 172,585 stock options for gross proceeds of $7.6 million and $0.8 million, respectively.</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entered into an amendment No.1 to the original sales agreement with MLV to also include FBR Capital Markets &amp; Co. as a sales agent.</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year ended December 31, 2015, we generated gross proceeds of $32,700 and incurred issuance costs of $121,500 under this agreement on sales of 7,800 shares of our common stock at prices ranging from $4.16 to $4.23 per share. No shares of common stock were sold in the three and nine months ended September 30, 2016.</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proceeds of approximately $16.0 million, net of underwriting discounts and commissions and offering expenses.</w:t>
      </w:r>
    </w:p>
    <w:p>
      <w:pPr>
        <w:spacing w:after="0" w:line="181"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As of September 30, 2016, we had available cash and cash equivalents of $25.0 million and working capital of $24.2 million. As of the date of this report, we believe we have working capital sufficient to fund operations at least through December 31, 2018. However, we cannot provide assurance that these capital resources will be sufficient to conduct all of our research and development programs as planned.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September 30, 2016,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Cash and cash equivalents as of September 30, 2016 were $25.0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2016.</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September 30, 2016.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2015,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2015.</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SECUTITIES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5.</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040" w:type="dxa"/>
            <w:vAlign w:val="bottom"/>
            <w:gridSpan w:val="3"/>
          </w:tcPr>
          <w:p>
            <w:pPr>
              <w:ind w:left="520"/>
              <w:spacing w:after="0"/>
              <w:rPr>
                <w:sz w:val="20"/>
                <w:szCs w:val="20"/>
                <w:color w:val="auto"/>
              </w:rPr>
            </w:pPr>
            <w:r>
              <w:rPr>
                <w:rFonts w:ascii="Arial" w:cs="Arial" w:eastAsia="Arial" w:hAnsi="Arial"/>
                <w:sz w:val="18"/>
                <w:szCs w:val="18"/>
                <w:color w:val="auto"/>
              </w:rPr>
              <w:t>None</w:t>
            </w:r>
          </w:p>
        </w:tc>
        <w:tc>
          <w:tcPr>
            <w:tcW w:w="10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820" w:right="20" w:hanging="809"/>
        <w:spacing w:after="0" w:line="342"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1 to At-the-Market Issuance Sales Agreement, dated September 16, 2016, by and among MediciNova, Inc., MLV &amp; Co. LLC and FBR Capital Markets &amp; Co. (incorporated by reference to Exhibit 10.1 to the Registrant’s Current Report on Form 8-K filed September 16, 2016).</w:t>
      </w:r>
    </w:p>
    <w:p>
      <w:pPr>
        <w:spacing w:after="0" w:line="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hanging="812"/>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September 30,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October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700" w:type="dxa"/>
            <w:vAlign w:val="bottom"/>
            <w:tcBorders>
              <w:top w:val="single" w:sz="8" w:color="auto"/>
            </w:tcBorders>
          </w:tcPr>
          <w:p>
            <w:pPr>
              <w:jc w:val="right"/>
              <w:ind w:right="295"/>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Amendment No. 1 to At-the-Market Issuance Sales Agreement, dated September 16, 2016, by and among MediciNova, Inc., MLV &amp; Co. LLC and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FBR Capital Markets &amp; Co. (incorporated by reference to Exhibit 10.1 to the Registrant’s Current Report on Form 8-K filed September 16, 2016).</w:t>
            </w:r>
          </w:p>
        </w:tc>
        <w:tc>
          <w:tcPr>
            <w:tcW w:w="0" w:type="dxa"/>
            <w:vAlign w:val="bottom"/>
          </w:tcPr>
          <w:p>
            <w:pPr>
              <w:spacing w:after="0"/>
              <w:rPr>
                <w:sz w:val="1"/>
                <w:szCs w:val="1"/>
                <w:color w:val="auto"/>
              </w:rPr>
            </w:pPr>
          </w:p>
        </w:tc>
      </w:tr>
      <w:tr>
        <w:trPr>
          <w:trHeight w:val="338"/>
        </w:trPr>
        <w:tc>
          <w:tcPr>
            <w:tcW w:w="700" w:type="dxa"/>
            <w:vAlign w:val="bottom"/>
            <w:vMerge w:val="restart"/>
          </w:tcPr>
          <w:p>
            <w:pPr>
              <w:jc w:val="right"/>
              <w:ind w:right="295"/>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5"/>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hanging="812"/>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September 30,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2016</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2016</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2016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2016</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2016,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2016</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2019-12-29T09:31:57Z</dcterms:created>
  <dcterms:modified xsi:type="dcterms:W3CDTF">2019-12-29T09:31:57Z</dcterms:modified>
</cp:coreProperties>
</file>