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9" w:lineRule="exact"/>
        <w:rPr>
          <w:rFonts w:ascii="MS PGothic" w:cs="MS PGothic" w:eastAsia="MS PGothic" w:hAnsi="MS PGothic"/>
          <w:sz w:val="18"/>
          <w:szCs w:val="18"/>
          <w:color w:val="auto"/>
          <w:highlight w:val="black"/>
        </w:rPr>
      </w:pPr>
    </w:p>
    <w:p>
      <w:pPr>
        <w:ind w:left="3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MARCH 31, 2024</w:t>
      </w:r>
    </w:p>
    <w:p>
      <w:pPr>
        <w:spacing w:after="0" w:line="9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spacing w:after="0"/>
              <w:rPr>
                <w:sz w:val="20"/>
                <w:szCs w:val="20"/>
                <w:color w:val="auto"/>
              </w:rPr>
            </w:pPr>
          </w:p>
        </w:tc>
        <w:tc>
          <w:tcPr>
            <w:tcW w:w="3560" w:type="dxa"/>
            <w:vAlign w:val="bottom"/>
            <w:gridSpan w:val="2"/>
          </w:tcPr>
          <w:p>
            <w:pPr>
              <w:jc w:val="right"/>
              <w:ind w:right="2244"/>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51"/>
        </w:trPr>
        <w:tc>
          <w:tcPr>
            <w:tcW w:w="4540" w:type="dxa"/>
            <w:vAlign w:val="bottom"/>
            <w:gridSpan w:val="3"/>
          </w:tcPr>
          <w:p>
            <w:pPr>
              <w:jc w:val="center"/>
              <w:ind w:left="91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jc w:val="center"/>
              <w:ind w:right="196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4540" w:type="dxa"/>
            <w:vAlign w:val="bottom"/>
            <w:gridSpan w:val="3"/>
          </w:tcPr>
          <w:p>
            <w:pPr>
              <w:jc w:val="center"/>
              <w:ind w:left="918"/>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La Jolla, CA</w:t>
            </w:r>
          </w:p>
        </w:tc>
        <w:tc>
          <w:tcPr>
            <w:tcW w:w="3140" w:type="dxa"/>
            <w:vAlign w:val="bottom"/>
          </w:tcPr>
          <w:p>
            <w:pPr>
              <w:spacing w:after="0"/>
              <w:rPr>
                <w:sz w:val="20"/>
                <w:szCs w:val="20"/>
                <w:color w:val="auto"/>
              </w:rPr>
            </w:pPr>
          </w:p>
        </w:tc>
        <w:tc>
          <w:tcPr>
            <w:tcW w:w="3560" w:type="dxa"/>
            <w:vAlign w:val="bottom"/>
            <w:gridSpan w:val="2"/>
          </w:tcPr>
          <w:p>
            <w:pPr>
              <w:jc w:val="right"/>
              <w:ind w:right="2444"/>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3"/>
        </w:trPr>
        <w:tc>
          <w:tcPr>
            <w:tcW w:w="454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4"/>
        </w:trPr>
        <w:tc>
          <w:tcPr>
            <w:tcW w:w="3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1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(858) 373-1500</w:t>
            </w: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212"/>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34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8"/>
        </w:trPr>
        <w:tc>
          <w:tcPr>
            <w:tcW w:w="4540" w:type="dxa"/>
            <w:vAlign w:val="bottom"/>
            <w:gridSpan w:val="3"/>
          </w:tcPr>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14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MNOV</w:t>
            </w: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59"/>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107"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24"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217"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54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7, 2024,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00"/>
            <w:col w:w="260"/>
          </w:cols>
          <w:pgMar w:left="320" w:top="1289"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any other communicable disease, such as COVID-19, which has led to lead key employees becoming ill for a period of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3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“MediciNova,” “we,” “us” and “our” refer to MediciNova, Inc.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093" w:right="1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6"/>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5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37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240" w:type="dxa"/>
            <w:vAlign w:val="bottom"/>
            <w:gridSpan w:val="2"/>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20" w:type="dxa"/>
            <w:vAlign w:val="bottom"/>
            <w:tcBorders>
              <w:bottom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2"/>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750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9"/>
                <w:szCs w:val="19"/>
                <w:color w:val="auto"/>
              </w:rPr>
            </w:pPr>
          </w:p>
        </w:tc>
        <w:tc>
          <w:tcPr>
            <w:tcW w:w="8100" w:type="dxa"/>
            <w:vAlign w:val="bottom"/>
            <w:gridSpan w:val="13"/>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300" w:type="dxa"/>
            <w:vAlign w:val="bottom"/>
            <w:gridSpan w:val="3"/>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00" w:type="dxa"/>
            <w:vAlign w:val="bottom"/>
            <w:gridSpan w:val="6"/>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8"/>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00" w:type="dxa"/>
            <w:vAlign w:val="bottom"/>
            <w:gridSpan w:val="9"/>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72"/>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1"/>
          </w:tcPr>
          <w:p>
            <w:pPr>
              <w:jc w:val="center"/>
              <w:ind w:left="3130"/>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47,138,799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724,796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174,938</w:t>
            </w: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47,863,595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51,174,380</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519,307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575,406</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1"/>
                <w:szCs w:val="21"/>
                <w:color w:val="auto"/>
              </w:rPr>
            </w:pPr>
          </w:p>
        </w:tc>
      </w:tr>
      <w:tr>
        <w:trPr>
          <w:trHeight w:val="27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62,893,917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804,764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1,003,937</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1,487,845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217,887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2,510,496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3,279,101</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3,063,473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3,891,553</w:t>
            </w:r>
          </w:p>
        </w:tc>
        <w:tc>
          <w:tcPr>
            <w:tcW w:w="100" w:type="dxa"/>
            <w:vAlign w:val="bottom"/>
          </w:tcPr>
          <w:p>
            <w:pPr>
              <w:spacing w:after="0"/>
              <w:rPr>
                <w:sz w:val="20"/>
                <w:szCs w:val="20"/>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March 31, 2024 and December 31, 2023; 49,046,246 and 49,046,246</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shares issued and outstanding at March 31, 2024 and December</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31, 2023, respectively</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478,364,591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478,149,161</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(126,982 )</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(118,090 )</w:t>
            </w: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(418,456,211 )</w:t>
            </w:r>
          </w:p>
        </w:tc>
        <w:tc>
          <w:tcPr>
            <w:tcW w:w="26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(415,701,693 )</w:t>
            </w:r>
          </w:p>
        </w:tc>
      </w:tr>
      <w:tr>
        <w:trPr>
          <w:trHeight w:val="23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59,830,444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62,378,424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62,893,917</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7"/>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1,781,869</w:t>
            </w:r>
          </w:p>
        </w:tc>
        <w:tc>
          <w:tcPr>
            <w:tcW w:w="3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1,476,676</w:t>
            </w:r>
          </w:p>
        </w:tc>
        <w:tc>
          <w:tcPr>
            <w:tcW w:w="280" w:type="dxa"/>
            <w:vAlign w:val="bottom"/>
          </w:tcPr>
          <w:p>
            <w:pPr>
              <w:spacing w:after="0"/>
              <w:rPr>
                <w:sz w:val="20"/>
                <w:szCs w:val="20"/>
                <w:color w:val="auto"/>
              </w:rPr>
            </w:pPr>
          </w:p>
        </w:tc>
      </w:tr>
      <w:tr>
        <w:trPr>
          <w:trHeight w:val="247"/>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1,354,124</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1,486,567</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3,135,993</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2,963,243</w:t>
            </w:r>
          </w:p>
        </w:tc>
        <w:tc>
          <w:tcPr>
            <w:tcW w:w="280" w:type="dxa"/>
            <w:vAlign w:val="bottom"/>
          </w:tcPr>
          <w:p>
            <w:pPr>
              <w:spacing w:after="0"/>
              <w:rPr>
                <w:sz w:val="20"/>
                <w:szCs w:val="20"/>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(3,135,993 )</w:t>
            </w:r>
          </w:p>
        </w:tc>
        <w:tc>
          <w:tcPr>
            <w:tcW w:w="5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(2,963,243 )</w:t>
            </w: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397,510</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509,046</w:t>
            </w:r>
          </w:p>
        </w:tc>
        <w:tc>
          <w:tcPr>
            <w:tcW w:w="28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(16,035 )</w:t>
            </w:r>
          </w:p>
        </w:tc>
        <w:tc>
          <w:tcPr>
            <w:tcW w:w="5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(463,307 )</w:t>
            </w: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(2,754,518 )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(2,917,504 )</w:t>
            </w:r>
          </w:p>
        </w:tc>
      </w:tr>
      <w:tr>
        <w:trPr>
          <w:trHeight w:val="20"/>
        </w:trPr>
        <w:tc>
          <w:tcPr>
            <w:tcW w:w="7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(0.06 )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(0.06 )</w:t>
            </w: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8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(2,754,518 )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(2,917,504 )</w:t>
            </w: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(8,892 )</w:t>
            </w:r>
          </w:p>
        </w:tc>
        <w:tc>
          <w:tcPr>
            <w:tcW w:w="5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(1,542 )</w:t>
            </w: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(2,763,410 )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(2,919,046 )</w:t>
            </w:r>
          </w:p>
        </w:tc>
      </w:tr>
      <w:tr>
        <w:trPr>
          <w:trHeight w:val="20"/>
        </w:trPr>
        <w:tc>
          <w:tcPr>
            <w:tcW w:w="7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-1782445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-1782445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-1148080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-1148080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400" w:firstLine="180"/>
        <w:spacing w:after="0" w:line="268" w:lineRule="auto"/>
        <w:rPr>
          <w:sz w:val="20"/>
          <w:szCs w:val="20"/>
          <w:color w:val="auto"/>
        </w:rPr>
      </w:pPr>
      <w:r>
        <w:rPr>
          <w:rFonts w:ascii="Times New Roman" w:cs="Times New Roman" w:eastAsia="Times New Roman" w:hAnsi="Times New Roman"/>
          <w:sz w:val="14"/>
          <w:szCs w:val="14"/>
          <w:color w:val="auto"/>
        </w:rPr>
        <w:t>Balance at December 31, 2023 Share-based compensation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Balance at March 31, 2024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12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2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12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478,149,161</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(118,090</w:t>
            </w:r>
          </w:p>
        </w:tc>
        <w:tc>
          <w:tcPr>
            <w:tcW w:w="2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(415,701,693</w:t>
            </w:r>
          </w:p>
        </w:tc>
        <w:tc>
          <w:tcPr>
            <w:tcW w:w="22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62,378,424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(2,754,518 )</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(2,754,518 )</w:t>
            </w:r>
          </w:p>
        </w:tc>
        <w:tc>
          <w:tcPr>
            <w:tcW w:w="0" w:type="dxa"/>
            <w:vAlign w:val="bottom"/>
          </w:tcPr>
          <w:p>
            <w:pPr>
              <w:spacing w:after="0"/>
              <w:rPr>
                <w:sz w:val="1"/>
                <w:szCs w:val="1"/>
                <w:color w:val="auto"/>
              </w:rPr>
            </w:pPr>
          </w:p>
        </w:tc>
      </w:tr>
      <w:tr>
        <w:trPr>
          <w:trHeight w:val="185"/>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(8,892 )</w:t>
            </w:r>
          </w:p>
        </w:tc>
        <w:tc>
          <w:tcPr>
            <w:tcW w:w="120" w:type="dxa"/>
            <w:vAlign w:val="bottom"/>
          </w:tcPr>
          <w:p>
            <w:pPr>
              <w:spacing w:after="0"/>
              <w:rPr>
                <w:sz w:val="16"/>
                <w:szCs w:val="16"/>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(8,892 )</w:t>
            </w:r>
          </w:p>
        </w:tc>
        <w:tc>
          <w:tcPr>
            <w:tcW w:w="0" w:type="dxa"/>
            <w:vAlign w:val="bottom"/>
          </w:tcPr>
          <w:p>
            <w:pPr>
              <w:spacing w:after="0"/>
              <w:rPr>
                <w:sz w:val="1"/>
                <w:szCs w:val="1"/>
                <w:color w:val="auto"/>
              </w:rPr>
            </w:pPr>
          </w:p>
        </w:tc>
      </w:tr>
      <w:tr>
        <w:trPr>
          <w:trHeight w:val="169"/>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478,364,591</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(126,982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(418,456,211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59,830,444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-591185</wp:posOffset>
            </wp:positionV>
            <wp:extent cx="7132320"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-367665</wp:posOffset>
            </wp:positionV>
            <wp:extent cx="713232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6" w:lineRule="exact"/>
        <w:rPr>
          <w:sz w:val="20"/>
          <w:szCs w:val="20"/>
          <w:color w:val="auto"/>
        </w:rPr>
      </w:pPr>
    </w:p>
    <w:p>
      <w:pPr>
        <w:sectPr>
          <w:pgSz w:w="11900" w:h="16838" w:orient="portrait"/>
          <w:cols w:equalWidth="0" w:num="2">
            <w:col w:w="2380" w:space="700"/>
            <w:col w:w="81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0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76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2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477,438,451</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(115,285</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(407,130,177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70,242,035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403,263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(2,917,504 )</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(2,917,504 )</w:t>
            </w: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(1,542 )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(1,542 )</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Balance at March 31, 2023</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477,841,714</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(116,827 )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(410,047,681 )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67,726,252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-144780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-144780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-144780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-144780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(2,754,518 )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(2,917,504 )</w:t>
            </w:r>
          </w:p>
        </w:tc>
      </w:tr>
      <w:tr>
        <w:trPr>
          <w:trHeight w:val="247"/>
        </w:trPr>
        <w:tc>
          <w:tcPr>
            <w:tcW w:w="7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403,263</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shd w:val="clear" w:color="auto" w:fill="CFF0FC"/>
          </w:tcPr>
          <w:p>
            <w:pPr>
              <w:spacing w:after="0"/>
              <w:rPr>
                <w:sz w:val="21"/>
                <w:szCs w:val="21"/>
                <w:color w:val="auto"/>
              </w:rPr>
            </w:pPr>
          </w:p>
        </w:tc>
      </w:tr>
      <w:tr>
        <w:trPr>
          <w:trHeight w:val="239"/>
        </w:trPr>
        <w:tc>
          <w:tcPr>
            <w:tcW w:w="7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on disposal of investments</w:t>
            </w:r>
          </w:p>
        </w:tc>
        <w:tc>
          <w:tcPr>
            <w:tcW w:w="3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102,513</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49,519</w:t>
            </w:r>
          </w:p>
        </w:tc>
        <w:tc>
          <w:tcPr>
            <w:tcW w:w="100" w:type="dxa"/>
            <w:vAlign w:val="bottom"/>
            <w:shd w:val="clear" w:color="auto" w:fill="CFF0FC"/>
          </w:tcPr>
          <w:p>
            <w:pPr>
              <w:spacing w:after="0"/>
              <w:rPr>
                <w:sz w:val="21"/>
                <w:szCs w:val="21"/>
                <w:color w:val="auto"/>
              </w:rPr>
            </w:pPr>
          </w:p>
        </w:tc>
      </w:tr>
      <w:tr>
        <w:trPr>
          <w:trHeight w:val="239"/>
        </w:trPr>
        <w:tc>
          <w:tcPr>
            <w:tcW w:w="7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(551,750 )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(310,908 )</w:t>
            </w:r>
          </w:p>
        </w:tc>
      </w:tr>
      <w:tr>
        <w:trPr>
          <w:trHeight w:val="239"/>
        </w:trPr>
        <w:tc>
          <w:tcPr>
            <w:tcW w:w="78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(781,345 )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(459,248 )</w:t>
            </w:r>
          </w:p>
        </w:tc>
      </w:tr>
      <w:tr>
        <w:trPr>
          <w:trHeight w:val="247"/>
        </w:trPr>
        <w:tc>
          <w:tcPr>
            <w:tcW w:w="78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(50,807 )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(49,153 )</w:t>
            </w:r>
          </w:p>
        </w:tc>
      </w:tr>
      <w:tr>
        <w:trPr>
          <w:trHeight w:val="20"/>
        </w:trPr>
        <w:tc>
          <w:tcPr>
            <w:tcW w:w="7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(3,868,248 )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(3,177,413 )</w:t>
            </w:r>
          </w:p>
        </w:tc>
      </w:tr>
      <w:tr>
        <w:trPr>
          <w:trHeight w:val="23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disposal of investments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39,929,015</w:t>
            </w:r>
          </w:p>
        </w:tc>
        <w:tc>
          <w:tcPr>
            <w:tcW w:w="100" w:type="dxa"/>
            <w:vAlign w:val="bottom"/>
          </w:tcPr>
          <w:p>
            <w:pPr>
              <w:spacing w:after="0"/>
              <w:rPr>
                <w:sz w:val="21"/>
                <w:szCs w:val="21"/>
                <w:color w:val="auto"/>
              </w:rPr>
            </w:pPr>
          </w:p>
        </w:tc>
      </w:tr>
      <w:tr>
        <w:trPr>
          <w:trHeight w:val="23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39,929,015</w:t>
            </w:r>
          </w:p>
        </w:tc>
        <w:tc>
          <w:tcPr>
            <w:tcW w:w="100" w:type="dxa"/>
            <w:vAlign w:val="bottom"/>
            <w:shd w:val="clear" w:color="auto" w:fill="CFF0FC"/>
          </w:tcPr>
          <w:p>
            <w:pPr>
              <w:spacing w:after="0"/>
              <w:rPr>
                <w:sz w:val="20"/>
                <w:szCs w:val="20"/>
                <w:color w:val="auto"/>
              </w:rPr>
            </w:pPr>
          </w:p>
        </w:tc>
      </w:tr>
      <w:tr>
        <w:trPr>
          <w:trHeight w:val="237"/>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2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top w:val="single" w:sz="8" w:color="CFF0FC"/>
            </w:tcBorders>
          </w:tcPr>
          <w:p>
            <w:pPr>
              <w:spacing w:after="0"/>
              <w:rPr>
                <w:sz w:val="20"/>
                <w:szCs w:val="20"/>
                <w:color w:val="auto"/>
              </w:rPr>
            </w:pPr>
          </w:p>
        </w:tc>
      </w:tr>
      <w:tr>
        <w:trPr>
          <w:trHeight w:val="23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(3,860,643 )</w:t>
            </w: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36,753,875</w:t>
            </w:r>
          </w:p>
        </w:tc>
        <w:tc>
          <w:tcPr>
            <w:tcW w:w="100" w:type="dxa"/>
            <w:vAlign w:val="bottom"/>
            <w:shd w:val="clear" w:color="auto" w:fill="CFF0FC"/>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100" w:type="dxa"/>
            <w:vAlign w:val="bottom"/>
          </w:tcPr>
          <w:p>
            <w:pPr>
              <w:spacing w:after="0"/>
              <w:rPr>
                <w:sz w:val="21"/>
                <w:szCs w:val="21"/>
                <w:color w:val="auto"/>
              </w:rPr>
            </w:pPr>
          </w:p>
        </w:tc>
      </w:tr>
      <w:tr>
        <w:trPr>
          <w:trHeight w:val="277"/>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47,138,799</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55,259,368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-1311275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-668020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2023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2023 has been derived from the audited financial statements at that date but does not include all the information and footnotes required by GAAP for complete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 accounts, with original maturities of three months or less from the date of purchase.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35"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$1.7 million and $1.4 million for the three months ended March 31, 2024 and 2023, respectively.</w:t>
      </w:r>
    </w:p>
    <w:p>
      <w:pPr>
        <w:spacing w:after="0" w:line="20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the three months ended March 31, 2024 and 2023, respectively.</w:t>
      </w:r>
    </w:p>
    <w:p>
      <w:pPr>
        <w:spacing w:after="0" w:line="25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transactions with a government where the Company receives government assistance in performing research and development activities and the accounting for a transaction is not specified within the scope of authoritative GAAP, the Company follows ASC 832,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applying a grant or contribution model by analogy to Subtopic 958-605, </w:t>
      </w:r>
      <w:r>
        <w:rPr>
          <w:rFonts w:ascii="Times New Roman" w:cs="Times New Roman" w:eastAsia="Times New Roman" w:hAnsi="Times New Roman"/>
          <w:sz w:val="18"/>
          <w:szCs w:val="18"/>
          <w:i w:val="1"/>
          <w:iCs w:val="1"/>
          <w:color w:val="auto"/>
        </w:rPr>
        <w:t>Not-for-Profit Entities-Revenue Recognition</w:t>
      </w:r>
      <w:r>
        <w:rPr>
          <w:rFonts w:ascii="Times New Roman" w:cs="Times New Roman" w:eastAsia="Times New Roman" w:hAnsi="Times New Roman"/>
          <w:sz w:val="18"/>
          <w:szCs w:val="18"/>
          <w:color w:val="auto"/>
        </w:rPr>
        <w:t xml:space="preserve"> (ASC 958-605).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 (Subtopic 815-40)</w:t>
      </w:r>
      <w:r>
        <w:rPr>
          <w:rFonts w:ascii="Times New Roman" w:cs="Times New Roman" w:eastAsia="Times New Roman" w:hAnsi="Times New Roman"/>
          <w:sz w:val="18"/>
          <w:szCs w:val="18"/>
          <w:color w:val="auto"/>
        </w:rPr>
        <w:t>. ASU 2020-06 simplifies the accounting for convertible debt instruments by reducing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was effective for the Company on January 1, 2024. There was no impact on the consolidated financial statements upon adoption of this standard on January 1, 2024.</w:t>
      </w:r>
    </w:p>
    <w:p>
      <w:pPr>
        <w:spacing w:after="0" w:line="29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the disclosures about a public entity’s reportable segments and addresses requests from investors for additional, more detailed information about a reportable segment’s expenses. Specifically, it requires that a public entity: 1) disclose, on an annual and interim basis, significant segment expenses that are regularly provided to the chief operating decision maker (CODM) and included within each reported measure of segment profit or loss, 2)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provide all annual disclosures about a reportable segment’s profit or loss and assets currently required by Topic 280 in interim periods, and 4) disclose the title and position of the CODM and an explanation of how the CODM uses the reported measure(s) of segment profit or loss in assessing segment performance and deciding how to allocate resources. The ASU also requires a public entity that has a single reportable segment to provide all the disclosures required by the amendments in this ASU and all existing segment disclosures in Topic 280. Further, the ASU clarifies that if the CODM uses more than one measure of a segment’s profit or loss in assessing segment performance and deciding how to allocate resources, a public entity may report one or more of those additional measures. However, at least one of the reported segment profit or loss measures should be the measure that is most consistent with the measurement principles used in measuring the corresponding amounts in the public entity’s consolidated financial statements. The amendments are effective for all public entities that are required to report segment information for fiscal years beginning after December 15, 2023 and interim periods beginning after December 15, 2024. Early adoption is permitted. The amendments should be applied retrospectively to all prior periods presented. The Company is currently evaluating the potential impact that this standard will have on its consolidated financial statements and related disclosures.</w:t>
      </w:r>
    </w:p>
    <w:p>
      <w:pPr>
        <w:spacing w:after="0" w:line="19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9"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85" w:lineRule="exact"/>
        <w:rPr>
          <w:sz w:val="20"/>
          <w:szCs w:val="20"/>
          <w:color w:val="auto"/>
        </w:rPr>
      </w:pPr>
    </w:p>
    <w:p>
      <w:pPr>
        <w:ind w:left="1340" w:right="720" w:hanging="742"/>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Level 2:</w:t>
        <w:tab/>
        <w:t>Inputs are quoted prices for similar items in active markets or quoted prices for identical or similar items in markets that are not active near the measurement date; and</w:t>
      </w:r>
    </w:p>
    <w:p>
      <w:pPr>
        <w:spacing w:after="0" w:line="121"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due to little or no market data, which require the reporting entity to develop its own assumptions.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March 31, 2024 and December 31, 2023,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792,627</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792,627</w:t>
            </w:r>
          </w:p>
        </w:tc>
        <w:tc>
          <w:tcPr>
            <w:tcW w:w="6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2025 with an auto-renewal, two-year extension. The real estate operating leases are included in "Right-of-use asset” on the Company's balance sheets and represents the Company’s right to use the underlying assets for the lease term. The Company’s obligation to make lease payments are included in "Operating lease liability" and "Other non-current liabilities" on the Company's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6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20"/>
                <w:szCs w:val="20"/>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64,594</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6"/>
              </w:rPr>
              <w:t>63,179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80"/>
        </w:trPr>
        <w:tc>
          <w:tcPr>
            <w:tcW w:w="6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217,887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569,072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626,586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9.3 %</w:t>
            </w: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6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2024 were as follows:</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2"/>
        </w:trPr>
        <w:tc>
          <w:tcPr>
            <w:tcW w:w="62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minimum payments</w:t>
            </w:r>
          </w:p>
        </w:tc>
        <w:tc>
          <w:tcPr>
            <w:tcW w:w="92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646,938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(77,866 )</w:t>
            </w:r>
          </w:p>
        </w:tc>
        <w:tc>
          <w:tcPr>
            <w:tcW w:w="60" w:type="dxa"/>
            <w:vAlign w:val="bottom"/>
          </w:tcPr>
          <w:p>
            <w:pPr>
              <w:spacing w:after="0"/>
              <w:rPr>
                <w:sz w:val="21"/>
                <w:szCs w:val="21"/>
                <w:color w:val="auto"/>
              </w:rPr>
            </w:pPr>
          </w:p>
        </w:tc>
      </w:tr>
      <w:tr>
        <w:trPr>
          <w:trHeight w:val="237"/>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2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569,072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-1877060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-2056765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-2039620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121"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milestone payments have been made under these agreements during the three months ended March 31, 2024 and 2023. For products currently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future potential milestone payments based on product development of MN-166 (ibudilast) and MN-001 (tipelukast) are $10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For all other products, future potential milestone payments related to development milestones and commercialization milestones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as of March 31, 2024. There are no minimum royalties required under any of the license agreements. The Company is unable to estimate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certainty the timing on when these milestone payments will occur as these payments are dependent upon the progress of the Company’s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programs.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20" w:firstLine="49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1,355,923 shares remain available for future grants under the 2023 Plan.</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March 31, 2024, there were a total of 1,016,000 shares underlying performance options that were subject to vesting based on achievement of corporate objectives for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or four year period. The exercise price of all options granted through March 31, 2024 and 2023, was equal to the fair market value of the Company’s common stock on the date of grant.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March 31, 2024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5"/>
                <w:szCs w:val="15"/>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7"/>
        </w:trPr>
        <w:tc>
          <w:tcPr>
            <w:tcW w:w="4420" w:type="dxa"/>
            <w:vAlign w:val="bottom"/>
          </w:tcPr>
          <w:p>
            <w:pPr>
              <w:spacing w:after="0"/>
              <w:rPr>
                <w:sz w:val="16"/>
                <w:szCs w:val="16"/>
                <w:color w:val="auto"/>
              </w:rPr>
            </w:pPr>
          </w:p>
        </w:tc>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260" w:type="dxa"/>
            <w:vAlign w:val="bottom"/>
          </w:tcPr>
          <w:p>
            <w:pPr>
              <w:spacing w:after="0"/>
              <w:rPr>
                <w:sz w:val="16"/>
                <w:szCs w:val="16"/>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7"/>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shd w:val="clear" w:color="auto" w:fill="CFF0FC"/>
          </w:tcPr>
          <w:p>
            <w:pPr>
              <w:spacing w:after="0"/>
              <w:rPr>
                <w:sz w:val="20"/>
                <w:szCs w:val="20"/>
                <w:color w:val="auto"/>
              </w:rPr>
            </w:pPr>
          </w:p>
        </w:tc>
      </w:tr>
      <w:tr>
        <w:trPr>
          <w:trHeight w:val="239"/>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20"/>
                <w:szCs w:val="20"/>
                <w:color w:val="auto"/>
              </w:rPr>
            </w:pPr>
          </w:p>
        </w:tc>
      </w:tr>
      <w:tr>
        <w:trPr>
          <w:trHeight w:val="247"/>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(219,105 )</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20"/>
                <w:szCs w:val="20"/>
                <w:color w:val="auto"/>
              </w:rPr>
            </w:pPr>
          </w:p>
        </w:tc>
      </w:tr>
      <w:tr>
        <w:trPr>
          <w:trHeight w:val="277"/>
        </w:trPr>
        <w:tc>
          <w:tcPr>
            <w:tcW w:w="4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8,578,644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tcBorders>
              <w:bottom w:val="single" w:sz="8" w:color="CFF0FC"/>
            </w:tcBorders>
            <w:shd w:val="clear" w:color="auto" w:fill="CFF0FC"/>
          </w:tcPr>
          <w:p>
            <w:pPr>
              <w:spacing w:after="0"/>
              <w:rPr>
                <w:sz w:val="24"/>
                <w:szCs w:val="24"/>
                <w:color w:val="auto"/>
              </w:rPr>
            </w:pPr>
          </w:p>
        </w:tc>
      </w:tr>
      <w:tr>
        <w:trPr>
          <w:trHeight w:val="223"/>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7,538,477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-205105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-205105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period.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months ended March 31, 2024 and 2023,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6"/>
        </w:trPr>
        <w:tc>
          <w:tcPr>
            <w:tcW w:w="540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83"/>
        </w:trPr>
        <w:tc>
          <w:tcPr>
            <w:tcW w:w="5400" w:type="dxa"/>
            <w:vAlign w:val="bottom"/>
          </w:tcPr>
          <w:p>
            <w:pPr>
              <w:spacing w:after="0"/>
              <w:rPr>
                <w:sz w:val="15"/>
                <w:szCs w:val="15"/>
                <w:color w:val="auto"/>
              </w:rPr>
            </w:pPr>
          </w:p>
        </w:tc>
        <w:tc>
          <w:tcPr>
            <w:tcW w:w="1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780" w:type="dxa"/>
            <w:vAlign w:val="bottom"/>
            <w:shd w:val="clear" w:color="auto" w:fill="CFF0FC"/>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81,669</w:t>
            </w:r>
          </w:p>
        </w:tc>
        <w:tc>
          <w:tcPr>
            <w:tcW w:w="110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141,118</w:t>
            </w:r>
          </w:p>
        </w:tc>
        <w:tc>
          <w:tcPr>
            <w:tcW w:w="240" w:type="dxa"/>
            <w:vAlign w:val="bottom"/>
            <w:shd w:val="clear" w:color="auto" w:fill="CFF0FC"/>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133,761</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240" w:type="dxa"/>
            <w:vAlign w:val="bottom"/>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80" w:type="dxa"/>
            <w:vAlign w:val="bottom"/>
            <w:tcBorders>
              <w:bottom w:val="single" w:sz="8" w:color="auto"/>
            </w:tcBorders>
            <w:shd w:val="clear" w:color="auto" w:fill="CFF0FC"/>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215,430</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403,263</w:t>
            </w:r>
          </w:p>
        </w:tc>
        <w:tc>
          <w:tcPr>
            <w:tcW w:w="2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three months ended March 31, 2024 and 2023, and to estimate the fair value of performance-based stock options as of March 31,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580" w:type="dxa"/>
            <w:vAlign w:val="bottom"/>
          </w:tcPr>
          <w:p>
            <w:pPr>
              <w:spacing w:after="0"/>
              <w:rPr>
                <w:sz w:val="14"/>
                <w:szCs w:val="14"/>
                <w:color w:val="auto"/>
              </w:rPr>
            </w:pPr>
          </w:p>
        </w:tc>
        <w:tc>
          <w:tcPr>
            <w:tcW w:w="1760" w:type="dxa"/>
            <w:vAlign w:val="bottom"/>
          </w:tcPr>
          <w:p>
            <w:pPr>
              <w:jc w:val="center"/>
              <w:ind w:left="9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900" w:type="dxa"/>
            <w:vAlign w:val="bottom"/>
            <w:gridSpan w:val="3"/>
          </w:tcPr>
          <w:p>
            <w:pPr>
              <w:jc w:val="center"/>
              <w:ind w:left="10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80" w:type="dxa"/>
            <w:vAlign w:val="bottom"/>
            <w:tcBorders>
              <w:top w:val="single" w:sz="8" w:color="auto"/>
            </w:tcBorders>
            <w:shd w:val="clear" w:color="auto" w:fill="CFF0FC"/>
          </w:tcPr>
          <w:p>
            <w:pPr>
              <w:spacing w:after="0"/>
              <w:rPr>
                <w:sz w:val="20"/>
                <w:szCs w:val="20"/>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8"/>
              </w:rPr>
              <w:t>4.21%</w:t>
            </w:r>
          </w:p>
        </w:tc>
        <w:tc>
          <w:tcPr>
            <w:tcW w:w="3900" w:type="dxa"/>
            <w:vAlign w:val="bottom"/>
            <w:gridSpan w:val="3"/>
          </w:tcPr>
          <w:p>
            <w:pPr>
              <w:jc w:val="center"/>
              <w:ind w:left="1036"/>
              <w:spacing w:after="0"/>
              <w:rPr>
                <w:sz w:val="20"/>
                <w:szCs w:val="20"/>
                <w:color w:val="auto"/>
              </w:rPr>
            </w:pPr>
            <w:r>
              <w:rPr>
                <w:rFonts w:ascii="Times New Roman" w:cs="Times New Roman" w:eastAsia="Times New Roman" w:hAnsi="Times New Roman"/>
                <w:sz w:val="18"/>
                <w:szCs w:val="18"/>
                <w:color w:val="auto"/>
                <w:w w:val="98"/>
              </w:rPr>
              <w:t>3.60%</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760" w:type="dxa"/>
            <w:vAlign w:val="bottom"/>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rPr>
              <w:t>74.05%</w:t>
            </w:r>
          </w:p>
        </w:tc>
        <w:tc>
          <w:tcPr>
            <w:tcW w:w="3900" w:type="dxa"/>
            <w:vAlign w:val="bottom"/>
            <w:gridSpan w:val="3"/>
            <w:shd w:val="clear" w:color="auto" w:fill="CFF0FC"/>
          </w:tcPr>
          <w:p>
            <w:pPr>
              <w:jc w:val="center"/>
              <w:ind w:left="1036"/>
              <w:spacing w:after="0"/>
              <w:rPr>
                <w:sz w:val="20"/>
                <w:szCs w:val="20"/>
                <w:color w:val="auto"/>
              </w:rPr>
            </w:pPr>
            <w:r>
              <w:rPr>
                <w:rFonts w:ascii="Times New Roman" w:cs="Times New Roman" w:eastAsia="Times New Roman" w:hAnsi="Times New Roman"/>
                <w:sz w:val="18"/>
                <w:szCs w:val="18"/>
                <w:color w:val="auto"/>
                <w:w w:val="97"/>
              </w:rPr>
              <w:t>77.96%</w:t>
            </w: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8"/>
              </w:rPr>
              <w:t>0.00%</w:t>
            </w:r>
          </w:p>
        </w:tc>
        <w:tc>
          <w:tcPr>
            <w:tcW w:w="3900" w:type="dxa"/>
            <w:vAlign w:val="bottom"/>
            <w:gridSpan w:val="3"/>
          </w:tcPr>
          <w:p>
            <w:pPr>
              <w:jc w:val="center"/>
              <w:ind w:left="1036"/>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60" w:type="dxa"/>
            <w:vAlign w:val="bottom"/>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rPr>
              <w:t>5.30</w:t>
            </w:r>
          </w:p>
        </w:tc>
        <w:tc>
          <w:tcPr>
            <w:tcW w:w="3900" w:type="dxa"/>
            <w:vAlign w:val="bottom"/>
            <w:gridSpan w:val="3"/>
            <w:shd w:val="clear" w:color="auto" w:fill="CFF0FC"/>
          </w:tcPr>
          <w:p>
            <w:pPr>
              <w:jc w:val="center"/>
              <w:ind w:left="1036"/>
              <w:spacing w:after="0"/>
              <w:rPr>
                <w:sz w:val="20"/>
                <w:szCs w:val="20"/>
                <w:color w:val="auto"/>
              </w:rPr>
            </w:pPr>
            <w:r>
              <w:rPr>
                <w:rFonts w:ascii="Times New Roman" w:cs="Times New Roman" w:eastAsia="Times New Roman" w:hAnsi="Times New Roman"/>
                <w:sz w:val="18"/>
                <w:szCs w:val="18"/>
                <w:color w:val="auto"/>
                <w:w w:val="95"/>
              </w:rPr>
              <w:t>5.38</w:t>
            </w:r>
          </w:p>
        </w:tc>
      </w:tr>
    </w:tbl>
    <w:p>
      <w:pPr>
        <w:spacing w:after="0" w:line="26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there was $0.8 million of unamortized compensation cost related to unvested stock option awards which is expected to be recognized over a remaining weighted-average vesting period of 0.77 years, on a straight-line basis. Such compensation cost will ultimately be adjusted based upon actual performance compared to the corporate objectives as described above.</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three months ended March 31, 2024 and 2023, estimated as of the grant date using the Black-Scholes option valuation model, was $1.00 and $1.60 per option,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 and Private Placement Transactions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months ended March 31,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stock options excluded from diluted net loss per common share due to their anti-dilutive effect totaled 8,578,644 shares for the three months ended March 31, 2024 and 8,688,916 shares for the three months ended March 31, 2023.</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2023 included in our Annual Report on Form 10-K, as filed with the Securities and Exchange Commission (SEC) on February 15, 2024 (Annual Report on Form 10-K). Past operating results are not necessarily indicative of results that may occur in future periods.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8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March 31, 2024, from inception, our accumulated deficit was $418.5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85" w:lineRule="exact"/>
        <w:rPr>
          <w:sz w:val="20"/>
          <w:szCs w:val="20"/>
          <w:color w:val="auto"/>
        </w:rPr>
      </w:pPr>
    </w:p>
    <w:p>
      <w:pPr>
        <w:ind w:right="420" w:firstLine="45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20" w:hanging="50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32" w:lineRule="exact"/>
        <w:rPr>
          <w:rFonts w:ascii="Times New Roman" w:cs="Times New Roman" w:eastAsia="Times New Roman" w:hAnsi="Times New Roman"/>
          <w:sz w:val="18"/>
          <w:szCs w:val="18"/>
          <w:color w:val="auto"/>
        </w:rPr>
      </w:pPr>
    </w:p>
    <w:p>
      <w:pPr>
        <w:jc w:val="both"/>
        <w:ind w:left="102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65" w:lineRule="exact"/>
        <w:rPr>
          <w:rFonts w:ascii="Times New Roman" w:cs="Times New Roman" w:eastAsia="Times New Roman" w:hAnsi="Times New Roman"/>
          <w:sz w:val="18"/>
          <w:szCs w:val="18"/>
          <w:color w:val="auto"/>
        </w:rPr>
      </w:pPr>
    </w:p>
    <w:p>
      <w:pPr>
        <w:ind w:left="1040" w:hanging="56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51" w:lineRule="exact"/>
        <w:rPr>
          <w:rFonts w:ascii="Times New Roman" w:cs="Times New Roman" w:eastAsia="Times New Roman" w:hAnsi="Times New Roman"/>
          <w:sz w:val="18"/>
          <w:szCs w:val="18"/>
          <w:color w:val="auto"/>
        </w:rPr>
      </w:pPr>
    </w:p>
    <w:p>
      <w:pPr>
        <w:ind w:left="1020" w:right="400" w:hanging="503"/>
        <w:spacing w:after="0" w:line="284"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jc w:val="both"/>
        <w:ind w:left="102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and the Macroeconomic Environment on Our Business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COVID-19 pandemic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continued with routine clinical trial activities including executing new clinical trial agreements, negotiating budgets, institutional review board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pandemic created certain opportunities for our clinical development and we have pursued those opportunities. Following the outbreak of the pandemic, we designed a clinical trial to evaluate MN-166 (ibudilast) for prevention of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Recovering from COVID-19 Lingering Symptoms Adaptive Integrative Medicine Trial (the RECLAIM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p>
    <w:p>
      <w:pPr>
        <w:spacing w:after="0" w:line="18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possible effects on our financial condition, liquidity, operations, suppliers, industry, and workforce resulting from the recent pandemic and the macroeconomic environment. To the extent that there is a resurgence in the COVID-19 pandemic, or other health epidemics or outbreaks, our operations could be disrupted and our business adversely impacted.</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Further, the COVID-19 pandemic and government responses to the pandemic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2024 as our development programs progress.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8" w:name="page19"/>
    <w:bookmarkEnd w:id="18"/>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7"/>
        </w:trPr>
        <w:tc>
          <w:tcPr>
            <w:tcW w:w="7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7320" w:type="dxa"/>
            <w:vAlign w:val="bottom"/>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10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r>
      <w:tr>
        <w:trPr>
          <w:trHeight w:val="23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MN-221</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0"/>
                <w:szCs w:val="20"/>
                <w:color w:val="auto"/>
              </w:rPr>
            </w:pPr>
          </w:p>
        </w:tc>
      </w:tr>
      <w:tr>
        <w:trPr>
          <w:trHeight w:val="247"/>
        </w:trPr>
        <w:tc>
          <w:tcPr>
            <w:tcW w:w="7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MN-166</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shd w:val="clear" w:color="auto" w:fill="CFF0FC"/>
          </w:tcPr>
          <w:p>
            <w:pPr>
              <w:spacing w:after="0"/>
              <w:rPr>
                <w:sz w:val="21"/>
                <w:szCs w:val="21"/>
                <w:color w:val="auto"/>
              </w:rPr>
            </w:pPr>
          </w:p>
        </w:tc>
      </w:tr>
      <w:tr>
        <w:trPr>
          <w:trHeight w:val="23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MN-001</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MN-029</w:t>
            </w: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personnel expense</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expenses</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R&amp;D expense</w:t>
            </w: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1"/>
                <w:szCs w:val="21"/>
                <w:color w:val="auto"/>
              </w:rPr>
            </w:pPr>
          </w:p>
        </w:tc>
      </w:tr>
      <w:tr>
        <w:trPr>
          <w:trHeight w:val="27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-968375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-968375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2023. There have not been any material changes to the critical accounting policies discussed therein during the three months ended March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2023.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Research, development and patents expenses were $1.8 million and $1.5 million for the three months ended March 31, 2024 and 2023, respectively. The increase of $0.3 million was primarily due to an increase in MN-166 manufacturing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$1.4 million and $1.5 million for the three months ended March 31, 2024 and 2023, respectively. The decrease of $0.1 million was primarily driven by a decrease in performance-based stock option expense partially offset by an increase in accounting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$0.4 million and $0.5 million for the three months ended March 31, 2024 and 2023, respectively. The decrease of $0.1 million was primarily driven by lower interest rates on available cash in 2024 compared to cash and bank certificates of deposit in 2023. Interest income consists of interest earned on our cash and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was $3.9 million compared to $3.2 million during the same period in 2023. The $0.7 million change is primarily related to the decreased net loss and changes in operating assets and liabilities for those periods.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2024 was $0.0 million compared to $39.9 million provided by during the same period in 2023 related to the disposal of certificates of deposit of $39.9 million during the three months ended March 31, 2023.</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available cash and cash equivalents of $47.1 million and working capital of $45.4 million. As of the date of this report, we believe we have working capital sufficient to fund operations at least through the end of 2025. However, we cannot provide assurance that these capital resources will be sufficient to conduct all our research and development programs as planned.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23,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months ended March 31, 2024 and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March 31, 2024.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May 7, 2024, we entered into a consulting agreement (the “Consulting Agreement”) with Geoffrey O’Brien, effective April 2, 2024 (the “Effective Date”) in connection with his retirement from full-time employment in April 2024. In consideration for the services Mr. O’Brien will provide under the Consulting Agreement, Mr. O’Brien will be paid a market rate per hour for any services provided. Any outstanding options that were vested and exercisable as of the Effective Date will remain exercisable pursuant to their original terms while he continues to provide services to the Company under the Consulting Agreement. Any outstanding options that were not vested and exercisable as of the Effective Date were forfeited and cancelled as of the Effective Date. The Consulting Agreement also contains additional customary provisions regarding confidentiality and invention assignment among other matters.</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Consulting Agreement does not purport to be complete and is qualified in its entirety by reference to the Consulting Agreement, a copy of which will be filed as an exhibit to our Quarterly Report on Form 10-Q for the period ending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our officers or directors, as defined in Rule 16a-1(f), informed us of the adoption or termination of a Rule 10b5-1 trading arrangement or a non-Rule 10b5-1 trading arrangement, each as defined in Regulation S-K Item 408.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20"/>
          </w:cols>
          <w:pgMar w:left="320" w:top="1305" w:right="359" w:bottom="1440" w:gutter="0" w:footer="0" w:header="0"/>
        </w:sectPr>
      </w:pPr>
    </w:p>
    <w:p>
      <w:pPr>
        <w:spacing w:after="0" w:line="2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42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(1)</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2"/>
          <w:szCs w:val="22"/>
          <w:color w:val="auto"/>
          <w:vertAlign w:val="superscript"/>
        </w:rPr>
        <w:t>(1)</w:t>
      </w:r>
    </w:p>
    <w:p>
      <w:pPr>
        <w:ind w:left="20"/>
        <w:spacing w:after="0" w:line="234" w:lineRule="auto"/>
        <w:rPr>
          <w:sz w:val="20"/>
          <w:szCs w:val="20"/>
          <w:color w:val="auto"/>
        </w:rPr>
      </w:pPr>
      <w:r>
        <w:rPr>
          <w:rFonts w:ascii="Times New Roman" w:cs="Times New Roman" w:eastAsia="Times New Roman" w:hAnsi="Times New Roman"/>
          <w:sz w:val="35"/>
          <w:szCs w:val="35"/>
          <w:color w:val="auto"/>
          <w:vertAlign w:val="subscript"/>
        </w:rPr>
        <w:t>104</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4204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163"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Restated Certificate of Incorporation of the Registrant (incorporated by reference to Exhibit 3.1 of the Registrant’s Quarterly Report on</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Form 10-Q filed with the SEC on August 9, 2012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058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058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329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101"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Amended and Restated Bylaws of the Registrant (incorporated by reference to Exhibit 3.1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filed with the SEC on April 25, 2019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51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757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8044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480441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716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71614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931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93153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99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899785" cy="8255"/>
                    </a:xfrm>
                    <a:prstGeom prst="rect">
                      <a:avLst/>
                    </a:prstGeom>
                    <a:noFill/>
                  </pic:spPr>
                </pic:pic>
              </a:graphicData>
            </a:graphic>
          </wp:anchor>
        </w:drawing>
      </w:r>
    </w:p>
    <w:p>
      <w:pPr>
        <w:spacing w:after="0" w:line="1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6" w:lineRule="exact"/>
        <w:rPr>
          <w:sz w:val="20"/>
          <w:szCs w:val="20"/>
          <w:color w:val="auto"/>
        </w:rPr>
      </w:pPr>
    </w:p>
    <w:p>
      <w:pPr>
        <w:sectPr>
          <w:pgSz w:w="11900" w:h="16838" w:orient="portrait"/>
          <w:cols w:equalWidth="0" w:num="2">
            <w:col w:w="820" w:space="320"/>
            <w:col w:w="10080"/>
          </w:cols>
          <w:pgMar w:left="320" w:top="1305" w:right="359" w:bottom="1440" w:gutter="0" w:footer="0" w:header="0"/>
          <w:type w:val="continuous"/>
        </w:sectPr>
      </w:pPr>
    </w:p>
    <w:p>
      <w:pPr>
        <w:spacing w:after="0" w:line="3"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23" w:name="page24"/>
    <w:bookmarkEnd w:id="2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0" w:lineRule="exact"/>
        <w:rPr>
          <w:sz w:val="20"/>
          <w:szCs w:val="20"/>
          <w:color w:val="auto"/>
        </w:rPr>
      </w:pPr>
    </w:p>
    <w:p>
      <w:pPr>
        <w:ind w:left="20"/>
        <w:spacing w:after="0"/>
        <w:tabs>
          <w:tab w:leader="none" w:pos="6460" w:val="left"/>
          <w:tab w:leader="none" w:pos="8340" w:val="left"/>
          <w:tab w:leader="none" w:pos="87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820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76" w:lineRule="exact"/>
        <w:rPr>
          <w:sz w:val="20"/>
          <w:szCs w:val="20"/>
          <w:color w:val="auto"/>
        </w:rPr>
      </w:pPr>
    </w:p>
    <w:p>
      <w:pPr>
        <w:ind w:left="6480"/>
        <w:spacing w:after="0"/>
        <w:tabs>
          <w:tab w:leader="none" w:pos="8300" w:val="left"/>
          <w:tab w:leader="none" w:pos="8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820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83"/>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May 9, 2024</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Times New Roman" w:cs="Times New Roman" w:eastAsia="Times New Roman" w:hAnsi="Times New Roman"/>
          <w:sz w:val="18"/>
          <w:szCs w:val="18"/>
          <w:color w:val="auto"/>
        </w:rPr>
        <w:t>By:</w:t>
        <w:tab/>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May 9, 2024</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Times New Roman" w:cs="Times New Roman" w:eastAsia="Times New Roman" w:hAnsi="Times New Roman"/>
          <w:sz w:val="18"/>
          <w:szCs w:val="18"/>
          <w:color w:val="auto"/>
        </w:rPr>
        <w:t>By:</w:t>
        <w:tab/>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March 31, 2024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200" w:hanging="174"/>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May 9, 2024</w:t>
      </w:r>
    </w:p>
    <w:p>
      <w:pPr>
        <w:spacing w:after="0" w:line="306" w:lineRule="exact"/>
        <w:rPr>
          <w:sz w:val="20"/>
          <w:szCs w:val="20"/>
          <w:color w:val="auto"/>
        </w:rPr>
      </w:pPr>
    </w:p>
    <w:p>
      <w:pPr>
        <w:ind w:left="6780"/>
        <w:spacing w:after="0"/>
        <w:tabs>
          <w:tab w:leader="none" w:pos="8580" w:val="left"/>
          <w:tab w:leader="none" w:pos="8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2"/>
          <w:szCs w:val="12"/>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MediciNova, Inc. (the “Company”) for the quarter ended March 31, 2024,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spacing w:after="0" w:line="50" w:lineRule="exact"/>
        <w:rPr>
          <w:sz w:val="20"/>
          <w:szCs w:val="20"/>
          <w:color w:val="auto"/>
        </w:rPr>
      </w:pPr>
    </w:p>
    <w:p>
      <w:pPr>
        <w:ind w:left="1200" w:hanging="174"/>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May 9, 2024</w:t>
      </w:r>
    </w:p>
    <w:p>
      <w:pPr>
        <w:spacing w:after="0" w:line="306" w:lineRule="exact"/>
        <w:rPr>
          <w:sz w:val="20"/>
          <w:szCs w:val="20"/>
          <w:color w:val="auto"/>
        </w:rPr>
      </w:pPr>
    </w:p>
    <w:p>
      <w:pPr>
        <w:ind w:left="6780"/>
        <w:spacing w:after="0"/>
        <w:tabs>
          <w:tab w:leader="none" w:pos="8500" w:val="left"/>
          <w:tab w:leader="none" w:pos="8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93" Type="http://schemas.openxmlformats.org/officeDocument/2006/relationships/hyperlink" Target="https://www.sec.gov/Archives/edgar/data/1226616/000119312512347932/d344794dex31.htm" TargetMode="External"/><Relationship Id="rId96" Type="http://schemas.openxmlformats.org/officeDocument/2006/relationships/hyperlink" Target="https://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2024-05-09T16:02:46Z</dcterms:created>
  <dcterms:modified xsi:type="dcterms:W3CDTF">2024-05-09T16:02:46Z</dcterms:modified>
</cp:coreProperties>
</file>