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8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99"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122"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71" w:lineRule="exact"/>
        <w:rPr>
          <w:sz w:val="24"/>
          <w:szCs w:val="24"/>
          <w:color w:val="auto"/>
        </w:rPr>
      </w:pPr>
    </w:p>
    <w:p>
      <w:pPr>
        <w:sectPr>
          <w:pgSz w:w="11900" w:h="16838" w:orient="portrait"/>
          <w:cols w:equalWidth="0" w:num="2">
            <w:col w:w="3820" w:space="400"/>
            <w:col w:w="714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284"/>
        </w:trPr>
        <w:tc>
          <w:tcPr>
            <w:tcW w:w="31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72"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720"/>
            <w:col w:w="5320" w:space="720"/>
            <w:col w:w="1920" w:space="80"/>
            <w:col w:w="1020"/>
          </w:cols>
          <w:pgMar w:left="240" w:top="230" w:right="29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3">
            <w:col w:w="8440" w:space="160"/>
            <w:col w:w="500" w:space="200"/>
            <w:col w:w="206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November 10, 2009, the registrant had 12,103,969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25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360" w:type="dxa"/>
            <w:vAlign w:val="bottom"/>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SUBMISSION OF MATTERS TO A VOTE OF SECURITY HOLDERS</w:t>
              </w:r>
            </w:hyperlink>
          </w:p>
        </w:tc>
        <w:tc>
          <w:tcPr>
            <w:tcW w:w="3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OTHER INFORMATION</w:t>
              </w:r>
            </w:hyperlink>
          </w:p>
        </w:tc>
        <w:tc>
          <w:tcPr>
            <w:tcW w:w="68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tcPr>
          <w:p>
            <w:pPr>
              <w:ind w:left="180"/>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EXHIBITS</w:t>
              </w:r>
            </w:hyperlink>
          </w:p>
        </w:tc>
        <w:tc>
          <w:tcPr>
            <w:tcW w:w="7900" w:type="dxa"/>
            <w:vAlign w:val="bottom"/>
            <w:gridSpan w:val="1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83"/>
        </w:trPr>
        <w:tc>
          <w:tcPr>
            <w:tcW w:w="1360" w:type="dxa"/>
            <w:vAlign w:val="bottom"/>
          </w:tcPr>
          <w:p>
            <w:pPr>
              <w:spacing w:after="0"/>
              <w:rPr>
                <w:sz w:val="24"/>
                <w:szCs w:val="24"/>
                <w:color w:val="auto"/>
              </w:rPr>
            </w:pPr>
          </w:p>
        </w:tc>
        <w:tc>
          <w:tcPr>
            <w:tcW w:w="5160" w:type="dxa"/>
            <w:vAlign w:val="bottom"/>
            <w:gridSpan w:val="10"/>
          </w:tcPr>
          <w:p>
            <w:pPr>
              <w:ind w:left="43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rPr>
              <w:t>MEDICINOVA,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25,644,717</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Investment securities-current (Note 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21,389,607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ARS put-current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5,334,985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892,969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53,262,278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203,874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 securities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2,482,370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24,047,314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Long-term ARS put (Note 2)</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55,948,522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50,223,915</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58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429,502</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ARS loan payable (Note 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17,650,538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1,522,451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20,095,821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Preferred stock, $0.01 par value; 500,000 shares authorized at September 30, 2009 and December 31, 2008;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no shares outstanding at September 30, 2009 and December 31, 2008</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$0.001 par value; 30,000,000 shares authorized at September 30, 2009 and December 31,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2008; 12,149,881 and 12,072,027 shares issued at September 30, 2009 and December 31, 2008,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respectively, and 12,099,588 and 11,984,713 shares outstanding at September 30, 2009 and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December 31, 2008, respectively</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278,571,428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276,361,775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(59,958)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Treasury stock, at cost; 50,293 shares at September 30, 2009 and 87,314 shares at December 31, 2008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(1,235,395)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(241,435,523)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(226,982,209)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35,852,701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48,044,532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55,948,522</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50,223,915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5"/>
          </w:tcPr>
          <w:p>
            <w:pPr>
              <w:jc w:val="right"/>
              <w:ind w:right="100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5"/>
          </w:tcPr>
          <w:p>
            <w:pPr>
              <w:jc w:val="right"/>
              <w:ind w:right="108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2,379,588</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3,500,876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8,226,305</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11,823,065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141,899,003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2,563,772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2,195,787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6,926,849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6,993,195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85,587,556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4,943,360</w:t>
            </w: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5,696,663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15,153,154</w:t>
            </w: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18,816,260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228,744,980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(4,943,360)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(5,696,663)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(15,153,154)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(18,816,260)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(227,186,753)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Gain/(impairment charge) on investment securities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ARS put, net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72,967</w:t>
            </w:r>
          </w:p>
        </w:tc>
        <w:tc>
          <w:tcPr>
            <w:tcW w:w="14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213,793</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(3,295,621)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(1,046,191)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(loss)/gain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532,392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87,433</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352,768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489,003</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1,696,687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18,285,217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(4,795,087)</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(4,815,167)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(14,453,314)</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(20,510,002)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(210,072,401)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3"/>
              </w:rPr>
              <w:t>Accretion to redemption value of redeemable convertible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Deemed dividend resulting from beneficial conversion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w w:val="94"/>
              </w:rPr>
              <w:t>feature on Series C redeemable convertible preferred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(4,795,087)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(4,815,167)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(14,453,314)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(20,510,002)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(241,435,523)</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gridSpan w:val="2"/>
            <w:vMerge w:val="continue"/>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(0.40)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Shares used to compute basic and diluted net loss per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12,119,511</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12,072,027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12,088,029</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12,072,027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5"/>
          </w:tcPr>
          <w:p>
            <w:pPr>
              <w:jc w:val="right"/>
              <w:ind w:right="102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1140" w:type="dxa"/>
            <w:vAlign w:val="bottom"/>
            <w:gridSpan w:val="3"/>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(14,453,314)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(20,510,002)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(210,072,401)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1,884,535</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2,381,796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45,820,497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169,847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246,250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Amortization of premium/discount on investment securities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(708,654)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(Gain)/impairment charge on investment securities and ARS put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(213,793)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3,295,621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Impairment of property and equipment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11,058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(174,652)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1,328,952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w w:val="98"/>
              </w:rPr>
              <w:t>Accounts payable, accrued expenses, income taxes payable and deferred rent</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507,503</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(3,549,061)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(271,817)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178,165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493,330</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(12,540,633)</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(17,336,933)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(162,367,773)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Purchases of investment securities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or sales of investment securities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846,846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23,550,000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349,400,297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(16,480)</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(2,252,979)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830,366</w:t>
            </w: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21,550,000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(29,801,603)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325,195</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121,215,761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ARS loan, net</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17,650,538</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17,650,538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 net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86,727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(1,269,177)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18,057,700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86,727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217,814,093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6,347,433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4,299,794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19,297,284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18,778,938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25,644,717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23,078,732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25,644,717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Unrealized loss on investment securities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and investment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Reclassification of investment securities from current to long-term</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24,047,314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investment securities from long-term to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21,268,853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21,268,853</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Reclassification of ARS put from long-term asset to current asset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5,641,857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5,641,857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(“U.S. GAAP”)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months and nine months ended September 30, 2009 are not necessarily indicative of the results that may be expected for the year ending December 31, 2009 or for any other period. For further information, see the financial statements and disclosures thereto for the year ended December 31, 2008 in our Annual Report on Form 10-K as filed with the Securities and Exchange Commission on March 31, 2009. In addition, in connection with preparation of the consolidated financial statements and in accordance with the authoritative guidance for subsequent events, Accounting Standards Codification (“ASC”) 855.10 (formerly Statement of Financial Accounting Standards (“SFAS”) No. 165), we evaluated subsequent events after the balance sheet date of September 30, 2009 through November 12, 2009, the date which the financial statements were available, and disclosed, if necessary, any material subsequent events in the notes to these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organized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proposed merger with Avigen, Inc. (“Avigen”). See Footnote 8, Avigen Transaction, for more information regarding the proposed merger.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 of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prepared the accompanying unaudited consolidated financial statements in conformity with U.S. GAAP,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July 2009, the Financial Accounting Standards Board (“FASB”) issued ASC 105 (formerly SFAS No. 168)</w:t>
      </w:r>
      <w:r>
        <w:rPr>
          <w:rFonts w:ascii="Arial" w:cs="Arial" w:eastAsia="Arial" w:hAnsi="Arial"/>
          <w:sz w:val="16"/>
          <w:szCs w:val="16"/>
          <w:i w:val="1"/>
          <w:iCs w:val="1"/>
          <w:color w:val="auto"/>
        </w:rPr>
        <w:t>.</w:t>
      </w:r>
      <w:r>
        <w:rPr>
          <w:rFonts w:ascii="Arial" w:cs="Arial" w:eastAsia="Arial" w:hAnsi="Arial"/>
          <w:sz w:val="16"/>
          <w:szCs w:val="16"/>
          <w:color w:val="auto"/>
        </w:rPr>
        <w:t xml:space="preserve"> ASC 105 contains guidance which reduces the U.S. GAAP hierarchy to two levels, one that is authoritative and one that is not. This pronouncement is effective September 15, 2009. We adopted the FASB authoritative guidance on the ASC and the hierarchy of U.S. GAAP, which establishes the ASC as the sole source of authoritative guidance recognized by the FASB to be applied by nongovernmental entities. Accordingly, we have revised references to legacy U.S. GAAP to be consistent with the ASC in our publicly issued consolidated financial statements, starting with the accompanying unaudited consolidated financial statements and disclosures for the period ended September 30, 2009. The adoption of this pronouncement did not have an effect on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Issued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2009, the FASB approved for issuance Emerging Issues Task Force issue 08-01, “Revenue Arrangements with Multiple Deliverables”, currently within the scope of ASC 605. ASC 605 provides principles for allocation of consideration among its multiple-elements, allowing more flexibility in identifying and accounting for separate deliverables under an arrangement. ASC 605 introduces an estimated selling price method for valuing the elements of a bundled arrangement if vendor-specific objective evidence or third-party evidence of selling price is not available and significantly expands related disclosure requirements. This accounting standard is effective on a prospective basis for revenue arrangements entered into or materially modified in fiscal years beginning on or after June 15, 2010. Alternatively, adoption may be on a retrospective basis, and early application is permitted. We do not believe the adoption of this accounting standard will have a material effect on our consolidated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defined in the authoritative guidance for fair value measurements and disclosures under ASC 820 (formerly SFAS No. 157),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5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77" w:lineRule="exact"/>
        <w:rPr>
          <w:sz w:val="20"/>
          <w:szCs w:val="20"/>
          <w:color w:val="auto"/>
        </w:rPr>
      </w:pPr>
    </w:p>
    <w:p>
      <w:pPr>
        <w:ind w:left="1620" w:right="60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37" w:lineRule="exact"/>
        <w:rPr>
          <w:sz w:val="20"/>
          <w:szCs w:val="20"/>
          <w:color w:val="auto"/>
        </w:rPr>
      </w:pPr>
    </w:p>
    <w:p>
      <w:pPr>
        <w:ind w:left="1620" w:right="52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At September 30, 2009, cash and cash equivalents (instruments with maturities of three months or less at the date of purchase) were $25.6 million and primarily invested in money market accounts. We measure our cash equivalents on a recurring basis. The fair value of our cash equivalents, which are current assets, is based on Level 1 criteria in which their carrying amount is a reasonable estimate of their fair value based on daily quoted market prices.</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September 30, 2009, we held investment securities-current of $21.4 million consisting of Auction Rate Securities (“ARS”), all of which had AAA ratings at the time of purchase, that principally represent interests in government-guaranteed student loans and we held an ARS Put (as defined below) in the amount of $5.3 million. In August 2008, UBS AG and its affiliates (“UBS”), the brokerage firm through which we purchased the majority of our ARS, entered into a settlement with the Securities and Exchange Commission (“SEC”), the New York Attorney General and other state agencies. Pursuant to the settlement, UBS issued to us Auction Rate Security Rights, which would allow us to sell to UBS our ARS held in accounts with UBS (“ARS Rights Offer”). As part of the ARS Rights Offer, we received the right to sell to UBS our ARS held in accounts with UBS at par value any time during the period beginning June 30, 2010 and ending July 2, 2012 (“ARS Put”). As part of the settlement, UBS also offered to us a no net cost loan program, whereby we would be able to borrow up to 75 percent of the market value, as determined by UBS at its sole discretion, of our ARS that have been pledged as collateral at an interest cost that would not exceed the interest being paid on the underlying ARS investments (“ARS Loan”).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2009, the ARS associated with the ARS Rights Offer and the ARS Put were reclassified out of long-term assets to current assets due to the time frame in which they can be readily converted to cash.</w:t>
      </w:r>
    </w:p>
    <w:p>
      <w:pPr>
        <w:spacing w:after="0" w:line="3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At September 30, 2009, the carrying cost of the ARS Loan was $17.7 million. For the three months and nine months ended September 30, 2009, $200,000 and $300,000, respectively, of our current investment securities were redeemed at par value, with the proceeds being used to pay down the outstanding balance of the ARS Loan.</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At September 30, 2009, we held long-term investments of $2.5 million which consisted of ARS that principally represent interests of government-guaranteed student loan securities, insurance notes and portfolios of securities (primarily commercial paper).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September 30, 2009, our total ARS portfolio (both current and long-term) totaled $23.9 million, of which $2.2 million consisted of private placement securities. None of the underlying collateral of our ARS portfolio consisted of subprime mortgages or collateralized debt obligations. Our ARS were designated as trading investment securities at December 31, 2008. We measure all of our ARS and the ARS Put on a recurring basis based on Level 3 criteria because neither an active primary nor active secondary market exists for these securities. The table below reconciles fair value of our ARS trading investment securities and the ARS Put at December 31, 2008 with fair value at September 30, 2009, as determined by Level 3 (unobservable) inputs: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Transfers in/(out)</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Transfers in/</w:t>
            </w:r>
          </w:p>
        </w:tc>
        <w:tc>
          <w:tcPr>
            <w:tcW w:w="220" w:type="dxa"/>
            <w:vAlign w:val="bottom"/>
          </w:tcPr>
          <w:p>
            <w:pPr>
              <w:spacing w:after="0"/>
              <w:rPr>
                <w:sz w:val="12"/>
                <w:szCs w:val="12"/>
                <w:color w:val="auto"/>
              </w:rPr>
            </w:pP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of Long-term to</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Redemptions</w:t>
            </w:r>
          </w:p>
        </w:tc>
        <w:tc>
          <w:tcPr>
            <w:tcW w:w="1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(out) of 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Current</w:t>
            </w:r>
          </w:p>
        </w:tc>
        <w:tc>
          <w:tcPr>
            <w:tcW w:w="120" w:type="dxa"/>
            <w:vAlign w:val="bottom"/>
          </w:tcPr>
          <w:p>
            <w:pPr>
              <w:spacing w:after="0"/>
              <w:rPr>
                <w:sz w:val="12"/>
                <w:szCs w:val="12"/>
                <w:color w:val="auto"/>
              </w:rPr>
            </w:pPr>
          </w:p>
        </w:tc>
        <w:tc>
          <w:tcPr>
            <w:tcW w:w="66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1/1/09-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Charge 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 at</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12/31/08</w:t>
            </w: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1/1/09-9/30/09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1/1/09-9/30/09</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8"/>
              </w:rPr>
              <w:t>9/30/09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9/30/09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9/30/09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21,055,569</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(21,055,569)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Auction rate securities(2)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2,991,745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(546,846)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37,471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2,482,370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24,047,314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(21,055,569)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(546,846)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2,482,370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Long-term asset, ARS Put(3)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5,792,701</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(5,792,701)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Investment-current(1)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21,055,569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(300,000)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634,038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21,389,607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ARS Put-current(3)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5,792,701</w:t>
            </w:r>
          </w:p>
        </w:tc>
        <w:tc>
          <w:tcPr>
            <w:tcW w:w="3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(457,716)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5,334,985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line="28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Aggregated fair value reported at September 30, 2009 reflects fair value as determined by our discounted cash flow model with liquidity discounts, pursuant to which we took into consideration the brokerage firm’s pricing model, the tax status (taxable vs. tax exempt) of the security, credit quality of the issuer, assumed maturity (seven years), insurance wraps and the portfolio composition. We also made assumptions regarding future cash flows and the likelihood of the ARS being redeemed or refinanced. In addition, we performed a sensitivity analysis by calculating fair value with a maturity of one year through ten years. The annual coupon rate utilized was set at the U.S. Treasury Department published average of the bond equivalent rates of the 91-day Treasury bills auctioned during the quarter ending September 30, 2009 (which was the Federal Family Education Loan Program special allowance rate for the quarter ending September 30, 2009) plus 120 basis points. We believe that using this interest rate is reasonable given that a majority of our ARS portfolio is collateralized by student loans guaranteed by the U.S. government under the Federal Family Education Loan Program. Using our discounted cash flow model with liquidity discounts ranging from 3% to 32%, we calculated aggregate fair value for these securities, which ranged between $25.3 million with a two-year maturity, $22.9 million with a five-year maturity and $19.4 million with a ten-year maturity. As of September 30, 2009, these ARS continued to pay interest according to their stated interest terms, and we received a partial redemption at par value of $300,000 on one of the securities in this portfolio. In addition, as these investment securities are trading securities, the increase of approximately $634,000 in the overall fair value of the ARS was recorded as a gain in our consolidated statement of operations. Pursuant to the ARS Rights Offer, the earliest date that we can redeem these investment securities at par is June 30, 2010; therefore, at June 30, 2009, we reclassified these investment securities out of long-term assets and into current assets in our consolidated balance sheets.</w:t>
      </w:r>
    </w:p>
    <w:p>
      <w:pPr>
        <w:spacing w:after="0" w:line="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Aggregated fair value reported at September 30, 2009 reflects fair value as determined by our discounted cash flow model, which employed liquidity discounts ranging from 3% to 28% depending on the security type and included assumptions regarding future cash flows and the likelihood of the redemption or refinancing of such ARS. We also performed a sensitivity analysis by calculating fair value with a maturity of one year through ten years. The interest rate utilized in the model was either the London Interbank Offered Rate (“LIBOR”) plus the spread, as indicated in the respective security prospectus which was generally 200 basis points, or the U.S. Treasury Department published average of the bond equivalent rates of the 91-day Treasury bills auctioned during the quarter ending September 30, 2009 (which was the Federal Family Education Loan Program special allowance rate for the quarter ending September 30, 2009) plus 120 basis points for the ARS collateralized by student loans. The LIBOR rate was per bankrate.com, which we deemed as a reasonable source given it is a widely utilized third-party rate source. We believe that utilizing the Federal Family Education Loan Program special allowance rate for the student loan ARS is reasonable given the collateral of the ARS is student loans. Using this methodology, we calculated aggregate fair value for these securities, which ranged between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$2.9 million with a two-year maturity, $2.6 million with a five-year maturity and $2.3 million with a ten-year maturity. As of September 30, 2009, the ARS continue to pay interest according to their stated interest terms. Because these investment securities are trading securities, the approximately $37,000 increase in fair value was recorded as a gain in our consolidated statement of operations. In addition, because of our expectation as to when we may be required to liquidate these ARS for operating purposes, these securities are classified as long-term investments in our consolidated balance sheets.</w:t>
      </w:r>
    </w:p>
    <w:p>
      <w:pPr>
        <w:spacing w:after="0" w:line="1" w:lineRule="exact"/>
        <w:rPr>
          <w:sz w:val="20"/>
          <w:szCs w:val="20"/>
          <w:color w:val="auto"/>
        </w:rPr>
      </w:pPr>
    </w:p>
    <w:p>
      <w:pPr>
        <w:ind w:left="340" w:right="20" w:hanging="332"/>
        <w:spacing w:after="0" w:line="312"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elected to measure the ARS Put under the fair value option of ASC 825, authoritative guidance on financial instruments (formerly SFAS No. 159), to mitigate the volatility in reported earnings due to the linkage of certain of our ARS and the ARS Put. Fair value of the ARS Put, which equaled $5.3 million at September 30, 2009, was also determined through the use of a discounted cash flow valuation model with assumptions being made related to interest rate, maturity and liquidity. We effectively used a liquidity discount of approximately 5%, an interest rate of approximately 5% which took into consideration the brokerage firm’s weighted average cost of capital and a maturity of 12 months. Based on our discounted cash flow valuation, at September 30, 2009, we recorded an impairment charge of approximately $458,000 in our consolidated statement of operations, which minimized the gain we recognized on the linked ARS. In addition, at June 30, 2009, we reclassified the ARS Put out of long-term assets to current assets because it can be exercised within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Potentially dilutive securities of 387,000 for the nine months ended September 30, 2009 were excluded from determining diluted earnings per share because of their anti-dilutive effect. There were no potentially dilutive securities for the nine months ended September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applied the authoritative guidance for comprehensive income under ASC 220 (formerly SFAS No. 130), which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comprehensive loss at: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4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(4,795,087)</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 (4,815,167)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(14,453,314)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(20,510,002)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Currency translation</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7,949</w:t>
            </w:r>
          </w:p>
        </w:tc>
        <w:tc>
          <w:tcPr>
            <w:tcW w:w="4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(30,214)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(46,691)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 securities</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(545,912)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(545,912)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(4,787,138)</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(5,363,030)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(14,483,528)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(21,102,605)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0" w:type="dxa"/>
            <w:vAlign w:val="bottom"/>
            <w:vMerge w:val="restart"/>
          </w:tcPr>
          <w:p>
            <w:pPr>
              <w:jc w:val="right"/>
              <w:ind w:right="152"/>
              <w:spacing w:after="0"/>
              <w:rPr>
                <w:sz w:val="20"/>
                <w:szCs w:val="20"/>
                <w:color w:val="auto"/>
              </w:rPr>
            </w:pPr>
            <w:r>
              <w:rPr>
                <w:rFonts w:ascii="Arial" w:cs="Arial" w:eastAsia="Arial" w:hAnsi="Arial"/>
                <w:sz w:val="18"/>
                <w:szCs w:val="18"/>
                <w:color w:val="auto"/>
              </w:rPr>
              <w:t>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which is the successor to the 2000 Plan. Stock options issued to non-employees were recorded at their fair value as determined in accordance with ASC 505.50, authoritative guidance on equity-based payments to non-employees (formerly EITF No. 96-18).</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three months ended September 30, 2009 and 2008, share-based compensation expense related to stock options was recorded as a component of general and administrative expense, which equaled approximately $0.5 million and $0.5 million, respectively, and research and development expense, which equaled approximately $0.1 million and $0.3 million, respectively. For the nine months ended September 30, 2009 and 2008, share-based compensation expense related to stock options was recorded as a component of general and administrative expense, which equaled approximately $1.4 million and $1.3 million, respectively, and research and development expense, which equaled approximately $0.5 million and $1.0 million, respectively. During the three months and nine months ended September 30, 2009, stock options to purchase 77,854 shares of common stock were exercised for approximately $0.3 million. As of September 30, 2009, there was $2.7 million of unamortized compensation cost related to unvested stock option awards, which we expect to recognize over a remaining weighted-average vesting period of 1.6 years.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exercise price of stock options to purchase 113,000 shares of common stock and 521,373 shares of common stock granted during the three months and nine months ended September 30, 2009 was equal to market value on the date of grant and the share-based compensation expense for such stock options is reflected in operating results for the three months and nine months ended September 30, 2009. The estimated fair value of each stock option award was determined on the date of grant using the Black-Scholes option valuation model with the following weighted-average assumptions for stock option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6"/>
              </w:rPr>
              <w:t>Three Months Ended</w:t>
            </w:r>
          </w:p>
        </w:tc>
        <w:tc>
          <w:tcPr>
            <w:tcW w:w="22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8"/>
              </w:rPr>
              <w:t>Three Months Ended</w:t>
            </w:r>
          </w:p>
        </w:tc>
        <w:tc>
          <w:tcPr>
            <w:tcW w:w="22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7"/>
              </w:rPr>
              <w:t>Nine Months Ended</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334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 2009</w:t>
            </w:r>
          </w:p>
        </w:tc>
        <w:tc>
          <w:tcPr>
            <w:tcW w:w="10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September 30, 2008</w:t>
            </w:r>
          </w:p>
        </w:tc>
        <w:tc>
          <w:tcPr>
            <w:tcW w:w="10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2009</w:t>
            </w:r>
          </w:p>
        </w:tc>
        <w:tc>
          <w:tcPr>
            <w:tcW w:w="10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2008</w:t>
            </w:r>
          </w:p>
        </w:tc>
        <w:tc>
          <w:tcPr>
            <w:tcW w:w="20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2.46%</w:t>
            </w: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2.88%</w:t>
            </w:r>
          </w:p>
        </w:tc>
        <w:tc>
          <w:tcPr>
            <w:tcW w:w="2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1.79%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08"/>
        </w:trPr>
        <w:tc>
          <w:tcPr>
            <w:tcW w:w="3340" w:type="dxa"/>
            <w:vAlign w:val="bottom"/>
          </w:tcPr>
          <w:p>
            <w:pPr>
              <w:spacing w:after="0"/>
              <w:rPr>
                <w:sz w:val="20"/>
                <w:szCs w:val="20"/>
                <w:color w:val="auto"/>
              </w:rPr>
            </w:pPr>
            <w:r>
              <w:rPr>
                <w:rFonts w:ascii="Arial" w:cs="Arial" w:eastAsia="Arial" w:hAnsi="Arial"/>
                <w:sz w:val="18"/>
                <w:szCs w:val="18"/>
                <w:color w:val="auto"/>
              </w:rPr>
              <w:t>Expected volatility of common</w:t>
            </w: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340" w:type="dxa"/>
            <w:vAlign w:val="bottom"/>
          </w:tcPr>
          <w:p>
            <w:pPr>
              <w:ind w:left="220"/>
              <w:spacing w:after="0"/>
              <w:rPr>
                <w:sz w:val="20"/>
                <w:szCs w:val="20"/>
                <w:color w:val="auto"/>
              </w:rPr>
            </w:pPr>
            <w:r>
              <w:rPr>
                <w:rFonts w:ascii="Arial" w:cs="Arial" w:eastAsia="Arial" w:hAnsi="Arial"/>
                <w:sz w:val="18"/>
                <w:szCs w:val="18"/>
                <w:color w:val="auto"/>
              </w:rPr>
              <w:t>stock</w:t>
            </w:r>
          </w:p>
        </w:tc>
        <w:tc>
          <w:tcPr>
            <w:tcW w:w="2240" w:type="dxa"/>
            <w:vAlign w:val="bottom"/>
            <w:gridSpan w:val="2"/>
          </w:tcPr>
          <w:p>
            <w:pPr>
              <w:jc w:val="right"/>
              <w:ind w:right="880"/>
              <w:spacing w:after="0"/>
              <w:rPr>
                <w:sz w:val="20"/>
                <w:szCs w:val="20"/>
                <w:color w:val="auto"/>
              </w:rPr>
            </w:pPr>
            <w:r>
              <w:rPr>
                <w:rFonts w:ascii="Arial" w:cs="Arial" w:eastAsia="Arial" w:hAnsi="Arial"/>
                <w:sz w:val="18"/>
                <w:szCs w:val="18"/>
                <w:color w:val="auto"/>
              </w:rPr>
              <w:t>73%</w:t>
            </w:r>
          </w:p>
        </w:tc>
        <w:tc>
          <w:tcPr>
            <w:tcW w:w="2280" w:type="dxa"/>
            <w:vAlign w:val="bottom"/>
            <w:gridSpan w:val="2"/>
          </w:tcPr>
          <w:p>
            <w:pPr>
              <w:jc w:val="right"/>
              <w:ind w:right="900"/>
              <w:spacing w:after="0"/>
              <w:rPr>
                <w:sz w:val="20"/>
                <w:szCs w:val="20"/>
                <w:color w:val="auto"/>
              </w:rPr>
            </w:pPr>
            <w:r>
              <w:rPr>
                <w:rFonts w:ascii="Arial" w:cs="Arial" w:eastAsia="Arial" w:hAnsi="Arial"/>
                <w:sz w:val="18"/>
                <w:szCs w:val="18"/>
                <w:color w:val="auto"/>
              </w:rPr>
              <w:t>69%</w:t>
            </w:r>
          </w:p>
        </w:tc>
        <w:tc>
          <w:tcPr>
            <w:tcW w:w="2200" w:type="dxa"/>
            <w:vAlign w:val="bottom"/>
            <w:gridSpan w:val="2"/>
          </w:tcPr>
          <w:p>
            <w:pPr>
              <w:jc w:val="right"/>
              <w:ind w:right="900"/>
              <w:spacing w:after="0"/>
              <w:rPr>
                <w:sz w:val="20"/>
                <w:szCs w:val="20"/>
                <w:color w:val="auto"/>
              </w:rPr>
            </w:pPr>
            <w:r>
              <w:rPr>
                <w:rFonts w:ascii="Arial" w:cs="Arial" w:eastAsia="Arial" w:hAnsi="Arial"/>
                <w:sz w:val="18"/>
                <w:szCs w:val="18"/>
                <w:color w:val="auto"/>
              </w:rPr>
              <w:t>70%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1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0.00%</w:t>
            </w: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0.00%</w:t>
            </w:r>
          </w:p>
        </w:tc>
        <w:tc>
          <w:tcPr>
            <w:tcW w:w="2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240" w:type="dxa"/>
            <w:vAlign w:val="bottom"/>
            <w:gridSpan w:val="2"/>
          </w:tcPr>
          <w:p>
            <w:pPr>
              <w:jc w:val="right"/>
              <w:ind w:right="1020"/>
              <w:spacing w:after="0"/>
              <w:rPr>
                <w:sz w:val="20"/>
                <w:szCs w:val="20"/>
                <w:color w:val="auto"/>
              </w:rPr>
            </w:pPr>
            <w:r>
              <w:rPr>
                <w:rFonts w:ascii="Arial" w:cs="Arial" w:eastAsia="Arial" w:hAnsi="Arial"/>
                <w:sz w:val="18"/>
                <w:szCs w:val="18"/>
                <w:color w:val="auto"/>
              </w:rPr>
              <w:t>4.09</w:t>
            </w: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0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average volatility of certain peers within our industry sector and management’s judgment. We have not paid any dividends on our common stock since our inception, and we do not anticipate paying any dividends on our common stock in the foreseeable future. The expected term of employee stock options is based on the simplified method for “plain vanilla options” as provided by Staff Accounting Bulletin (“SAB”) No. 107 and SAB No. 110, as we concluded that our historical stock option exercise experience does not provide a reasonable basis for us to estimate the expected term.</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share-based compensation expense recognized in our consolidated statement of operations for the three months and nine months ended September 30, 2009 was based on stock option awards ultimately expected to vest, such expense is reduced for estimated forfeitures. SFAS 123R requires forfeitures to be estimated at the time of grant and revised, if necessary, in subsequent periods if actual forfeitures differ from those estimates. We have very few employees and our stock options vest monthly; therefore, we do not estimate any forfeitures in 2009, and we will adjust our stock-based compensation expense should any forfeitures occur. The weighted-average fair value of each stock option granted during the three months and nine months ended September 30, 2009, estimated as of the grant date using the Black-Scholes option valuation model, was $2.68 per stock option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and $1.49 per stock option, respectively, whereas the weighted-average fair value of each stock option granted during the three months and nine months ended September 30, 2008 was $1.71 per stock option and $2.37 per stock option, respectively.</w:t>
      </w:r>
    </w:p>
    <w:p>
      <w:pPr>
        <w:spacing w:after="0" w:line="207" w:lineRule="exact"/>
        <w:rPr>
          <w:sz w:val="20"/>
          <w:szCs w:val="20"/>
          <w:color w:val="auto"/>
        </w:rPr>
      </w:pPr>
    </w:p>
    <w:p>
      <w:pPr>
        <w:ind w:right="874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See Footnote 9, Subsequent Events, regarding recent legal developments.</w:t>
      </w:r>
    </w:p>
    <w:p>
      <w:pPr>
        <w:spacing w:after="0" w:line="215" w:lineRule="exact"/>
        <w:rPr>
          <w:sz w:val="20"/>
          <w:szCs w:val="20"/>
          <w:color w:val="auto"/>
        </w:rPr>
      </w:pPr>
    </w:p>
    <w:p>
      <w:pPr>
        <w:ind w:right="966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provides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of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stock option is granted.</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summary of the changes in stock options outstanding under the 2000 Plan and 2004 Plan during the nine months ended September 30, 2009 is as follows:</w:t>
      </w:r>
    </w:p>
    <w:p>
      <w:pPr>
        <w:spacing w:after="0" w:line="3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2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2,579,511</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521,373</w:t>
            </w:r>
          </w:p>
        </w:tc>
        <w:tc>
          <w:tcPr>
            <w:tcW w:w="9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(77,854)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w w:val="95"/>
              </w:rPr>
              <w:t>(935,450)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2,087,580</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intrinsic value of stock options exercised during the three months and nine months ended September 30, 2009 was approximately $143,000. The aggregate intrinsic value of stock options outstanding at September 30, 2009 and exercisable at September 30, 2009 was approximately $1.9 million and approximately $445,000, respectively. Of the total stock options outstanding as of September 30, 2009, options to purchase 1,229,352 shares of common stock are exercisable, with a weighted average exercise price of $10.44 per share and a weighted average contractual life of 7.1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MediciNova, Inc. 2007 Employee Stock Purchase Plan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purchase period. The estimated fair value of each ESPP purchase is determined on the date the offering period begins using the Black-Scholes option valuation model. For the nine months ended September 30, 2009, 37,021 shares of common stock were issued under the ESPP and 250,685 shares of common stock were available for future issuance.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Avigen Transaction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June 25, 2009, we jointly announced with Avigen that the two companies confirmed a mutual understanding of certain key terms for our proposed acquisition of Avigen that would combine the companies’ broad neurological clinical development programs based on ibudilast (our MN-166 product candidate and Avigen’s AV411 product candidate).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August 20, 2009, we, Absolute Merger, Inc., our wholly-owned subsidiary (“Merger Sub”), and Avigen entered into an Agreement and Plan of Merger (the “Merger Agreement”). The Merger Agreement provides that, upon the terms and subject to the conditions set forth therein, Avigen will merge with and into Merger Sub with Avigen continuing as the surviving entity and wholly-owned subsidiary of MediciNova (the “Merger”). The boards of directors of each of MediciNova and Avigen have approved the Merger and the Merger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17, 2009, we filed the Form S-4 Registration Statement with the SEC regarding the proposed merger with Avigen.</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On October 14, 2009, we received a SEC Comment Letter regarding the Form S-4 Registration Statement which we filed in September 2009. On October 23, 2009, we filed Amendment No. 1 to Form S-4 Registration Statement and a response letter to the SEC staff’s comments.</w:t>
      </w:r>
    </w:p>
    <w:p>
      <w:pPr>
        <w:spacing w:after="0" w:line="160" w:lineRule="exact"/>
        <w:rPr>
          <w:sz w:val="20"/>
          <w:szCs w:val="20"/>
          <w:color w:val="auto"/>
        </w:rPr>
      </w:pPr>
    </w:p>
    <w:p>
      <w:pPr>
        <w:ind w:right="9780" w:firstLine="8"/>
        <w:spacing w:after="0" w:line="417" w:lineRule="auto"/>
        <w:tabs>
          <w:tab w:leader="none" w:pos="17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b w:val="1"/>
          <w:bCs w:val="1"/>
          <w:i w:val="1"/>
          <w:iCs w:val="1"/>
          <w:color w:val="auto"/>
        </w:rPr>
        <w:t>Legal Developments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The Pennsylvania Avenue Funds purportedly brings the action on behalf of a stockholder class and seeks injunctive relief, compensatory and rescissory damages, and attorney’s fees. We believe we have meritorious defenses, and we intend to defend ourselves in this lawsuit. We do not believe that this lawsuit will have a material adverse effect on our business, financial condition or operating results.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2008 included in our Annual Report on Form 10-K filed with the Securities and Exchange Commission, or the SEC, on March 31, 2009. Past operating results are not necessarily indicative of results that may occur in future periods.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development stage company. We have incurred significant net losses since our inception. At September 30, 2009, from inception, our accumulated deficit was $241.4 million, including $45.8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chronic obstructive pulmonary disease, or COPD, exacerbations, and over the long-term if we are successful in expanding our research and development programs and acquiring or in-licensing products, technologies or businesses that are complementary to our own.</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acquired licenses to eight compounds for the development of ten product candidates. Our development pipeline consists of eight product development programs which have been in clinical development for the treatment of acute exacerbations of asthma, multiple sclerosis, or MS, bronchial asthma, interstitial cystitis, solid tumor cancers, Generalized Anxiety Disorder/insomnia, preterm labor and urinary incontinence, and two product development programs which have been in preclinical development for the treatment of thrombotic disorders. In addition, we have expanded the development program for one of our prioritized product candidates, MN-221, to evaluate MN-221 for the treatment of chronic obstructive pulmonary disease, or COPD, exacerbations.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two prioritized product development programs:</w:t>
      </w:r>
    </w:p>
    <w:p>
      <w:pPr>
        <w:spacing w:after="0" w:line="90" w:lineRule="exact"/>
        <w:rPr>
          <w:sz w:val="20"/>
          <w:szCs w:val="20"/>
          <w:color w:val="auto"/>
        </w:rPr>
      </w:pPr>
    </w:p>
    <w:p>
      <w:pPr>
        <w:ind w:left="900" w:hanging="446"/>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II clinical trial in the first quarter of 2009 to evaluate the safety and efficacy of MN-221 in patients with severe, acute exacerbations of asthma treated in the emergency room, initiated a Phase 1b clinical trial in the fourth quarter of 2009 to evaluate the safety of MN-221 at planned escalating doses in patients with stable, moderate to severe COPD and completed a Phase II clinical trial in the second quarter of 2009 which evaluated MN-221 at planned escalating doses in patients with severe, acute exacerbations of asthma treated in the emergency room; and</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MN-166 for the treatment of MS, for which we completed a Phase II clinical trial in Eastern Europe in the second quarter of 2008.</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Upon completion of proof-of-concept Phase II clinical trials, we will either continue to pursue development independently in the United States, as we presently intend with MN-221, or establish a strategic collaboration to support further clinical development, as we presently intend with MN-166. Following the completion of the Phase II clinical trial for MN-166, we are not planning to pursue any further significant development of MN-166 until such time that we are able to secure a strategic collaboration to advance the clinical development of MN-166. In addition, we intend to limit development activities for the balance of our existing product candidates. For each of these remaining product candidates, we plan to conduct development activities only to the extent deemed necessary to maintain our license rights or maximize its value while pursuing a variety of initiatives to monetize such product candidate on appropriate terms. See “Research and Development” below.</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13, 2009, we announced the proposed final protocol for the Phase II clinical trial for MN-221 in patients with severe, acute exacerbations of asthma (MN-221-CL-007). Following a more comprehensive pharmacokinetic/pharmacodynamic analysis and model of data from previous Phase II clinical trials, we determined that the dose of 1,200 micrograms of MN-221 administered over one hour may provide greater potential efficacy without conferring additional risk to patients. As a result, the dosing in this clinical trial was changed to compare standardized care only to standardized care plus MN-221 at a dose of 1,200 micrograms administered over one hour rather than at a dose of 250 micrograms administered over 15 minutes. As of August 2009, patient enrollment resumed, and we anticipate completing enrollment within nine to 12 months of August 2009.</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July 20, 2009, we announced our plans to initiate the evaluation of MN-221 for the treatment of COPD exacerbations. This indication represents the second respiratory indication for which we are currently evaluating MN-221. See “Subsequent Events”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25, 2009, we jointly announced with Avigen, Inc., or Avigen, that the two companies confirmed a mutual understanding of certain key terms for our proposed acquisition of Avigen that would combine the companies’ broad neurological clinical development programs based on ibudilast (our MN-166 product candidate and Avigen’s AV411 product candidate).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August 20, 2009, we, Absolute Merger, Inc., our wholly-owned subsidiary, or Merger Sub, and Avigen entered into an Agreement and Plan of Merger, or the Merger Agreement. The Merger Agreement provides that, upon the terms and subject to the conditions set forth therein, Avigen will merge with and into Merger Sub with Avigen continuing as the surviving entity and wholly-owned subsidiary of MediciNova, or the Merger. The boards of directors of each of MediciNova and Avigen have approved the Merger and the Merger Agreement.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17, 2009, we filed the Registration Statement on Form S-4 with the SEC regarding the proposed merger with Avigen. On October 14, 2009, we received a SEC Comment Letter regarding the Registration Statement on Form S-4 which we filed in September 2009. On October 23, 2009, we filed Amendment No. 1 to the Registration Statement on Form S-4 and a response letter to the SEC staff’s comments.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The Pennsylvania Avenue Funds purportedly brings the action on behalf of a stockholder class and seeks injunctive relief, compensatory and rescissory damages, and attorney’s fees. We believe we have meritorious defenses, and we intend to defend ourselves in this lawsuit. We do not believe that this lawsuit will have a material adverse effect on our business, financial condition or operating results.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November 3, 2009, we announced the initiation of a Phase Ib clinical trial, by holding the Investigators’ Meeting, to evaluate the safety of MN-221 at planned escalating doses in patients with stable, moderate to severe COPD. This randomized, placebo-controlled, dose escalation Phase Ib clinical trial will involve approximately 48 stable, moderate to severe COPD patients. Each patient will receive a one-hour intravenous infusion of MN-221 at one of three escalating dose levels or placebo. Safety and preliminary efficacy data will be collected and summarized, but will not be subjected to inferential statistical analysis.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or CROs,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Three months ended</w:t>
            </w: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492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Disease/Indication</w:t>
            </w:r>
          </w:p>
        </w:tc>
        <w:tc>
          <w:tcPr>
            <w:tcW w:w="480" w:type="dxa"/>
            <w:vAlign w:val="bottom"/>
          </w:tcPr>
          <w:p>
            <w:pPr>
              <w:spacing w:after="0"/>
              <w:rPr>
                <w:sz w:val="14"/>
                <w:szCs w:val="14"/>
                <w:color w:val="auto"/>
              </w:rPr>
            </w:pPr>
          </w:p>
        </w:tc>
        <w:tc>
          <w:tcPr>
            <w:tcW w:w="20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44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Acute exacerbations of asthma and COPD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$ 1,656</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$ 2,751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$5,868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MN-166</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Multiple sclerosis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(171)</w:t>
            </w:r>
          </w:p>
        </w:tc>
        <w:tc>
          <w:tcPr>
            <w:tcW w:w="500" w:type="dxa"/>
            <w:vAlign w:val="bottom"/>
          </w:tcPr>
          <w:p>
            <w:pPr>
              <w:jc w:val="right"/>
              <w:spacing w:after="0"/>
              <w:rPr>
                <w:sz w:val="20"/>
                <w:szCs w:val="20"/>
                <w:color w:val="auto"/>
              </w:rPr>
            </w:pPr>
            <w:r>
              <w:rPr>
                <w:rFonts w:ascii="Arial" w:cs="Arial" w:eastAsia="Arial" w:hAnsi="Arial"/>
                <w:sz w:val="18"/>
                <w:szCs w:val="18"/>
                <w:color w:val="auto"/>
              </w:rPr>
              <w:t>631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Bronchial asthma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MN-001</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Interstitial cystitis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Solid tumors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MN-305</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Generalized Anxiety Disorder/insomnia</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Preterm labor</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MN-246</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Urinary incontinence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Thrombotic disorders</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MN-462</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Thrombotic disorders</w:t>
            </w:r>
          </w:p>
        </w:tc>
        <w:tc>
          <w:tcPr>
            <w:tcW w:w="4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2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20" w:type="dxa"/>
            <w:vAlign w:val="bottom"/>
            <w:gridSpan w:val="5"/>
          </w:tcPr>
          <w:p>
            <w:pPr>
              <w:spacing w:after="0"/>
              <w:rPr>
                <w:sz w:val="20"/>
                <w:szCs w:val="20"/>
                <w:color w:val="auto"/>
              </w:rPr>
            </w:pPr>
            <w:r>
              <w:rPr>
                <w:rFonts w:ascii="Arial" w:cs="Arial" w:eastAsia="Arial" w:hAnsi="Arial"/>
                <w:sz w:val="18"/>
                <w:szCs w:val="18"/>
                <w:color w:val="auto"/>
              </w:rPr>
              <w:t>Total research and development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$ 2,380</w:t>
            </w:r>
          </w:p>
        </w:tc>
        <w:tc>
          <w:tcPr>
            <w:tcW w:w="5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$ 3,501</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8,226</w:t>
            </w: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the Phase II clinical trial of MN-166 for the treatment of MS in the second quarter of 2008, we have not undertaken, nor do we plan to undertake, any further significant clinical development of MN-166 until such time that we secure a strategic collaboration to advance the clinical development of MN-166. In addition, as of the third quarter of 2009, we determined to expand the product development program for MN-221 to evaluate MN-221 for the treatment of COPD exacerbations.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anticipate that our research and development expenses will increase with respect to MN-221 in future periods as we continue development and launch clinical trials in support of potential commercialization of this product candidate for the treatment of acute exacerbations of asthma and COPD exacerbations and decrease with respect to MN-166 in future periods as we will limit expenditures on this product candidate to those development activities deemed necessary, if any, to maximize its value for purposes of securing a partner for clinical development. However, at this time, due to the risks inherent in the clinical development process and given the early stage of our MN-221 product development program, we are unable to estimate with any certainty the costs that we will incur in the continued development of such product candidate for potential commercialization.</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intend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 These eight non-prioritized product development programs consist of the following:</w:t>
      </w:r>
    </w:p>
    <w:p>
      <w:pPr>
        <w:spacing w:after="0" w:line="32" w:lineRule="exact"/>
        <w:rPr>
          <w:sz w:val="20"/>
          <w:szCs w:val="20"/>
          <w:color w:val="auto"/>
        </w:rPr>
      </w:pPr>
    </w:p>
    <w:p>
      <w:pPr>
        <w:ind w:left="900" w:right="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 clinical trial for the treatment of insomnia in the fourth quarter of 2007;</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general and administrative expenses consist primarily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securities consist of auction rate securities, or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interests in municipal bonds, government-guaranteed student loans, insurance notes and portfolios of securities (primarily commercial paper). When our ARS were originally purchased, there was an active market for purchasing and selling ARS; therefore, we considered these investment securities to be available-for-sale.</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such, with the adoption of Accounting Standards Codification, or ASC, 820, authoritative guidance for fair value measurements and disclosures (formerly Statement of Financial Accounting Standards, or SFAS, No. 157), we determine the fair value of our ARS portfolio primarily on Level 3 criteria, which results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Given the lack of a primary and secondary market for our ARS investment securities, we designated all of our ARS investment securities as trading securities at December 31, 2008; as a result, any additional increase or decrease in the fair value of our ARS investment securities is recorded as either a gain or an impairment charge, respectively, in our consolidated statement of operations. For the three months ended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September 30, 2009, we recorded a net gain on our investment securities and the ARS Put of $0.1 million to increase the overall carrying value of our investment securities. We have classified our investment securities covered by the ARS Rights Offer (as described below) as current assets given that they can be converted into cash within twelve months from September 30, 2009. Our remaining investment securities are considered long-term assets, as they cannot be readily converted to cash within 12 months from September 30, 2009.</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AG and its affiliates, or UBS, the brokerage firm through which we purchased the majority of our ARS, entered into a settlement with the SEC, the New York Attorney General and other state agencies. Under the settlement, UBS issued to us Auction Rate Security Rights, which would allow us to sell to UBS our ARS held in accounts with UBS, or the ARS Rights Offer. Pursuant to the ARS Rights Offer, we received the right to sell to UBS the ARS held in accounts with UBS at par value at any time during the period beginning June 30, 2010 and ending July 2, 2012, or the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September 30, 2009, the outstanding balance of the ARS Loan was $17.7 million.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Although we have the right to sell to UBS the ARS subject to the ARS Put at par beginning June 30, 2010, we determined the fair market value of the ARS without consideration of the ARS Put because they are deemed separate contractual agreements under ASC 820.</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certain of our ARS and the ARS Put. Under ASC 825, any subsequent increase or decrease in the fair value of the ARS Put would be recorded as either a gain or an impairment charge, respectively, in our consolidated statement of operations. The fair value of the ARS Put was also determined by a discounted cash flow valuation model with assumptions being made related to interest rate, maturity and liquidity. For the three months ended September 30, 2009, based on our discounted cash flow valuation, we recorded an impairment charge of $0.3 million in our consolidated statement of operations due to a decrease in the carrying value of the ARS Put to $5.3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was conducted entirely in Eastern Europe. When we entered into the euro-denominated contract with the CRO managing this clinical trial on our behalf, the U.S. dollar to euro conversion rate had remained fairly constant; therefore, we did not enter into a hedging program to mitigate our foreign exchange exposure at such time. We completed this clinical trial in the second quarter of 2008. Foreign exchange gain or loss is attributable to the strengthening or weakening, respectively, of the U.S. dollar against the euro and is reflected in the remaining accrued payable for this foreign currency contract.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interest income, net consists primarily of interest earned on our cash, cash equivalents and investment securities, offset by the interest charged on the ARS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is based on our consolidated financial statements, which have been prepared in accordance with accounting principles generally accepted in the United States, or U.S. GAAP.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2008 as filed with the SEC on March 31,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July 2009, the Financial Accounting Standards Board, or FASB, issued ASC 105 (formerly SFAS No. 168). ASC 105 contains guidance which reduces the U.S. GAAP hierarchy to two levels, one that is authoritative and one that is not. This pronouncement is effective September 15, 2009. We adopted the FASB authoritative guidance on the ASC and the hierarchy of U.S. GAAP, which establishes the ASC as the sole source of authoritative guidance recognized by the FASB to be applied by nongovernmental entities. Accordingly, we have revised references to legacy U.S. GAAP to be consistent with the ASC in our publicly issued consolidated financial statements, starting with the accompanying unaudited condensed consolidated financial statements and disclosures for the period ended September 30, 2009. The adoption of this pronouncement did not have an effect on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Issued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2009, the FASB approved for issuance Emerging Issues Task Force Issue 08-01, “Revenue Arrangements with Multiple Deliverables”, currently within the scope of ASC 605. ASC 605 provides principles for allocation of consideration among its multiple-elements, allowing more flexibility in identifying and accounting for separate deliverables under an arrangement. ASC 605 introduces an estimated selling price method for valuing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Alternatively, adoption may be on a retrospective basis, and early application is permitted. We do not believe the adoption of this accounting standard will have a material effect on our consolidated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2009 and 2008</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September 30, 2009 or September 30,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Research and development expenses for the three months ended September 30, 2009 were $2.4 million, a decrease of $1.1 million when compared to $3.5 million for the three months ended September 30, 2008. The net $1.1 million decrease in research and development expenses was primarily due to the completion of a Phase II clinical trial of MN-221 for the treatment of acute exacerbations of asthma (MN-221-CL-005), which was offset by spending on the currently active Phase II clinical trial for MN-221 for the treatment of acute exacerbations of asthma (MN-221-CL-007) and Phase Ib clinical trial for the treatment of COPD exacerbations (MN-221-CL-010).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General and administrative expenses were $2.6 million for the three months ended September 30, 2009, an increase of $0.4 million when compared to $2.2 million for the three months ended September 30, 2008. This increase was due to an increase of $0.3 million in legal fees in connection with the Merger and $0.1 million in consulting fees in connection with business development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Gain/Impairment Charge on Investment Securities and ARS Put</w:t>
      </w:r>
    </w:p>
    <w:p>
      <w:pPr>
        <w:spacing w:after="0" w:line="90"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For the three months ended September 30, 2009, we recorded a net gain of $73,000 on our ARS investment portfolio and the ARS Put based on fair value determined by our discounted cash flow models with liquidity discount. For the three months ended September 30, 2008, there was no change in the overall fair market value of our ARS investment portfolio. The net gain was primarily a result of an increase in the fair market value of our long-term investment securities.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Gain/Loss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the three months ended September 30, 2009, we recorded a foreign exchange loss of $12,000 due to the revaluation of our euro-denominated liability, as compared to a foreign exchange gain of $0.5 million for the three months ended September 30, 2008. The loss for the three months ended September 30, 2009 was due to the continued weakening of the U.S. dollar, and the gain for the three months ended September 30, 2008 was due to the true-up of our euro-denominated contract which resulted in a reversal of foreign exchange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 Net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income, net consisted of income earned on our cash and investment balances and totaled $87,000 for the three months ended September 30, 2009, a decrease of $266,000 when compared to $353,000 for the three months ended September 30, 2008. The decrease was primarily due to a decrease in interest earned on most of our cash and investment balances due to lower interest rates. In addition, as of September 30, 2009, $171,000 of interest was recorded on the ARS Loan.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2009 and 2008</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nine months ended September 30, 2009 or September 30, 2008.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Research and development expenses for the nine months ended September 30, 2009 were $8.2 million, a decrease of $3.6 million when compared to $11.8 million for the nine months ended September 30, 2008. This overall decrease in research and development expenses included a net increase of $0.2 million of costs associated with the development programs related to MN-221 for the treatment of acute exacerbations of asthma and COPD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exacerbations, offset by a decrease of $2.2 million due to the completion of the two-year Phase II clinical trial for MN-166 for the treatment of MS, a decrease of $0.7 million related to our development program for MN-029 for the treatment of solid tumors and a decrease of $0.9 million related to our other product development programs and unallocated R&amp;D personnel time as we continued to primarily focus our resources on the clinical development program for MN-221 for the treatment of acute exacerbations of asthma and COPD exacerbations.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General and administrative expenses were $6.9 million for the nine months ended September 30, 2009, a decrease of $0.1 million when compared to $7.0 million for the nine months ended September 30, 2008. This decrease in general and administrative expenses was due to a $0.3 million decrease each in corporate expenses related to bonus accrual and fees paid to external consultants, offset by an increase of $0.5 million in legal fees primarily due to the Merger.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Gain/Impairment Charge on Investment Securities and ARS Put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the nine months ended September 30, 2009, we recorded a net gain of $0.2 million on our ARS investment portfolio and the ARS Put based on fair value as determined by our discounted cash flow models with liquidity discounts, as compared to an impairment charge of $3.3 million on our ARS investment portfolio for the nine months ended September 30, 2008. The net gain was primarily a result of an increase of $0.7 million in the fair value of our total ARS investment portfolio, offset by a decrease of $0.5 million in the fair value of the ARS Put.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Gain/Loss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nine months ended September 30, 2009, we recorded a foreign exchange loss of $2,000 due to the revaluation of our euro-denominated liability, as compared to a foreign exchange loss of $91,000 for the nine months ended September 30, 2008. The foreign exchange loss was due to the overall weakening of the U.S. dollar through September 30,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 Net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income, net consisted of income earned on our cash and investment balances and totaled $0.5 million for the nine months ended September 30, 2009, a decrease of $1.2 million when compared to $1.7 million for the nine months ended September 30, 2008. The decrease was primarily due to a decrease in interest earned on our cash and investment balances due to lower interest rates. In addition, for the nine months ended September 30, 2009, $0.2 million of interest was recorded on the ARS Loan.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Since our inception, we have primarily financed our operations through the private placement of our equity securities, the public sale of our common stock and the exercise of founders’ warrants, net of treasury stock repurchases. Through September 30, 2009, we received estimated net proceeds of $201.4 million from the sale of equity securities, the exercise of warrants and stock options and employee stock purchases.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September 30, 2009, we had $37.2 million in cash, cash equivalents, investment securities and the ARS Put, net of the ARS Loan, as compared to $49.1 million of cash, cash equivalents, investment securities and the ARS Put at December 31, 2008, which decrease of $11.9 million is primarily a result of our operating loss during the nine months ended September 30, 2009. At September 30, 2009, $21.7 million of our ARS consisted primarily of government-guaranteed student loan securities and $2.2 million of our ARS consisted of private placement securities. None of the underlying collateral for our ARS consisted of subprime mortgages or collateralized debt obligations. Based on our discounted cash flow models, our total investment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consisting of ARS, which were designated as trading securities, increased in fair value overall and resulted in the recording of a gain of $0.4 million in our consolidated statement of operations to increase their carrying value for the three months ended September 30, 2009. In addition, we also recorded an impairment charge of $0.3 million on the ARS Put to reduce its carrying value for the three months ended September 30, 2009.</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In addition, during the three months and nine months ended September 30, 2009, $0.2 million and $0.3 million, respectively, of our current investment securities were redeemed at par value, with the proceeds used to pay down the outstanding amount of the ARS Loan.</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elected to measure the ARS Put under the fair value option of ASC 825, authoritative guidance on financial instruments, to mitigate the volatility in reported earnings due to the direct linkage between certain of our ARS and the ARS Put. The fair value of the ARS Put was also determined by using a discounted cash flow valuation model with assumptions related to interest rate, maturity and liquidity. For the three months ended September 30, 2009, based on our discounted cash flow valuation, we recorded an impairment charge of $0.3 million in our consolidated statement of operations due to a decrease in the carrying value of the ARS Put to $5.3 million.</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 of our ARS and the ARS Put are based in part on management’s estimates and assumptions. In the event of actual market exchanges, if any, these assumptions may prove materially different from those assumed in our valuation models and amounts may be materially different than our estimates. For example, in our valuation models, a reduction of the expected term to redemption by two years for our ARS portfolio yielded a net increase in valuation of our ARS of $1.6 million and an increase in expected term to redemption by two years for our ARS portfolio yielded a decrease in valuation of our ARS of $1.5 million. Other factors that may impact the valuation of our ARS and the ARS Put include changes to the credit quality of the underlying assets, discount rates, counterparty risk and the condition of the overall credit market.</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will continue to monitor closely our ARS, as the liquidity of such securities could impact our ability to fund our operations if we are unable to liquidate such securities, otherwise unable to obtain capital to fund our operations or UBS demands full or partial payment of the ARS Loan and does not timely provide us with alternative financing on substantially the same terms. In the event that the credit crisis continues or worsens and the ARS market remains illiquid, we may not be able to recover the full value of our ARS investments should we determine it is necessary to liquidate any such securities. Further, in such event, we may not be able to borrow the maximum available amount under the ARS Loan or, if we have borrowed the maximum available amount, maintain such loan outstanding.</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Net cash used in operating activities decreased to $12.5 million for the nine months ended September 30, 2009 from $17.3 million for the nine months ended September 30, 2008. The decrease was primarily due to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reduction in spending on research and development due to the completion of the Phase II clinical trial for MN-166 for the treatment of MS in the second quarter of 2008. Net cash provided by investing activities was $0.8 million for the nine months ended September 30, 2009, as compared to $21.6 million provided by investing activities for the nine months ended September 30, 2008. The decrease was primarily due to the illiquidity of the ARS market. Net cash provided by financing activities was $18.1 million for the nine months ended September 30, 2009, as compared to less than $100,000 for the nine months ended September 30, 2008. This increase was primarily due to the net amount borrowed under the ARS Loan.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consumed substantial amounts of capital since our inception. We do not have any material commitments for capital expenditures and our current cash, cash equivalents and the ARS Loan are our principal sources of liquidity. At September 30, 2009, we believe that our existing cash and cash equivalents will be sufficient to fund our anticipated operating requirements, at a minimum, through September 30, 2010, including all of our planned research and development activities. We anticipate that we may require additional funding in the future to fund our operations and intended research and development activities, and we may explore and complete one or more capital-raising transactions from time to time to secure such additional funding.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future uses and capital requirements will depend on, and could increase significantly as a result of, many factors, including the following:</w:t>
      </w:r>
    </w:p>
    <w:p>
      <w:pPr>
        <w:spacing w:after="0" w:line="113" w:lineRule="exact"/>
        <w:rPr>
          <w:sz w:val="20"/>
          <w:szCs w:val="20"/>
          <w:color w:val="auto"/>
        </w:rPr>
      </w:pPr>
    </w:p>
    <w:p>
      <w:pPr>
        <w:ind w:left="900" w:right="8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progress of our clinical trials and other research and development activities, including expenses to support the clinical development of MN-221 for the treatment of acute exacerbations of asthma and COPD exacerbations and milestone payments that may become payable to Kissei Pharmaceutical Co., Ltd., or Kissei Pharmaceutical, based on the progress of such product development program;</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of our product candidates;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may in-license, acquire or invest in other indications, products, technologies and businesses.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curtail our efforts to acquire new product candidates or relinquish some or even all rights to product candidates. Failure to obtain adequate financing also may adversely affect our ability to operate as a going concern.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1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investment securities consist entirely of ARS, and we have the ARS Put. All of our ARS had AAA ratings at the time of purchase, were originally designated as available-for-sale and principally represent interests in municipal bonds, government-guaranteed student loans, insurance notes and portfolios of securities (primarily commercial paper). None of the underlying collateral for our ARS consisted of subprime mortgages or collateralized debt obligations. At September 30, 2009, $21.7 million of our ARS consisted primarily of government-guaranteed student loan securities and $2.2 million of our ARS consisted of private placement securities.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negative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as they did throughout 2008 and during the first half of 2009, the investments may not be readily convertible to cash until a future auction of these investments is successful, they are redeemed, repurchased or sold through a secondary market, or they mature. Because of the lack of a primary or secondary ARS market, we designated all of our ARS as trading securities at December 31, 2008. At September 30, 2009, we continued to designate all of our ARS as trading securities. In addition, during the three months ended September 30, 2009, $200,000 of our ARS was redeemed at par value, with the proceeds used to pay down the outstanding balance of the ARS Loan. At September 30, 2009, the ARS Loan balance was $17.7 million. Under the terms of the ARS Loan, UBS may demand full or partial payment of the ARS Loan, at its sole option and without cause, at any time; however, the ARS Loan would remain in full force and effect until such time that UBS provided alternative financing at substantially the same terms. All cash received under the ARS Loan was invested in money market accounts. Because the interest that we pay on the ARS Loan will not exceed the interest that we receive on the ARS pledged as security for the ARS Loan and which are held in the collateral account, we do not believe that this arrangement subjects us to additional 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Rate Fluctuations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were exposed to foreign currency exchange rate risk with respect to the Phase II clinical trial for MN-166 for the treatment of MS, which we completed in Eastern Europe in the second quarter of 2008. As of September 30, 2009, we remain in the process of finalizing our reconciliation with the CRO who supported us in conducting this study. We do not hedge our currency exchange rate risk; therefore, we are exposed to the fluctuations in the value of the U.S. dollar against the euro. The effects of changes in exchange rates between the U.S. dollar and euro denominated transactions are recorded as foreign currency transaction gain (loss) as a separate component of net loss. At September 30, 2009, a hypothetical 100 basis point change in the exchange rate would not have a material impact on our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 with Avigen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The Pennsylvania Avenue Funds purportedly brings the action on behalf of a stockholder class and seeks injunctive relief, compensatory and rescissory damages, and attorney’s fees. We believe we have meritorious defenses, and we intend to defend ourselves in this lawsuit. We do not believe that this lawsuit will have a material adverse effect on our business, financial condition or operating results.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From time to time, we may become involved in various disputes and legal proceedings which arise in the ordinary course of business. We believe there is no other litigation pending that could have, individually or in the aggregate, a material adverse effect on our financial position, results of operations or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are a development stage biopharmaceutical company with a limited operating history. We have incurred significant net losses since our inception. For the three months and nine months ended September 30, 2009, we had a net loss of approximately $4.8 million and $14.5 million, respectively. At September 30, 2009, our accumulated deficit was approximately $241.4 million. If we are successful in raising additional capital to support such expansion, our annual net losses may increase over the next several years as we expand our infrastructure and incur significant costs related to the development of our product candidates.</w:t>
      </w:r>
    </w:p>
    <w:p>
      <w:pPr>
        <w:spacing w:after="0" w:line="9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COPD exacerbations, and any other development activities that we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To date, we have funded our operations primarily from sales of our securities. We have not received, and do not expect to receive for at least the next several years, if at all, any revenues from the commercialization of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1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U.S. Food and Drug Administration, or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 for the treatment of MS,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pursue any further significant clinical development of MN-166 for the treatment of MS until such time that we are able to secure a strategic collaboration to advance the clinical development of MN-166, which may delay or impede the process of completing clinical trials and seeking regulatory approval for this product candidate.</w:t>
      </w:r>
    </w:p>
    <w:p>
      <w:pPr>
        <w:spacing w:after="0" w:line="12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clinical development programs for MN-221 and MN-166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MN-221 or MN-166 in a timely manner would have a material and adverse impact on our business and our stock price.</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INDs were approved by the FDA and are active for seven of our product candidates. We also have obtained one Clinical Trial Authorization, or CTA, for a Phase II clinical trial for MN-221 in Canada.</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or other regulatory authorities will consider an application for marketing approval.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we recently experienced delays in the enrollment of patients for our Phase II clinical trial evaluating the safety and efficacy of MN-221 in patients with severe, acute exacerbations of asthma due to changes in the dosing regimen. These delays have extended the anticipated date for completion of enrollment by approximately two months.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clinical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patients who have chosen to participate in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institutional review board, or IRB, approval or approval from foreign counterparts to conduct or amend a clinical trial at a prospective site.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8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also have a material adverse effect on our business.</w:t>
      </w:r>
    </w:p>
    <w:p>
      <w:pPr>
        <w:spacing w:after="0" w:line="18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There can be no assurance that developments by others will not render our product candidates obsolete or noncompetitive.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have consumed substantial amounts of capital since our inception. From our inception to September 30, 2009, we had an accumulated deficit of approximately $241.4 million. Our cash, cash equivalents,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securities and ARS Put, net of the ARS Loan, totaled approximately $37.2 million at September 30, 2009. We intend to manage our product development programs such that our existing cash, cash equivalents and investment securities as of September 30, 2009 will be sufficient to meet our operating requirements through at least September 30, 2010. We have based this estimate on assumptions that may prove to be wrong, and we could spend our available financial resources faster than we currently anticipate. Our future capital requirements will depend on, and could increase significantly as a result of, many factors including:</w:t>
      </w:r>
    </w:p>
    <w:p>
      <w:pPr>
        <w:spacing w:after="0" w:line="6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further the liquidity of our investment portfolio.</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December 31, 2008, all of our remaining marketable securities available-for-sale, which consisted of auction rate securities, or ARS, were designated as trading securities and were classified to long-term due to the time frame in which we can readily convert these securities into cash. These ARS represent 100 percent of our overall investment portfolio. Our long-term asset consisted of the ARS Put (as described below). At June 30, 2009, approximately $21.1 million of our ARS and the ARS Put were reclassified to current assets because they can be readily converted to cash within 12 months. Of the approximately $2.5 million of ARS which continued to be classified as long-term assets as of September 30, 2009, approximately $2.2 million consisted of private placement investment securities. None of the underlying collateral for our ARS consisted of subprime mortgages or collateralized debt obligations.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a result, we have been unable to liquidate our ARS that are not subject to the ARS Rights Offer, and we could be required to hold these securities until such time that they are redeemed by the issuer, successfully sold at auction, sold through a secondary market or ultimately mature. In addition, with the adoption of ASC 820, authoritative guidance for fair value measurements and disclosures (formerly SFAS No. 157), we determined the fair value of our ARS portfolio primarily on Level 3 criteria,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With all of our investment securities designated as trading securities, any additional increase or decrease in the fair value of our investment securities is recorded as either a gain or an impairment charge, respectively, in our consolidated statement of operations. For the three months ended September 30, 2009, we recorded a gain on our investment securities of approximately $0.4 million to increase the carrying value of our investment securities. In addition, for the three months ended September 30, 2009, we recorded an impairment charge of approximately $0.3 million on the ARS Put to decrease its carrying value based on our discounted cash flow model with liquidity discount.</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September 30, 2009, our ARS Loan balance was $17.7 million.</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UBS may demand full or partial payment of the ARS Loan, at its sole option and without cause, at any time. All ARS Loan advances are subject to collateral maintenance requirements. UBS may also, at any time, in its discretion, terminate and cancel the ARS Loan.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We cannot assure you that we will not default on our obligations under the credit line agreement, which could result in the acceleration of our repayment obligations, or that UBS will not call the amounts outstanding under the ARS Loan, either of which would negatively impact our financial condition and cash flow. In addition, we cannot assure you that UBS will consummate the ARS Rights Offer and repurchase our ARS subject to such offer at par value, or that we will be able to renew this facility at maturity on similar terms, or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business combination transactions could have an adverse affect on our results of operations and financial condition.</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December 2008, we made a proposal to Avigen and its stockholders regarding a proposed merger between us and Avigen. On June 25, 2009, we jointly announced with Avigen that the two companies confirmed a mutual understanding of certain key terms of our proposed acquisition of Avigen.</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August 20, 2009, we, Absolute Merger, Inc., our wholly-owned subsidiary, or Merger Sub, and Avigen entered into an Agreement and Plan of Merger, or the Merger Agreement. The Merger Agreement provides that, upon the terms and subject to the conditions set forth therein, Avigen will merge with and into Merger Sub with Avigen continuing as the surviving entity and wholly-owned subsidiary of MediciNova, or the Merger. The boards of directors of each of MediciNova and Avigen have approved the Merger and the Merger Agreement.</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September 17, 2009, we filed the Registration Statement on Form S-4 with the SEC regarding the proposed Merger. On October 23, 2009, we filed Amendment No. 1 to the Registration Statement on Form S-4 which addressed the comments we received from the SEC based on the initial filing.</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Merger Agreement, holders of a majority of the outstanding shares of our common stock must approve the adoption of the Merger Agreement and approve the issuance of the Convertible Notes contemplated thereunder. Holders of a majority of the outstanding shares of Avigen common stock also must approve the Merger Agreement. We cannot assure you that the Merger will be adopted by the stockholders of both companies, in which case the Merger Agreement may be terminated. In the event that the Merger is not consummated, we may be subject to many risks, including the inability to recognize the benefits of a combined clinical development program based on ibudilast and the costs related to the Merger, such as legal, accounting and advisory fees, which must be paid even if the Merger is not completed. In addition, should both sets of stockholders approve the Merger, we cannot assure you that our results of operations, financial condition and outlook would improve as a result of a consummation of the Merger with Avigen.</w:t>
      </w:r>
    </w:p>
    <w:p>
      <w:pPr>
        <w:spacing w:after="0" w:line="19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we have not undertaken, nor do we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2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rely on third parties to assist us with our clinical trials and other important aspects of our product development programs,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4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product development programs. If these third parties fail to devote sufficient care, time and resources to our product development programs, if their performance is substandard, or if they are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if the performance of any of these third parties is substandard,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To date, we have entered into an agreement with Hospira Worldwide, Inc., or Hospira, for the development and supply of finished product of MN-221 utilizing Hospira’s proprietary ADD-Vantage drug delivery system that we intend to use in clinical trials and the commercial market.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63"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or is perceived as being as beneficial as, the current standard of care or otherwise does not provide patient benefit, that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studies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Dr. Iwaki has cultivated with pharmaceutical companies from whom we license product candidates and to whom we expect to out-license product candidates make us particularly dependent upon his continued employment with us. We are also substantially dependent on the continued services of our existing clinical development personnel because of the highly technical nature of our product development programs. We are not presently aware of any plans of our executive officers or key personnel to retire or leave employment with us. Each of our executive officers is party to an employment agreement that continues in effect until the earliest of termination of employment upon (i) consent of the parties,</w:t>
      </w:r>
    </w:p>
    <w:p>
      <w:pPr>
        <w:spacing w:after="0" w:line="5" w:lineRule="exact"/>
        <w:rPr>
          <w:sz w:val="20"/>
          <w:szCs w:val="20"/>
          <w:color w:val="auto"/>
        </w:rPr>
      </w:pPr>
    </w:p>
    <w:p>
      <w:pPr>
        <w:ind w:right="920" w:firstLine="8"/>
        <w:spacing w:after="0" w:line="261"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or other material breach of the agreement, (iii) death or permanent disability and (iv) three months written notice. Following termination of employment, these individuals may engage in other businesses that may compete with us.</w:t>
      </w:r>
    </w:p>
    <w:p>
      <w:pPr>
        <w:spacing w:after="0" w:line="1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We have not experienced difficulties attracting and retaining key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Although we have employment agreements with key members of management, each of our employees, subject to applicable notice requirements, may terminate his or her employment at any time. We do not carry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“key person” insurance covering members of senior management. If we lose any of our key management personnel, we may not be able to find suitable replacements, which would adversely affect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If we market one or more of our product candidates, our operations will be directly, or indirectly through our customers, subject to various state and federal fraud and abuse laws, including, the federal Medicare and Medicaid Protection Act of 1987, as amended, or the Anti-Kickback Statute, and the False Claims Act, as amended. These laws may impact any proposed sales, marketing and education programs as well as other aspects of our operations.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 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as amended,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of November 10, 2009, we had 22 full-time employees and 2 part-time employees.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6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92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a public company, we are required to comply with the Sarbanes-Oxley Act of 2002, as amended, or the Sarbanes-Oxley Act, as well as rules and regulations implemented by the SEC, The NASDAQ Stock Market, Inc.,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In addition, as a smaller reporting company, our report regarding internal control over financial reporting for the year ended December 31, 2008 was not subject to attestation by our registered public accounting firm pursuant to temporary SEC rules that will remain in effect for the year ending December 31, 2009.</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although we do have patent protection for a particular crystalline polymorph of MN-001. As a result, competitors that obtain 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are aware that Avigen (with whom we have entered into the Merger Agreement and intend to merge, subject to stockholder approvals) has conducted preclinical studies and clinical trials for a product which contains the same API as that found in our MN-166 product candidate to target the treatment of neuropathic pain.</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1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0" w:lineRule="exact"/>
        <w:rPr>
          <w:sz w:val="20"/>
          <w:szCs w:val="20"/>
          <w:color w:val="auto"/>
        </w:rPr>
      </w:pPr>
    </w:p>
    <w:p>
      <w:pPr>
        <w:ind w:left="900" w:right="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of their former employers. Litigation may be necessary to defend against these claims. Even if we are successful in defending against these claims, litigation could result in substantial costs and be a distraction to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Despite the listing of our common stock on the Nasdaq Global Market and the Hercules Market of the Osaka Securities Exchange in Japan, trading volume in our securities has been light and an active trading market may not develop for our common stock. In September 2009, our average trading volume was approximately 8,400 shares per day on the Nasdaq Global Market and approximately 45,900 shares per day on the Hercules Market of the Osaka Stock Exchange.</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September 30, 2009, our common stock has traded as high as approximately $42.00 and as low as approximately $1.50.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4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or the economy as a whole;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jc w:val="center"/>
        <w:ind w:left="480" w:right="220"/>
        <w:spacing w:after="0" w:line="440" w:lineRule="auto"/>
        <w:rPr>
          <w:sz w:val="20"/>
          <w:szCs w:val="20"/>
          <w:color w:val="auto"/>
        </w:rPr>
      </w:pPr>
      <w:r>
        <w:rPr>
          <w:rFonts w:ascii="Arial" w:cs="Arial" w:eastAsia="Arial" w:hAnsi="Arial"/>
          <w:sz w:val="18"/>
          <w:szCs w:val="18"/>
          <w:color w:val="auto"/>
        </w:rPr>
        <w:t>Broad market and industry factors, as well as economic and political factors, also may materially adversely affect the market price of our common stock. 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or threatened litigation may impede consummation of our merger with Avigen and materially affect our financial condition.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The Pennsylvania Avenue Funds purportedly brings the action on behalf of a stockholder class and seeks injunctive relief, compensatory and rescissory damages, and attorney’s fees. If the suit is successful, the court may order remedies, including payment of damages. This litigation may impose significant costs on us in the event we are deemed liable or expend substantial funds in defense of the claims. Additional third parties, including other entities or private persons, may also seek to enjoin or rescind the proposed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of common stock issuable upon the exercise of warrants held by three parties, of which warrants held by our two founders that related to 1,285,657 shares were exercisable at $1.00 per share and a warrant held by a separate investor that related to 50,000 shares was exercisable at $10.00 per share. All of the warrants held by our founders have been exercised, and the warrant held by the separate investor of 50,000 shares expired in May 2009. All of such shares, other than shares held by our affiliates, may also be sold from time to time in exempt transactions pursuant to Rule 144 promulgated by the SEC.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are not restricted from issuing additional common stock or other equity securities, including any securities that are convertible into or exchangeable for, or that represent the right to receive, common stock or preferred stock or any substantially similar securities. The market price of our common stock could decline as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result of sales of a large number of shares of newly issued common stock or other equity securities in the market or the perception that such sales could occur.</w:t>
      </w:r>
    </w:p>
    <w:p>
      <w:pPr>
        <w:spacing w:after="0" w:line="2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 2/3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percent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percent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stockholders. In any event, these provisions may delay or prevent a third party from acquiring us. Any such delay or prevention could cause the market price of our common stock to decline.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20" w:type="dxa"/>
            <w:vAlign w:val="bottom"/>
          </w:tcPr>
          <w:p>
            <w:pPr>
              <w:spacing w:after="0"/>
              <w:rPr>
                <w:sz w:val="24"/>
                <w:szCs w:val="24"/>
                <w:color w:val="auto"/>
              </w:rPr>
            </w:pPr>
          </w:p>
        </w:tc>
      </w:t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Agreement</w:t>
            </w:r>
          </w:p>
        </w:tc>
        <w:tc>
          <w:tcPr>
            <w:tcW w:w="9520" w:type="dxa"/>
            <w:vAlign w:val="bottom"/>
          </w:tcPr>
          <w:p>
            <w:pPr>
              <w:ind w:left="120"/>
              <w:spacing w:after="0"/>
              <w:rPr>
                <w:sz w:val="20"/>
                <w:szCs w:val="20"/>
                <w:color w:val="auto"/>
              </w:rPr>
            </w:pPr>
            <w:r>
              <w:rPr>
                <w:rFonts w:ascii="Arial" w:cs="Arial" w:eastAsia="Arial" w:hAnsi="Arial"/>
                <w:sz w:val="18"/>
                <w:szCs w:val="18"/>
                <w:color w:val="auto"/>
                <w:w w:val="98"/>
              </w:rPr>
              <w:t>and Plan of Merger by and among MediciNova, Inc. Absolute Merger, Inc. and Avigen, Inc. dated as of August 20, 2009.</w:t>
            </w:r>
          </w:p>
        </w:tc>
      </w:tr>
      <w:tr>
        <w:trPr>
          <w:trHeight w:val="316"/>
        </w:trPr>
        <w:tc>
          <w:tcPr>
            <w:tcW w:w="840" w:type="dxa"/>
            <w:vAlign w:val="bottom"/>
            <w:gridSpan w:val="2"/>
          </w:tcPr>
          <w:p>
            <w:pPr>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Separation Agreement and Release dated June 26, 2009, by and between MediciNova, Inc. and Richard E. Gammans, Ph.D.</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Separation Agreement and Release dated July 12, 2009, by and between MediciNova, Inc. and Michael Kalafer, M.D.</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10.3(4)</w:t>
            </w: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First Amendment to Consulting Agreement dated September 23, 2009, by and between MediciNova, Inc. and Danerius, LLC.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Executive Officer pursuant to Section 302 of the Sarbanes-Oxley Act of 2002 for the period ended September 30,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5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filed September 17, 2009, as amended October 23, 2009, and incorporated herein by reference.</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2,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on July 16,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25, 2009 and incorporated herein by reference.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MEDICINOVA, INC.</w:t>
      </w:r>
    </w:p>
    <w:p>
      <w:pPr>
        <w:spacing w:after="0" w:line="123" w:lineRule="exact"/>
        <w:rPr>
          <w:sz w:val="20"/>
          <w:szCs w:val="20"/>
          <w:color w:val="auto"/>
        </w:rPr>
      </w:pPr>
    </w:p>
    <w:p>
      <w:pPr>
        <w:spacing w:after="0"/>
        <w:tabs>
          <w:tab w:leader="none" w:pos="6140" w:val="left"/>
          <w:tab w:leader="none" w:pos="8120" w:val="left"/>
          <w:tab w:leader="none" w:pos="8460" w:val="left"/>
        </w:tabs>
        <w:rPr>
          <w:sz w:val="20"/>
          <w:szCs w:val="20"/>
          <w:color w:val="auto"/>
        </w:rPr>
      </w:pPr>
      <w:r>
        <w:rPr>
          <w:rFonts w:ascii="Arial" w:cs="Arial" w:eastAsia="Arial" w:hAnsi="Arial"/>
          <w:sz w:val="18"/>
          <w:szCs w:val="18"/>
          <w:color w:val="auto"/>
        </w:rPr>
        <w:t>Date: November 12,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Yuichi Iwaki, M.D., Ph.D.</w:t>
      </w:r>
    </w:p>
    <w:p>
      <w:pPr>
        <w:jc w:val="center"/>
        <w:ind w:left="652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00" w:lineRule="exact"/>
        <w:rPr>
          <w:sz w:val="20"/>
          <w:szCs w:val="20"/>
          <w:color w:val="auto"/>
        </w:rPr>
      </w:pPr>
    </w:p>
    <w:p>
      <w:pPr>
        <w:ind w:left="6160"/>
        <w:spacing w:after="0"/>
        <w:tabs>
          <w:tab w:leader="none" w:pos="796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Shintaro Asako</w:t>
      </w:r>
    </w:p>
    <w:p>
      <w:pPr>
        <w:jc w:val="center"/>
        <w:ind w:left="652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80"/>
          </w:cols>
          <w:pgMar w:left="240" w:top="459" w:right="8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80" w:type="dxa"/>
            <w:vAlign w:val="bottom"/>
          </w:tcPr>
          <w:p>
            <w:pPr>
              <w:ind w:left="284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18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8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5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2.1(1)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Agreement</w:t>
            </w:r>
          </w:p>
        </w:tc>
        <w:tc>
          <w:tcPr>
            <w:tcW w:w="9080" w:type="dxa"/>
            <w:vAlign w:val="bottom"/>
          </w:tcPr>
          <w:p>
            <w:pPr>
              <w:ind w:left="120"/>
              <w:spacing w:after="0" w:line="202" w:lineRule="exact"/>
              <w:rPr>
                <w:sz w:val="20"/>
                <w:szCs w:val="20"/>
                <w:color w:val="auto"/>
              </w:rPr>
            </w:pPr>
            <w:r>
              <w:rPr>
                <w:rFonts w:ascii="Arial" w:cs="Arial" w:eastAsia="Arial" w:hAnsi="Arial"/>
                <w:sz w:val="18"/>
                <w:szCs w:val="18"/>
                <w:color w:val="auto"/>
                <w:w w:val="92"/>
              </w:rPr>
              <w:t>and Plan of Merger by and among MediciNova, Inc., Absolute Merger, Inc. and Avigen, Inc., dated as of August 20, 2009.</w:t>
            </w: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7"/>
              </w:rPr>
              <w:t>Separation Agreement and Release dated June 26, 2009, by and between MediciNova, Inc. and Richard E. Gammans, Ph.D.</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10.2(3)</w:t>
            </w: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Separation Agreement and Release dated July 12, 2009, by and between MediciNova, Inc. and Michael Kalafer, M.D.</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10.3(4)</w:t>
            </w: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8"/>
              </w:rPr>
              <w:t>First Amendment to Consulting Agreement dated September 23, 2009, by and between MediciNova, Inc. and Danerius,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88"/>
              </w:rPr>
              <w:t>Certification of the Chief Executive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2009.</w:t>
            </w:r>
          </w:p>
        </w:tc>
        <w:tc>
          <w:tcPr>
            <w:tcW w:w="90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2009.</w:t>
            </w:r>
          </w:p>
        </w:tc>
        <w:tc>
          <w:tcPr>
            <w:tcW w:w="908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2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filed September 17, 2009, as amended October 23, 2009, and incorporated herein by reference.</w:t>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2,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16,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25, 2009 and incorporated herein by reference.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240" w:top="459" w:right="5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2009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12, 2009</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2009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12, 2009</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2009,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12, 2009</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2009,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12, 2009</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6"/>
    </w:lvl>
  </w:abstractNum>
  <w:abstractNum w:abstractNumId="6">
    <w:nsid w:val="2443A858"/>
    <w:multiLevelType w:val="hybridMultilevel"/>
    <w:lvl w:ilvl="0">
      <w:lvlJc w:val="left"/>
      <w:lvlText w:val="%1."/>
      <w:numFmt w:val="decimal"/>
      <w:start w:val="7"/>
    </w:lvl>
  </w:abstractNum>
  <w:abstractNum w:abstractNumId="7">
    <w:nsid w:val="2D1D5AE9"/>
    <w:multiLevelType w:val="hybridMultilevel"/>
    <w:lvl w:ilvl="0">
      <w:lvlJc w:val="left"/>
      <w:lvlText w:val="%1."/>
      <w:numFmt w:val="decimal"/>
      <w:start w:val="9"/>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Roman"/>
      <w:start w:val="2"/>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2019-12-10T22:30:57Z</dcterms:created>
  <dcterms:modified xsi:type="dcterms:W3CDTF">2019-12-10T22:30:57Z</dcterms:modified>
</cp:coreProperties>
</file>