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47625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-95885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1" w:lineRule="exact"/>
        <w:rPr>
          <w:sz w:val="24"/>
          <w:szCs w:val="24"/>
          <w:color w:val="auto"/>
        </w:rPr>
      </w:pPr>
    </w:p>
    <w:p>
      <w:pPr>
        <w:ind w:left="4160"/>
        <w:spacing w:after="0"/>
        <w:tabs>
          <w:tab w:leader="none" w:pos="64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6"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40640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MEDICINOVA,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30480</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3" w:lineRule="exact"/>
        <w:rPr>
          <w:sz w:val="24"/>
          <w:szCs w:val="24"/>
          <w:color w:val="auto"/>
        </w:rPr>
      </w:pPr>
    </w:p>
    <w:tbl>
      <w:tblPr>
        <w:tblLayout w:type="fixed"/>
        <w:tblInd w:w="6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right"/>
              <w:ind w:right="1076"/>
              <w:spacing w:after="0"/>
              <w:rPr>
                <w:sz w:val="20"/>
                <w:szCs w:val="20"/>
                <w:color w:val="auto"/>
              </w:rPr>
            </w:pPr>
            <w:r>
              <w:rPr>
                <w:rFonts w:ascii="Arial" w:cs="Arial" w:eastAsia="Arial" w:hAnsi="Arial"/>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7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jc w:val="center"/>
              <w:ind w:right="896"/>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1340" w:type="dxa"/>
            <w:vAlign w:val="bottom"/>
          </w:tcPr>
          <w:p>
            <w:pPr>
              <w:spacing w:after="0"/>
              <w:rPr>
                <w:sz w:val="12"/>
                <w:szCs w:val="12"/>
                <w:color w:val="auto"/>
              </w:rPr>
            </w:pPr>
          </w:p>
        </w:tc>
        <w:tc>
          <w:tcPr>
            <w:tcW w:w="17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Incorporation or Organization)</w:t>
            </w: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876"/>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38"/>
        </w:trPr>
        <w:tc>
          <w:tcPr>
            <w:tcW w:w="6800" w:type="dxa"/>
            <w:vAlign w:val="bottom"/>
            <w:gridSpan w:val="8"/>
          </w:tcPr>
          <w:p>
            <w:pPr>
              <w:jc w:val="center"/>
              <w:ind w:right="2440"/>
              <w:spacing w:after="0"/>
              <w:rPr>
                <w:sz w:val="20"/>
                <w:szCs w:val="20"/>
                <w:color w:val="auto"/>
              </w:rPr>
            </w:pPr>
            <w:r>
              <w:rPr>
                <w:rFonts w:ascii="Arial" w:cs="Arial" w:eastAsia="Arial" w:hAnsi="Arial"/>
                <w:sz w:val="14"/>
                <w:szCs w:val="14"/>
                <w:b w:val="1"/>
                <w:bCs w:val="1"/>
                <w:color w:val="auto"/>
                <w:w w:val="93"/>
              </w:rPr>
              <w:t>4275 Executive Square, Suite 300, La Jolla, CA</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1236"/>
              <w:spacing w:after="0"/>
              <w:rPr>
                <w:sz w:val="20"/>
                <w:szCs w:val="20"/>
                <w:color w:val="auto"/>
              </w:rPr>
            </w:pPr>
            <w:r>
              <w:rPr>
                <w:rFonts w:ascii="Arial" w:cs="Arial" w:eastAsia="Arial" w:hAnsi="Arial"/>
                <w:sz w:val="14"/>
                <w:szCs w:val="14"/>
                <w:b w:val="1"/>
                <w:bCs w:val="1"/>
                <w:color w:val="auto"/>
              </w:rPr>
              <w:t>92037</w:t>
            </w:r>
          </w:p>
        </w:tc>
        <w:tc>
          <w:tcPr>
            <w:tcW w:w="0" w:type="dxa"/>
            <w:vAlign w:val="bottom"/>
          </w:tcPr>
          <w:p>
            <w:pPr>
              <w:spacing w:after="0"/>
              <w:rPr>
                <w:sz w:val="1"/>
                <w:szCs w:val="1"/>
                <w:color w:val="auto"/>
              </w:rPr>
            </w:pPr>
          </w:p>
        </w:tc>
      </w:tr>
      <w:tr>
        <w:trPr>
          <w:trHeight w:val="140"/>
        </w:trPr>
        <w:tc>
          <w:tcPr>
            <w:tcW w:w="6800" w:type="dxa"/>
            <w:vAlign w:val="bottom"/>
            <w:gridSpan w:val="8"/>
          </w:tcPr>
          <w:p>
            <w:pPr>
              <w:jc w:val="center"/>
              <w:ind w:right="244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89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60" w:type="dxa"/>
            <w:vAlign w:val="bottom"/>
            <w:gridSpan w:val="4"/>
          </w:tcPr>
          <w:p>
            <w:pPr>
              <w:jc w:val="center"/>
              <w:ind w:left="608"/>
              <w:spacing w:after="0"/>
              <w:rPr>
                <w:sz w:val="20"/>
                <w:szCs w:val="20"/>
                <w:color w:val="auto"/>
              </w:rPr>
            </w:pPr>
            <w:r>
              <w:rPr>
                <w:rFonts w:ascii="Arial" w:cs="Arial" w:eastAsia="Arial" w:hAnsi="Arial"/>
                <w:sz w:val="14"/>
                <w:szCs w:val="14"/>
                <w:b w:val="1"/>
                <w:bCs w:val="1"/>
                <w:color w:val="auto"/>
                <w:w w:val="93"/>
              </w:rPr>
              <w:t>(858) 373-1500</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40" w:type="dxa"/>
            <w:vAlign w:val="bottom"/>
            <w:gridSpan w:val="5"/>
          </w:tcPr>
          <w:p>
            <w:pPr>
              <w:jc w:val="center"/>
              <w:ind w:left="1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w w:val="85"/>
              </w:rPr>
              <w:t>Title of Each Class</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auto"/>
                <w:w w:val="88"/>
              </w:rPr>
              <w:t>Trading Symbol</w:t>
            </w:r>
          </w:p>
        </w:tc>
        <w:tc>
          <w:tcPr>
            <w:tcW w:w="300" w:type="dxa"/>
            <w:vAlign w:val="bottom"/>
          </w:tcPr>
          <w:p>
            <w:pPr>
              <w:spacing w:after="0"/>
              <w:rPr>
                <w:sz w:val="13"/>
                <w:szCs w:val="13"/>
                <w:color w:val="auto"/>
              </w:rPr>
            </w:pPr>
          </w:p>
        </w:tc>
        <w:tc>
          <w:tcPr>
            <w:tcW w:w="2240" w:type="dxa"/>
            <w:vAlign w:val="bottom"/>
            <w:gridSpan w:val="3"/>
          </w:tcPr>
          <w:p>
            <w:pPr>
              <w:jc w:val="center"/>
              <w:ind w:left="54"/>
              <w:spacing w:after="0"/>
              <w:rPr>
                <w:sz w:val="20"/>
                <w:szCs w:val="20"/>
                <w:color w:val="auto"/>
              </w:rPr>
            </w:pPr>
            <w:r>
              <w:rPr>
                <w:rFonts w:ascii="Arial" w:cs="Arial" w:eastAsia="Arial" w:hAnsi="Arial"/>
                <w:sz w:val="11"/>
                <w:szCs w:val="11"/>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rPr>
                <w:sz w:val="20"/>
                <w:szCs w:val="20"/>
                <w:color w:val="auto"/>
              </w:rPr>
            </w:pPr>
            <w:r>
              <w:rPr>
                <w:rFonts w:ascii="Arial" w:cs="Arial" w:eastAsia="Arial" w:hAnsi="Arial"/>
                <w:sz w:val="14"/>
                <w:szCs w:val="14"/>
                <w:color w:val="auto"/>
                <w:w w:val="85"/>
              </w:rPr>
              <w:t>0.001 per share</w:t>
            </w: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MNOV</w:t>
            </w:r>
          </w:p>
        </w:tc>
        <w:tc>
          <w:tcPr>
            <w:tcW w:w="1400" w:type="dxa"/>
            <w:vAlign w:val="bottom"/>
            <w:gridSpan w:val="2"/>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200" w:type="dxa"/>
            <w:vAlign w:val="bottom"/>
            <w:gridSpan w:val="2"/>
          </w:tcPr>
          <w:p>
            <w:pPr>
              <w:ind w:left="520"/>
              <w:spacing w:after="0"/>
              <w:rPr>
                <w:sz w:val="20"/>
                <w:szCs w:val="20"/>
                <w:color w:val="auto"/>
              </w:rPr>
            </w:pPr>
            <w:r>
              <w:rPr>
                <w:rFonts w:ascii="Arial" w:cs="Arial" w:eastAsia="Arial" w:hAnsi="Arial"/>
                <w:sz w:val="14"/>
                <w:szCs w:val="14"/>
                <w:color w:val="auto"/>
                <w:w w:val="96"/>
              </w:rPr>
              <w:t>Common Stock, par value $</w:t>
            </w:r>
          </w:p>
        </w:tc>
        <w:tc>
          <w:tcPr>
            <w:tcW w:w="8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40" w:type="dxa"/>
            <w:vAlign w:val="bottom"/>
            <w:gridSpan w:val="6"/>
          </w:tcPr>
          <w:p>
            <w:pPr>
              <w:jc w:val="center"/>
              <w:ind w:right="28"/>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gridSpan w:val="2"/>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202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80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gridSpan w:val="2"/>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00" w:type="dxa"/>
            <w:vAlign w:val="bottom"/>
            <w:gridSpan w:val="8"/>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No</w:t>
            </w:r>
          </w:p>
        </w:tc>
        <w:tc>
          <w:tcPr>
            <w:tcW w:w="20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460" w:firstLine="58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firstLine="58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8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4" w:lineRule="exact"/>
        <w:rPr>
          <w:sz w:val="24"/>
          <w:szCs w:val="24"/>
          <w:color w:val="auto"/>
        </w:rPr>
      </w:pPr>
    </w:p>
    <w:p>
      <w:pPr>
        <w:ind w:right="640" w:firstLine="58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00" w:firstLine="589"/>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88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380" w:firstLine="589"/>
        <w:spacing w:after="0" w:line="23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$227,193,094 based on the closing price of the registrant’s common stock on the NASDAQ Global Market of $5.42 per share on June 30, 2020. Shares of common stock held by each executive officer and director and each affiliated entity has been excluded from this calculation. This determination of affiliate status may not be conclusive for other purposes.</w:t>
      </w:r>
    </w:p>
    <w:p>
      <w:pPr>
        <w:ind w:left="600"/>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February 16, 2021 was 48,680,867.</w:t>
      </w:r>
    </w:p>
    <w:p>
      <w:pPr>
        <w:spacing w:after="0" w:line="125"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ind w:right="380" w:firstLine="589"/>
        <w:spacing w:after="0" w:line="253"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2021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9340" w:type="dxa"/>
            <w:vAlign w:val="bottom"/>
          </w:tcPr>
          <w:p>
            <w:pPr>
              <w:jc w:val="center"/>
              <w:ind w:right="30"/>
              <w:spacing w:after="0"/>
              <w:rPr>
                <w:sz w:val="20"/>
                <w:szCs w:val="20"/>
                <w:color w:val="auto"/>
              </w:rPr>
            </w:pPr>
            <w:r>
              <w:rPr>
                <w:rFonts w:ascii="Arial" w:cs="Arial" w:eastAsia="Arial" w:hAnsi="Arial"/>
                <w:sz w:val="18"/>
                <w:szCs w:val="18"/>
                <w:b w:val="1"/>
                <w:bCs w:val="1"/>
                <w:color w:val="auto"/>
              </w:rPr>
              <w:t>MEDICINOVA, INC.</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9340" w:type="dxa"/>
            <w:vAlign w:val="bottom"/>
          </w:tcPr>
          <w:p>
            <w:pPr>
              <w:jc w:val="center"/>
              <w:ind w:right="50"/>
              <w:spacing w:after="0"/>
              <w:rPr>
                <w:sz w:val="20"/>
                <w:szCs w:val="20"/>
                <w:color w:val="auto"/>
              </w:rPr>
            </w:pPr>
            <w:r>
              <w:rPr>
                <w:rFonts w:ascii="Arial" w:cs="Arial" w:eastAsia="Arial" w:hAnsi="Arial"/>
                <w:sz w:val="18"/>
                <w:szCs w:val="18"/>
                <w:b w:val="1"/>
                <w:bCs w:val="1"/>
                <w:color w:val="auto"/>
              </w:rPr>
              <w:t>FORM 10-K—ANNUAL REPORT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93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For the Fiscal Year Ended December 31, 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9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20" w:type="dxa"/>
            <w:vAlign w:val="bottom"/>
            <w:vMerge w:val="continue"/>
          </w:tcPr>
          <w:p>
            <w:pPr>
              <w:spacing w:after="0"/>
              <w:rPr>
                <w:sz w:val="16"/>
                <w:szCs w:val="16"/>
                <w:color w:val="auto"/>
              </w:rPr>
            </w:pPr>
          </w:p>
        </w:tc>
        <w:tc>
          <w:tcPr>
            <w:tcW w:w="9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780" w:type="dxa"/>
            <w:vAlign w:val="bottom"/>
          </w:tcPr>
          <w:p>
            <w:pPr>
              <w:jc w:val="center"/>
              <w:ind w:left="51"/>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340" w:type="dxa"/>
            <w:vAlign w:val="bottom"/>
          </w:tcPr>
          <w:p>
            <w:pPr>
              <w:ind w:left="1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9340" w:type="dxa"/>
            <w:vAlign w:val="bottom"/>
          </w:tcPr>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Unresolved Staff Comments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tcPr>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Properties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340" w:type="dxa"/>
            <w:vAlign w:val="bottom"/>
          </w:tcPr>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Legal Proceedings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340" w:type="dxa"/>
            <w:vAlign w:val="bottom"/>
          </w:tcPr>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Mine Safety Disclosures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340" w:type="dxa"/>
            <w:vAlign w:val="bottom"/>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340" w:type="dxa"/>
            <w:vAlign w:val="bottom"/>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Selected Financial Data</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340" w:type="dxa"/>
            <w:vAlign w:val="bottom"/>
          </w:tcPr>
          <w:p>
            <w:pPr>
              <w:ind w:left="1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934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934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Financial Statements and Supplementary Data</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9340" w:type="dxa"/>
            <w:vAlign w:val="bottom"/>
          </w:tcPr>
          <w:p>
            <w:pPr>
              <w:ind w:left="1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9340" w:type="dxa"/>
            <w:vAlign w:val="bottom"/>
          </w:tcPr>
          <w:p>
            <w:pPr>
              <w:ind w:left="1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Controls and Procedures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9340" w:type="dxa"/>
            <w:vAlign w:val="bottom"/>
          </w:tcPr>
          <w:p>
            <w:pPr>
              <w:ind w:left="18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Other Information</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9340" w:type="dxa"/>
            <w:vAlign w:val="bottom"/>
          </w:tcPr>
          <w:p>
            <w:pPr>
              <w:ind w:left="1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9340" w:type="dxa"/>
            <w:vAlign w:val="bottom"/>
          </w:tcPr>
          <w:p>
            <w:pPr>
              <w:ind w:left="1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Executive Compensation</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9340" w:type="dxa"/>
            <w:vAlign w:val="bottom"/>
          </w:tcPr>
          <w:p>
            <w:pPr>
              <w:ind w:left="1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9340" w:type="dxa"/>
            <w:vAlign w:val="bottom"/>
          </w:tcPr>
          <w:p>
            <w:pPr>
              <w:ind w:left="1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9340" w:type="dxa"/>
            <w:vAlign w:val="bottom"/>
          </w:tcPr>
          <w:p>
            <w:pPr>
              <w:ind w:left="18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Principal Accountant Fees and Services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340" w:type="dxa"/>
            <w:vAlign w:val="bottom"/>
          </w:tcPr>
          <w:p>
            <w:pPr>
              <w:ind w:left="1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Exhibits and Financial Statement Schedules</w:t>
              </w:r>
            </w:hyperlink>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338"/>
        </w:trPr>
        <w:tc>
          <w:tcPr>
            <w:tcW w:w="1020" w:type="dxa"/>
            <w:vAlign w:val="bottom"/>
          </w:tcPr>
          <w:p>
            <w:pPr>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Signatures</w:t>
              </w:r>
            </w:hyperlink>
          </w:p>
        </w:tc>
        <w:tc>
          <w:tcPr>
            <w:tcW w:w="9340" w:type="dxa"/>
            <w:vAlign w:val="bottom"/>
          </w:tcPr>
          <w:p>
            <w:pPr>
              <w:spacing w:after="0"/>
              <w:rPr>
                <w:sz w:val="24"/>
                <w:szCs w:val="24"/>
                <w:color w:val="auto"/>
              </w:rPr>
            </w:pPr>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ind w:firstLine="819"/>
        <w:spacing w:after="0" w:line="255" w:lineRule="auto"/>
        <w:rPr>
          <w:sz w:val="20"/>
          <w:szCs w:val="20"/>
          <w:color w:val="auto"/>
        </w:rPr>
      </w:pPr>
      <w:r>
        <w:rPr>
          <w:rFonts w:ascii="Arial" w:cs="Arial" w:eastAsia="Arial" w:hAnsi="Arial"/>
          <w:sz w:val="18"/>
          <w:szCs w:val="18"/>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219" w:lineRule="exact"/>
        <w:rPr>
          <w:sz w:val="20"/>
          <w:szCs w:val="20"/>
          <w:color w:val="auto"/>
        </w:rPr>
      </w:pPr>
    </w:p>
    <w:p>
      <w:pPr>
        <w:jc w:val="both"/>
        <w:ind w:firstLine="819"/>
        <w:spacing w:after="0" w:line="272" w:lineRule="auto"/>
        <w:rPr>
          <w:sz w:val="20"/>
          <w:szCs w:val="20"/>
          <w:color w:val="auto"/>
        </w:rPr>
      </w:pPr>
      <w:r>
        <w:rPr>
          <w:rFonts w:ascii="Arial" w:cs="Arial" w:eastAsia="Arial" w:hAnsi="Arial"/>
          <w:sz w:val="17"/>
          <w:szCs w:val="17"/>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FDA or foreign regulatory approval for our product candidates in a timely manner;</w:t>
      </w:r>
    </w:p>
    <w:p>
      <w:pPr>
        <w:spacing w:after="0" w:line="62"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or any other public health crisis, could adversely affect our business, results of operations and financial condition;</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requires otherwise, references in this Annual Report on Form 10-K to “MediciNova,” “we,” “us” and “our” refer to MediciNova,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660"/>
        <w:spacing w:after="0" w:line="254" w:lineRule="auto"/>
        <w:rPr>
          <w:sz w:val="20"/>
          <w:szCs w:val="20"/>
          <w:color w:val="auto"/>
        </w:rPr>
      </w:pPr>
      <w:r>
        <w:rPr>
          <w:rFonts w:ascii="Arial" w:cs="Arial" w:eastAsia="Arial" w:hAnsi="Arial"/>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MN-166 (ibudilast) is in development for several different neurological diseases and other diseases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Progressive Multiple Sclerosis:</w:t>
      </w:r>
    </w:p>
    <w:p>
      <w:pPr>
        <w:spacing w:after="0" w:line="171" w:lineRule="exact"/>
        <w:rPr>
          <w:sz w:val="20"/>
          <w:szCs w:val="20"/>
          <w:color w:val="auto"/>
        </w:rPr>
      </w:pPr>
    </w:p>
    <w:p>
      <w:pPr>
        <w:jc w:val="both"/>
        <w:ind w:right="520" w:firstLine="632"/>
        <w:spacing w:after="0" w:line="263" w:lineRule="auto"/>
        <w:rPr>
          <w:sz w:val="20"/>
          <w:szCs w:val="20"/>
          <w:color w:val="auto"/>
        </w:rPr>
      </w:pPr>
      <w:r>
        <w:rPr>
          <w:rFonts w:ascii="Arial" w:cs="Arial" w:eastAsia="Arial" w:hAnsi="Arial"/>
          <w:sz w:val="18"/>
          <w:szCs w:val="18"/>
          <w:color w:val="auto"/>
        </w:rPr>
        <w:t>We completed a Phase 2b clinical trial of MN-166 (ibudilast) for the treatment of relapsing multiple sclerosis (MS), in which positive safety and neuroprotective efficacy indicators were observed. The data from this trial indicated that MN-166 (ibudilast) may have potential in the treatment of progressive MS.</w:t>
      </w:r>
    </w:p>
    <w:p>
      <w:pPr>
        <w:spacing w:after="0" w:line="89" w:lineRule="exact"/>
        <w:rPr>
          <w:sz w:val="20"/>
          <w:szCs w:val="20"/>
          <w:color w:val="auto"/>
        </w:rPr>
      </w:pPr>
    </w:p>
    <w:p>
      <w:pPr>
        <w:ind w:firstLine="660"/>
        <w:spacing w:after="0" w:line="267" w:lineRule="auto"/>
        <w:rPr>
          <w:sz w:val="20"/>
          <w:szCs w:val="20"/>
          <w:color w:val="auto"/>
        </w:rPr>
      </w:pPr>
      <w:r>
        <w:rPr>
          <w:rFonts w:ascii="Arial" w:cs="Arial" w:eastAsia="Arial" w:hAnsi="Arial"/>
          <w:sz w:val="17"/>
          <w:szCs w:val="17"/>
          <w:color w:val="auto"/>
        </w:rPr>
        <w:t xml:space="preserve">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which showed that the trends for reduction in the risk of confirmed disability progression were highest for the subgroup of subjects with Secondary Progressive MS without Relapse, in which MN-166 (ibudilast) demonstrated a 46% risk reduction compared to placebo. Additional data from the completed SPRINT-MS Phase 2b trial of MN-166 (ibudilast) in progressive MS was presented in May 2019 at the American Academy of Neurology (AAN) 71st Annual Meeting in Philadelphia, Pennsylvania. In November 2020, we announced that positive Optical Coherence Tomography (OCT) results from the SPRINT-MS Phase 2b trial of MN-166 (ibudilast) in progressive MS were published in </w:t>
      </w:r>
      <w:r>
        <w:rPr>
          <w:rFonts w:ascii="Arial" w:cs="Arial" w:eastAsia="Arial" w:hAnsi="Arial"/>
          <w:sz w:val="17"/>
          <w:szCs w:val="17"/>
          <w:i w:val="1"/>
          <w:iCs w:val="1"/>
          <w:color w:val="auto"/>
        </w:rPr>
        <w:t>Multiple Sclerosis Journal</w:t>
      </w:r>
      <w:r>
        <w:rPr>
          <w:rFonts w:ascii="Arial" w:cs="Arial" w:eastAsia="Arial" w:hAnsi="Arial"/>
          <w:sz w:val="17"/>
          <w:szCs w:val="17"/>
          <w:color w:val="auto"/>
        </w:rPr>
        <w:t>.</w:t>
      </w:r>
    </w:p>
    <w:p>
      <w:pPr>
        <w:spacing w:after="0" w:line="97" w:lineRule="exact"/>
        <w:rPr>
          <w:sz w:val="20"/>
          <w:szCs w:val="20"/>
          <w:color w:val="auto"/>
        </w:rPr>
      </w:pPr>
    </w:p>
    <w:p>
      <w:pPr>
        <w:ind w:right="580" w:firstLine="632"/>
        <w:spacing w:after="0" w:line="277" w:lineRule="auto"/>
        <w:rPr>
          <w:sz w:val="20"/>
          <w:szCs w:val="20"/>
          <w:color w:val="auto"/>
        </w:rPr>
      </w:pPr>
      <w:r>
        <w:rPr>
          <w:rFonts w:ascii="Arial" w:cs="Arial" w:eastAsia="Arial" w:hAnsi="Arial"/>
          <w:sz w:val="18"/>
          <w:szCs w:val="18"/>
          <w:color w:val="auto"/>
        </w:rPr>
        <w:t>The United States Food and Drug Administration (FDA) has granted Fast Track designation for the development of MN-166 (ibudilast) for the treatment of patients with progressive 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Amyotrophic Lateral Sclerosis (ALS):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right="100" w:firstLine="656"/>
        <w:spacing w:after="0" w:line="288" w:lineRule="auto"/>
        <w:rPr>
          <w:sz w:val="20"/>
          <w:szCs w:val="20"/>
          <w:color w:val="auto"/>
        </w:rPr>
      </w:pPr>
      <w:r>
        <w:rPr>
          <w:rFonts w:ascii="Arial" w:cs="Arial" w:eastAsia="Arial" w:hAnsi="Arial"/>
          <w:sz w:val="16"/>
          <w:szCs w:val="16"/>
          <w:color w:val="auto"/>
        </w:rPr>
        <w:t>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Amyotrophic Lateral Sclerosis Functional Rating Scale-Revised (ALSFRS-R) total score, a measure of functional activity, in the MN-166 (ibudilast) group compared to the placebo group. In September 2018, we received feedback from the FDA regarding our clinical development plan for MN-166 (ibudilast) in ALS. In January 2019, we received a Notice of Allowance from the U.S. Patent and Trademark Office for a new patent which covers the combination of MN-166 (ibudilast) and riluzole for the treatment of ALS and other neurodegenerative diseases. In April 2019, we announced that the FDA completed its review of the protocol and determined that we may proceed with a Phase 2b/3 clinical trial of MN-166 (ibudilast) in ALS. In June 2019, we announced a kick-off meeting for the Phase 2b/3 clinical trial of MN-166 (ibudilast) in ALS. In December 2019, we announced that additional analyses of the completed clinical trial of MN-166 (ibudilast) in ALS was presented at the 30th International Symposium on ALS/MND (amyotrophic lateral sclerosis/motor neurone disease) in Perth, Australia.</w:t>
      </w:r>
    </w:p>
    <w:p>
      <w:pPr>
        <w:spacing w:after="0" w:line="87" w:lineRule="exact"/>
        <w:rPr>
          <w:sz w:val="20"/>
          <w:szCs w:val="20"/>
          <w:color w:val="auto"/>
        </w:rPr>
      </w:pPr>
    </w:p>
    <w:p>
      <w:pPr>
        <w:jc w:val="both"/>
        <w:ind w:firstLine="660"/>
        <w:spacing w:after="0" w:line="263" w:lineRule="auto"/>
        <w:rPr>
          <w:sz w:val="20"/>
          <w:szCs w:val="20"/>
          <w:color w:val="auto"/>
        </w:rPr>
      </w:pPr>
      <w:r>
        <w:rPr>
          <w:rFonts w:ascii="Arial" w:cs="Arial" w:eastAsia="Arial" w:hAnsi="Arial"/>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Substance Dependence and Addiction:</w:t>
      </w:r>
    </w:p>
    <w:p>
      <w:pPr>
        <w:spacing w:after="0" w:line="171" w:lineRule="exact"/>
        <w:rPr>
          <w:sz w:val="20"/>
          <w:szCs w:val="20"/>
          <w:color w:val="auto"/>
        </w:rPr>
      </w:pPr>
    </w:p>
    <w:p>
      <w:pPr>
        <w:ind w:firstLine="660"/>
        <w:spacing w:after="0" w:line="275" w:lineRule="auto"/>
        <w:rPr>
          <w:sz w:val="20"/>
          <w:szCs w:val="20"/>
          <w:color w:val="auto"/>
        </w:rPr>
      </w:pPr>
      <w:r>
        <w:rPr>
          <w:rFonts w:ascii="Arial" w:cs="Arial" w:eastAsia="Arial" w:hAnsi="Arial"/>
          <w:sz w:val="17"/>
          <w:szCs w:val="17"/>
          <w:color w:val="auto"/>
        </w:rPr>
        <w:t>In the area of addiction, the National Institute on Drug Abuse (NIDA) funded a Phase 2 clinical trial of MN-166 (ibudilast) for the treatment of methamphetamine addiction. In collaboration with the University of California, Los Angeles (UCLA), this clinical trial commenced in 2013 and enrollment was completed in September 2017.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for evaluating MN-166 (ibudilast) in methamphetamine use disorder and this trial is ongoing.</w:t>
      </w:r>
    </w:p>
    <w:p>
      <w:pPr>
        <w:spacing w:after="0" w:line="82" w:lineRule="exact"/>
        <w:rPr>
          <w:sz w:val="20"/>
          <w:szCs w:val="20"/>
          <w:color w:val="auto"/>
        </w:rPr>
      </w:pPr>
    </w:p>
    <w:p>
      <w:pPr>
        <w:jc w:val="both"/>
        <w:ind w:right="100" w:firstLine="655"/>
        <w:spacing w:after="0" w:line="257" w:lineRule="auto"/>
        <w:rPr>
          <w:sz w:val="20"/>
          <w:szCs w:val="20"/>
          <w:color w:val="auto"/>
        </w:rPr>
      </w:pPr>
      <w:r>
        <w:rPr>
          <w:rFonts w:ascii="Arial" w:cs="Arial" w:eastAsia="Arial" w:hAnsi="Arial"/>
          <w:sz w:val="18"/>
          <w:szCs w:val="18"/>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w:t>
      </w:r>
    </w:p>
    <w:p>
      <w:pPr>
        <w:spacing w:after="0" w:line="93" w:lineRule="exact"/>
        <w:rPr>
          <w:sz w:val="20"/>
          <w:szCs w:val="20"/>
          <w:color w:val="auto"/>
        </w:rPr>
      </w:pPr>
    </w:p>
    <w:p>
      <w:pPr>
        <w:ind w:right="300" w:firstLine="655"/>
        <w:spacing w:after="0" w:line="291" w:lineRule="auto"/>
        <w:rPr>
          <w:sz w:val="20"/>
          <w:szCs w:val="20"/>
          <w:color w:val="auto"/>
        </w:rPr>
      </w:pPr>
      <w:r>
        <w:rPr>
          <w:rFonts w:ascii="Arial" w:cs="Arial" w:eastAsia="Arial" w:hAnsi="Arial"/>
          <w:sz w:val="16"/>
          <w:szCs w:val="16"/>
          <w:color w:val="auto"/>
        </w:rPr>
        <w:t>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 In May 2018, we announced a new NIDA-funded clinical trial of MN-166 (ibudilast) in alcohol dependence and withdrawal in collaboration with researchers at UCLA. This clinical trial has been completed and positive findings were presented at the American Psychological Association 2020 Annual Convention which was held online in August 2020. In August 2018, we announced a new NIAAA-funded Phase 2b clinical trial of MN-166 (ibudilast) which will evaluate heavy drinking days in subjects with alcohol dependence in collaboration with researchers at UCLA and this trial is ongoing.</w:t>
      </w:r>
    </w:p>
    <w:p>
      <w:pPr>
        <w:spacing w:after="0" w:line="72" w:lineRule="exact"/>
        <w:rPr>
          <w:sz w:val="20"/>
          <w:szCs w:val="20"/>
          <w:color w:val="auto"/>
        </w:rPr>
      </w:pPr>
    </w:p>
    <w:p>
      <w:pPr>
        <w:ind w:right="860" w:firstLine="625"/>
        <w:spacing w:after="0" w:line="259" w:lineRule="auto"/>
        <w:rPr>
          <w:sz w:val="20"/>
          <w:szCs w:val="20"/>
          <w:color w:val="auto"/>
        </w:rPr>
      </w:pPr>
      <w:r>
        <w:rPr>
          <w:rFonts w:ascii="Arial" w:cs="Arial" w:eastAsia="Arial" w:hAnsi="Arial"/>
          <w:sz w:val="18"/>
          <w:szCs w:val="18"/>
          <w:i w:val="1"/>
          <w:iCs w:val="1"/>
          <w:color w:val="auto"/>
        </w:rPr>
        <w:t xml:space="preserve">Chemotherapy-Induced Peripheral Neuropathy: </w:t>
      </w:r>
      <w:r>
        <w:rPr>
          <w:rFonts w:ascii="Arial" w:cs="Arial" w:eastAsia="Arial" w:hAnsi="Arial"/>
          <w:sz w:val="18"/>
          <w:szCs w:val="18"/>
          <w:color w:val="auto"/>
        </w:rPr>
        <w:t>In March 2018, we announced plans to initiate a clinical trial to evaluate MN-166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(ibudilast) as a treatment for prevention of chemotherapy-induced peripheral neuropathy (CIPN) which was funded by the University of Sydney Concord Cancer Centre in Australia. In September 2020, we announced that positive clinical findings from this clinical trial were published in </w:t>
      </w:r>
      <w:r>
        <w:rPr>
          <w:rFonts w:ascii="Arial" w:cs="Arial" w:eastAsia="Arial" w:hAnsi="Arial"/>
          <w:sz w:val="18"/>
          <w:szCs w:val="18"/>
          <w:i w:val="1"/>
          <w:iCs w:val="1"/>
          <w:color w:val="auto"/>
        </w:rPr>
        <w:t>Cancer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right="660"/>
        <w:spacing w:after="0" w:line="308" w:lineRule="auto"/>
        <w:rPr>
          <w:sz w:val="20"/>
          <w:szCs w:val="20"/>
          <w:color w:val="auto"/>
        </w:rPr>
      </w:pPr>
      <w:r>
        <w:rPr>
          <w:rFonts w:ascii="Arial" w:cs="Arial" w:eastAsia="Arial" w:hAnsi="Arial"/>
          <w:sz w:val="17"/>
          <w:szCs w:val="17"/>
          <w:i w:val="1"/>
          <w:iCs w:val="1"/>
          <w:color w:val="auto"/>
        </w:rPr>
        <w:t>Chemotherapy and Pharmacology</w:t>
      </w:r>
      <w:r>
        <w:rPr>
          <w:rFonts w:ascii="Arial" w:cs="Arial" w:eastAsia="Arial" w:hAnsi="Arial"/>
          <w:sz w:val="17"/>
          <w:szCs w:val="17"/>
          <w:color w:val="auto"/>
        </w:rPr>
        <w:t>. In October 2020, we announced plans to initiate a multi-center, placebo-controlled, randomized Phase 2b trial</w:t>
      </w:r>
      <w:r>
        <w:rPr>
          <w:rFonts w:ascii="Arial" w:cs="Arial" w:eastAsia="Arial" w:hAnsi="Arial"/>
          <w:sz w:val="17"/>
          <w:szCs w:val="17"/>
          <w:i w:val="1"/>
          <w:iCs w:val="1"/>
          <w:color w:val="auto"/>
        </w:rPr>
        <w:t xml:space="preserve"> </w:t>
      </w:r>
      <w:r>
        <w:rPr>
          <w:rFonts w:ascii="Arial" w:cs="Arial" w:eastAsia="Arial" w:hAnsi="Arial"/>
          <w:sz w:val="17"/>
          <w:szCs w:val="17"/>
          <w:color w:val="auto"/>
        </w:rPr>
        <w:t>to evaluate MN-166 (ibudilast) in CIPN, which will be funded by the Australasian Gastro-Intestinal Trials Group (AGITG).</w:t>
      </w:r>
    </w:p>
    <w:p>
      <w:pPr>
        <w:spacing w:after="0" w:line="52" w:lineRule="exact"/>
        <w:rPr>
          <w:sz w:val="20"/>
          <w:szCs w:val="20"/>
          <w:color w:val="auto"/>
        </w:rPr>
      </w:pPr>
    </w:p>
    <w:p>
      <w:pPr>
        <w:ind w:right="440" w:firstLine="651"/>
        <w:spacing w:after="0" w:line="301" w:lineRule="auto"/>
        <w:rPr>
          <w:sz w:val="20"/>
          <w:szCs w:val="20"/>
          <w:color w:val="auto"/>
        </w:rPr>
      </w:pPr>
      <w:r>
        <w:rPr>
          <w:rFonts w:ascii="Arial" w:cs="Arial" w:eastAsia="Arial" w:hAnsi="Arial"/>
          <w:sz w:val="16"/>
          <w:szCs w:val="16"/>
          <w:i w:val="1"/>
          <w:iCs w:val="1"/>
          <w:color w:val="auto"/>
        </w:rPr>
        <w:t xml:space="preserve">Degenerative Cervical Myelopathy: </w:t>
      </w:r>
      <w:r>
        <w:rPr>
          <w:rFonts w:ascii="Arial" w:cs="Arial" w:eastAsia="Arial" w:hAnsi="Arial"/>
          <w:sz w:val="16"/>
          <w:szCs w:val="16"/>
          <w:color w:val="auto"/>
        </w:rPr>
        <w:t>In August 2018, we announced plans to initiate a clinical trial of MN-166 (ibudilast) in degenerative</w:t>
      </w:r>
      <w:r>
        <w:rPr>
          <w:rFonts w:ascii="Arial" w:cs="Arial" w:eastAsia="Arial" w:hAnsi="Arial"/>
          <w:sz w:val="16"/>
          <w:szCs w:val="16"/>
          <w:i w:val="1"/>
          <w:iCs w:val="1"/>
          <w:color w:val="auto"/>
        </w:rPr>
        <w:t xml:space="preserve"> </w:t>
      </w:r>
      <w:r>
        <w:rPr>
          <w:rFonts w:ascii="Arial" w:cs="Arial" w:eastAsia="Arial" w:hAnsi="Arial"/>
          <w:sz w:val="16"/>
          <w:szCs w:val="16"/>
          <w:color w:val="auto"/>
        </w:rPr>
        <w:t>cervical myelopathy (DCM) in collaboration with the University of Cambridge. The trial is funded by a grant from the National Institute for Health Research (NIHR) in the United Kingdom (UK). In May 2019, we announced our participation at the Kick-off Meeting for the Phase 3 clinical trial in DCM, “REgeneration in CErvical DEgenerative Myelopathy (RECEDE Myelopathy)” in collaboration with University of Cambridge researchers.</w:t>
      </w:r>
    </w:p>
    <w:p>
      <w:pPr>
        <w:spacing w:after="0" w:line="63" w:lineRule="exact"/>
        <w:rPr>
          <w:sz w:val="20"/>
          <w:szCs w:val="20"/>
          <w:color w:val="auto"/>
        </w:rPr>
      </w:pPr>
    </w:p>
    <w:p>
      <w:pPr>
        <w:ind w:firstLine="657"/>
        <w:spacing w:after="0" w:line="217" w:lineRule="exact"/>
        <w:rPr>
          <w:sz w:val="20"/>
          <w:szCs w:val="20"/>
          <w:color w:val="auto"/>
        </w:rPr>
      </w:pPr>
      <w:r>
        <w:rPr>
          <w:rFonts w:ascii="Arial" w:cs="Arial" w:eastAsia="Arial" w:hAnsi="Arial"/>
          <w:sz w:val="16"/>
          <w:szCs w:val="16"/>
          <w:i w:val="1"/>
          <w:iCs w:val="1"/>
          <w:color w:val="auto"/>
        </w:rPr>
        <w:t xml:space="preserve">Glioblastoma: </w:t>
      </w:r>
      <w:r>
        <w:rPr>
          <w:rFonts w:ascii="Arial" w:cs="Arial" w:eastAsia="Arial" w:hAnsi="Arial"/>
          <w:sz w:val="16"/>
          <w:szCs w:val="16"/>
          <w:color w:val="auto"/>
        </w:rPr>
        <w:t>We have initiated clinical development to evaluate MN-166 (ibudilast) for the treatment of glioblastoma. In June 2017, we</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positive results from an animal model study that examined the potential clinical efficacy of MN-166 (ibudilast) for the treatment of glioblastoma. These results were presented at the 2017 American Society of Clinical Oncology (ASCO) Annual Meeting. In May 2018, we announced that the Investigational New Drug Application (IND) for MN-166 (ibudilast) for treatment of glioblastoma was accepted and opened with the FDA.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6"/>
          <w:szCs w:val="16"/>
          <w:color w:val="auto"/>
        </w:rPr>
        <w:t>‑</w:t>
      </w:r>
      <w:r>
        <w:rPr>
          <w:rFonts w:ascii="Arial" w:cs="Arial" w:eastAsia="Arial" w:hAnsi="Arial"/>
          <w:sz w:val="16"/>
          <w:szCs w:val="16"/>
          <w:color w:val="auto"/>
        </w:rPr>
        <w:t xml:space="preserve">®) for the treatment of glioblastoma at the Dana-Farber Cancer Institute in Boston. In February 2019, we announced that </w:t>
      </w:r>
      <w:r>
        <w:rPr>
          <w:rFonts w:ascii="Arial" w:cs="Arial" w:eastAsia="Arial" w:hAnsi="Arial"/>
          <w:sz w:val="16"/>
          <w:szCs w:val="16"/>
          <w:i w:val="1"/>
          <w:iCs w:val="1"/>
          <w:color w:val="auto"/>
        </w:rPr>
        <w:t>Scientific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Reports </w:t>
      </w:r>
      <w:r>
        <w:rPr>
          <w:rFonts w:ascii="Arial" w:cs="Arial" w:eastAsia="Arial" w:hAnsi="Arial"/>
          <w:sz w:val="16"/>
          <w:szCs w:val="16"/>
          <w:color w:val="auto"/>
        </w:rPr>
        <w:t>published results from the animal model study evaluating MN-166 (ibudilast) in glioblastoma. In June 2020, we announced that positive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preclinical findings were published in </w:t>
      </w:r>
      <w:r>
        <w:rPr>
          <w:rFonts w:ascii="Arial" w:cs="Arial" w:eastAsia="Arial" w:hAnsi="Arial"/>
          <w:sz w:val="16"/>
          <w:szCs w:val="16"/>
          <w:i w:val="1"/>
          <w:iCs w:val="1"/>
          <w:color w:val="auto"/>
        </w:rPr>
        <w:t>Frontiers in Immunology</w:t>
      </w:r>
      <w:r>
        <w:rPr>
          <w:rFonts w:ascii="Arial" w:cs="Arial" w:eastAsia="Arial" w:hAnsi="Arial"/>
          <w:sz w:val="16"/>
          <w:szCs w:val="16"/>
          <w:color w:val="auto"/>
        </w:rPr>
        <w:t xml:space="preserve"> regarding the prospect of MN-166 (ibudilast) as an adjunctive treatment for glioblastoma.</w:t>
      </w:r>
    </w:p>
    <w:p>
      <w:pPr>
        <w:spacing w:after="0" w:line="207" w:lineRule="exact"/>
        <w:rPr>
          <w:sz w:val="20"/>
          <w:szCs w:val="20"/>
          <w:color w:val="auto"/>
        </w:rPr>
      </w:pPr>
    </w:p>
    <w:p>
      <w:pPr>
        <w:ind w:right="40" w:firstLine="657"/>
        <w:spacing w:after="0" w:line="275" w:lineRule="auto"/>
        <w:rPr>
          <w:sz w:val="20"/>
          <w:szCs w:val="20"/>
          <w:color w:val="auto"/>
        </w:rPr>
      </w:pPr>
      <w:r>
        <w:rPr>
          <w:rFonts w:ascii="Arial" w:cs="Arial" w:eastAsia="Arial" w:hAnsi="Arial"/>
          <w:sz w:val="17"/>
          <w:szCs w:val="17"/>
          <w:i w:val="1"/>
          <w:iCs w:val="1"/>
          <w:color w:val="auto"/>
        </w:rPr>
        <w:t xml:space="preserve">Prevention of Acute Respiratory Distress Syndrome in patients with COVID-19: </w:t>
      </w:r>
      <w:r>
        <w:rPr>
          <w:rFonts w:ascii="Arial" w:cs="Arial" w:eastAsia="Arial" w:hAnsi="Arial"/>
          <w:sz w:val="17"/>
          <w:szCs w:val="17"/>
          <w:color w:val="auto"/>
        </w:rPr>
        <w:t>In March 2020, we announced plans to initiate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MN-166 (ibudilast) for severe pneumonia and acute respiratory distress syndrome (ARDS) based on positive results of a preclinical study in an animal model of ARDS.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MN-001 (tipelukast) is in development for fibrotic diseases as described below.</w:t>
      </w:r>
    </w:p>
    <w:p>
      <w:pPr>
        <w:spacing w:after="0" w:line="171" w:lineRule="exact"/>
        <w:rPr>
          <w:sz w:val="20"/>
          <w:szCs w:val="20"/>
          <w:color w:val="auto"/>
        </w:rPr>
      </w:pPr>
    </w:p>
    <w:p>
      <w:pPr>
        <w:ind w:left="40" w:firstLine="624"/>
        <w:spacing w:after="0" w:line="270" w:lineRule="auto"/>
        <w:rPr>
          <w:sz w:val="20"/>
          <w:szCs w:val="20"/>
          <w:color w:val="auto"/>
        </w:rPr>
      </w:pPr>
      <w:r>
        <w:rPr>
          <w:rFonts w:ascii="Arial" w:cs="Arial" w:eastAsia="Arial" w:hAnsi="Arial"/>
          <w:sz w:val="17"/>
          <w:szCs w:val="17"/>
          <w:i w:val="1"/>
          <w:iCs w:val="1"/>
          <w:color w:val="auto"/>
        </w:rPr>
        <w:t xml:space="preserve">Nonalcoholic Steatohepatitis (NASH) and Nonalcoholic Fatty Liver Disease (NAFLD): </w:t>
      </w:r>
      <w:r>
        <w:rPr>
          <w:rFonts w:ascii="Arial" w:cs="Arial" w:eastAsia="Arial" w:hAnsi="Arial"/>
          <w:sz w:val="17"/>
          <w:szCs w:val="17"/>
          <w:color w:val="auto"/>
        </w:rPr>
        <w:t>We announced positive results of MN-001 (tipelukast) in</w:t>
      </w:r>
      <w:r>
        <w:rPr>
          <w:rFonts w:ascii="Arial" w:cs="Arial" w:eastAsia="Arial" w:hAnsi="Arial"/>
          <w:sz w:val="17"/>
          <w:szCs w:val="17"/>
          <w:i w:val="1"/>
          <w:iCs w:val="1"/>
          <w:color w:val="auto"/>
        </w:rPr>
        <w:t xml:space="preserve"> </w:t>
      </w:r>
      <w:r>
        <w:rPr>
          <w:rFonts w:ascii="Arial" w:cs="Arial" w:eastAsia="Arial" w:hAnsi="Arial"/>
          <w:sz w:val="17"/>
          <w:szCs w:val="17"/>
          <w:color w:val="auto"/>
        </w:rPr>
        <w:t>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 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w:t>
      </w:r>
    </w:p>
    <w:p>
      <w:pPr>
        <w:spacing w:after="0" w:line="100" w:lineRule="exact"/>
        <w:rPr>
          <w:sz w:val="20"/>
          <w:szCs w:val="20"/>
          <w:color w:val="auto"/>
        </w:rPr>
      </w:pPr>
    </w:p>
    <w:p>
      <w:pPr>
        <w:ind w:left="40" w:right="260" w:firstLine="625"/>
        <w:spacing w:after="0" w:line="263" w:lineRule="auto"/>
        <w:rPr>
          <w:sz w:val="20"/>
          <w:szCs w:val="20"/>
          <w:color w:val="auto"/>
        </w:rPr>
      </w:pPr>
      <w:r>
        <w:rPr>
          <w:rFonts w:ascii="Arial" w:cs="Arial" w:eastAsia="Arial" w:hAnsi="Arial"/>
          <w:sz w:val="18"/>
          <w:szCs w:val="18"/>
          <w:i w:val="1"/>
          <w:iCs w:val="1"/>
          <w:color w:val="auto"/>
        </w:rPr>
        <w:t xml:space="preserve">Idiopathic Pulmonary Fibrosis (IPF): </w:t>
      </w:r>
      <w:r>
        <w:rPr>
          <w:rFonts w:ascii="Arial" w:cs="Arial" w:eastAsia="Arial" w:hAnsi="Arial"/>
          <w:sz w:val="18"/>
          <w:szCs w:val="18"/>
          <w:color w:val="auto"/>
        </w:rPr>
        <w:t>In 2014, we announced positive results of MN-001 (tipelukast) in a mouse model of pulmonary fibrosis.</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subsequently granted Orphan-Drug designation to MN-001 (tipelukast) for treatment of IPF which will provide seven years of marketing exclusivity if MN-001 (tipelukast) is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ind w:left="40" w:right="400"/>
        <w:spacing w:after="0" w:line="277" w:lineRule="auto"/>
        <w:rPr>
          <w:sz w:val="20"/>
          <w:szCs w:val="20"/>
          <w:color w:val="auto"/>
        </w:rPr>
      </w:pPr>
      <w:r>
        <w:rPr>
          <w:rFonts w:ascii="Arial" w:cs="Arial" w:eastAsia="Arial" w:hAnsi="Arial"/>
          <w:sz w:val="18"/>
          <w:szCs w:val="18"/>
          <w:color w:val="auto"/>
        </w:rPr>
        <w:t>approved for IPF. The FDA granted Fast Track designation to MN-001 (tipelukast) for the treatment of patients with IPF in September 2015. We then initiated a Phase 2 clinical trial of MN-001 (tipelukast) to treat IPF and this trial is currently ongoing.</w:t>
      </w:r>
    </w:p>
    <w:p>
      <w:pPr>
        <w:spacing w:after="0" w:line="170" w:lineRule="exact"/>
        <w:rPr>
          <w:sz w:val="20"/>
          <w:szCs w:val="20"/>
          <w:color w:val="auto"/>
        </w:rPr>
      </w:pPr>
    </w:p>
    <w:p>
      <w:pPr>
        <w:ind w:firstLine="660"/>
        <w:spacing w:after="0" w:line="255" w:lineRule="auto"/>
        <w:rPr>
          <w:sz w:val="20"/>
          <w:szCs w:val="20"/>
          <w:color w:val="auto"/>
        </w:rPr>
      </w:pPr>
      <w:r>
        <w:rPr>
          <w:rFonts w:ascii="Arial" w:cs="Arial" w:eastAsia="Arial" w:hAnsi="Arial"/>
          <w:sz w:val="18"/>
          <w:szCs w:val="18"/>
          <w:color w:val="auto"/>
        </w:rPr>
        <w:t>We completed a Phase 2 clinical trial of MN-221 (bedoradrine) for the treatment of acute exacerbations of asthma treated in the emergency room and conducted an End-of-Phase 2 meeting with the FDA in October 2012. In that meeting, the FDA identified the risk/benefit profile of MN-221 (bedoradrine) as a focal point for further development and advised that a clinical outcome, such as a reduction in hospitalizations, would need to be a primary endpoint in a pivotal trial. We believe the appropriate clinical development for MN-221 (bedoradrine) would involve conducting dose regimen and acute exacerbations of asthma trial design optimization studies prior to commencing pivotal trials. We are working to identify a partner for financial support before further clinical development is commenced.</w:t>
      </w:r>
    </w:p>
    <w:p>
      <w:pPr>
        <w:spacing w:after="0" w:line="98" w:lineRule="exact"/>
        <w:rPr>
          <w:sz w:val="20"/>
          <w:szCs w:val="20"/>
          <w:color w:val="auto"/>
        </w:rPr>
      </w:pPr>
    </w:p>
    <w:p>
      <w:pPr>
        <w:ind w:right="140" w:firstLine="653"/>
        <w:spacing w:after="0" w:line="259" w:lineRule="auto"/>
        <w:rPr>
          <w:sz w:val="20"/>
          <w:szCs w:val="20"/>
          <w:color w:val="auto"/>
        </w:rPr>
      </w:pPr>
      <w:r>
        <w:rPr>
          <w:rFonts w:ascii="Arial" w:cs="Arial" w:eastAsia="Arial" w:hAnsi="Arial"/>
          <w:sz w:val="18"/>
          <w:szCs w:val="18"/>
          <w:color w:val="auto"/>
        </w:rPr>
        <w:t>We have acquired licenses to MN-166 (ibudilast), MN-001 (tipelukast), MN-221 (bedoradrine), and MN-029 (denibulin) for the development of these product candidates. We have pursued development of these product candidates in various indications including COVID-19, progressive MS, ALS, chemotherapy-induced peripheral neuropathy, degenerative cervical myelopathy, glioblastoma, various addictions, NASH and NAFLD, IPF, acute exacerbations of asthma, and solid tumor cancers.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420" w:firstLine="629"/>
        <w:spacing w:after="0" w:line="274"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ind w:left="1500" w:hanging="426"/>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trials of MN-166 (ibudilast) that enrolled ALS patients. We intend to pursue additional strategic alliances to help support further clinical development of MN-166 (ibudilast).</w:t>
      </w:r>
    </w:p>
    <w:p>
      <w:pPr>
        <w:spacing w:after="0" w:line="192" w:lineRule="exact"/>
        <w:rPr>
          <w:sz w:val="20"/>
          <w:szCs w:val="20"/>
          <w:color w:val="auto"/>
        </w:rPr>
      </w:pPr>
    </w:p>
    <w:p>
      <w:pPr>
        <w:ind w:left="1500" w:hanging="426"/>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170" w:lineRule="exact"/>
        <w:rPr>
          <w:sz w:val="20"/>
          <w:szCs w:val="20"/>
          <w:color w:val="auto"/>
        </w:rPr>
      </w:pPr>
    </w:p>
    <w:p>
      <w:pPr>
        <w:ind w:left="1500" w:right="820" w:hanging="426"/>
        <w:spacing w:after="0" w:line="277"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ind w:firstLine="646"/>
        <w:spacing w:after="0" w:line="263"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49" w:lineRule="exact"/>
        <w:rPr>
          <w:sz w:val="20"/>
          <w:szCs w:val="20"/>
          <w:color w:val="auto"/>
        </w:rPr>
      </w:pPr>
    </w:p>
    <w:p>
      <w:pPr>
        <w:ind w:right="260" w:firstLine="643"/>
        <w:spacing w:after="0" w:line="311"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have been developed by the licensors outside of the United States. We utilize the existing data in preparing IND Applications or their foreign equivalents, and in designing and implementing additional preclinical or clinical trials to advance the development programs in the United States or abroad.</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71" w:lineRule="exact"/>
        <w:rPr>
          <w:sz w:val="20"/>
          <w:szCs w:val="20"/>
          <w:color w:val="auto"/>
        </w:rPr>
      </w:pPr>
    </w:p>
    <w:p>
      <w:pPr>
        <w:ind w:right="180" w:firstLine="643"/>
        <w:spacing w:after="0" w:line="296" w:lineRule="auto"/>
        <w:rPr>
          <w:sz w:val="20"/>
          <w:szCs w:val="20"/>
          <w:color w:val="auto"/>
        </w:rPr>
      </w:pPr>
      <w:r>
        <w:rPr>
          <w:rFonts w:ascii="Arial" w:cs="Arial" w:eastAsia="Arial" w:hAnsi="Arial"/>
          <w:sz w:val="16"/>
          <w:szCs w:val="16"/>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progressive MS, ALS, chemotherapy-induced peripheral neuropathy, degenerative cervical myelopathy, glioblastoma, and substance dependence. We licensed MN-166 (ibudilast) from Kyorin Pharmaceuticals (Kyorin) in 2004.</w:t>
      </w:r>
    </w:p>
    <w:p>
      <w:pPr>
        <w:spacing w:after="0" w:line="67" w:lineRule="exact"/>
        <w:rPr>
          <w:sz w:val="20"/>
          <w:szCs w:val="20"/>
          <w:color w:val="auto"/>
        </w:rPr>
      </w:pPr>
    </w:p>
    <w:p>
      <w:pPr>
        <w:ind w:right="60" w:firstLine="643"/>
        <w:spacing w:after="0" w:line="255" w:lineRule="auto"/>
        <w:rPr>
          <w:sz w:val="20"/>
          <w:szCs w:val="20"/>
          <w:color w:val="auto"/>
        </w:rPr>
      </w:pPr>
      <w:r>
        <w:rPr>
          <w:rFonts w:ascii="Arial" w:cs="Arial" w:eastAsia="Arial" w:hAnsi="Arial"/>
          <w:sz w:val="18"/>
          <w:szCs w:val="18"/>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98" w:lineRule="exact"/>
        <w:rPr>
          <w:sz w:val="20"/>
          <w:szCs w:val="20"/>
          <w:color w:val="auto"/>
        </w:rPr>
      </w:pPr>
    </w:p>
    <w:p>
      <w:pPr>
        <w:ind w:right="280" w:firstLine="633"/>
        <w:spacing w:after="0" w:line="301" w:lineRule="auto"/>
        <w:rPr>
          <w:sz w:val="20"/>
          <w:szCs w:val="20"/>
          <w:color w:val="auto"/>
        </w:rPr>
      </w:pPr>
      <w:r>
        <w:rPr>
          <w:rFonts w:ascii="Arial" w:cs="Arial" w:eastAsia="Arial" w:hAnsi="Arial"/>
          <w:sz w:val="16"/>
          <w:szCs w:val="16"/>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ten years of marketing exclusivity if it is approved for ALS in Europe. The FDA has also granted Orphan-Drug designation to MN-166 (ibudilast) as adjunctive therapy to temozolomide for the treatment of glioblastoma.</w:t>
      </w:r>
    </w:p>
    <w:p>
      <w:pPr>
        <w:spacing w:after="0" w:line="157" w:lineRule="exact"/>
        <w:rPr>
          <w:sz w:val="20"/>
          <w:szCs w:val="20"/>
          <w:color w:val="auto"/>
        </w:rPr>
      </w:pPr>
    </w:p>
    <w:p>
      <w:pPr>
        <w:ind w:right="140" w:firstLine="637"/>
        <w:spacing w:after="0" w:line="259" w:lineRule="auto"/>
        <w:rPr>
          <w:sz w:val="20"/>
          <w:szCs w:val="20"/>
          <w:color w:val="auto"/>
        </w:rPr>
      </w:pPr>
      <w:r>
        <w:rPr>
          <w:rFonts w:ascii="Arial" w:cs="Arial" w:eastAsia="Arial" w:hAnsi="Arial"/>
          <w:sz w:val="18"/>
          <w:szCs w:val="18"/>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for the treatment of glioblastoma, for the treatment of drug addiction or dependence, and for the treatment of neuropathic pain.</w:t>
      </w:r>
    </w:p>
    <w:p>
      <w:pPr>
        <w:spacing w:after="0" w:line="92" w:lineRule="exact"/>
        <w:rPr>
          <w:sz w:val="20"/>
          <w:szCs w:val="20"/>
          <w:color w:val="auto"/>
        </w:rPr>
      </w:pPr>
    </w:p>
    <w:p>
      <w:pPr>
        <w:ind w:right="60" w:firstLine="644"/>
        <w:spacing w:after="0" w:line="254" w:lineRule="auto"/>
        <w:rPr>
          <w:sz w:val="20"/>
          <w:szCs w:val="20"/>
          <w:color w:val="auto"/>
        </w:rPr>
      </w:pPr>
      <w:r>
        <w:rPr>
          <w:rFonts w:ascii="Arial" w:cs="Arial" w:eastAsia="Arial" w:hAnsi="Arial"/>
          <w:sz w:val="18"/>
          <w:szCs w:val="18"/>
          <w:i w:val="1"/>
          <w:iCs w:val="1"/>
          <w:color w:val="auto"/>
        </w:rPr>
        <w:t xml:space="preserve">Progressive Multiple Sclerosis: </w:t>
      </w:r>
      <w:r>
        <w:rPr>
          <w:rFonts w:ascii="Arial" w:cs="Arial" w:eastAsia="Arial" w:hAnsi="Arial"/>
          <w:sz w:val="18"/>
          <w:szCs w:val="18"/>
          <w:color w:val="auto"/>
        </w:rPr>
        <w:t>MS is a complex disease with predominantly unknown etiology and affects approximately 2.3 million people</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according to the National Multiple Sclerosis Society, or NMSS. Also, according to NMSS, approximately 85 percent of people with MS are initially diagnosed with relapsing-remitting MS, or RRMS, and some people who are initially diagnosed with RRMS will eventually transition to secondary progressive MS, or SPMS. About 15 percent of people with MS are diagnosed with primary progressive MS, or PPMS. There is only one approved drug for PPMS and it is administered by intravenous infusion. Although several drugs have been approved for SPMS with relapses, there are no approved drugs generally considered safe and efficacious for SPMS in the absence of relapses. There is a significant medical need for a safe, effective, and conveniently administered therapy for patients with PPMS and SPMS and the unmet medical need is highest in patients with SPMS without relapses. MN-166 (ibudilast) may meet these needs.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 w:name="page10"/>
    <w:bookmarkEnd w:id="9"/>
    <w:p>
      <w:pPr>
        <w:ind w:firstLine="646"/>
        <w:spacing w:after="0" w:line="269" w:lineRule="auto"/>
        <w:rPr>
          <w:sz w:val="20"/>
          <w:szCs w:val="20"/>
          <w:color w:val="auto"/>
        </w:rPr>
      </w:pPr>
      <w:r>
        <w:rPr>
          <w:rFonts w:ascii="Arial" w:cs="Arial" w:eastAsia="Arial" w:hAnsi="Arial"/>
          <w:sz w:val="17"/>
          <w:szCs w:val="17"/>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w:t>
      </w:r>
    </w:p>
    <w:p>
      <w:pPr>
        <w:spacing w:after="0" w:line="182" w:lineRule="exact"/>
        <w:rPr>
          <w:sz w:val="20"/>
          <w:szCs w:val="20"/>
          <w:color w:val="auto"/>
        </w:rPr>
      </w:pPr>
    </w:p>
    <w:p>
      <w:pPr>
        <w:ind w:right="20" w:firstLine="646"/>
        <w:spacing w:after="0" w:line="269" w:lineRule="auto"/>
        <w:rPr>
          <w:sz w:val="20"/>
          <w:szCs w:val="20"/>
          <w:color w:val="auto"/>
        </w:rPr>
      </w:pPr>
      <w:r>
        <w:rPr>
          <w:rFonts w:ascii="Arial" w:cs="Arial" w:eastAsia="Arial" w:hAnsi="Arial"/>
          <w:sz w:val="17"/>
          <w:szCs w:val="17"/>
          <w:color w:val="auto"/>
        </w:rPr>
        <w:t xml:space="preserve">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The purpose of the subgroup analysis was to provide information about which types of progressive MS subjects responded best to MN-166 (ibudilast) treatment in terms of the clinically significant endpoint of the risk of confirmed disability progression compared to placebo, as measured by EDSS. The trends for reduction in the risk of confirmed disability progression were highest for the subgroup of subjects with Secondary Progressive MS without Relapse, in which MN-166 (ibudilast) demonstrated a 46% risk reduction compared to placebo as indicated by the hazard ratio of 0.538. Additional data from the completed SPRINT-MS Phase 2b trial of MN-166 (ibudilast) in progressive MS was presented in May 2019 at the American Academy of Neurology (AAN) 71st Annual Meeting in Philadelphia. In November 2020, we announced that positive Optical Coherence Tomography (OCT) results from the SPRINT-MS Phase 2b trial of MN-166 (ibudilast) in progressive MS were published in </w:t>
      </w:r>
      <w:r>
        <w:rPr>
          <w:rFonts w:ascii="Arial" w:cs="Arial" w:eastAsia="Arial" w:hAnsi="Arial"/>
          <w:sz w:val="17"/>
          <w:szCs w:val="17"/>
          <w:i w:val="1"/>
          <w:iCs w:val="1"/>
          <w:color w:val="auto"/>
        </w:rPr>
        <w:t>Multiple Sclerosis Journal</w:t>
      </w:r>
      <w:r>
        <w:rPr>
          <w:rFonts w:ascii="Arial" w:cs="Arial" w:eastAsia="Arial" w:hAnsi="Arial"/>
          <w:sz w:val="17"/>
          <w:szCs w:val="17"/>
          <w:color w:val="auto"/>
        </w:rPr>
        <w:t>. OCT measures included macular volume, pRNFL (peripapillary retinal nerve fiber layer) thickness, and ganglion cell-inner plexiform (GCIP) layer thickness. All of these OCT measures showed less loss of retinal tissue for MN-166 (ibudilast) compared to placebo. We were granted Fast Track designation from the FDA for MN-166 (ibudilast) for the treatment of progressive MS in 2016.</w:t>
      </w:r>
    </w:p>
    <w:p>
      <w:pPr>
        <w:spacing w:after="0" w:line="84" w:lineRule="exact"/>
        <w:rPr>
          <w:sz w:val="20"/>
          <w:szCs w:val="20"/>
          <w:color w:val="auto"/>
        </w:rPr>
      </w:pPr>
    </w:p>
    <w:p>
      <w:pPr>
        <w:jc w:val="both"/>
        <w:ind w:right="120" w:firstLine="639"/>
        <w:spacing w:after="0" w:line="257" w:lineRule="auto"/>
        <w:rPr>
          <w:sz w:val="20"/>
          <w:szCs w:val="20"/>
          <w:color w:val="auto"/>
        </w:rPr>
      </w:pPr>
      <w:r>
        <w:rPr>
          <w:rFonts w:ascii="Arial" w:cs="Arial" w:eastAsia="Arial" w:hAnsi="Arial"/>
          <w:sz w:val="18"/>
          <w:szCs w:val="18"/>
          <w:i w:val="1"/>
          <w:iCs w:val="1"/>
          <w:color w:val="auto"/>
        </w:rPr>
        <w:t xml:space="preserve">Amyotrophic Lateral Sclerosis (ALS): </w:t>
      </w:r>
      <w:r>
        <w:rPr>
          <w:rFonts w:ascii="Arial" w:cs="Arial" w:eastAsia="Arial" w:hAnsi="Arial"/>
          <w:sz w:val="18"/>
          <w:szCs w:val="18"/>
          <w:color w:val="auto"/>
        </w:rPr>
        <w:t>ALS, also known as Lou Gehrig’s disease, is a progressive neurodegenerative disease that affects nerve</w:t>
      </w:r>
      <w:r>
        <w:rPr>
          <w:rFonts w:ascii="Arial" w:cs="Arial" w:eastAsia="Arial" w:hAnsi="Arial"/>
          <w:sz w:val="18"/>
          <w:szCs w:val="18"/>
          <w:i w:val="1"/>
          <w:iCs w:val="1"/>
          <w:color w:val="auto"/>
        </w:rPr>
        <w:t xml:space="preserve"> </w:t>
      </w:r>
      <w:r>
        <w:rPr>
          <w:rFonts w:ascii="Arial" w:cs="Arial" w:eastAsia="Arial" w:hAnsi="Arial"/>
          <w:sz w:val="18"/>
          <w:szCs w:val="18"/>
          <w:color w:val="auto"/>
        </w:rPr>
        <w:t>cells in the brain and the spinal cord. The nerves lose the ability to trigger specific muscles, which causes the muscles to become weak. As a result, ALS affects voluntary movement and patients in the later stages of the disease may become totally paralyzed. Mean survival time of an ALS patient is three to five years. According to the ALS Association, there are approximately 16,000 ALS patients in the United States and approximately 5,000 people in the United States are diagnosed with ALS each year.</w:t>
      </w:r>
    </w:p>
    <w:p>
      <w:pPr>
        <w:spacing w:after="0" w:line="93" w:lineRule="exact"/>
        <w:rPr>
          <w:sz w:val="20"/>
          <w:szCs w:val="20"/>
          <w:color w:val="auto"/>
        </w:rPr>
      </w:pPr>
    </w:p>
    <w:p>
      <w:pPr>
        <w:ind w:right="60" w:firstLine="643"/>
        <w:spacing w:after="0" w:line="255" w:lineRule="auto"/>
        <w:rPr>
          <w:sz w:val="20"/>
          <w:szCs w:val="20"/>
          <w:color w:val="auto"/>
        </w:rPr>
      </w:pPr>
      <w:r>
        <w:rPr>
          <w:rFonts w:ascii="Arial" w:cs="Arial" w:eastAsia="Arial" w:hAnsi="Arial"/>
          <w:sz w:val="18"/>
          <w:szCs w:val="18"/>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American Academy of Neurology (AAN) 68th Annual Meeting.</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firstLine="644"/>
        <w:spacing w:after="0" w:line="286" w:lineRule="auto"/>
        <w:rPr>
          <w:sz w:val="20"/>
          <w:szCs w:val="20"/>
          <w:color w:val="auto"/>
        </w:rPr>
      </w:pPr>
      <w:r>
        <w:rPr>
          <w:rFonts w:ascii="Arial" w:cs="Arial" w:eastAsia="Arial" w:hAnsi="Arial"/>
          <w:sz w:val="16"/>
          <w:szCs w:val="16"/>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clinical development plan for MN-166 (ibudilast) in ALS.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our headquarters in La Jolla, California. In December 2019, we announced that additional analyses of the completed clinical trial of MN-166 (ibudilast) in ALS was presented at the 30th International Symposium on ALS/MND (amyotrophic lateral sclerosis/motor neurone disease) in Perth, Australia. These analyses evaluated the potential background factors of patients’ characteristics that could reasonably predict both ALS disease progression and treatment efficacy. The results of these analyses indicate that the efficacy of MN-166 (ibudilast) is expected to be more robust in patients with a short ALS history. We have incorporated the conclusions from these analyses into the design of our Phase 2b/3 clinical trial.</w:t>
      </w:r>
    </w:p>
    <w:p>
      <w:pPr>
        <w:spacing w:after="0" w:line="86" w:lineRule="exact"/>
        <w:rPr>
          <w:sz w:val="20"/>
          <w:szCs w:val="20"/>
          <w:color w:val="auto"/>
        </w:rPr>
      </w:pPr>
    </w:p>
    <w:p>
      <w:pPr>
        <w:ind w:right="80" w:firstLine="640"/>
        <w:spacing w:after="0" w:line="254" w:lineRule="auto"/>
        <w:rPr>
          <w:sz w:val="20"/>
          <w:szCs w:val="20"/>
          <w:color w:val="auto"/>
        </w:rPr>
      </w:pPr>
      <w:r>
        <w:rPr>
          <w:rFonts w:ascii="Arial" w:cs="Arial" w:eastAsia="Arial" w:hAnsi="Arial"/>
          <w:sz w:val="18"/>
          <w:szCs w:val="18"/>
          <w:color w:val="auto"/>
        </w:rPr>
        <w:t>In December 2015, we announced that the FDA granted Fast Track designation to MN-166 (ibudilast) for the treatment of patients with ALS. In March 2016, we announced that we received a Notice of Allowance from the United States Patent and Trademark Office (PTO)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In January 2019, we received a Notice of Allowance from the U.S. PTO for a new patent which covers the combination of MN-166 (ibudilast) and riluzole for the treatment of ALS and other neurodegenerative diseases.</w:t>
      </w:r>
    </w:p>
    <w:p>
      <w:pPr>
        <w:spacing w:after="0" w:line="114" w:lineRule="exact"/>
        <w:rPr>
          <w:sz w:val="20"/>
          <w:szCs w:val="20"/>
          <w:color w:val="auto"/>
        </w:rPr>
      </w:pPr>
    </w:p>
    <w:p>
      <w:pPr>
        <w:ind w:firstLine="646"/>
        <w:spacing w:after="0" w:line="293" w:lineRule="auto"/>
        <w:rPr>
          <w:sz w:val="20"/>
          <w:szCs w:val="20"/>
          <w:color w:val="auto"/>
        </w:rPr>
      </w:pPr>
      <w:r>
        <w:rPr>
          <w:rFonts w:ascii="Arial" w:cs="Arial" w:eastAsia="Arial" w:hAnsi="Arial"/>
          <w:sz w:val="16"/>
          <w:szCs w:val="16"/>
          <w:color w:val="auto"/>
        </w:rPr>
        <w:t>In February 2016, we entered into an agreement to collaborate with Massachusetts General Hospital (MGH) to study the effects of MN-166 (ibudilast) on reducing brain microglial activation in ALS subjects measured by a positron emission tomography (PET) biomarker. Results of this clinical trial, which we refer to as the ALS / Biomarker study, were presented at the 30th International Symposium on ALS/MND (amyotrophic lateral sclerosis/motor neurone disease) in Perth, Australia in December 2019. In this small study, there was no detectable effect on PBR28-PET uptake or serum NFl but there was a significant reduction in serum MIF, a marker of neuroinflammation. However, because of the open-label design of this study, there was no placebo group to compare with the MN-166 (ibudilast) group, so it is not possible to draw any definitive conclusions from this study.</w:t>
      </w:r>
    </w:p>
    <w:p>
      <w:pPr>
        <w:spacing w:after="0" w:line="70" w:lineRule="exact"/>
        <w:rPr>
          <w:sz w:val="20"/>
          <w:szCs w:val="20"/>
          <w:color w:val="auto"/>
        </w:rPr>
      </w:pPr>
    </w:p>
    <w:p>
      <w:pPr>
        <w:ind w:right="80" w:firstLine="642"/>
        <w:spacing w:after="0" w:line="253" w:lineRule="auto"/>
        <w:rPr>
          <w:sz w:val="20"/>
          <w:szCs w:val="20"/>
          <w:color w:val="auto"/>
        </w:rPr>
      </w:pPr>
      <w:r>
        <w:rPr>
          <w:rFonts w:ascii="Arial" w:cs="Arial" w:eastAsia="Arial" w:hAnsi="Arial"/>
          <w:sz w:val="18"/>
          <w:szCs w:val="18"/>
          <w:i w:val="1"/>
          <w:iCs w:val="1"/>
          <w:color w:val="auto"/>
        </w:rPr>
        <w:t xml:space="preserve">Methamphetamine Addiction: </w:t>
      </w:r>
      <w:r>
        <w:rPr>
          <w:rFonts w:ascii="Arial" w:cs="Arial" w:eastAsia="Arial" w:hAnsi="Arial"/>
          <w:sz w:val="18"/>
          <w:szCs w:val="18"/>
          <w:color w:val="auto"/>
        </w:rPr>
        <w:t>Methamphetamine is a central nervous system stimulant drug that is similar in structure to amphetamine. It is a</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II drug, meaning that it has high abuse potential and low therapeutic potential. According to the Substance Abuse and Mental Health Services Administration’s (SAMHSA) 2019 National Survey on Drug Use and Health, there are approximately 1.0 million people aged 12 or older with methamphetamine use disorder (includes those with dependence or abuse) in the United States. The Rand Corporation has estimated that the economic burden of methamphetamine use in the United States is approximately $23.4 billion. Currently, there is no pharmaceutical 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 investigators received NIDA grant funding for a Phase 2 clinical</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 w:name="page12"/>
    <w:bookmarkEnd w:id="11"/>
    <w:p>
      <w:pPr>
        <w:ind w:right="100"/>
        <w:spacing w:after="0" w:line="257" w:lineRule="auto"/>
        <w:rPr>
          <w:sz w:val="20"/>
          <w:szCs w:val="20"/>
          <w:color w:val="auto"/>
        </w:rPr>
      </w:pPr>
      <w:r>
        <w:rPr>
          <w:rFonts w:ascii="Arial" w:cs="Arial" w:eastAsia="Arial" w:hAnsi="Arial"/>
          <w:sz w:val="18"/>
          <w:szCs w:val="18"/>
          <w:color w:val="auto"/>
        </w:rPr>
        <w:t>trial to evaluate MN-166 (ibudilast) in methamphetamine-dependent users in an outpatient trial setting that commenced in 2013.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to evaluate MN-166 (ibudilast) in methamphetamine use disorder and this study is ongoing. We were granted Fast Track designation from the FDA for MN-166 (ibudilast) for the treatment of methamphetamine dependence in 2013.</w:t>
      </w:r>
    </w:p>
    <w:p>
      <w:pPr>
        <w:spacing w:after="0" w:line="93" w:lineRule="exact"/>
        <w:rPr>
          <w:sz w:val="20"/>
          <w:szCs w:val="20"/>
          <w:color w:val="auto"/>
        </w:rPr>
      </w:pPr>
    </w:p>
    <w:p>
      <w:pPr>
        <w:ind w:right="120" w:firstLine="643"/>
        <w:spacing w:after="0" w:line="287" w:lineRule="auto"/>
        <w:rPr>
          <w:sz w:val="20"/>
          <w:szCs w:val="20"/>
          <w:color w:val="auto"/>
        </w:rPr>
      </w:pPr>
      <w:r>
        <w:rPr>
          <w:rFonts w:ascii="Arial" w:cs="Arial" w:eastAsia="Arial" w:hAnsi="Arial"/>
          <w:sz w:val="16"/>
          <w:szCs w:val="16"/>
          <w:i w:val="1"/>
          <w:iCs w:val="1"/>
          <w:color w:val="auto"/>
        </w:rPr>
        <w:t xml:space="preserve">Opioid Withdrawal and Dependency: </w:t>
      </w:r>
      <w:r>
        <w:rPr>
          <w:rFonts w:ascii="Arial" w:cs="Arial" w:eastAsia="Arial" w:hAnsi="Arial"/>
          <w:sz w:val="16"/>
          <w:szCs w:val="16"/>
          <w:color w:val="auto"/>
        </w:rPr>
        <w:t>According to the SAMHSA’s 2019 National Survey on Drug Use and Health, there are approximately 1.4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people aged 12 or older with pain reliever use disorder (includes those with dependence or abuse) and approximately 438,000 people aged 12 or older with heroin use disorder (includes those with dependence or abuse) in the United States. Access to prescription opioids has recently become more difficult due to more stringent policies on prescribing opioids. An unintended consequence of this policy is increased use of heroin. Heroin is attractive to prescription opioid addicts because it is less expensive and more accessible than prescription opioids. Heroin poses serious health issues, such as risk of HIV and Hepatitis C infection, overdose, and death (Knopf, 2012). There is an urgent, significant unmet medical need for a safe, effective non-addictive, non-opioid therapy for the treatment of prescription opioid and heroin addiction. Investigators at Columbia University and NYSPI previously completed a NIDA-funded, randomized, double-blind, placebo-controlled in-unit Phase 1b/2a clinical trial to evaluate the ability of MN-166 (ibudilast) to reduce opioid withdrawal symptoms in humans. Subsequently, investigators at Columbia University and NYSPI conducted a NIDA-funded Phase 2a clinical trial of MN-166 (ibudilast) for the treatment of prescription opioid or heroin dependence. In March 2016, we announced that positive findings from the results of this completed study in opioid dependence were presented at the Behavior, Biology and Chemistry: Translational Research in Addiction Meeting.</w:t>
      </w:r>
    </w:p>
    <w:p>
      <w:pPr>
        <w:spacing w:after="0" w:line="91" w:lineRule="exact"/>
        <w:rPr>
          <w:sz w:val="20"/>
          <w:szCs w:val="20"/>
          <w:color w:val="auto"/>
        </w:rPr>
      </w:pPr>
    </w:p>
    <w:p>
      <w:pPr>
        <w:ind w:firstLine="646"/>
        <w:spacing w:after="0" w:line="283" w:lineRule="auto"/>
        <w:rPr>
          <w:sz w:val="20"/>
          <w:szCs w:val="20"/>
          <w:color w:val="auto"/>
        </w:rPr>
      </w:pPr>
      <w:r>
        <w:rPr>
          <w:rFonts w:ascii="Arial" w:cs="Arial" w:eastAsia="Arial" w:hAnsi="Arial"/>
          <w:sz w:val="16"/>
          <w:szCs w:val="16"/>
          <w:i w:val="1"/>
          <w:iCs w:val="1"/>
          <w:color w:val="auto"/>
        </w:rPr>
        <w:t xml:space="preserve">Alcohol Addiction: </w:t>
      </w:r>
      <w:r>
        <w:rPr>
          <w:rFonts w:ascii="Arial" w:cs="Arial" w:eastAsia="Arial" w:hAnsi="Arial"/>
          <w:sz w:val="16"/>
          <w:szCs w:val="16"/>
          <w:color w:val="auto"/>
        </w:rPr>
        <w:t>According to SAMHSA’s 2019 National Survey on Drug Use and Health, there are approximately 14.5 million people aged 12</w:t>
      </w:r>
      <w:r>
        <w:rPr>
          <w:rFonts w:ascii="Arial" w:cs="Arial" w:eastAsia="Arial" w:hAnsi="Arial"/>
          <w:sz w:val="16"/>
          <w:szCs w:val="16"/>
          <w:i w:val="1"/>
          <w:iCs w:val="1"/>
          <w:color w:val="auto"/>
        </w:rPr>
        <w:t xml:space="preserve"> </w:t>
      </w:r>
      <w:r>
        <w:rPr>
          <w:rFonts w:ascii="Arial" w:cs="Arial" w:eastAsia="Arial" w:hAnsi="Arial"/>
          <w:sz w:val="16"/>
          <w:szCs w:val="16"/>
          <w:color w:val="auto"/>
        </w:rPr>
        <w:t>or older in the United States with alcohol use disorder (includes those with dependence or abuse). The Centers for Disease Control and Prevention (CDC) has reported that excessive alcohol use costs the United States $249 billion per year. Medicines that have been approved by the FDA to treat alcohol dependence include Antabuse</w:t>
      </w:r>
      <w:r>
        <w:rPr>
          <w:rFonts w:ascii="Arial" w:cs="Arial" w:eastAsia="Arial" w:hAnsi="Arial"/>
          <w:sz w:val="13"/>
          <w:szCs w:val="13"/>
          <w:color w:val="auto"/>
        </w:rPr>
        <w:t>®</w:t>
      </w:r>
      <w:r>
        <w:rPr>
          <w:rFonts w:ascii="Arial" w:cs="Arial" w:eastAsia="Arial" w:hAnsi="Arial"/>
          <w:sz w:val="16"/>
          <w:szCs w:val="16"/>
          <w:color w:val="auto"/>
        </w:rPr>
        <w:t>, Vivitrol</w:t>
      </w:r>
      <w:r>
        <w:rPr>
          <w:rFonts w:ascii="Arial" w:cs="Arial" w:eastAsia="Arial" w:hAnsi="Arial"/>
          <w:sz w:val="13"/>
          <w:szCs w:val="13"/>
          <w:color w:val="auto"/>
        </w:rPr>
        <w:t>®</w:t>
      </w:r>
      <w:r>
        <w:rPr>
          <w:rFonts w:ascii="Arial" w:cs="Arial" w:eastAsia="Arial" w:hAnsi="Arial"/>
          <w:sz w:val="16"/>
          <w:szCs w:val="16"/>
          <w:color w:val="auto"/>
        </w:rPr>
        <w:t>, Campral</w:t>
      </w:r>
      <w:r>
        <w:rPr>
          <w:rFonts w:ascii="Arial" w:cs="Arial" w:eastAsia="Arial" w:hAnsi="Arial"/>
          <w:sz w:val="13"/>
          <w:szCs w:val="13"/>
          <w:color w:val="auto"/>
        </w:rPr>
        <w:t>®</w:t>
      </w:r>
      <w:r>
        <w:rPr>
          <w:rFonts w:ascii="Arial" w:cs="Arial" w:eastAsia="Arial" w:hAnsi="Arial"/>
          <w:sz w:val="16"/>
          <w:szCs w:val="16"/>
          <w:color w:val="auto"/>
        </w:rPr>
        <w:t xml:space="preserve"> and Revia</w:t>
      </w:r>
      <w:r>
        <w:rPr>
          <w:rFonts w:ascii="Arial" w:cs="Arial" w:eastAsia="Arial" w:hAnsi="Arial"/>
          <w:sz w:val="13"/>
          <w:szCs w:val="13"/>
          <w:color w:val="auto"/>
        </w:rPr>
        <w:t>®</w:t>
      </w:r>
      <w:r>
        <w:rPr>
          <w:rFonts w:ascii="Arial" w:cs="Arial" w:eastAsia="Arial" w:hAnsi="Arial"/>
          <w:sz w:val="16"/>
          <w:szCs w:val="16"/>
          <w:color w:val="auto"/>
        </w:rPr>
        <w:t xml:space="preserve">. However, the search for a safe and effective drug remains elusive due to limited success of these FDA-approved compounds (Witkiewitz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2012). In a non-clinical trial (Bell </w:t>
      </w:r>
      <w:r>
        <w:rPr>
          <w:rFonts w:ascii="Arial" w:cs="Arial" w:eastAsia="Arial" w:hAnsi="Arial"/>
          <w:sz w:val="16"/>
          <w:szCs w:val="16"/>
          <w:i w:val="1"/>
          <w:iCs w:val="1"/>
          <w:color w:val="auto"/>
        </w:rPr>
        <w:t>et al</w:t>
      </w:r>
      <w:r>
        <w:rPr>
          <w:rFonts w:ascii="Arial" w:cs="Arial" w:eastAsia="Arial" w:hAnsi="Arial"/>
          <w:sz w:val="16"/>
          <w:szCs w:val="16"/>
          <w:color w:val="auto"/>
        </w:rPr>
        <w:t>.,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with a randomized, double-blind, placebo-controlled within-subject crossover design to determine the safety, tolerability and initial human laboratory efficacy of MN-166 (ibudilast) in a sample of 24 non-treatment seeking individuals with either alcohol abuse or dependence.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 In May 2018, we announced plans to initiate an NIH-funded clinical trial of MN-166 (ibudilast) in alcohol dependence and withdrawal in collaboration with researchers at UCLA. Results of this Phase 2 clinical trial were presented at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American Psychological Association 2020 Annual Convention which was held online in August 2020. MN-166 (ibudilast) significantly reduced the number of heavy drinking days compared to placebo (p=0.03). There was a significant effect of MN-166 (ibudilast) on alcoholic beverage images vs. non-alcoholic beverage images percent signal change in the bilateral ventral striatum (VS) evaluated by fMRI (p=0.02) which indicated that MN-166 (ibudilast) reduced alcohol cue-elicited activation in the VS relative to placebo. In other words, MN-166 (ibudilast) reduced the rewarding response to alcohol in the brain. In August 2018, we announced a new NIAAA-funded Phase 2b clinical trial of MN-166 (ibudilast) in alcohol dependence in collaboration with researchers at UCLA. This clinical trial,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right="200"/>
        <w:spacing w:after="0" w:line="277" w:lineRule="auto"/>
        <w:rPr>
          <w:sz w:val="20"/>
          <w:szCs w:val="20"/>
          <w:color w:val="auto"/>
        </w:rPr>
      </w:pPr>
      <w:r>
        <w:rPr>
          <w:rFonts w:ascii="Arial" w:cs="Arial" w:eastAsia="Arial" w:hAnsi="Arial"/>
          <w:sz w:val="18"/>
          <w:szCs w:val="18"/>
          <w:color w:val="auto"/>
        </w:rPr>
        <w:t>which is currently ongoing, is evaluating whether MN-166 (ibudilast) will decrease the percentage of heavy drinking days (defined as ≥ 5 drinks for men and ≥ 4 drinks for women), as compared to placebo, over the course of the 12-week trial.</w:t>
      </w:r>
    </w:p>
    <w:p>
      <w:pPr>
        <w:spacing w:after="0" w:line="76" w:lineRule="exact"/>
        <w:rPr>
          <w:sz w:val="20"/>
          <w:szCs w:val="20"/>
          <w:color w:val="auto"/>
        </w:rPr>
      </w:pPr>
    </w:p>
    <w:p>
      <w:pPr>
        <w:ind w:firstLine="644"/>
        <w:spacing w:after="0" w:line="283" w:lineRule="auto"/>
        <w:rPr>
          <w:sz w:val="20"/>
          <w:szCs w:val="20"/>
          <w:color w:val="auto"/>
        </w:rPr>
      </w:pPr>
      <w:r>
        <w:rPr>
          <w:rFonts w:ascii="Arial" w:cs="Arial" w:eastAsia="Arial" w:hAnsi="Arial"/>
          <w:sz w:val="16"/>
          <w:szCs w:val="16"/>
          <w:i w:val="1"/>
          <w:iCs w:val="1"/>
          <w:color w:val="auto"/>
        </w:rPr>
        <w:t xml:space="preserve">Chemotherapy-Induced Peripheral Neuropathy: </w:t>
      </w:r>
      <w:r>
        <w:rPr>
          <w:rFonts w:ascii="Arial" w:cs="Arial" w:eastAsia="Arial" w:hAnsi="Arial"/>
          <w:sz w:val="16"/>
          <w:szCs w:val="16"/>
          <w:color w:val="auto"/>
        </w:rPr>
        <w:t>Peripheral neuropathy is a set of symptoms caused by damage to peripheral nerves, the nerves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are away from the brain and spinal cord. Some of the chemotherapy and other drugs used to treat cancer can damage peripheral nerves which carry sensations to the brain and control the movement of the arms and legs. This damage results in chemotherapy-induced peripheral neuropathy (CIPN) which can be a disabling side effect of cancer treatment. Common symptoms of CIPN include pain, burning, tingling, loss of feeling, coordination and balance problems, muscle weakness, trouble swallowing and passing urine, constipation, and blood pressure changes. Severe CIPN may require chemotherapy dose reduction or cessation. According to a meta-analysis which included more than 4,000 patients, CIPN prevalence was 68% when measured in the first month after chemotherapy, 60% at 3 months, and 30% at 6 months or more (“Incidence, prevalence, and predictors of chemotherapy-induced peripheral neuropathy: A systematic review and meta-analysis,” Seretny M et al 2014). In March 2018, we announced plans to initiate a clinical trial to evaluate MN-166 (ibudilast) as a treatment for prevention of CIPN which was funded by the University of Sydney Concord Cancer Centre in Australia. This open-label, sequential cross-over pilot study assessed acute neurotoxicity, CIPN, and drug interactions of MN-166 (ibudilast) in patients with metastatic gastrointestinal cancer (colorectal cancer and upper gastrointestinal cancers) who were receiving oxaliplatin. In September 2020, we announced that positive clinical findings from this clinical trial were published in </w:t>
      </w:r>
      <w:r>
        <w:rPr>
          <w:rFonts w:ascii="Arial" w:cs="Arial" w:eastAsia="Arial" w:hAnsi="Arial"/>
          <w:sz w:val="16"/>
          <w:szCs w:val="16"/>
          <w:i w:val="1"/>
          <w:iCs w:val="1"/>
          <w:color w:val="auto"/>
        </w:rPr>
        <w:t>Cancer Chemotherapy and Pharmacology</w:t>
      </w:r>
      <w:r>
        <w:rPr>
          <w:rFonts w:ascii="Arial" w:cs="Arial" w:eastAsia="Arial" w:hAnsi="Arial"/>
          <w:sz w:val="16"/>
          <w:szCs w:val="16"/>
          <w:color w:val="auto"/>
        </w:rPr>
        <w:t>. Co-administration of MN-166 (ibudilast) with oxaliplatin resulted in improvement or stabilization of oxaliplatin-induced neurotoxicity in the majority of participants treated with</w:t>
      </w:r>
    </w:p>
    <w:p>
      <w:pPr>
        <w:spacing w:after="0" w:line="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oxaliplatin. According to the Oxaliplatin-Specific Neurotoxicity Scale (OSNS) assessments, 12 out of 14 participants reported acute neurotoxicity (Grade 1 or 2) in both cycles. Of those, ten out of 12 participants were unchanged and two participants had improved symptoms from Grade 2 to Grade 1 with MN-166 (ibudilast) co-treatment. Acute neurotoxicity, which predicts chronic CIPN, is expected to worsen in patients with continued</w:t>
      </w:r>
    </w:p>
    <w:p>
      <w:pPr>
        <w:ind w:right="160"/>
        <w:spacing w:after="0" w:line="281" w:lineRule="auto"/>
        <w:rPr>
          <w:sz w:val="20"/>
          <w:szCs w:val="20"/>
          <w:color w:val="auto"/>
        </w:rPr>
      </w:pPr>
      <w:r>
        <w:rPr>
          <w:rFonts w:ascii="Arial" w:cs="Arial" w:eastAsia="Arial" w:hAnsi="Arial"/>
          <w:sz w:val="16"/>
          <w:szCs w:val="16"/>
          <w:color w:val="auto"/>
        </w:rPr>
        <w:t>chemotherapy. Pharmacokinetic analysis indicated no effect of MN-166 (ibudilast) on systemic exposure of oxaliplatin. In October 2020, we announced plans to initiate a multi-center, placebo-controlled, randomized Phase 2b trial to evaluate MN-166 (ibudilast) in CIPN, which will be funded by</w:t>
      </w:r>
    </w:p>
    <w:p>
      <w:pPr>
        <w:spacing w:after="0" w:line="1"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the Australasian Gastro-Intestinal Trials Group (AGITG). This clinical trial will evaluate MN-166 (ibudilast) as a potential treatment to reduce acute neurotoxicity severity and CIPN in patients with metastatic colorectal cancer.</w:t>
      </w:r>
    </w:p>
    <w:p>
      <w:pPr>
        <w:spacing w:after="0" w:line="104" w:lineRule="exact"/>
        <w:rPr>
          <w:sz w:val="20"/>
          <w:szCs w:val="20"/>
          <w:color w:val="auto"/>
        </w:rPr>
      </w:pPr>
    </w:p>
    <w:p>
      <w:pPr>
        <w:ind w:right="120" w:firstLine="640"/>
        <w:spacing w:after="0" w:line="287" w:lineRule="auto"/>
        <w:rPr>
          <w:sz w:val="20"/>
          <w:szCs w:val="20"/>
          <w:color w:val="auto"/>
        </w:rPr>
      </w:pPr>
      <w:r>
        <w:rPr>
          <w:rFonts w:ascii="Arial" w:cs="Arial" w:eastAsia="Arial" w:hAnsi="Arial"/>
          <w:sz w:val="16"/>
          <w:szCs w:val="16"/>
          <w:i w:val="1"/>
          <w:iCs w:val="1"/>
          <w:color w:val="auto"/>
        </w:rPr>
        <w:t xml:space="preserve">Degenerative Cervical Myelopathy: </w:t>
      </w:r>
      <w:r>
        <w:rPr>
          <w:rFonts w:ascii="Arial" w:cs="Arial" w:eastAsia="Arial" w:hAnsi="Arial"/>
          <w:sz w:val="16"/>
          <w:szCs w:val="16"/>
          <w:color w:val="auto"/>
        </w:rPr>
        <w:t>Degenerative cervical myelopathy (DCM), also known as cervical spondylotic myelopathy, involves spinal</w:t>
      </w:r>
      <w:r>
        <w:rPr>
          <w:rFonts w:ascii="Arial" w:cs="Arial" w:eastAsia="Arial" w:hAnsi="Arial"/>
          <w:sz w:val="16"/>
          <w:szCs w:val="16"/>
          <w:i w:val="1"/>
          <w:iCs w:val="1"/>
          <w:color w:val="auto"/>
        </w:rPr>
        <w:t xml:space="preserve"> </w:t>
      </w:r>
      <w:r>
        <w:rPr>
          <w:rFonts w:ascii="Arial" w:cs="Arial" w:eastAsia="Arial" w:hAnsi="Arial"/>
          <w:sz w:val="16"/>
          <w:szCs w:val="16"/>
          <w:color w:val="auto"/>
        </w:rPr>
        <w:t>cord dysfunction from compression in the neck. Degenerative cervical myelopathy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National Institute for Health Research (NIHR) in the United Kingdom (UK), is evaluating MN-166 (ibudilast) as an adjuvant treatment for DCM following spinal surgery to determine whether MN-166 (ibudilast) is more effective than placebo in improving outcomes after spinal surgery. The two co-primary endpoints are (1) the modified Japanese Orthopaedic Association (mJOA) Score, which evaluates motor dysfunction in upper and lower extremities, loss of sensation, and bladder sphincter dysfunction, at six months after surgery; and (2) Visual Analogue Scale (VAS) measure of neck pain at six months after surgery. In May 2019, we announced our participation at the Kick-off Meeting for the Phase 3 clinical trial in DCM, “REgeneration in CErvical DEgenerative Myelopathy (RECEDE Myelopathy)” in collaboration with University of Cambridge researchers.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ind w:firstLine="639"/>
        <w:spacing w:after="0" w:line="217" w:lineRule="exact"/>
        <w:rPr>
          <w:sz w:val="20"/>
          <w:szCs w:val="20"/>
          <w:color w:val="auto"/>
        </w:rPr>
      </w:pPr>
      <w:r>
        <w:rPr>
          <w:rFonts w:ascii="Arial" w:cs="Arial" w:eastAsia="Arial" w:hAnsi="Arial"/>
          <w:sz w:val="17"/>
          <w:szCs w:val="17"/>
          <w:i w:val="1"/>
          <w:iCs w:val="1"/>
          <w:color w:val="auto"/>
        </w:rPr>
        <w:t xml:space="preserve">Glioblastoma: </w:t>
      </w:r>
      <w:r>
        <w:rPr>
          <w:rFonts w:ascii="Arial" w:cs="Arial" w:eastAsia="Arial" w:hAnsi="Arial"/>
          <w:sz w:val="17"/>
          <w:szCs w:val="17"/>
          <w:color w:val="auto"/>
        </w:rPr>
        <w:t>According to the American Association of Neurological Surgeons, glioblastoma is an aggressive brain tumor that develops from</w:t>
      </w:r>
      <w:r>
        <w:rPr>
          <w:rFonts w:ascii="Arial" w:cs="Arial" w:eastAsia="Arial" w:hAnsi="Arial"/>
          <w:sz w:val="17"/>
          <w:szCs w:val="17"/>
          <w:i w:val="1"/>
          <w:iCs w:val="1"/>
          <w:color w:val="auto"/>
        </w:rPr>
        <w:t xml:space="preserve"> </w:t>
      </w:r>
      <w:r>
        <w:rPr>
          <w:rFonts w:ascii="Arial" w:cs="Arial" w:eastAsia="Arial" w:hAnsi="Arial"/>
          <w:sz w:val="17"/>
          <w:szCs w:val="17"/>
          <w:color w:val="auto"/>
        </w:rPr>
        <w:t>glial cells (astrocytes and oligodendrocytes), grows rapidly, and commonly spreads into nearby brain tissue. The American Brain Tumor Association reports that glioblastomas represent about 15% of all primary brain tumors. Approximately 10,000 cases of glioblastoma are diagnosed each year in the U.S. Median survival is approximately 11-15 months for adults with more aggressive glioblastoma (IDH-wildtype) who receive standard treatment (surgery, temozolomide, and radiation therapy). In June 2017, we announced positive results from an animal model study that examined the potential clinical efficacy of MN-166 (ibudilast) for the treatment of glioblastoma which were presented at the 2017 American Society of Clinical Oncology (ASCO) Annual Meeting. Results of the glioblastoma mouse model study showed that median survival was higher in the group that received combination treatment with MN-166 (ibudilast) plus temozolomide compared to the group that received temozolomide alone. In May 2018, we announced that the Investigational New Drug Application (IND) for MN-166 (ibudilast) for treatment of glioblastoma was accepted and 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7"/>
          <w:szCs w:val="17"/>
          <w:color w:val="auto"/>
        </w:rPr>
        <w:t>‑</w:t>
      </w:r>
      <w:r>
        <w:rPr>
          <w:rFonts w:ascii="Arial" w:cs="Arial" w:eastAsia="Arial" w:hAnsi="Arial"/>
          <w:sz w:val="17"/>
          <w:szCs w:val="17"/>
          <w:color w:val="auto"/>
        </w:rPr>
        <w:t xml:space="preserve">®) for the treatment of glioblastoma at the Dana-Farber Cancer Institute in Boston. In February 2019, we announced that </w:t>
      </w:r>
      <w:r>
        <w:rPr>
          <w:rFonts w:ascii="Arial" w:cs="Arial" w:eastAsia="Arial" w:hAnsi="Arial"/>
          <w:sz w:val="17"/>
          <w:szCs w:val="17"/>
          <w:i w:val="1"/>
          <w:iCs w:val="1"/>
          <w:color w:val="auto"/>
        </w:rPr>
        <w:t>Scientific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Reports </w:t>
      </w:r>
      <w:r>
        <w:rPr>
          <w:rFonts w:ascii="Arial" w:cs="Arial" w:eastAsia="Arial" w:hAnsi="Arial"/>
          <w:sz w:val="17"/>
          <w:szCs w:val="17"/>
          <w:color w:val="auto"/>
        </w:rPr>
        <w:t>published results from the animal model study evaluating MN-166 (ibudilast) in glioblastoma. The article, “Ibudilast sensitizes glioblastoma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temozolomide by targeting Macrophage Migration Inhibitory Factor (MIF),” is the first publication reporting the potential clinical utility of MN-166 (ibudilast) for glioblastoma. In June 2020, we announced that positive preclinical findings were published in </w:t>
      </w:r>
      <w:r>
        <w:rPr>
          <w:rFonts w:ascii="Arial" w:cs="Arial" w:eastAsia="Arial" w:hAnsi="Arial"/>
          <w:sz w:val="17"/>
          <w:szCs w:val="17"/>
          <w:i w:val="1"/>
          <w:iCs w:val="1"/>
          <w:color w:val="auto"/>
        </w:rPr>
        <w:t>Frontiers in Immunology</w:t>
      </w:r>
      <w:r>
        <w:rPr>
          <w:rFonts w:ascii="Arial" w:cs="Arial" w:eastAsia="Arial" w:hAnsi="Arial"/>
          <w:sz w:val="17"/>
          <w:szCs w:val="17"/>
          <w:color w:val="auto"/>
        </w:rPr>
        <w:t xml:space="preserve"> regarding the prospect of MN-166 (ibudilast) as an adjunctive treatment for glioblastoma. The publication, entitled “Glioblastoma myeloid-derived suppressor cell subsets express differential macrophage migration inhibitory factor receptor profiles that can be targeted to reduce immune suppression”, was based on our collaboration with the Cleveland Clinic.</w:t>
      </w:r>
    </w:p>
    <w:p>
      <w:pPr>
        <w:spacing w:after="0" w:line="204"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i w:val="1"/>
          <w:iCs w:val="1"/>
          <w:color w:val="auto"/>
        </w:rPr>
        <w:t xml:space="preserve">Prevention of Acute Respiratory Distress Syndrome (ARDS) in patients with COVID-19: </w:t>
      </w:r>
      <w:r>
        <w:rPr>
          <w:rFonts w:ascii="Arial" w:cs="Arial" w:eastAsia="Arial" w:hAnsi="Arial"/>
          <w:sz w:val="17"/>
          <w:szCs w:val="17"/>
          <w:color w:val="auto"/>
        </w:rPr>
        <w:t>ARDS is a serious lung condition that causes low blood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oxygen. Difficulty breathing is usually the first symptom of ARDS. Infections are the most common risk factors for ARDS and these infections may include influenza, coronavirus, or other viruses. According to the ARDS Foundation, there are an estimated 190,000 ARDS cases per year in the U.S. The rate of death in the hospital is approximately 40% for ARDS patients. In March 2020, we announced plans to initiate development of MN-166 (ibudilast) for severe pneumonia and ARDS based on positive results of a preclinical study in an animal model of ARDS (Yang et al., 2020). Results of this preclinical study showed that MN-166 (ibudilast) treatment reversed histological changes observed in the ARDS mouse model including inflammation, hemorrhage, alveolar congestion, and alveolar wall edema. Importantly, pulmonary edema was significantly reduced by MN-166 (ibudilast) treatment (p&lt;0.001). In addition, MN-166 (ibudilast) significantly reduced the levels of inflammatory cytokines including TNF-alpha (p&lt;0.001), IL-1beta (p&lt;0.001), IL-6 (p&lt;0.001), and MCP-1 (p&lt;0.001) in a dose-dependent manner, indicating that ibudilast suppressed the inflammatory response. Results of this study also suggest that MN-166 (ibudilast) protects against pulmonary injury by attenuating cell apoptosis in lung tissue. In addition to data from the animal model of ARDS, MN-166 (ibudilast) has been identified as a compound with potential anti-SARS-CoV-2 activity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study which screened 1,520 compounds for SARS-CoV-2 replication inhibition (Touret et al., 2020).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40" w:firstLine="646"/>
        <w:spacing w:after="0" w:line="257" w:lineRule="auto"/>
        <w:rPr>
          <w:sz w:val="20"/>
          <w:szCs w:val="20"/>
          <w:color w:val="auto"/>
        </w:rPr>
      </w:pPr>
      <w:r>
        <w:rPr>
          <w:rFonts w:ascii="Arial" w:cs="Arial" w:eastAsia="Arial" w:hAnsi="Arial"/>
          <w:sz w:val="18"/>
          <w:szCs w:val="18"/>
          <w:color w:val="auto"/>
        </w:rPr>
        <w:t>MN-221 (bedoradrine) is a novel, highly selective beta-2-adrenergic receptor agonist which has been developed for the treatment of acute exacerbations of asthma. We licensed MN-221 (bedoradrine) from Kissei Pharmaceutical Co., Ltd. (Kissei) in February 2004.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8"/>
          <w:szCs w:val="18"/>
          <w:i w:val="1"/>
          <w:iCs w:val="1"/>
          <w:color w:val="auto"/>
        </w:rPr>
        <w:t>e.g.</w:t>
      </w:r>
      <w:r>
        <w:rPr>
          <w:rFonts w:ascii="Arial" w:cs="Arial" w:eastAsia="Arial" w:hAnsi="Arial"/>
          <w:sz w:val="18"/>
          <w:szCs w:val="18"/>
          <w:color w:val="auto"/>
        </w:rPr>
        <w:t xml:space="preserve"> increased heart rate).</w:t>
      </w:r>
    </w:p>
    <w:p>
      <w:pPr>
        <w:spacing w:after="0" w:line="93" w:lineRule="exact"/>
        <w:rPr>
          <w:sz w:val="20"/>
          <w:szCs w:val="20"/>
          <w:color w:val="auto"/>
        </w:rPr>
      </w:pPr>
    </w:p>
    <w:p>
      <w:pPr>
        <w:ind w:right="20" w:firstLine="639"/>
        <w:spacing w:after="0" w:line="257" w:lineRule="auto"/>
        <w:rPr>
          <w:sz w:val="20"/>
          <w:szCs w:val="20"/>
          <w:color w:val="auto"/>
        </w:rPr>
      </w:pPr>
      <w:r>
        <w:rPr>
          <w:rFonts w:ascii="Arial" w:cs="Arial" w:eastAsia="Arial" w:hAnsi="Arial"/>
          <w:sz w:val="18"/>
          <w:szCs w:val="18"/>
          <w:color w:val="auto"/>
        </w:rPr>
        <w:t>MN-221 (bedoradrine) is designed to treat acute exacerbations of asthma via intravenous (i.v.) infusion, bypassing constricted airways to deliver the drug to the lungs. Preclinical studies showed MN-221 (bedoradrine) to have a high affinity for the ß</w:t>
      </w:r>
      <w:r>
        <w:rPr>
          <w:rFonts w:ascii="Arial" w:cs="Arial" w:eastAsia="Arial" w:hAnsi="Arial"/>
          <w:sz w:val="15"/>
          <w:szCs w:val="15"/>
          <w:color w:val="auto"/>
        </w:rPr>
        <w:t>2</w:t>
      </w:r>
      <w:r>
        <w:rPr>
          <w:rFonts w:ascii="Arial" w:cs="Arial" w:eastAsia="Arial" w:hAnsi="Arial"/>
          <w:sz w:val="18"/>
          <w:szCs w:val="18"/>
          <w:color w:val="auto"/>
        </w:rPr>
        <w:t xml:space="preserve"> -adrenergic receptor, found primarily in the lungs, and a much lower affinity for the ß</w:t>
      </w:r>
      <w:r>
        <w:rPr>
          <w:rFonts w:ascii="Arial" w:cs="Arial" w:eastAsia="Arial" w:hAnsi="Arial"/>
          <w:sz w:val="15"/>
          <w:szCs w:val="15"/>
          <w:color w:val="auto"/>
        </w:rPr>
        <w:t>1</w:t>
      </w:r>
      <w:r>
        <w:rPr>
          <w:rFonts w:ascii="Arial" w:cs="Arial" w:eastAsia="Arial" w:hAnsi="Arial"/>
          <w:sz w:val="18"/>
          <w:szCs w:val="18"/>
          <w:color w:val="auto"/>
        </w:rPr>
        <w:t xml:space="preserve"> -adrenergic receptor found primarily in cardiac tissue. MN-221 (bedoradrine)’s improved delivery to the lungs and its cardiac safety profile has potential to help fill an unmet need for patients with acute exacerbations of asthma, helping them to breathe easier and avoid a costly hospital stay.</w:t>
      </w:r>
    </w:p>
    <w:p>
      <w:pPr>
        <w:spacing w:after="0" w:line="107" w:lineRule="exact"/>
        <w:rPr>
          <w:sz w:val="20"/>
          <w:szCs w:val="20"/>
          <w:color w:val="auto"/>
        </w:rPr>
      </w:pPr>
    </w:p>
    <w:p>
      <w:pPr>
        <w:ind w:right="360" w:firstLine="630"/>
        <w:spacing w:after="0" w:line="277" w:lineRule="auto"/>
        <w:rPr>
          <w:sz w:val="20"/>
          <w:szCs w:val="20"/>
          <w:color w:val="auto"/>
        </w:rPr>
      </w:pPr>
      <w:r>
        <w:rPr>
          <w:rFonts w:ascii="Arial" w:cs="Arial" w:eastAsia="Arial" w:hAnsi="Arial"/>
          <w:sz w:val="18"/>
          <w:szCs w:val="18"/>
          <w:i w:val="1"/>
          <w:iCs w:val="1"/>
          <w:color w:val="auto"/>
        </w:rPr>
        <w:t xml:space="preserve">Acute Exacerbation of Asthma: </w:t>
      </w:r>
      <w:r>
        <w:rPr>
          <w:rFonts w:ascii="Arial" w:cs="Arial" w:eastAsia="Arial" w:hAnsi="Arial"/>
          <w:sz w:val="18"/>
          <w:szCs w:val="18"/>
          <w:color w:val="auto"/>
        </w:rPr>
        <w:t>According to the most recent data available from the United States National Center for Health Statistics,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1.56 million emergency department visits due to asthma in 2017 and 3,564 deaths due to asthma in 2017.</w:t>
      </w:r>
    </w:p>
    <w:p>
      <w:pPr>
        <w:spacing w:after="0" w:line="76"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We completed a Phase 2b randomized, double-blind, placebo-controlled clinical trial (N=175) evaluating MN-221 (bedoradrine) in patients with acute exacerbations of asthma in the emergency department setting. MN-221 (bedoradrine) did not statistically meet the primary endpoint, improvement in FEV</w:t>
      </w:r>
      <w:r>
        <w:rPr>
          <w:rFonts w:ascii="Arial" w:cs="Arial" w:eastAsia="Arial" w:hAnsi="Arial"/>
          <w:sz w:val="14"/>
          <w:szCs w:val="14"/>
          <w:color w:val="auto"/>
        </w:rPr>
        <w:t>1</w:t>
      </w:r>
      <w:r>
        <w:rPr>
          <w:rFonts w:ascii="Arial" w:cs="Arial" w:eastAsia="Arial" w:hAnsi="Arial"/>
          <w:sz w:val="17"/>
          <w:szCs w:val="17"/>
          <w:color w:val="auto"/>
        </w:rPr>
        <w:t xml:space="preserve"> (Forced Expiratory Volume in One Second) compared to placebo. However, MN-221 (bedoradrine) treatment demonstrated statistically significant improvements in endpoints associated with Dyspnea Index scores. MN-221 (bedoradrine) treatment significantly increased (improved) the change from baseline in Dyspnea Index scale score over Hours 0-3 compared to placebo (based on AUC [0-3 hr], p =0.0405), significantly increased the change from baseline in Dyspnea Index scale scores at Hour 2 compared to placebo (based on mean score, p = 0.0042), and significantly increased the percentage of subjects who had improvement in the Dyspnea Index score ≥ 1 point at Hour 2 compared to placebo (p = 0.0323). A post-hoc analysis was performed to evaluate the Treatment Failure rate defined as the number of subjects who were either hospitalized or who returned to the emergency department during the course of the study. In subjects who received corticosteroids greater than 3 hours prior to study drug infusion, the number of treatment failures was significantly greater in the placebo group (74%) versus the MN-221 (bedoradrine) group (43%), p=0.0489. No safety/tolerability issues of clinical significance were observed.</w:t>
      </w:r>
    </w:p>
    <w:p>
      <w:pPr>
        <w:spacing w:after="0" w:line="87" w:lineRule="exact"/>
        <w:rPr>
          <w:sz w:val="20"/>
          <w:szCs w:val="20"/>
          <w:color w:val="auto"/>
        </w:rPr>
      </w:pPr>
    </w:p>
    <w:p>
      <w:pPr>
        <w:ind w:right="140" w:firstLine="644"/>
        <w:spacing w:after="0" w:line="257" w:lineRule="auto"/>
        <w:rPr>
          <w:sz w:val="20"/>
          <w:szCs w:val="20"/>
          <w:color w:val="auto"/>
        </w:rPr>
      </w:pPr>
      <w:r>
        <w:rPr>
          <w:rFonts w:ascii="Arial" w:cs="Arial" w:eastAsia="Arial" w:hAnsi="Arial"/>
          <w:sz w:val="18"/>
          <w:szCs w:val="18"/>
          <w:color w:val="auto"/>
        </w:rPr>
        <w:t>In October 2012, we met with the FDA to review future development of this product candidate. The FDA identified the risk/benefit profile of MN-221 (bedoradrine) as a focal point for further development and advised that a clinical outcome, such as a reduction in hospitalizations, would need to be a primary endpoint in a pivotal trial. We have decided that any future MN-221 (bedoradrine) development will be designed based on the feedback received from the FDA and that any future MN-221 (bedoradrine) clinical trial development for asthma will be partner-dependent from a funding perspective.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71" w:lineRule="exact"/>
        <w:rPr>
          <w:sz w:val="20"/>
          <w:szCs w:val="20"/>
          <w:color w:val="auto"/>
        </w:rPr>
      </w:pPr>
    </w:p>
    <w:p>
      <w:pPr>
        <w:ind w:right="140" w:firstLine="643"/>
        <w:spacing w:after="0" w:line="271" w:lineRule="auto"/>
        <w:rPr>
          <w:sz w:val="20"/>
          <w:szCs w:val="20"/>
          <w:color w:val="auto"/>
        </w:rPr>
      </w:pPr>
      <w:r>
        <w:rPr>
          <w:rFonts w:ascii="Arial" w:cs="Arial" w:eastAsia="Arial" w:hAnsi="Arial"/>
          <w:sz w:val="17"/>
          <w:szCs w:val="17"/>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the inhibitory effect 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 In addition to granting MN-001 (tipelukast) Fast Track designation for the treatment of NASH with fibrosis,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FDA has also granted MN-001 (tipelukast) Orphan-Drug designation and Fast Track designation for the treatment of idiopathic pulmonary fibrosis (IPF).</w:t>
      </w:r>
    </w:p>
    <w:p>
      <w:pPr>
        <w:spacing w:after="0" w:line="167" w:lineRule="exact"/>
        <w:rPr>
          <w:sz w:val="20"/>
          <w:szCs w:val="20"/>
          <w:color w:val="auto"/>
        </w:rPr>
      </w:pPr>
    </w:p>
    <w:p>
      <w:pPr>
        <w:ind w:right="160" w:firstLine="636"/>
        <w:spacing w:after="0" w:line="308" w:lineRule="auto"/>
        <w:rPr>
          <w:sz w:val="20"/>
          <w:szCs w:val="20"/>
          <w:color w:val="auto"/>
        </w:rPr>
      </w:pPr>
      <w:r>
        <w:rPr>
          <w:rFonts w:ascii="Arial" w:cs="Arial" w:eastAsia="Arial" w:hAnsi="Arial"/>
          <w:sz w:val="17"/>
          <w:szCs w:val="17"/>
          <w:color w:val="auto"/>
        </w:rPr>
        <w:t>Previously, we evaluated MN-001 (tipelukast) for its potential clinical efficacy in asthma and completed a Phase 2 study in asthma with positive results. MN-001 (tipelukast) has been administered to more than 600 subjects and is considered generally safe and well-tolerated.</w:t>
      </w:r>
    </w:p>
    <w:p>
      <w:pPr>
        <w:spacing w:after="0" w:line="146" w:lineRule="exact"/>
        <w:rPr>
          <w:sz w:val="20"/>
          <w:szCs w:val="20"/>
          <w:color w:val="auto"/>
        </w:rPr>
      </w:pPr>
    </w:p>
    <w:p>
      <w:pPr>
        <w:ind w:right="220" w:firstLine="644"/>
        <w:spacing w:after="0" w:line="291" w:lineRule="auto"/>
        <w:rPr>
          <w:sz w:val="20"/>
          <w:szCs w:val="20"/>
          <w:color w:val="auto"/>
        </w:rPr>
      </w:pPr>
      <w:r>
        <w:rPr>
          <w:rFonts w:ascii="Arial" w:cs="Arial" w:eastAsia="Arial" w:hAnsi="Arial"/>
          <w:sz w:val="16"/>
          <w:szCs w:val="16"/>
          <w:i w:val="1"/>
          <w:iCs w:val="1"/>
          <w:color w:val="auto"/>
        </w:rPr>
        <w:t>Nonalcoholic Steatohepatitis (NASH) and Nonalcoholic Fatty Liver Disease (NAFLD)</w:t>
      </w:r>
      <w:r>
        <w:rPr>
          <w:rFonts w:ascii="Arial" w:cs="Arial" w:eastAsia="Arial" w:hAnsi="Arial"/>
          <w:sz w:val="16"/>
          <w:szCs w:val="16"/>
          <w:color w:val="auto"/>
        </w:rPr>
        <w:t>: Nonalcoholic steatohepatitis (NASH) is a condition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there is fat in the liver 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3-12%, and an additional 30-40% of adult Americans have nonalcoholic fatty liver disease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NASH.</w:t>
      </w:r>
    </w:p>
    <w:p>
      <w:pPr>
        <w:spacing w:after="0" w:line="85" w:lineRule="exact"/>
        <w:rPr>
          <w:sz w:val="20"/>
          <w:szCs w:val="20"/>
          <w:color w:val="auto"/>
        </w:rPr>
      </w:pPr>
    </w:p>
    <w:p>
      <w:pPr>
        <w:ind w:firstLine="646"/>
        <w:spacing w:after="0" w:line="268" w:lineRule="auto"/>
        <w:rPr>
          <w:sz w:val="20"/>
          <w:szCs w:val="20"/>
          <w:color w:val="auto"/>
        </w:rPr>
      </w:pPr>
      <w:r>
        <w:rPr>
          <w:rFonts w:ascii="Arial" w:cs="Arial" w:eastAsia="Arial" w:hAnsi="Arial"/>
          <w:sz w:val="17"/>
          <w:szCs w:val="17"/>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provided compelling evidence that MN-001 (tipelukast) warrants further evaluation for the treatment of NASH in humans.</w:t>
      </w:r>
    </w:p>
    <w:p>
      <w:pPr>
        <w:spacing w:after="0" w:line="182" w:lineRule="exact"/>
        <w:rPr>
          <w:sz w:val="20"/>
          <w:szCs w:val="20"/>
          <w:color w:val="auto"/>
        </w:rPr>
      </w:pPr>
    </w:p>
    <w:p>
      <w:pPr>
        <w:ind w:firstLine="646"/>
        <w:spacing w:after="0" w:line="271" w:lineRule="auto"/>
        <w:rPr>
          <w:sz w:val="20"/>
          <w:szCs w:val="20"/>
          <w:color w:val="auto"/>
        </w:rPr>
      </w:pPr>
      <w:r>
        <w:rPr>
          <w:rFonts w:ascii="Arial" w:cs="Arial" w:eastAsia="Arial" w:hAnsi="Arial"/>
          <w:sz w:val="17"/>
          <w:szCs w:val="17"/>
          <w:color w:val="auto"/>
        </w:rPr>
        <w:t>We have an open IND and the FDA has approved two different Phase 2 clinical trial protocols for MN-001 (tipelukast) for the treatment of NASH in the United States. In April 2018, we announced that we would terminate early the Phase 2 clinical trial of MN-001 (tipelukast) in NASH and NAFLD patients with hypertriglyceridemia based on the significant positive results from an interim analysis. This data was presented at the International Liver Congress 2018, the 53rd annual meeting of the European Association for the Study of the Liver (EASL) in Paris, France in April 2018. MN-001 (tipelukast) significantly reduced mean serum triglycerides by 135.7 mg/dL, resulting in a 41.3% reduction (p=0.02), which includes the data from the 15 subjects who completed 8 weeks of treatment. Excluding one outlier with an extremely high triglyceride level of 1288 mg/dL before treatment, MN-001 (tipelukast) significantly reduced mean serum triglycerides by 74.9 mg/dL, resulting in a 28.8% reduction (p=0.00006). The FDA has granted Fast Track designation to MN-001 (tipelukast) for the treatment of patients with NASH with fibrosis.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6" w:name="page17"/>
    <w:bookmarkEnd w:id="16"/>
    <w:p>
      <w:pPr>
        <w:ind w:firstLine="646"/>
        <w:spacing w:after="0" w:line="257" w:lineRule="auto"/>
        <w:rPr>
          <w:sz w:val="20"/>
          <w:szCs w:val="20"/>
          <w:color w:val="auto"/>
        </w:rPr>
      </w:pPr>
      <w:r>
        <w:rPr>
          <w:rFonts w:ascii="Arial" w:cs="Arial" w:eastAsia="Arial" w:hAnsi="Arial"/>
          <w:sz w:val="18"/>
          <w:szCs w:val="18"/>
          <w:color w:val="auto"/>
        </w:rPr>
        <w:t>In November 2020, we announced positive results of in-vitro and in-vivo studies that evaluated MN-001 (tipelukast) for its anti-liver fibrotic effect in human hepatic stellate cells (HSCs) and in an acute liver injury model at the the annual meeting of the American Association for the Study of Liver Diseases (AASLD). MN-001 attenuated TGFβ1 induced HSC activation, TGFβ1 mediated increase in HSC motility and contractility, and fibrogenic signaling in a mouse acute carbon tetrachloride (CCl</w:t>
      </w:r>
      <w:r>
        <w:rPr>
          <w:rFonts w:ascii="Arial" w:cs="Arial" w:eastAsia="Arial" w:hAnsi="Arial"/>
          <w:sz w:val="15"/>
          <w:szCs w:val="15"/>
          <w:color w:val="auto"/>
        </w:rPr>
        <w:t>4</w:t>
      </w:r>
      <w:r>
        <w:rPr>
          <w:rFonts w:ascii="Arial" w:cs="Arial" w:eastAsia="Arial" w:hAnsi="Arial"/>
          <w:sz w:val="18"/>
          <w:szCs w:val="18"/>
          <w:color w:val="auto"/>
        </w:rPr>
        <w:t>)-induced liver injury model. These data provide additional scientific evidence to support MN-001’s anti-fibrotic effects in the liver.</w:t>
      </w:r>
    </w:p>
    <w:p>
      <w:pPr>
        <w:spacing w:after="0" w:line="134" w:lineRule="exact"/>
        <w:rPr>
          <w:sz w:val="20"/>
          <w:szCs w:val="20"/>
          <w:color w:val="auto"/>
        </w:rPr>
      </w:pPr>
    </w:p>
    <w:p>
      <w:pPr>
        <w:jc w:val="both"/>
        <w:ind w:right="220" w:firstLine="633"/>
        <w:spacing w:after="0" w:line="257" w:lineRule="auto"/>
        <w:rPr>
          <w:sz w:val="20"/>
          <w:szCs w:val="20"/>
          <w:color w:val="auto"/>
        </w:rPr>
      </w:pPr>
      <w:r>
        <w:rPr>
          <w:rFonts w:ascii="Arial" w:cs="Arial" w:eastAsia="Arial" w:hAnsi="Arial"/>
          <w:sz w:val="18"/>
          <w:szCs w:val="18"/>
          <w:i w:val="1"/>
          <w:iCs w:val="1"/>
          <w:color w:val="auto"/>
        </w:rPr>
        <w:t xml:space="preserve">Idiopathic Pulmonary Fibrosis (IPF): </w:t>
      </w:r>
      <w:r>
        <w:rPr>
          <w:rFonts w:ascii="Arial" w:cs="Arial" w:eastAsia="Arial" w:hAnsi="Arial"/>
          <w:sz w:val="18"/>
          <w:szCs w:val="18"/>
          <w:color w:val="auto"/>
        </w:rPr>
        <w:t>Pulmonary fibrosis (PF) is a progressive disease characterized by scarring of the lungs that thickens the</w:t>
      </w:r>
      <w:r>
        <w:rPr>
          <w:rFonts w:ascii="Arial" w:cs="Arial" w:eastAsia="Arial" w:hAnsi="Arial"/>
          <w:sz w:val="18"/>
          <w:szCs w:val="18"/>
          <w:i w:val="1"/>
          <w:iCs w:val="1"/>
          <w:color w:val="auto"/>
        </w:rPr>
        <w:t xml:space="preserve"> </w:t>
      </w:r>
      <w:r>
        <w:rPr>
          <w:rFonts w:ascii="Arial" w:cs="Arial" w:eastAsia="Arial" w:hAnsi="Arial"/>
          <w:sz w:val="18"/>
          <w:szCs w:val="18"/>
          <w:color w:val="auto"/>
        </w:rPr>
        <w:t>lining, causing an irreversible loss of the tissue's ability to transport oxygen. The causes of PF vary and can be due to anti-cancer drug therapy or exposure to chemicals. Idiopathic pulmonary fibrosis (IPF) is one type of PF without a clear cause. According to the U.S. National Library of Medicine, IPF affects approximately 100,000 people in the United States, and 30,000 to 40,000 new cases are diagnosed annually. The prognosis for IPF is poor and most IPF patients survive only three to five years after diagnosis.</w:t>
      </w:r>
    </w:p>
    <w:p>
      <w:pPr>
        <w:spacing w:after="0" w:line="93" w:lineRule="exact"/>
        <w:rPr>
          <w:sz w:val="20"/>
          <w:szCs w:val="20"/>
          <w:color w:val="auto"/>
        </w:rPr>
      </w:pPr>
    </w:p>
    <w:p>
      <w:pPr>
        <w:ind w:right="180" w:firstLine="636"/>
        <w:spacing w:after="0" w:line="254" w:lineRule="auto"/>
        <w:rPr>
          <w:sz w:val="20"/>
          <w:szCs w:val="20"/>
          <w:color w:val="auto"/>
        </w:rPr>
      </w:pPr>
      <w:r>
        <w:rPr>
          <w:rFonts w:ascii="Arial" w:cs="Arial" w:eastAsia="Arial" w:hAnsi="Arial"/>
          <w:sz w:val="18"/>
          <w:szCs w:val="18"/>
          <w:color w:val="auto"/>
        </w:rPr>
        <w:t>We completed a pre-clinical study evaluating the potential clinical efficacy of MN-001 (tipelukast) for the treatment of pulmonary fibrosis. MN-001 (tipelukast), which was administered orally once daily (30, 100 and 300 mg/kg) for two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 tissue. MN-001 (tipelukast) significantly decreased the Ashcroft score compared to the Vehicle-treated group (p&lt;0.05) after two weeks of treatment and MN-001 (tipelukast) reduced lung density when compared to the Vehicle-treated group. Moreover, lung hydroxyproline content was significantly reduced compared to the Vehicle-treated group (p&lt;0.01). These results show that treatment with MN-001 (tipelukast) has significant anti-fibrogenic effects in bleomycin-induced pulmonary fibrosis in mice.</w:t>
      </w:r>
    </w:p>
    <w:p>
      <w:pPr>
        <w:spacing w:after="0" w:line="57" w:lineRule="exact"/>
        <w:rPr>
          <w:sz w:val="20"/>
          <w:szCs w:val="20"/>
          <w:color w:val="auto"/>
        </w:rPr>
      </w:pPr>
    </w:p>
    <w:p>
      <w:pPr>
        <w:ind w:right="120" w:firstLine="643"/>
        <w:spacing w:after="0" w:line="279" w:lineRule="auto"/>
        <w:rPr>
          <w:sz w:val="20"/>
          <w:szCs w:val="20"/>
          <w:color w:val="auto"/>
        </w:rPr>
      </w:pPr>
      <w:r>
        <w:rPr>
          <w:rFonts w:ascii="Arial" w:cs="Arial" w:eastAsia="Arial" w:hAnsi="Arial"/>
          <w:sz w:val="17"/>
          <w:szCs w:val="17"/>
          <w:color w:val="auto"/>
        </w:rPr>
        <w:t>We have an open IND and the FDA approved a Phase 2 clinical trial protocol for MN-001 (tipelukast) for the treatment of IPF. A Phase 2 clinical trial of MN-001 (tipelukast) in IPF is currently ongoing at Penn State. The FDA has granted Orphan-Drug designation to MN-001 (tipelukast) for treatment of IPF. Orphan-Drug designation will provide seven years of marketing exclusivity for MN-001 (tipelukast) for the treatment of IPF if it is approved for this indication. The FDA has also granted Fast Track designation to MN-001 (tipelukast) for the treatment of patients with IPF.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71" w:lineRule="exact"/>
        <w:rPr>
          <w:sz w:val="20"/>
          <w:szCs w:val="20"/>
          <w:color w:val="auto"/>
        </w:rPr>
      </w:pPr>
    </w:p>
    <w:p>
      <w:pPr>
        <w:ind w:right="240" w:firstLine="643"/>
        <w:spacing w:after="0" w:line="259" w:lineRule="auto"/>
        <w:rPr>
          <w:sz w:val="20"/>
          <w:szCs w:val="20"/>
          <w:color w:val="auto"/>
        </w:rPr>
      </w:pPr>
      <w:r>
        <w:rPr>
          <w:rFonts w:ascii="Arial" w:cs="Arial" w:eastAsia="Arial" w:hAnsi="Arial"/>
          <w:sz w:val="18"/>
          <w:szCs w:val="18"/>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(denibulin) from Angiogene Pharmaceuticals, Ltd. (Angiogene) in 2002.</w:t>
      </w:r>
    </w:p>
    <w:p>
      <w:pPr>
        <w:spacing w:after="0" w:line="92" w:lineRule="exact"/>
        <w:rPr>
          <w:sz w:val="20"/>
          <w:szCs w:val="20"/>
          <w:color w:val="auto"/>
        </w:rPr>
      </w:pPr>
    </w:p>
    <w:p>
      <w:pPr>
        <w:ind w:right="400" w:firstLine="629"/>
        <w:spacing w:after="0" w:line="272" w:lineRule="auto"/>
        <w:rPr>
          <w:sz w:val="20"/>
          <w:szCs w:val="20"/>
          <w:color w:val="auto"/>
        </w:rPr>
      </w:pPr>
      <w:r>
        <w:rPr>
          <w:rFonts w:ascii="Arial" w:cs="Arial" w:eastAsia="Arial" w:hAnsi="Arial"/>
          <w:sz w:val="17"/>
          <w:szCs w:val="17"/>
          <w:color w:val="auto"/>
        </w:rPr>
        <w:t xml:space="preserve">Several preclinical pharmacology studies have assessed the mechanism of action and anti-tumor activity of MN-029 (denibulin)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rodent models of breast adenocarcinoma, colon carcinoma, lung carcinoma and KHT sarcoma. In these studies, MN-029 (denibulin) damaged poorly formed tumor blood vessels by weakening tumor blood vessel walls and causing leakage, clotting and eventual vascular shutdown within the tumor, in addition to the direct effect over tumor cells. These studies suggest that MN-029 (denibulin)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(denibulin) was well-tolerated at doses that reduced tumor blood flow.</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firstLine="644"/>
        <w:spacing w:after="0" w:line="286" w:lineRule="auto"/>
        <w:rPr>
          <w:sz w:val="20"/>
          <w:szCs w:val="20"/>
          <w:color w:val="auto"/>
        </w:rPr>
      </w:pPr>
      <w:r>
        <w:rPr>
          <w:rFonts w:ascii="Arial" w:cs="Arial" w:eastAsia="Arial" w:hAnsi="Arial"/>
          <w:sz w:val="16"/>
          <w:szCs w:val="16"/>
          <w:color w:val="auto"/>
        </w:rPr>
        <w:t>The first Phase 1 trial determined the safety, tolerability, and maximum tolerated dose (MTD) level of single doses of MN-029 (denibulin) given every three weeks in 34 subjects with refractory cancer. The MTD was determined to be 180 mg/m</w:t>
      </w:r>
      <w:r>
        <w:rPr>
          <w:rFonts w:ascii="Arial" w:cs="Arial" w:eastAsia="Arial" w:hAnsi="Arial"/>
          <w:sz w:val="13"/>
          <w:szCs w:val="13"/>
          <w:color w:val="auto"/>
        </w:rPr>
        <w:t>2</w:t>
      </w:r>
      <w:r>
        <w:rPr>
          <w:rFonts w:ascii="Arial" w:cs="Arial" w:eastAsia="Arial" w:hAnsi="Arial"/>
          <w:sz w:val="16"/>
          <w:szCs w:val="16"/>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 chemotherapies - vomiting, nausea, diarrhea, and fatigue. There was a total of nine serious adverse events (SAEs) and study discontinuations due to AEs. In a preliminary evaluation of anti-tumor activity, no patient had a complete response or partial response; however stable disease was seen in 12 patients. MN-029 (denibulin) had a desired vascular effect in seven of 11 patients that were administered drug at dose levels of ≥120 mg/m</w:t>
      </w:r>
      <w:r>
        <w:rPr>
          <w:rFonts w:ascii="Arial" w:cs="Arial" w:eastAsia="Arial" w:hAnsi="Arial"/>
          <w:sz w:val="13"/>
          <w:szCs w:val="13"/>
          <w:color w:val="auto"/>
        </w:rPr>
        <w:t>2</w:t>
      </w:r>
      <w:r>
        <w:rPr>
          <w:rFonts w:ascii="Arial" w:cs="Arial" w:eastAsia="Arial" w:hAnsi="Arial"/>
          <w:sz w:val="16"/>
          <w:szCs w:val="16"/>
          <w:color w:val="auto"/>
        </w:rPr>
        <w:t>. Nine patients continued into extended cycles of treatment.</w:t>
      </w:r>
    </w:p>
    <w:p>
      <w:pPr>
        <w:spacing w:after="0" w:line="4" w:lineRule="exact"/>
        <w:rPr>
          <w:sz w:val="20"/>
          <w:szCs w:val="20"/>
          <w:color w:val="auto"/>
        </w:rPr>
      </w:pPr>
    </w:p>
    <w:p>
      <w:pPr>
        <w:ind w:firstLine="646"/>
        <w:spacing w:after="0" w:line="271" w:lineRule="auto"/>
        <w:rPr>
          <w:sz w:val="20"/>
          <w:szCs w:val="20"/>
          <w:color w:val="auto"/>
        </w:rPr>
      </w:pPr>
      <w:r>
        <w:rPr>
          <w:rFonts w:ascii="Arial" w:cs="Arial" w:eastAsia="Arial" w:hAnsi="Arial"/>
          <w:sz w:val="17"/>
          <w:szCs w:val="17"/>
          <w:color w:val="auto"/>
        </w:rPr>
        <w:t>The second Phase 1 study was conducted to determine the safety, tolerability and MTD of single doses of MN-029 (denibulin) given every seven days for a total of three doses (Days 1, 8 and 15), followed by 13-day recovery (Days 16-28) in subjects with advanced/metastatic solid tumor cancer. Subjects who tolerated treatment with MN-029 (denibulin) could receive additional cycles. All 20 subjects reported at least one AE related to the study drug. The most common AEs considered related to the study drug were vomiting, nausea, arthralgia and headache. There were no clinically significant changes in routine laboratory assessments, vital signs, or ECG monitoring. There was one SAE considered unrelated to the study drug. Consistent with the previous Phase 1 trial, MN-029 (denibulin) up to dose levels of 180 mg/m</w:t>
      </w:r>
      <w:r>
        <w:rPr>
          <w:rFonts w:ascii="Arial" w:cs="Arial" w:eastAsia="Arial" w:hAnsi="Arial"/>
          <w:sz w:val="14"/>
          <w:szCs w:val="14"/>
          <w:color w:val="auto"/>
        </w:rPr>
        <w:t>2</w:t>
      </w:r>
      <w:r>
        <w:rPr>
          <w:rFonts w:ascii="Arial" w:cs="Arial" w:eastAsia="Arial" w:hAnsi="Arial"/>
          <w:sz w:val="17"/>
          <w:szCs w:val="17"/>
          <w:color w:val="auto"/>
        </w:rPr>
        <w:t xml:space="preserve"> appeared to be safe and well tolerated. One subject had a partial response which lasted for 74 days. Stable disease was observed in seven subjects. The results suggested an effect of MN-029 (denibulin) on vascular perfusion; however, a larger sample size is warranted.</w:t>
      </w:r>
    </w:p>
    <w:p>
      <w:pPr>
        <w:spacing w:after="0" w:line="84" w:lineRule="exact"/>
        <w:rPr>
          <w:sz w:val="20"/>
          <w:szCs w:val="20"/>
          <w:color w:val="auto"/>
        </w:rPr>
      </w:pPr>
    </w:p>
    <w:p>
      <w:pPr>
        <w:ind w:firstLine="639"/>
        <w:spacing w:after="0" w:line="259" w:lineRule="auto"/>
        <w:rPr>
          <w:sz w:val="20"/>
          <w:szCs w:val="20"/>
          <w:color w:val="auto"/>
        </w:rPr>
      </w:pPr>
      <w:r>
        <w:rPr>
          <w:rFonts w:ascii="Arial" w:cs="Arial" w:eastAsia="Arial" w:hAnsi="Arial"/>
          <w:sz w:val="18"/>
          <w:szCs w:val="18"/>
          <w:color w:val="auto"/>
        </w:rPr>
        <w:t>In January 2014, we were granted a new patent from the United States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most of them have been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Table 1: MN-166 (ibudilast) Clinical Trials and Programs</w:t>
      </w: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Indication</w:t>
            </w:r>
          </w:p>
        </w:tc>
        <w:tc>
          <w:tcPr>
            <w:tcW w:w="26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Study</w:t>
            </w:r>
          </w:p>
        </w:tc>
        <w:tc>
          <w:tcPr>
            <w:tcW w:w="0" w:type="dxa"/>
            <w:vAlign w:val="bottom"/>
          </w:tcPr>
          <w:p>
            <w:pPr>
              <w:spacing w:after="0"/>
              <w:rPr>
                <w:sz w:val="1"/>
                <w:szCs w:val="1"/>
                <w:color w:val="auto"/>
              </w:rPr>
            </w:pPr>
          </w:p>
        </w:tc>
      </w:tr>
      <w:tr>
        <w:trPr>
          <w:trHeight w:val="411"/>
        </w:trPr>
        <w:tc>
          <w:tcPr>
            <w:tcW w:w="180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2540" w:type="dxa"/>
            <w:vAlign w:val="bottom"/>
          </w:tcPr>
          <w:p>
            <w:pPr>
              <w:spacing w:after="0"/>
              <w:rPr>
                <w:sz w:val="20"/>
                <w:szCs w:val="20"/>
                <w:color w:val="auto"/>
              </w:rPr>
            </w:pPr>
            <w:r>
              <w:rPr>
                <w:rFonts w:ascii="Arial" w:cs="Arial" w:eastAsia="Arial" w:hAnsi="Arial"/>
                <w:sz w:val="18"/>
                <w:szCs w:val="18"/>
                <w:color w:val="auto"/>
              </w:rPr>
              <w:t>A Randomized, Double-Blind,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Placebo-Controlled, Parallel</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Group Study to Evaluate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Efficacy, Safety, Tolerability,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Biomarkers and PK of MN-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166 (Ibudilast) in COVID-19</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Subjects at Risk for Developing</w:t>
            </w:r>
          </w:p>
        </w:tc>
        <w:tc>
          <w:tcPr>
            <w:tcW w:w="0" w:type="dxa"/>
            <w:vAlign w:val="bottom"/>
          </w:tcPr>
          <w:p>
            <w:pPr>
              <w:spacing w:after="0"/>
              <w:rPr>
                <w:sz w:val="1"/>
                <w:szCs w:val="1"/>
                <w:color w:val="auto"/>
              </w:rPr>
            </w:pPr>
          </w:p>
        </w:tc>
      </w:tr>
      <w:tr>
        <w:trPr>
          <w:trHeight w:val="230"/>
        </w:trPr>
        <w:tc>
          <w:tcPr>
            <w:tcW w:w="1800" w:type="dxa"/>
            <w:vAlign w:val="bottom"/>
            <w:gridSpan w:val="2"/>
            <w:vMerge w:val="restart"/>
          </w:tcPr>
          <w:p>
            <w:pPr>
              <w:spacing w:after="0"/>
              <w:rPr>
                <w:sz w:val="20"/>
                <w:szCs w:val="20"/>
                <w:color w:val="auto"/>
              </w:rPr>
            </w:pPr>
            <w:r>
              <w:rPr>
                <w:rFonts w:ascii="Arial" w:cs="Arial" w:eastAsia="Arial" w:hAnsi="Arial"/>
                <w:sz w:val="18"/>
                <w:szCs w:val="18"/>
                <w:color w:val="auto"/>
              </w:rPr>
              <w:t>Primary Progressive</w:t>
            </w:r>
          </w:p>
        </w:tc>
        <w:tc>
          <w:tcPr>
            <w:tcW w:w="2540" w:type="dxa"/>
            <w:vAlign w:val="bottom"/>
          </w:tcPr>
          <w:p>
            <w:pPr>
              <w:spacing w:after="0"/>
              <w:rPr>
                <w:sz w:val="20"/>
                <w:szCs w:val="20"/>
                <w:color w:val="auto"/>
              </w:rPr>
            </w:pPr>
            <w:r>
              <w:rPr>
                <w:rFonts w:ascii="Arial" w:cs="Arial" w:eastAsia="Arial" w:hAnsi="Arial"/>
                <w:sz w:val="18"/>
                <w:szCs w:val="18"/>
                <w:color w:val="auto"/>
              </w:rPr>
              <w:t>ARDS</w:t>
            </w:r>
          </w:p>
        </w:tc>
        <w:tc>
          <w:tcPr>
            <w:tcW w:w="0" w:type="dxa"/>
            <w:vAlign w:val="bottom"/>
          </w:tcPr>
          <w:p>
            <w:pPr>
              <w:spacing w:after="0"/>
              <w:rPr>
                <w:sz w:val="1"/>
                <w:szCs w:val="1"/>
                <w:color w:val="auto"/>
              </w:rPr>
            </w:pPr>
          </w:p>
        </w:tc>
      </w:tr>
      <w:tr>
        <w:trPr>
          <w:trHeight w:val="202"/>
        </w:trPr>
        <w:tc>
          <w:tcPr>
            <w:tcW w:w="1800" w:type="dxa"/>
            <w:vAlign w:val="bottom"/>
            <w:gridSpan w:val="2"/>
            <w:vMerge w:val="continue"/>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and Secondary</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Progressive Multiple</w:t>
            </w:r>
          </w:p>
        </w:tc>
        <w:tc>
          <w:tcPr>
            <w:tcW w:w="2540" w:type="dxa"/>
            <w:vAlign w:val="bottom"/>
          </w:tcPr>
          <w:p>
            <w:pPr>
              <w:spacing w:after="0"/>
              <w:rPr>
                <w:sz w:val="20"/>
                <w:szCs w:val="20"/>
                <w:color w:val="auto"/>
              </w:rPr>
            </w:pPr>
            <w:r>
              <w:rPr>
                <w:rFonts w:ascii="Arial" w:cs="Arial" w:eastAsia="Arial" w:hAnsi="Arial"/>
                <w:sz w:val="18"/>
                <w:szCs w:val="18"/>
                <w:color w:val="auto"/>
              </w:rPr>
              <w:t>A Randomized, Double-Blind,</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Sclerosis</w:t>
            </w:r>
          </w:p>
        </w:tc>
        <w:tc>
          <w:tcPr>
            <w:tcW w:w="2540" w:type="dxa"/>
            <w:vAlign w:val="bottom"/>
          </w:tcPr>
          <w:p>
            <w:pPr>
              <w:spacing w:after="0"/>
              <w:rPr>
                <w:sz w:val="20"/>
                <w:szCs w:val="20"/>
                <w:color w:val="auto"/>
              </w:rPr>
            </w:pPr>
            <w:r>
              <w:rPr>
                <w:rFonts w:ascii="Arial" w:cs="Arial" w:eastAsia="Arial" w:hAnsi="Arial"/>
                <w:sz w:val="18"/>
                <w:szCs w:val="18"/>
                <w:color w:val="auto"/>
              </w:rPr>
              <w:t>Placebo-Controlled Study to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9"/>
              </w:rPr>
              <w:t>Evaluate the Safety, Tolerability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and Activity of Ibudilast (MN-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4"/>
              </w:rPr>
              <w:t>166) in Subjects with Progressive</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Multiple Sclerosis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Institution and Funding Agency(s)</w:t>
      </w:r>
      <w:r>
        <w:rPr>
          <w:sz w:val="20"/>
          <w:szCs w:val="20"/>
          <w:color w:val="auto"/>
        </w:rPr>
        <w:tab/>
      </w:r>
      <w:r>
        <w:rPr>
          <w:rFonts w:ascii="Arial" w:cs="Arial" w:eastAsia="Arial" w:hAnsi="Arial"/>
          <w:sz w:val="15"/>
          <w:szCs w:val="15"/>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203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9" w:lineRule="exact"/>
        <w:rPr>
          <w:sz w:val="20"/>
          <w:szCs w:val="20"/>
          <w:color w:val="auto"/>
        </w:rPr>
      </w:pPr>
    </w:p>
    <w:p>
      <w:pPr>
        <w:ind w:right="2040"/>
        <w:spacing w:after="0" w:line="258" w:lineRule="auto"/>
        <w:rPr>
          <w:sz w:val="20"/>
          <w:szCs w:val="20"/>
          <w:color w:val="auto"/>
        </w:rPr>
      </w:pPr>
      <w:r>
        <w:rPr>
          <w:rFonts w:ascii="Arial" w:cs="Arial" w:eastAsia="Arial" w:hAnsi="Arial"/>
          <w:sz w:val="18"/>
          <w:szCs w:val="18"/>
          <w:color w:val="auto"/>
        </w:rPr>
        <w:t>Multicenter Ongoing MediciNova,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Cleveland Clinic / Multicenter</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Neurological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Diseases and Stroke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073" w:lineRule="exact"/>
        <w:rPr>
          <w:sz w:val="20"/>
          <w:szCs w:val="20"/>
          <w:color w:val="auto"/>
        </w:rPr>
      </w:pPr>
    </w:p>
    <w:p>
      <w:pPr>
        <w:sectPr>
          <w:pgSz w:w="11900" w:h="16838" w:orient="portrait"/>
          <w:cols w:equalWidth="0" w:num="2">
            <w:col w:w="5760" w:space="100"/>
            <w:col w:w="5360"/>
          </w:cols>
          <w:pgMar w:left="320" w:top="341" w:right="35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Amyotrophic Lateral</w:t>
            </w:r>
          </w:p>
        </w:tc>
        <w:tc>
          <w:tcPr>
            <w:tcW w:w="2760" w:type="dxa"/>
            <w:vAlign w:val="bottom"/>
          </w:tcPr>
          <w:p>
            <w:pPr>
              <w:ind w:left="140"/>
              <w:spacing w:after="0"/>
              <w:rPr>
                <w:sz w:val="20"/>
                <w:szCs w:val="20"/>
                <w:color w:val="auto"/>
              </w:rPr>
            </w:pPr>
            <w:r>
              <w:rPr>
                <w:rFonts w:ascii="Arial" w:cs="Arial" w:eastAsia="Arial" w:hAnsi="Arial"/>
                <w:sz w:val="18"/>
                <w:szCs w:val="18"/>
                <w:color w:val="auto"/>
              </w:rPr>
              <w:t>A Single-Center, Randomized,</w:t>
            </w:r>
          </w:p>
        </w:tc>
        <w:tc>
          <w:tcPr>
            <w:tcW w:w="2680" w:type="dxa"/>
            <w:vAlign w:val="bottom"/>
          </w:tcPr>
          <w:p>
            <w:pPr>
              <w:ind w:left="20"/>
              <w:spacing w:after="0"/>
              <w:rPr>
                <w:sz w:val="20"/>
                <w:szCs w:val="20"/>
                <w:color w:val="auto"/>
              </w:rPr>
            </w:pPr>
            <w:r>
              <w:rPr>
                <w:rFonts w:ascii="Arial" w:cs="Arial" w:eastAsia="Arial" w:hAnsi="Arial"/>
                <w:sz w:val="18"/>
                <w:szCs w:val="18"/>
                <w:color w:val="auto"/>
              </w:rPr>
              <w:t>Carolinas HealthCare System</w:t>
            </w:r>
          </w:p>
        </w:tc>
        <w:tc>
          <w:tcPr>
            <w:tcW w:w="2720" w:type="dxa"/>
            <w:vAlign w:val="bottom"/>
          </w:tcPr>
          <w:p>
            <w:pPr>
              <w:ind w:left="40"/>
              <w:spacing w:after="0"/>
              <w:rPr>
                <w:sz w:val="20"/>
                <w:szCs w:val="20"/>
                <w:color w:val="auto"/>
              </w:rPr>
            </w:pPr>
            <w:r>
              <w:rPr>
                <w:rFonts w:ascii="Arial" w:cs="Arial" w:eastAsia="Arial" w:hAnsi="Arial"/>
                <w:sz w:val="18"/>
                <w:szCs w:val="18"/>
                <w:color w:val="auto"/>
              </w:rPr>
              <w:t>Completed</w:t>
            </w:r>
          </w:p>
        </w:tc>
      </w:t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Sclerosis (ALS)</w:t>
            </w:r>
          </w:p>
        </w:tc>
        <w:tc>
          <w:tcPr>
            <w:tcW w:w="2760" w:type="dxa"/>
            <w:vAlign w:val="bottom"/>
          </w:tcPr>
          <w:p>
            <w:pPr>
              <w:ind w:left="140"/>
              <w:spacing w:after="0"/>
              <w:rPr>
                <w:sz w:val="20"/>
                <w:szCs w:val="20"/>
                <w:color w:val="auto"/>
              </w:rPr>
            </w:pPr>
            <w:r>
              <w:rPr>
                <w:rFonts w:ascii="Arial" w:cs="Arial" w:eastAsia="Arial" w:hAnsi="Arial"/>
                <w:sz w:val="18"/>
                <w:szCs w:val="18"/>
                <w:color w:val="auto"/>
                <w:w w:val="95"/>
              </w:rPr>
              <w:t>Double-Blind, Placebo-Controlled,</w:t>
            </w:r>
          </w:p>
        </w:tc>
        <w:tc>
          <w:tcPr>
            <w:tcW w:w="2680" w:type="dxa"/>
            <w:vAlign w:val="bottom"/>
          </w:tcPr>
          <w:p>
            <w:pPr>
              <w:ind w:left="20"/>
              <w:spacing w:after="0"/>
              <w:rPr>
                <w:sz w:val="20"/>
                <w:szCs w:val="20"/>
                <w:color w:val="auto"/>
              </w:rPr>
            </w:pPr>
            <w:r>
              <w:rPr>
                <w:rFonts w:ascii="Arial" w:cs="Arial" w:eastAsia="Arial" w:hAnsi="Arial"/>
                <w:sz w:val="18"/>
                <w:szCs w:val="18"/>
                <w:color w:val="auto"/>
              </w:rPr>
              <w:t>Neurosciences Institute</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w w:val="99"/>
              </w:rPr>
              <w:t>Six Month Clinical Trial Followed</w:t>
            </w:r>
          </w:p>
        </w:tc>
        <w:tc>
          <w:tcPr>
            <w:tcW w:w="268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by an Open-Label Extension to</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Evaluate the Safety, Tolerability,</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and Clinical Endpoint</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w w:val="96"/>
              </w:rPr>
              <w:t>Responsiveness of Ibudilast (MN-</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166) in Subjects with</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Amyotrophic Lateral Sclerosis</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(ALS)</w:t>
            </w:r>
          </w:p>
        </w:tc>
        <w:tc>
          <w:tcPr>
            <w:tcW w:w="26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34"/>
        </w:trPr>
        <w:tc>
          <w:tcPr>
            <w:tcW w:w="3080" w:type="dxa"/>
            <w:vAlign w:val="bottom"/>
          </w:tcPr>
          <w:p>
            <w:pPr>
              <w:ind w:left="1420"/>
              <w:spacing w:after="0"/>
              <w:rPr>
                <w:sz w:val="20"/>
                <w:szCs w:val="20"/>
                <w:color w:val="auto"/>
              </w:rPr>
            </w:pPr>
            <w:r>
              <w:rPr>
                <w:rFonts w:ascii="Arial" w:cs="Arial" w:eastAsia="Arial" w:hAnsi="Arial"/>
                <w:sz w:val="18"/>
                <w:szCs w:val="18"/>
                <w:color w:val="auto"/>
              </w:rPr>
              <w:t>ALS / Biomarker</w:t>
            </w:r>
          </w:p>
        </w:tc>
        <w:tc>
          <w:tcPr>
            <w:tcW w:w="2760" w:type="dxa"/>
            <w:vAlign w:val="bottom"/>
          </w:tcPr>
          <w:p>
            <w:pPr>
              <w:ind w:left="140"/>
              <w:spacing w:after="0"/>
              <w:rPr>
                <w:sz w:val="20"/>
                <w:szCs w:val="20"/>
                <w:color w:val="auto"/>
              </w:rPr>
            </w:pPr>
            <w:r>
              <w:rPr>
                <w:rFonts w:ascii="Arial" w:cs="Arial" w:eastAsia="Arial" w:hAnsi="Arial"/>
                <w:sz w:val="18"/>
                <w:szCs w:val="18"/>
                <w:color w:val="auto"/>
              </w:rPr>
              <w:t>A Biomarker Study to Evaluate</w:t>
            </w:r>
          </w:p>
        </w:tc>
        <w:tc>
          <w:tcPr>
            <w:tcW w:w="2680" w:type="dxa"/>
            <w:vAlign w:val="bottom"/>
          </w:tcPr>
          <w:p>
            <w:pPr>
              <w:ind w:left="20"/>
              <w:spacing w:after="0"/>
              <w:rPr>
                <w:sz w:val="20"/>
                <w:szCs w:val="20"/>
                <w:color w:val="auto"/>
              </w:rPr>
            </w:pPr>
            <w:r>
              <w:rPr>
                <w:rFonts w:ascii="Arial" w:cs="Arial" w:eastAsia="Arial" w:hAnsi="Arial"/>
                <w:sz w:val="18"/>
                <w:szCs w:val="18"/>
                <w:color w:val="auto"/>
              </w:rPr>
              <w:t>Massachusetts General Hospital</w:t>
            </w:r>
          </w:p>
        </w:tc>
        <w:tc>
          <w:tcPr>
            <w:tcW w:w="2720" w:type="dxa"/>
            <w:vAlign w:val="bottom"/>
          </w:tcPr>
          <w:p>
            <w:pPr>
              <w:ind w:left="40"/>
              <w:spacing w:after="0"/>
              <w:rPr>
                <w:sz w:val="20"/>
                <w:szCs w:val="20"/>
                <w:color w:val="auto"/>
              </w:rPr>
            </w:pPr>
            <w:r>
              <w:rPr>
                <w:rFonts w:ascii="Arial" w:cs="Arial" w:eastAsia="Arial" w:hAnsi="Arial"/>
                <w:sz w:val="18"/>
                <w:szCs w:val="18"/>
                <w:color w:val="auto"/>
              </w:rPr>
              <w:t>Completed</w:t>
            </w: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MN-166 (ibudilast) in Subjects</w:t>
            </w:r>
          </w:p>
        </w:tc>
        <w:tc>
          <w:tcPr>
            <w:tcW w:w="268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with Amyotrophic Literal</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Sclerosis (ALS)</w:t>
            </w:r>
          </w:p>
        </w:tc>
        <w:tc>
          <w:tcPr>
            <w:tcW w:w="26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3080" w:type="dxa"/>
            <w:vAlign w:val="bottom"/>
          </w:tcPr>
          <w:p>
            <w:pPr>
              <w:ind w:left="1420"/>
              <w:spacing w:after="0"/>
              <w:rPr>
                <w:sz w:val="20"/>
                <w:szCs w:val="20"/>
                <w:color w:val="auto"/>
              </w:rPr>
            </w:pPr>
            <w:r>
              <w:rPr>
                <w:rFonts w:ascii="Arial" w:cs="Arial" w:eastAsia="Arial" w:hAnsi="Arial"/>
                <w:sz w:val="18"/>
                <w:szCs w:val="18"/>
                <w:color w:val="auto"/>
              </w:rPr>
              <w:t>Amyotrophic Lateral</w:t>
            </w:r>
          </w:p>
        </w:tc>
        <w:tc>
          <w:tcPr>
            <w:tcW w:w="2760" w:type="dxa"/>
            <w:vAlign w:val="bottom"/>
          </w:tcPr>
          <w:p>
            <w:pPr>
              <w:ind w:left="140"/>
              <w:spacing w:after="0"/>
              <w:rPr>
                <w:sz w:val="20"/>
                <w:szCs w:val="20"/>
                <w:color w:val="auto"/>
              </w:rPr>
            </w:pPr>
            <w:r>
              <w:rPr>
                <w:rFonts w:ascii="Arial" w:cs="Arial" w:eastAsia="Arial" w:hAnsi="Arial"/>
                <w:sz w:val="18"/>
                <w:szCs w:val="18"/>
                <w:color w:val="auto"/>
              </w:rPr>
              <w:t>A Phase 2b/3, Multi-Center,</w:t>
            </w:r>
          </w:p>
        </w:tc>
        <w:tc>
          <w:tcPr>
            <w:tcW w:w="2680" w:type="dxa"/>
            <w:vAlign w:val="bottom"/>
          </w:tcPr>
          <w:p>
            <w:pPr>
              <w:ind w:left="20"/>
              <w:spacing w:after="0"/>
              <w:rPr>
                <w:sz w:val="20"/>
                <w:szCs w:val="20"/>
                <w:color w:val="auto"/>
              </w:rPr>
            </w:pPr>
            <w:r>
              <w:rPr>
                <w:rFonts w:ascii="Arial" w:cs="Arial" w:eastAsia="Arial" w:hAnsi="Arial"/>
                <w:sz w:val="18"/>
                <w:szCs w:val="18"/>
                <w:color w:val="auto"/>
              </w:rPr>
              <w:t>Multicenter</w:t>
            </w:r>
          </w:p>
        </w:tc>
        <w:tc>
          <w:tcPr>
            <w:tcW w:w="2720" w:type="dxa"/>
            <w:vAlign w:val="bottom"/>
          </w:tcPr>
          <w:p>
            <w:pPr>
              <w:ind w:left="40"/>
              <w:spacing w:after="0"/>
              <w:rPr>
                <w:sz w:val="20"/>
                <w:szCs w:val="20"/>
                <w:color w:val="auto"/>
              </w:rPr>
            </w:pPr>
            <w:r>
              <w:rPr>
                <w:rFonts w:ascii="Arial" w:cs="Arial" w:eastAsia="Arial" w:hAnsi="Arial"/>
                <w:sz w:val="18"/>
                <w:szCs w:val="18"/>
                <w:color w:val="auto"/>
              </w:rPr>
              <w:t>Ongoing</w:t>
            </w:r>
          </w:p>
        </w:tc>
      </w:t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Sclerosis (ALS)</w:t>
            </w:r>
          </w:p>
        </w:tc>
        <w:tc>
          <w:tcPr>
            <w:tcW w:w="2760" w:type="dxa"/>
            <w:vAlign w:val="bottom"/>
          </w:tcPr>
          <w:p>
            <w:pPr>
              <w:ind w:left="140"/>
              <w:spacing w:after="0"/>
              <w:rPr>
                <w:sz w:val="20"/>
                <w:szCs w:val="20"/>
                <w:color w:val="auto"/>
              </w:rPr>
            </w:pPr>
            <w:r>
              <w:rPr>
                <w:rFonts w:ascii="Arial" w:cs="Arial" w:eastAsia="Arial" w:hAnsi="Arial"/>
                <w:sz w:val="18"/>
                <w:szCs w:val="18"/>
                <w:color w:val="auto"/>
              </w:rPr>
              <w:t>Randomized, Double-Blind,</w:t>
            </w:r>
          </w:p>
        </w:tc>
        <w:tc>
          <w:tcPr>
            <w:tcW w:w="268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Placebo-Controlled, 12 Month</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Clinical Trial to Evaluate the</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Efficacy and Safety of MN-166</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(ibudilast) Followed by an Open-</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Label Extension in Subjects with</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Amyotrophic Lateral Sclerosis</w:t>
            </w:r>
          </w:p>
        </w:tc>
        <w:tc>
          <w:tcPr>
            <w:tcW w:w="26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3080" w:type="dxa"/>
            <w:vAlign w:val="bottom"/>
          </w:tcPr>
          <w:p>
            <w:pPr>
              <w:ind w:left="1420"/>
              <w:spacing w:after="0"/>
              <w:rPr>
                <w:sz w:val="20"/>
                <w:szCs w:val="20"/>
                <w:color w:val="auto"/>
              </w:rPr>
            </w:pPr>
            <w:r>
              <w:rPr>
                <w:rFonts w:ascii="Arial" w:cs="Arial" w:eastAsia="Arial" w:hAnsi="Arial"/>
                <w:sz w:val="18"/>
                <w:szCs w:val="18"/>
                <w:color w:val="auto"/>
              </w:rPr>
              <w:t>Degenerative</w:t>
            </w:r>
          </w:p>
        </w:tc>
        <w:tc>
          <w:tcPr>
            <w:tcW w:w="2760" w:type="dxa"/>
            <w:vAlign w:val="bottom"/>
          </w:tcPr>
          <w:p>
            <w:pPr>
              <w:ind w:left="200"/>
              <w:spacing w:after="0"/>
              <w:rPr>
                <w:sz w:val="20"/>
                <w:szCs w:val="20"/>
                <w:color w:val="auto"/>
              </w:rPr>
            </w:pPr>
            <w:r>
              <w:rPr>
                <w:rFonts w:ascii="Arial" w:cs="Arial" w:eastAsia="Arial" w:hAnsi="Arial"/>
                <w:sz w:val="18"/>
                <w:szCs w:val="18"/>
                <w:color w:val="auto"/>
              </w:rPr>
              <w:t>A multi-centre, double-blind,</w:t>
            </w:r>
          </w:p>
        </w:tc>
        <w:tc>
          <w:tcPr>
            <w:tcW w:w="2680" w:type="dxa"/>
            <w:vAlign w:val="bottom"/>
          </w:tcPr>
          <w:p>
            <w:pPr>
              <w:ind w:left="60"/>
              <w:spacing w:after="0"/>
              <w:rPr>
                <w:sz w:val="20"/>
                <w:szCs w:val="20"/>
                <w:color w:val="auto"/>
              </w:rPr>
            </w:pPr>
            <w:r>
              <w:rPr>
                <w:rFonts w:ascii="Arial" w:cs="Arial" w:eastAsia="Arial" w:hAnsi="Arial"/>
                <w:sz w:val="18"/>
                <w:szCs w:val="18"/>
                <w:color w:val="auto"/>
              </w:rPr>
              <w:t>University of Cambridge /</w:t>
            </w:r>
          </w:p>
        </w:tc>
        <w:tc>
          <w:tcPr>
            <w:tcW w:w="2720" w:type="dxa"/>
            <w:vAlign w:val="bottom"/>
          </w:tcPr>
          <w:p>
            <w:pPr>
              <w:ind w:left="40"/>
              <w:spacing w:after="0"/>
              <w:rPr>
                <w:sz w:val="20"/>
                <w:szCs w:val="20"/>
                <w:color w:val="auto"/>
              </w:rPr>
            </w:pPr>
            <w:r>
              <w:rPr>
                <w:rFonts w:ascii="Arial" w:cs="Arial" w:eastAsia="Arial" w:hAnsi="Arial"/>
                <w:sz w:val="18"/>
                <w:szCs w:val="18"/>
                <w:color w:val="auto"/>
              </w:rPr>
              <w:t>Ongoing</w:t>
            </w:r>
          </w:p>
        </w:tc>
      </w:t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Cervical Myelopathy</w:t>
            </w:r>
          </w:p>
        </w:tc>
        <w:tc>
          <w:tcPr>
            <w:tcW w:w="2760" w:type="dxa"/>
            <w:vAlign w:val="bottom"/>
          </w:tcPr>
          <w:p>
            <w:pPr>
              <w:ind w:left="200"/>
              <w:spacing w:after="0"/>
              <w:rPr>
                <w:sz w:val="20"/>
                <w:szCs w:val="20"/>
                <w:color w:val="auto"/>
              </w:rPr>
            </w:pPr>
            <w:r>
              <w:rPr>
                <w:rFonts w:ascii="Arial" w:cs="Arial" w:eastAsia="Arial" w:hAnsi="Arial"/>
                <w:sz w:val="18"/>
                <w:szCs w:val="18"/>
                <w:color w:val="auto"/>
              </w:rPr>
              <w:t>randomized, placebo-controlled</w:t>
            </w:r>
          </w:p>
        </w:tc>
        <w:tc>
          <w:tcPr>
            <w:tcW w:w="2680" w:type="dxa"/>
            <w:vAlign w:val="bottom"/>
          </w:tcPr>
          <w:p>
            <w:pPr>
              <w:ind w:left="60"/>
              <w:spacing w:after="0"/>
              <w:rPr>
                <w:sz w:val="20"/>
                <w:szCs w:val="20"/>
                <w:color w:val="auto"/>
              </w:rPr>
            </w:pPr>
            <w:r>
              <w:rPr>
                <w:rFonts w:ascii="Arial" w:cs="Arial" w:eastAsia="Arial" w:hAnsi="Arial"/>
                <w:sz w:val="18"/>
                <w:szCs w:val="18"/>
                <w:color w:val="auto"/>
              </w:rPr>
              <w:t>Multicenter</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trial assessing the efficacy of</w:t>
            </w:r>
          </w:p>
        </w:tc>
        <w:tc>
          <w:tcPr>
            <w:tcW w:w="2680" w:type="dxa"/>
            <w:vAlign w:val="bottom"/>
          </w:tcPr>
          <w:p>
            <w:pPr>
              <w:ind w:left="60"/>
              <w:spacing w:after="0"/>
              <w:rPr>
                <w:sz w:val="20"/>
                <w:szCs w:val="20"/>
                <w:color w:val="auto"/>
              </w:rPr>
            </w:pPr>
            <w:r>
              <w:rPr>
                <w:rFonts w:ascii="Arial" w:cs="Arial" w:eastAsia="Arial" w:hAnsi="Arial"/>
                <w:sz w:val="18"/>
                <w:szCs w:val="18"/>
                <w:color w:val="auto"/>
              </w:rPr>
              <w:t>National Institute for Health</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4"/>
              </w:rPr>
              <w:t>Ibudilast as an adjuvant treatment</w:t>
            </w:r>
          </w:p>
        </w:tc>
        <w:tc>
          <w:tcPr>
            <w:tcW w:w="2680" w:type="dxa"/>
            <w:vAlign w:val="bottom"/>
          </w:tcPr>
          <w:p>
            <w:pPr>
              <w:ind w:left="60"/>
              <w:spacing w:after="0"/>
              <w:rPr>
                <w:sz w:val="20"/>
                <w:szCs w:val="20"/>
                <w:color w:val="auto"/>
              </w:rPr>
            </w:pPr>
            <w:r>
              <w:rPr>
                <w:rFonts w:ascii="Arial" w:cs="Arial" w:eastAsia="Arial" w:hAnsi="Arial"/>
                <w:sz w:val="18"/>
                <w:szCs w:val="18"/>
                <w:color w:val="auto"/>
              </w:rPr>
              <w:t>Research (NIHR) in the U.K.</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to decompressive surgery for</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5"/>
              </w:rPr>
              <w:t>degenerative cervical myelopathy</w:t>
            </w:r>
          </w:p>
        </w:tc>
        <w:tc>
          <w:tcPr>
            <w:tcW w:w="26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34"/>
        </w:trPr>
        <w:tc>
          <w:tcPr>
            <w:tcW w:w="3080" w:type="dxa"/>
            <w:vAlign w:val="bottom"/>
          </w:tcPr>
          <w:p>
            <w:pPr>
              <w:ind w:left="1420"/>
              <w:spacing w:after="0"/>
              <w:rPr>
                <w:sz w:val="20"/>
                <w:szCs w:val="20"/>
                <w:color w:val="auto"/>
              </w:rPr>
            </w:pPr>
            <w:r>
              <w:rPr>
                <w:rFonts w:ascii="Arial" w:cs="Arial" w:eastAsia="Arial" w:hAnsi="Arial"/>
                <w:sz w:val="18"/>
                <w:szCs w:val="18"/>
                <w:color w:val="auto"/>
              </w:rPr>
              <w:t>Chemotherapy-</w:t>
            </w:r>
          </w:p>
        </w:tc>
        <w:tc>
          <w:tcPr>
            <w:tcW w:w="2760" w:type="dxa"/>
            <w:vAlign w:val="bottom"/>
          </w:tcPr>
          <w:p>
            <w:pPr>
              <w:ind w:left="200"/>
              <w:spacing w:after="0"/>
              <w:rPr>
                <w:sz w:val="20"/>
                <w:szCs w:val="20"/>
                <w:color w:val="auto"/>
              </w:rPr>
            </w:pPr>
            <w:r>
              <w:rPr>
                <w:rFonts w:ascii="Arial" w:cs="Arial" w:eastAsia="Arial" w:hAnsi="Arial"/>
                <w:sz w:val="18"/>
                <w:szCs w:val="18"/>
                <w:color w:val="auto"/>
                <w:w w:val="92"/>
              </w:rPr>
              <w:t>A pilot study evaluating the impact</w:t>
            </w:r>
          </w:p>
        </w:tc>
        <w:tc>
          <w:tcPr>
            <w:tcW w:w="2680" w:type="dxa"/>
            <w:vAlign w:val="bottom"/>
          </w:tcPr>
          <w:p>
            <w:pPr>
              <w:ind w:left="60"/>
              <w:spacing w:after="0"/>
              <w:rPr>
                <w:sz w:val="20"/>
                <w:szCs w:val="20"/>
                <w:color w:val="auto"/>
              </w:rPr>
            </w:pPr>
            <w:r>
              <w:rPr>
                <w:rFonts w:ascii="Arial" w:cs="Arial" w:eastAsia="Arial" w:hAnsi="Arial"/>
                <w:sz w:val="18"/>
                <w:szCs w:val="18"/>
                <w:color w:val="auto"/>
              </w:rPr>
              <w:t>University of Sydney</w:t>
            </w:r>
          </w:p>
        </w:tc>
        <w:tc>
          <w:tcPr>
            <w:tcW w:w="2720" w:type="dxa"/>
            <w:vAlign w:val="bottom"/>
          </w:tcPr>
          <w:p>
            <w:pPr>
              <w:ind w:left="40"/>
              <w:spacing w:after="0"/>
              <w:rPr>
                <w:sz w:val="20"/>
                <w:szCs w:val="20"/>
                <w:color w:val="auto"/>
              </w:rPr>
            </w:pPr>
            <w:r>
              <w:rPr>
                <w:rFonts w:ascii="Arial" w:cs="Arial" w:eastAsia="Arial" w:hAnsi="Arial"/>
                <w:sz w:val="18"/>
                <w:szCs w:val="18"/>
                <w:color w:val="auto"/>
              </w:rPr>
              <w:t>Completed</w:t>
            </w:r>
          </w:p>
        </w:tc>
      </w:t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Induced Peripheral</w:t>
            </w:r>
          </w:p>
        </w:tc>
        <w:tc>
          <w:tcPr>
            <w:tcW w:w="2760" w:type="dxa"/>
            <w:vAlign w:val="bottom"/>
          </w:tcPr>
          <w:p>
            <w:pPr>
              <w:ind w:left="200"/>
              <w:spacing w:after="0"/>
              <w:rPr>
                <w:sz w:val="20"/>
                <w:szCs w:val="20"/>
                <w:color w:val="auto"/>
              </w:rPr>
            </w:pPr>
            <w:r>
              <w:rPr>
                <w:rFonts w:ascii="Arial" w:cs="Arial" w:eastAsia="Arial" w:hAnsi="Arial"/>
                <w:sz w:val="18"/>
                <w:szCs w:val="18"/>
                <w:color w:val="auto"/>
              </w:rPr>
              <w:t>of ibudilast on prevention of</w:t>
            </w:r>
          </w:p>
        </w:tc>
        <w:tc>
          <w:tcPr>
            <w:tcW w:w="2680" w:type="dxa"/>
            <w:vAlign w:val="bottom"/>
          </w:tcPr>
          <w:p>
            <w:pPr>
              <w:ind w:left="60"/>
              <w:spacing w:after="0"/>
              <w:rPr>
                <w:sz w:val="20"/>
                <w:szCs w:val="20"/>
                <w:color w:val="auto"/>
              </w:rPr>
            </w:pPr>
            <w:r>
              <w:rPr>
                <w:rFonts w:ascii="Arial" w:cs="Arial" w:eastAsia="Arial" w:hAnsi="Arial"/>
                <w:sz w:val="18"/>
                <w:szCs w:val="18"/>
                <w:color w:val="auto"/>
              </w:rPr>
              <w:t>Concord Cancer Centre in</w:t>
            </w:r>
          </w:p>
        </w:tc>
        <w:tc>
          <w:tcPr>
            <w:tcW w:w="2720" w:type="dxa"/>
            <w:vAlign w:val="bottom"/>
          </w:tcPr>
          <w:p>
            <w:pPr>
              <w:spacing w:after="0"/>
              <w:rPr>
                <w:sz w:val="18"/>
                <w:szCs w:val="18"/>
                <w:color w:val="auto"/>
              </w:rPr>
            </w:pPr>
          </w:p>
        </w:tc>
      </w:t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Neuropathy</w:t>
            </w:r>
          </w:p>
        </w:tc>
        <w:tc>
          <w:tcPr>
            <w:tcW w:w="2760" w:type="dxa"/>
            <w:vAlign w:val="bottom"/>
          </w:tcPr>
          <w:p>
            <w:pPr>
              <w:ind w:left="200"/>
              <w:spacing w:after="0"/>
              <w:rPr>
                <w:sz w:val="20"/>
                <w:szCs w:val="20"/>
                <w:color w:val="auto"/>
              </w:rPr>
            </w:pPr>
            <w:r>
              <w:rPr>
                <w:rFonts w:ascii="Arial" w:cs="Arial" w:eastAsia="Arial" w:hAnsi="Arial"/>
                <w:sz w:val="18"/>
                <w:szCs w:val="18"/>
                <w:color w:val="auto"/>
              </w:rPr>
              <w:t>chemotherapy-induced acute</w:t>
            </w:r>
          </w:p>
        </w:tc>
        <w:tc>
          <w:tcPr>
            <w:tcW w:w="2680" w:type="dxa"/>
            <w:vAlign w:val="bottom"/>
          </w:tcPr>
          <w:p>
            <w:pPr>
              <w:ind w:left="60"/>
              <w:spacing w:after="0"/>
              <w:rPr>
                <w:sz w:val="20"/>
                <w:szCs w:val="20"/>
                <w:color w:val="auto"/>
              </w:rPr>
            </w:pPr>
            <w:r>
              <w:rPr>
                <w:rFonts w:ascii="Arial" w:cs="Arial" w:eastAsia="Arial" w:hAnsi="Arial"/>
                <w:sz w:val="18"/>
                <w:szCs w:val="18"/>
                <w:color w:val="auto"/>
              </w:rPr>
              <w:t>Australia</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neurotoxicity and evaluating</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6"/>
              </w:rPr>
              <w:t>pharmacokinetics with oxaliplatin</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2"/>
              </w:rPr>
              <w:t>in gastro-intestinal cancer patients</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receiving oxaliplatin</w:t>
            </w:r>
          </w:p>
        </w:tc>
        <w:tc>
          <w:tcPr>
            <w:tcW w:w="26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34"/>
        </w:trPr>
        <w:tc>
          <w:tcPr>
            <w:tcW w:w="3080" w:type="dxa"/>
            <w:vAlign w:val="bottom"/>
          </w:tcPr>
          <w:p>
            <w:pPr>
              <w:ind w:left="1420"/>
              <w:spacing w:after="0"/>
              <w:rPr>
                <w:sz w:val="20"/>
                <w:szCs w:val="20"/>
                <w:color w:val="auto"/>
              </w:rPr>
            </w:pPr>
            <w:r>
              <w:rPr>
                <w:rFonts w:ascii="Arial" w:cs="Arial" w:eastAsia="Arial" w:hAnsi="Arial"/>
                <w:sz w:val="18"/>
                <w:szCs w:val="18"/>
                <w:color w:val="auto"/>
              </w:rPr>
              <w:t>Chemotherapy-</w:t>
            </w:r>
          </w:p>
        </w:tc>
        <w:tc>
          <w:tcPr>
            <w:tcW w:w="2760" w:type="dxa"/>
            <w:vAlign w:val="bottom"/>
          </w:tcPr>
          <w:p>
            <w:pPr>
              <w:ind w:left="200"/>
              <w:spacing w:after="0"/>
              <w:rPr>
                <w:sz w:val="20"/>
                <w:szCs w:val="20"/>
                <w:color w:val="auto"/>
              </w:rPr>
            </w:pPr>
            <w:r>
              <w:rPr>
                <w:rFonts w:ascii="Arial" w:cs="Arial" w:eastAsia="Arial" w:hAnsi="Arial"/>
                <w:sz w:val="18"/>
                <w:szCs w:val="18"/>
                <w:color w:val="auto"/>
              </w:rPr>
              <w:t>Can Oxaliplatin neurotoxicity be</w:t>
            </w:r>
          </w:p>
        </w:tc>
        <w:tc>
          <w:tcPr>
            <w:tcW w:w="2680" w:type="dxa"/>
            <w:vAlign w:val="bottom"/>
          </w:tcPr>
          <w:p>
            <w:pPr>
              <w:ind w:left="60"/>
              <w:spacing w:after="0"/>
              <w:rPr>
                <w:sz w:val="20"/>
                <w:szCs w:val="20"/>
                <w:color w:val="auto"/>
              </w:rPr>
            </w:pPr>
            <w:r>
              <w:rPr>
                <w:rFonts w:ascii="Arial" w:cs="Arial" w:eastAsia="Arial" w:hAnsi="Arial"/>
                <w:sz w:val="18"/>
                <w:szCs w:val="18"/>
                <w:color w:val="auto"/>
              </w:rPr>
              <w:t>University of Sydney</w:t>
            </w:r>
          </w:p>
        </w:tc>
        <w:tc>
          <w:tcPr>
            <w:tcW w:w="2720" w:type="dxa"/>
            <w:vAlign w:val="bottom"/>
          </w:tcPr>
          <w:p>
            <w:pPr>
              <w:ind w:left="40"/>
              <w:spacing w:after="0"/>
              <w:rPr>
                <w:sz w:val="20"/>
                <w:szCs w:val="20"/>
                <w:color w:val="auto"/>
              </w:rPr>
            </w:pPr>
            <w:r>
              <w:rPr>
                <w:rFonts w:ascii="Arial" w:cs="Arial" w:eastAsia="Arial" w:hAnsi="Arial"/>
                <w:sz w:val="18"/>
                <w:szCs w:val="18"/>
                <w:color w:val="auto"/>
              </w:rPr>
              <w:t>Ongoing</w:t>
            </w:r>
          </w:p>
        </w:tc>
      </w:t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Induced Peripheral</w:t>
            </w:r>
          </w:p>
        </w:tc>
        <w:tc>
          <w:tcPr>
            <w:tcW w:w="2760" w:type="dxa"/>
            <w:vAlign w:val="bottom"/>
          </w:tcPr>
          <w:p>
            <w:pPr>
              <w:ind w:left="200"/>
              <w:spacing w:after="0"/>
              <w:rPr>
                <w:sz w:val="20"/>
                <w:szCs w:val="20"/>
                <w:color w:val="auto"/>
              </w:rPr>
            </w:pPr>
            <w:r>
              <w:rPr>
                <w:rFonts w:ascii="Arial" w:cs="Arial" w:eastAsia="Arial" w:hAnsi="Arial"/>
                <w:sz w:val="18"/>
                <w:szCs w:val="18"/>
                <w:color w:val="auto"/>
              </w:rPr>
              <w:t>reduced with ibudilast in people</w:t>
            </w:r>
          </w:p>
        </w:tc>
        <w:tc>
          <w:tcPr>
            <w:tcW w:w="2680" w:type="dxa"/>
            <w:vAlign w:val="bottom"/>
          </w:tcPr>
          <w:p>
            <w:pPr>
              <w:ind w:left="60"/>
              <w:spacing w:after="0"/>
              <w:rPr>
                <w:sz w:val="20"/>
                <w:szCs w:val="20"/>
                <w:color w:val="auto"/>
              </w:rPr>
            </w:pPr>
            <w:r>
              <w:rPr>
                <w:rFonts w:ascii="Arial" w:cs="Arial" w:eastAsia="Arial" w:hAnsi="Arial"/>
                <w:sz w:val="18"/>
                <w:szCs w:val="18"/>
                <w:color w:val="auto"/>
                <w:w w:val="91"/>
              </w:rPr>
              <w:t>Australasian Gastro-Intestinal Trials</w:t>
            </w:r>
          </w:p>
        </w:tc>
        <w:tc>
          <w:tcPr>
            <w:tcW w:w="2720" w:type="dxa"/>
            <w:vAlign w:val="bottom"/>
          </w:tcPr>
          <w:p>
            <w:pPr>
              <w:spacing w:after="0"/>
              <w:rPr>
                <w:sz w:val="18"/>
                <w:szCs w:val="18"/>
                <w:color w:val="auto"/>
              </w:rPr>
            </w:pPr>
          </w:p>
        </w:tc>
      </w:t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Neuropathy</w:t>
            </w:r>
          </w:p>
        </w:tc>
        <w:tc>
          <w:tcPr>
            <w:tcW w:w="2760" w:type="dxa"/>
            <w:vAlign w:val="bottom"/>
          </w:tcPr>
          <w:p>
            <w:pPr>
              <w:ind w:left="200"/>
              <w:spacing w:after="0"/>
              <w:rPr>
                <w:sz w:val="20"/>
                <w:szCs w:val="20"/>
                <w:color w:val="auto"/>
              </w:rPr>
            </w:pPr>
            <w:r>
              <w:rPr>
                <w:rFonts w:ascii="Arial" w:cs="Arial" w:eastAsia="Arial" w:hAnsi="Arial"/>
                <w:sz w:val="18"/>
                <w:szCs w:val="18"/>
                <w:color w:val="auto"/>
                <w:w w:val="92"/>
              </w:rPr>
              <w:t>with metastatic colorectal cancer –</w:t>
            </w:r>
          </w:p>
        </w:tc>
        <w:tc>
          <w:tcPr>
            <w:tcW w:w="2680" w:type="dxa"/>
            <w:vAlign w:val="bottom"/>
          </w:tcPr>
          <w:p>
            <w:pPr>
              <w:ind w:left="60"/>
              <w:spacing w:after="0"/>
              <w:rPr>
                <w:sz w:val="20"/>
                <w:szCs w:val="20"/>
                <w:color w:val="auto"/>
              </w:rPr>
            </w:pPr>
            <w:r>
              <w:rPr>
                <w:rFonts w:ascii="Arial" w:cs="Arial" w:eastAsia="Arial" w:hAnsi="Arial"/>
                <w:sz w:val="18"/>
                <w:szCs w:val="18"/>
                <w:color w:val="auto"/>
              </w:rPr>
              <w:t>Group in Australia</w:t>
            </w:r>
          </w:p>
        </w:tc>
        <w:tc>
          <w:tcPr>
            <w:tcW w:w="272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a phase II randomized study</w:t>
            </w:r>
          </w:p>
        </w:tc>
        <w:tc>
          <w:tcPr>
            <w:tcW w:w="26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1066"/>
        </w:trPr>
        <w:tc>
          <w:tcPr>
            <w:tcW w:w="3080" w:type="dxa"/>
            <w:vAlign w:val="bottom"/>
          </w:tcPr>
          <w:p>
            <w:pPr>
              <w:spacing w:after="0"/>
              <w:rPr>
                <w:sz w:val="24"/>
                <w:szCs w:val="24"/>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7"/>
              </w:rPr>
              <w:t>Phase 1b/2a Multi-center, Open-</w:t>
            </w:r>
          </w:p>
        </w:tc>
        <w:tc>
          <w:tcPr>
            <w:tcW w:w="2680" w:type="dxa"/>
            <w:vAlign w:val="bottom"/>
          </w:tcPr>
          <w:p>
            <w:pPr>
              <w:ind w:left="60"/>
              <w:spacing w:after="0"/>
              <w:rPr>
                <w:sz w:val="20"/>
                <w:szCs w:val="20"/>
                <w:color w:val="auto"/>
              </w:rPr>
            </w:pPr>
            <w:r>
              <w:rPr>
                <w:rFonts w:ascii="Arial" w:cs="Arial" w:eastAsia="Arial" w:hAnsi="Arial"/>
                <w:sz w:val="18"/>
                <w:szCs w:val="18"/>
                <w:color w:val="auto"/>
              </w:rPr>
              <w:t>Dana-Farber Cancer Institute</w:t>
            </w:r>
          </w:p>
        </w:tc>
        <w:tc>
          <w:tcPr>
            <w:tcW w:w="2720" w:type="dxa"/>
            <w:vAlign w:val="bottom"/>
          </w:tcPr>
          <w:p>
            <w:pPr>
              <w:ind w:left="40"/>
              <w:spacing w:after="0"/>
              <w:rPr>
                <w:sz w:val="20"/>
                <w:szCs w:val="20"/>
                <w:color w:val="auto"/>
              </w:rPr>
            </w:pPr>
            <w:r>
              <w:rPr>
                <w:rFonts w:ascii="Arial" w:cs="Arial" w:eastAsia="Arial" w:hAnsi="Arial"/>
                <w:sz w:val="18"/>
                <w:szCs w:val="18"/>
                <w:color w:val="auto"/>
              </w:rPr>
              <w:t>Ongoing</w:t>
            </w:r>
          </w:p>
        </w:tc>
      </w:tr>
      <w:tr>
        <w:trPr>
          <w:trHeight w:val="216"/>
        </w:trPr>
        <w:tc>
          <w:tcPr>
            <w:tcW w:w="3080" w:type="dxa"/>
            <w:vAlign w:val="bottom"/>
          </w:tcPr>
          <w:p>
            <w:pPr>
              <w:ind w:left="1420"/>
              <w:spacing w:after="0"/>
              <w:rPr>
                <w:sz w:val="20"/>
                <w:szCs w:val="20"/>
                <w:color w:val="auto"/>
              </w:rPr>
            </w:pPr>
            <w:r>
              <w:rPr>
                <w:rFonts w:ascii="Arial" w:cs="Arial" w:eastAsia="Arial" w:hAnsi="Arial"/>
                <w:sz w:val="18"/>
                <w:szCs w:val="18"/>
                <w:color w:val="auto"/>
              </w:rPr>
              <w:t>Glioblastoma</w:t>
            </w:r>
          </w:p>
        </w:tc>
        <w:tc>
          <w:tcPr>
            <w:tcW w:w="2760" w:type="dxa"/>
            <w:vAlign w:val="bottom"/>
          </w:tcPr>
          <w:p>
            <w:pPr>
              <w:ind w:left="200"/>
              <w:spacing w:after="0"/>
              <w:rPr>
                <w:sz w:val="20"/>
                <w:szCs w:val="20"/>
                <w:color w:val="auto"/>
              </w:rPr>
            </w:pPr>
            <w:r>
              <w:rPr>
                <w:rFonts w:ascii="Arial" w:cs="Arial" w:eastAsia="Arial" w:hAnsi="Arial"/>
                <w:sz w:val="18"/>
                <w:szCs w:val="18"/>
                <w:color w:val="auto"/>
              </w:rPr>
              <w:t>label, Dose Escalation Study to</w:t>
            </w:r>
          </w:p>
        </w:tc>
        <w:tc>
          <w:tcPr>
            <w:tcW w:w="2680" w:type="dxa"/>
            <w:vAlign w:val="bottom"/>
          </w:tcPr>
          <w:p>
            <w:pPr>
              <w:ind w:left="60"/>
              <w:spacing w:after="0"/>
              <w:rPr>
                <w:sz w:val="20"/>
                <w:szCs w:val="20"/>
                <w:color w:val="auto"/>
              </w:rPr>
            </w:pPr>
            <w:r>
              <w:rPr>
                <w:rFonts w:ascii="Arial" w:cs="Arial" w:eastAsia="Arial" w:hAnsi="Arial"/>
                <w:sz w:val="18"/>
                <w:szCs w:val="18"/>
                <w:color w:val="auto"/>
              </w:rPr>
              <w:t>MediciNova, Inc.</w:t>
            </w: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Evaluate the Safety, Tolerability</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and Efficacy of MN-166</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(ibudilast) and Temozolomide</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1"/>
              </w:rPr>
              <w:t>Combination Treatment in Patients</w:t>
            </w:r>
          </w:p>
        </w:tc>
        <w:tc>
          <w:tcPr>
            <w:tcW w:w="26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With Glioblastoma</w:t>
            </w:r>
          </w:p>
        </w:tc>
        <w:tc>
          <w:tcPr>
            <w:tcW w:w="26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864"/>
        </w:trPr>
        <w:tc>
          <w:tcPr>
            <w:tcW w:w="3080" w:type="dxa"/>
            <w:vAlign w:val="bottom"/>
          </w:tcPr>
          <w:p>
            <w:pPr>
              <w:spacing w:after="0"/>
              <w:rPr>
                <w:sz w:val="24"/>
                <w:szCs w:val="24"/>
                <w:color w:val="auto"/>
              </w:rPr>
            </w:pPr>
          </w:p>
        </w:tc>
        <w:tc>
          <w:tcPr>
            <w:tcW w:w="2760" w:type="dxa"/>
            <w:vAlign w:val="bottom"/>
          </w:tcPr>
          <w:p>
            <w:pPr>
              <w:ind w:left="2460"/>
              <w:spacing w:after="0"/>
              <w:rPr>
                <w:sz w:val="20"/>
                <w:szCs w:val="20"/>
                <w:color w:val="auto"/>
              </w:rPr>
            </w:pPr>
            <w:r>
              <w:rPr>
                <w:rFonts w:ascii="Arial" w:cs="Arial" w:eastAsia="Arial" w:hAnsi="Arial"/>
                <w:sz w:val="18"/>
                <w:szCs w:val="18"/>
                <w:color w:val="auto"/>
              </w:rPr>
              <w:t>19</w:t>
            </w:r>
          </w:p>
        </w:tc>
        <w:tc>
          <w:tcPr>
            <w:tcW w:w="26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left="1420"/>
        <w:spacing w:after="0"/>
        <w:rPr>
          <w:sz w:val="20"/>
          <w:szCs w:val="20"/>
          <w:color w:val="auto"/>
        </w:rPr>
      </w:pPr>
      <w:r>
        <w:rPr>
          <w:rFonts w:ascii="Arial" w:cs="Arial" w:eastAsia="Arial" w:hAnsi="Arial"/>
          <w:sz w:val="18"/>
          <w:szCs w:val="18"/>
          <w:color w:val="auto"/>
        </w:rPr>
        <w:t>Substance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Dependence /</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Addiction:</w:t>
      </w:r>
    </w:p>
    <w:p>
      <w:pPr>
        <w:spacing w:after="0" w:line="200" w:lineRule="exact"/>
        <w:rPr>
          <w:sz w:val="20"/>
          <w:szCs w:val="20"/>
          <w:color w:val="auto"/>
        </w:rPr>
      </w:pPr>
    </w:p>
    <w:p>
      <w:pPr>
        <w:spacing w:after="0" w:line="227" w:lineRule="exact"/>
        <w:rPr>
          <w:sz w:val="20"/>
          <w:szCs w:val="20"/>
          <w:color w:val="auto"/>
        </w:rPr>
      </w:pPr>
    </w:p>
    <w:p>
      <w:pPr>
        <w:ind w:left="1420"/>
        <w:spacing w:after="0"/>
        <w:tabs>
          <w:tab w:leader="none" w:pos="3260" w:val="left"/>
        </w:tabs>
        <w:rPr>
          <w:sz w:val="20"/>
          <w:szCs w:val="20"/>
          <w:color w:val="auto"/>
        </w:rPr>
      </w:pPr>
      <w:r>
        <w:rPr>
          <w:rFonts w:ascii="Arial" w:cs="Arial" w:eastAsia="Arial" w:hAnsi="Arial"/>
          <w:sz w:val="17"/>
          <w:szCs w:val="17"/>
          <w:color w:val="auto"/>
        </w:rPr>
        <w:t>Methamphetamine</w:t>
      </w:r>
      <w:r>
        <w:rPr>
          <w:sz w:val="20"/>
          <w:szCs w:val="20"/>
          <w:color w:val="auto"/>
        </w:rPr>
        <w:tab/>
      </w:r>
      <w:r>
        <w:rPr>
          <w:rFonts w:ascii="Arial" w:cs="Arial" w:eastAsia="Arial" w:hAnsi="Arial"/>
          <w:sz w:val="17"/>
          <w:szCs w:val="17"/>
          <w:color w:val="auto"/>
        </w:rPr>
        <w:t>Randomized Trial of Ibudilast for</w:t>
      </w:r>
    </w:p>
    <w:p>
      <w:pPr>
        <w:spacing w:after="0" w:line="35" w:lineRule="exact"/>
        <w:rPr>
          <w:sz w:val="20"/>
          <w:szCs w:val="20"/>
          <w:color w:val="auto"/>
        </w:rPr>
      </w:pPr>
    </w:p>
    <w:p>
      <w:pPr>
        <w:ind w:left="1420"/>
        <w:spacing w:after="0"/>
        <w:tabs>
          <w:tab w:leader="none" w:pos="3260" w:val="left"/>
        </w:tabs>
        <w:rPr>
          <w:sz w:val="20"/>
          <w:szCs w:val="20"/>
          <w:color w:val="auto"/>
        </w:rPr>
      </w:pPr>
      <w:r>
        <w:rPr>
          <w:rFonts w:ascii="Arial" w:cs="Arial" w:eastAsia="Arial" w:hAnsi="Arial"/>
          <w:sz w:val="17"/>
          <w:szCs w:val="17"/>
          <w:color w:val="auto"/>
        </w:rPr>
        <w:t>Dependence</w:t>
      </w:r>
      <w:r>
        <w:rPr>
          <w:sz w:val="20"/>
          <w:szCs w:val="20"/>
          <w:color w:val="auto"/>
        </w:rPr>
        <w:tab/>
      </w:r>
      <w:r>
        <w:rPr>
          <w:rFonts w:ascii="Arial" w:cs="Arial" w:eastAsia="Arial" w:hAnsi="Arial"/>
          <w:sz w:val="17"/>
          <w:szCs w:val="17"/>
          <w:color w:val="auto"/>
        </w:rPr>
        <w:t>Methamphetamine Dependence</w:t>
      </w:r>
    </w:p>
    <w:p>
      <w:pPr>
        <w:spacing w:after="0" w:line="200" w:lineRule="exact"/>
        <w:rPr>
          <w:sz w:val="20"/>
          <w:szCs w:val="20"/>
          <w:color w:val="auto"/>
        </w:rPr>
      </w:pPr>
    </w:p>
    <w:p>
      <w:pPr>
        <w:spacing w:after="0" w:line="265" w:lineRule="exact"/>
        <w:rPr>
          <w:sz w:val="20"/>
          <w:szCs w:val="20"/>
          <w:color w:val="auto"/>
        </w:rPr>
      </w:pPr>
    </w:p>
    <w:p>
      <w:pPr>
        <w:ind w:left="1420"/>
        <w:spacing w:after="0"/>
        <w:tabs>
          <w:tab w:leader="none" w:pos="3260" w:val="left"/>
        </w:tabs>
        <w:rPr>
          <w:sz w:val="20"/>
          <w:szCs w:val="20"/>
          <w:color w:val="auto"/>
        </w:rPr>
      </w:pPr>
      <w:r>
        <w:rPr>
          <w:rFonts w:ascii="Arial" w:cs="Arial" w:eastAsia="Arial" w:hAnsi="Arial"/>
          <w:sz w:val="18"/>
          <w:szCs w:val="18"/>
          <w:color w:val="auto"/>
        </w:rPr>
        <w:t>Methamphetamine</w:t>
      </w:r>
      <w:r>
        <w:rPr>
          <w:sz w:val="20"/>
          <w:szCs w:val="20"/>
          <w:color w:val="auto"/>
        </w:rPr>
        <w:tab/>
      </w:r>
      <w:r>
        <w:rPr>
          <w:rFonts w:ascii="Arial" w:cs="Arial" w:eastAsia="Arial" w:hAnsi="Arial"/>
          <w:sz w:val="18"/>
          <w:szCs w:val="18"/>
          <w:color w:val="auto"/>
        </w:rPr>
        <w:t>Effect of Ibudilast on</w:t>
      </w:r>
    </w:p>
    <w:p>
      <w:pPr>
        <w:spacing w:after="0" w:line="23" w:lineRule="exact"/>
        <w:rPr>
          <w:sz w:val="20"/>
          <w:szCs w:val="20"/>
          <w:color w:val="auto"/>
        </w:rPr>
      </w:pPr>
    </w:p>
    <w:p>
      <w:pPr>
        <w:ind w:left="1420"/>
        <w:spacing w:after="0"/>
        <w:tabs>
          <w:tab w:leader="none" w:pos="3260" w:val="left"/>
        </w:tabs>
        <w:rPr>
          <w:sz w:val="20"/>
          <w:szCs w:val="20"/>
          <w:color w:val="auto"/>
        </w:rPr>
      </w:pPr>
      <w:r>
        <w:rPr>
          <w:rFonts w:ascii="Arial" w:cs="Arial" w:eastAsia="Arial" w:hAnsi="Arial"/>
          <w:sz w:val="18"/>
          <w:szCs w:val="18"/>
          <w:color w:val="auto"/>
        </w:rPr>
        <w:t>Dependence /</w:t>
      </w:r>
      <w:r>
        <w:rPr>
          <w:sz w:val="20"/>
          <w:szCs w:val="20"/>
          <w:color w:val="auto"/>
        </w:rPr>
        <w:tab/>
      </w:r>
      <w:r>
        <w:rPr>
          <w:rFonts w:ascii="Arial" w:cs="Arial" w:eastAsia="Arial" w:hAnsi="Arial"/>
          <w:sz w:val="16"/>
          <w:szCs w:val="16"/>
          <w:color w:val="auto"/>
        </w:rPr>
        <w:t>Neuroinflammation in</w:t>
      </w:r>
    </w:p>
    <w:p>
      <w:pPr>
        <w:spacing w:after="0" w:line="9" w:lineRule="exact"/>
        <w:rPr>
          <w:sz w:val="20"/>
          <w:szCs w:val="20"/>
          <w:color w:val="auto"/>
        </w:rPr>
      </w:pPr>
    </w:p>
    <w:p>
      <w:pPr>
        <w:ind w:left="1420"/>
        <w:spacing w:after="0"/>
        <w:tabs>
          <w:tab w:leader="none" w:pos="3260" w:val="left"/>
        </w:tabs>
        <w:rPr>
          <w:sz w:val="20"/>
          <w:szCs w:val="20"/>
          <w:color w:val="auto"/>
        </w:rPr>
      </w:pPr>
      <w:r>
        <w:rPr>
          <w:rFonts w:ascii="Arial" w:cs="Arial" w:eastAsia="Arial" w:hAnsi="Arial"/>
          <w:sz w:val="18"/>
          <w:szCs w:val="18"/>
          <w:color w:val="auto"/>
        </w:rPr>
        <w:t>Biomarker</w:t>
      </w:r>
      <w:r>
        <w:rPr>
          <w:sz w:val="20"/>
          <w:szCs w:val="20"/>
          <w:color w:val="auto"/>
        </w:rPr>
        <w:tab/>
      </w:r>
      <w:r>
        <w:rPr>
          <w:rFonts w:ascii="Arial" w:cs="Arial" w:eastAsia="Arial" w:hAnsi="Arial"/>
          <w:sz w:val="18"/>
          <w:szCs w:val="18"/>
          <w:color w:val="auto"/>
        </w:rPr>
        <w:t>Methamphetamine Users</w:t>
      </w:r>
    </w:p>
    <w:p>
      <w:pPr>
        <w:spacing w:after="0" w:line="200" w:lineRule="exact"/>
        <w:rPr>
          <w:sz w:val="20"/>
          <w:szCs w:val="20"/>
          <w:color w:val="auto"/>
        </w:rPr>
      </w:pPr>
    </w:p>
    <w:p>
      <w:pPr>
        <w:spacing w:after="0" w:line="227" w:lineRule="exact"/>
        <w:rPr>
          <w:sz w:val="20"/>
          <w:szCs w:val="20"/>
          <w:color w:val="auto"/>
        </w:rPr>
      </w:pPr>
    </w:p>
    <w:p>
      <w:pPr>
        <w:ind w:left="1420"/>
        <w:spacing w:after="0"/>
        <w:tabs>
          <w:tab w:leader="none" w:pos="3260" w:val="left"/>
        </w:tabs>
        <w:rPr>
          <w:sz w:val="20"/>
          <w:szCs w:val="20"/>
          <w:color w:val="auto"/>
        </w:rPr>
      </w:pPr>
      <w:r>
        <w:rPr>
          <w:rFonts w:ascii="Arial" w:cs="Arial" w:eastAsia="Arial" w:hAnsi="Arial"/>
          <w:sz w:val="18"/>
          <w:szCs w:val="18"/>
          <w:color w:val="auto"/>
        </w:rPr>
        <w:t>Opioid Dependence</w:t>
      </w:r>
      <w:r>
        <w:rPr>
          <w:sz w:val="20"/>
          <w:szCs w:val="20"/>
          <w:color w:val="auto"/>
        </w:rPr>
        <w:tab/>
      </w:r>
      <w:r>
        <w:rPr>
          <w:rFonts w:ascii="Arial" w:cs="Arial" w:eastAsia="Arial" w:hAnsi="Arial"/>
          <w:sz w:val="16"/>
          <w:szCs w:val="16"/>
          <w:color w:val="auto"/>
        </w:rPr>
        <w:t>Effects of Ibudilast (MN-166), a</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Glial Activation Inhibitor, on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Oxycodone Self-Administration in</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Opioid Abusers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640" w:val="left"/>
        </w:tabs>
        <w:rPr>
          <w:sz w:val="20"/>
          <w:szCs w:val="20"/>
          <w:color w:val="auto"/>
        </w:rPr>
      </w:pPr>
      <w:r>
        <w:rPr>
          <w:rFonts w:ascii="Arial" w:cs="Arial" w:eastAsia="Arial" w:hAnsi="Arial"/>
          <w:sz w:val="16"/>
          <w:szCs w:val="16"/>
          <w:color w:val="auto"/>
        </w:rPr>
        <w:t>UCLA</w:t>
      </w:r>
      <w:r>
        <w:rPr>
          <w:sz w:val="20"/>
          <w:szCs w:val="20"/>
          <w:color w:val="auto"/>
        </w:rPr>
        <w:tab/>
      </w:r>
      <w:r>
        <w:rPr>
          <w:rFonts w:ascii="Arial" w:cs="Arial" w:eastAsia="Arial" w:hAnsi="Arial"/>
          <w:sz w:val="16"/>
          <w:szCs w:val="16"/>
          <w:color w:val="auto"/>
        </w:rPr>
        <w:t>Completed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200" w:lineRule="exact"/>
        <w:rPr>
          <w:sz w:val="20"/>
          <w:szCs w:val="20"/>
          <w:color w:val="auto"/>
        </w:rPr>
      </w:pPr>
    </w:p>
    <w:p>
      <w:pPr>
        <w:spacing w:after="0" w:line="254"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Oregon Health &amp; Science</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Columbia University / NYSPI</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ind w:right="2260"/>
        <w:spacing w:after="0" w:line="260" w:lineRule="auto"/>
        <w:rPr>
          <w:sz w:val="20"/>
          <w:szCs w:val="20"/>
          <w:color w:val="auto"/>
        </w:rPr>
      </w:pPr>
      <w:r>
        <w:rPr>
          <w:rFonts w:ascii="Arial" w:cs="Arial" w:eastAsia="Arial" w:hAnsi="Arial"/>
          <w:sz w:val="18"/>
          <w:szCs w:val="18"/>
          <w:color w:val="auto"/>
        </w:rPr>
        <w:t>National Institute on Drug Abuse MediciNova, Inc.</w:t>
      </w:r>
    </w:p>
    <w:p>
      <w:pPr>
        <w:spacing w:after="0" w:line="390" w:lineRule="exact"/>
        <w:rPr>
          <w:sz w:val="20"/>
          <w:szCs w:val="20"/>
          <w:color w:val="auto"/>
        </w:rPr>
      </w:pPr>
    </w:p>
    <w:p>
      <w:pPr>
        <w:sectPr>
          <w:pgSz w:w="11900" w:h="16838" w:orient="portrait"/>
          <w:cols w:equalWidth="0" w:num="2">
            <w:col w:w="5780" w:space="120"/>
            <w:col w:w="4660"/>
          </w:cols>
          <w:pgMar w:left="320" w:top="125" w:right="1019" w:bottom="1440" w:gutter="0" w:footer="0" w:header="0"/>
        </w:sectPr>
      </w:pP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Alcohol Dependence</w:t>
            </w:r>
          </w:p>
        </w:tc>
        <w:tc>
          <w:tcPr>
            <w:tcW w:w="2740" w:type="dxa"/>
            <w:vAlign w:val="bottom"/>
          </w:tcPr>
          <w:p>
            <w:pPr>
              <w:ind w:left="200"/>
              <w:spacing w:after="0"/>
              <w:rPr>
                <w:sz w:val="20"/>
                <w:szCs w:val="20"/>
                <w:color w:val="auto"/>
              </w:rPr>
            </w:pPr>
            <w:r>
              <w:rPr>
                <w:rFonts w:ascii="Arial" w:cs="Arial" w:eastAsia="Arial" w:hAnsi="Arial"/>
                <w:sz w:val="18"/>
                <w:szCs w:val="18"/>
                <w:color w:val="auto"/>
              </w:rPr>
              <w:t>Development of Ibudilast (MN-</w:t>
            </w:r>
          </w:p>
        </w:tc>
        <w:tc>
          <w:tcPr>
            <w:tcW w:w="2700" w:type="dxa"/>
            <w:vAlign w:val="bottom"/>
          </w:tcPr>
          <w:p>
            <w:pPr>
              <w:ind w:left="80"/>
              <w:spacing w:after="0"/>
              <w:rPr>
                <w:sz w:val="20"/>
                <w:szCs w:val="20"/>
                <w:color w:val="auto"/>
              </w:rPr>
            </w:pPr>
            <w:r>
              <w:rPr>
                <w:rFonts w:ascii="Arial" w:cs="Arial" w:eastAsia="Arial" w:hAnsi="Arial"/>
                <w:sz w:val="18"/>
                <w:szCs w:val="18"/>
                <w:color w:val="auto"/>
              </w:rPr>
              <w:t>UCLA</w:t>
            </w:r>
          </w:p>
        </w:tc>
        <w:tc>
          <w:tcPr>
            <w:tcW w:w="840" w:type="dxa"/>
            <w:vAlign w:val="bottom"/>
          </w:tcPr>
          <w:p>
            <w:pPr>
              <w:ind w:left="40"/>
              <w:spacing w:after="0"/>
              <w:rPr>
                <w:sz w:val="20"/>
                <w:szCs w:val="20"/>
                <w:color w:val="auto"/>
              </w:rPr>
            </w:pPr>
            <w:r>
              <w:rPr>
                <w:rFonts w:ascii="Arial" w:cs="Arial" w:eastAsia="Arial" w:hAnsi="Arial"/>
                <w:sz w:val="18"/>
                <w:szCs w:val="18"/>
                <w:color w:val="auto"/>
                <w:w w:val="89"/>
              </w:rPr>
              <w:t>Completed</w:t>
            </w:r>
          </w:p>
        </w:tc>
      </w:tr>
      <w:tr>
        <w:trPr>
          <w:trHeight w:val="216"/>
        </w:trPr>
        <w:tc>
          <w:tcPr>
            <w:tcW w:w="166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166) as</w:t>
            </w:r>
          </w:p>
        </w:tc>
        <w:tc>
          <w:tcPr>
            <w:tcW w:w="2700" w:type="dxa"/>
            <w:vAlign w:val="bottom"/>
          </w:tcPr>
          <w:p>
            <w:pPr>
              <w:ind w:left="80"/>
              <w:spacing w:after="0"/>
              <w:rPr>
                <w:sz w:val="20"/>
                <w:szCs w:val="20"/>
                <w:color w:val="auto"/>
              </w:rPr>
            </w:pPr>
            <w:r>
              <w:rPr>
                <w:rFonts w:ascii="Arial" w:cs="Arial" w:eastAsia="Arial" w:hAnsi="Arial"/>
                <w:sz w:val="18"/>
                <w:szCs w:val="18"/>
                <w:color w:val="auto"/>
                <w:w w:val="93"/>
              </w:rPr>
              <w:t>National Institute on Alcohol Abuse</w:t>
            </w:r>
          </w:p>
        </w:tc>
        <w:tc>
          <w:tcPr>
            <w:tcW w:w="84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w w:val="94"/>
              </w:rPr>
              <w:t>a Novel Treatment for Alcoholism</w:t>
            </w:r>
          </w:p>
        </w:tc>
        <w:tc>
          <w:tcPr>
            <w:tcW w:w="2700" w:type="dxa"/>
            <w:vAlign w:val="bottom"/>
          </w:tcPr>
          <w:p>
            <w:pPr>
              <w:ind w:left="80"/>
              <w:spacing w:after="0"/>
              <w:rPr>
                <w:sz w:val="20"/>
                <w:szCs w:val="20"/>
                <w:color w:val="auto"/>
              </w:rPr>
            </w:pPr>
            <w:r>
              <w:rPr>
                <w:rFonts w:ascii="Arial" w:cs="Arial" w:eastAsia="Arial" w:hAnsi="Arial"/>
                <w:sz w:val="18"/>
                <w:szCs w:val="18"/>
                <w:color w:val="auto"/>
              </w:rPr>
              <w:t>and Alcoholism</w:t>
            </w:r>
          </w:p>
        </w:tc>
        <w:tc>
          <w:tcPr>
            <w:tcW w:w="840" w:type="dxa"/>
            <w:vAlign w:val="bottom"/>
          </w:tcPr>
          <w:p>
            <w:pPr>
              <w:spacing w:after="0"/>
              <w:rPr>
                <w:sz w:val="20"/>
                <w:szCs w:val="20"/>
                <w:color w:val="auto"/>
              </w:rPr>
            </w:pPr>
          </w:p>
        </w:tc>
      </w:tr>
      <w:tr>
        <w:trPr>
          <w:trHeight w:val="485"/>
        </w:trPr>
        <w:tc>
          <w:tcPr>
            <w:tcW w:w="1660" w:type="dxa"/>
            <w:vAlign w:val="bottom"/>
          </w:tcPr>
          <w:p>
            <w:pPr>
              <w:spacing w:after="0"/>
              <w:rPr>
                <w:sz w:val="20"/>
                <w:szCs w:val="20"/>
                <w:color w:val="auto"/>
              </w:rPr>
            </w:pPr>
            <w:r>
              <w:rPr>
                <w:rFonts w:ascii="Arial" w:cs="Arial" w:eastAsia="Arial" w:hAnsi="Arial"/>
                <w:sz w:val="18"/>
                <w:szCs w:val="18"/>
                <w:color w:val="auto"/>
                <w:w w:val="98"/>
              </w:rPr>
              <w:t>Alcohol Dependence</w:t>
            </w:r>
          </w:p>
        </w:tc>
        <w:tc>
          <w:tcPr>
            <w:tcW w:w="2740" w:type="dxa"/>
            <w:vAlign w:val="bottom"/>
          </w:tcPr>
          <w:p>
            <w:pPr>
              <w:ind w:left="140"/>
              <w:spacing w:after="0"/>
              <w:rPr>
                <w:sz w:val="20"/>
                <w:szCs w:val="20"/>
                <w:color w:val="auto"/>
              </w:rPr>
            </w:pPr>
            <w:r>
              <w:rPr>
                <w:rFonts w:ascii="Arial" w:cs="Arial" w:eastAsia="Arial" w:hAnsi="Arial"/>
                <w:sz w:val="18"/>
                <w:szCs w:val="18"/>
                <w:color w:val="auto"/>
              </w:rPr>
              <w:t>Ibudilast (MN-166) and</w:t>
            </w:r>
          </w:p>
        </w:tc>
        <w:tc>
          <w:tcPr>
            <w:tcW w:w="2700" w:type="dxa"/>
            <w:vAlign w:val="bottom"/>
          </w:tcPr>
          <w:p>
            <w:pPr>
              <w:ind w:left="40"/>
              <w:spacing w:after="0"/>
              <w:rPr>
                <w:sz w:val="20"/>
                <w:szCs w:val="20"/>
                <w:color w:val="auto"/>
              </w:rPr>
            </w:pPr>
            <w:r>
              <w:rPr>
                <w:rFonts w:ascii="Arial" w:cs="Arial" w:eastAsia="Arial" w:hAnsi="Arial"/>
                <w:sz w:val="18"/>
                <w:szCs w:val="18"/>
                <w:color w:val="auto"/>
              </w:rPr>
              <w:t>UCLA</w:t>
            </w:r>
          </w:p>
        </w:tc>
        <w:tc>
          <w:tcPr>
            <w:tcW w:w="840" w:type="dxa"/>
            <w:vAlign w:val="bottom"/>
          </w:tcPr>
          <w:p>
            <w:pPr>
              <w:ind w:left="40"/>
              <w:spacing w:after="0"/>
              <w:rPr>
                <w:sz w:val="20"/>
                <w:szCs w:val="20"/>
                <w:color w:val="auto"/>
              </w:rPr>
            </w:pPr>
            <w:r>
              <w:rPr>
                <w:rFonts w:ascii="Arial" w:cs="Arial" w:eastAsia="Arial" w:hAnsi="Arial"/>
                <w:sz w:val="18"/>
                <w:szCs w:val="18"/>
                <w:color w:val="auto"/>
                <w:w w:val="89"/>
              </w:rPr>
              <w:t>Completed</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and Withdrawal</w:t>
            </w:r>
          </w:p>
        </w:tc>
        <w:tc>
          <w:tcPr>
            <w:tcW w:w="2740" w:type="dxa"/>
            <w:vAlign w:val="bottom"/>
          </w:tcPr>
          <w:p>
            <w:pPr>
              <w:ind w:left="140"/>
              <w:spacing w:after="0"/>
              <w:rPr>
                <w:sz w:val="20"/>
                <w:szCs w:val="20"/>
                <w:color w:val="auto"/>
              </w:rPr>
            </w:pPr>
            <w:r>
              <w:rPr>
                <w:rFonts w:ascii="Arial" w:cs="Arial" w:eastAsia="Arial" w:hAnsi="Arial"/>
                <w:sz w:val="18"/>
                <w:szCs w:val="18"/>
                <w:color w:val="auto"/>
              </w:rPr>
              <w:t>Withdrawal-Related Dysphoria</w:t>
            </w:r>
          </w:p>
        </w:tc>
        <w:tc>
          <w:tcPr>
            <w:tcW w:w="2700" w:type="dxa"/>
            <w:vAlign w:val="bottom"/>
          </w:tcPr>
          <w:p>
            <w:pPr>
              <w:ind w:left="40"/>
              <w:spacing w:after="0"/>
              <w:rPr>
                <w:sz w:val="20"/>
                <w:szCs w:val="20"/>
                <w:color w:val="auto"/>
              </w:rPr>
            </w:pPr>
            <w:r>
              <w:rPr>
                <w:rFonts w:ascii="Arial" w:cs="Arial" w:eastAsia="Arial" w:hAnsi="Arial"/>
                <w:sz w:val="18"/>
                <w:szCs w:val="18"/>
                <w:color w:val="auto"/>
              </w:rPr>
              <w:t>National Institute on Drug Abuse</w:t>
            </w:r>
          </w:p>
        </w:tc>
        <w:tc>
          <w:tcPr>
            <w:tcW w:w="840" w:type="dxa"/>
            <w:vAlign w:val="bottom"/>
          </w:tcPr>
          <w:p>
            <w:pPr>
              <w:spacing w:after="0"/>
              <w:rPr>
                <w:sz w:val="20"/>
                <w:szCs w:val="20"/>
                <w:color w:val="auto"/>
              </w:rPr>
            </w:pPr>
          </w:p>
        </w:tc>
      </w:tr>
      <w:tr>
        <w:trPr>
          <w:trHeight w:val="634"/>
        </w:trPr>
        <w:tc>
          <w:tcPr>
            <w:tcW w:w="1660" w:type="dxa"/>
            <w:vAlign w:val="bottom"/>
          </w:tcPr>
          <w:p>
            <w:pPr>
              <w:spacing w:after="0"/>
              <w:rPr>
                <w:sz w:val="20"/>
                <w:szCs w:val="20"/>
                <w:color w:val="auto"/>
              </w:rPr>
            </w:pPr>
            <w:r>
              <w:rPr>
                <w:rFonts w:ascii="Arial" w:cs="Arial" w:eastAsia="Arial" w:hAnsi="Arial"/>
                <w:sz w:val="18"/>
                <w:szCs w:val="18"/>
                <w:color w:val="auto"/>
                <w:w w:val="98"/>
              </w:rPr>
              <w:t>Alcohol Dependence</w:t>
            </w:r>
          </w:p>
        </w:tc>
        <w:tc>
          <w:tcPr>
            <w:tcW w:w="2740" w:type="dxa"/>
            <w:vAlign w:val="bottom"/>
          </w:tcPr>
          <w:p>
            <w:pPr>
              <w:ind w:left="140"/>
              <w:spacing w:after="0"/>
              <w:rPr>
                <w:sz w:val="20"/>
                <w:szCs w:val="20"/>
                <w:color w:val="auto"/>
              </w:rPr>
            </w:pPr>
            <w:r>
              <w:rPr>
                <w:rFonts w:ascii="Arial" w:cs="Arial" w:eastAsia="Arial" w:hAnsi="Arial"/>
                <w:sz w:val="18"/>
                <w:szCs w:val="18"/>
                <w:color w:val="auto"/>
              </w:rPr>
              <w:t>Ibudilast (MN-166) for the</w:t>
            </w:r>
          </w:p>
        </w:tc>
        <w:tc>
          <w:tcPr>
            <w:tcW w:w="2700" w:type="dxa"/>
            <w:vAlign w:val="bottom"/>
          </w:tcPr>
          <w:p>
            <w:pPr>
              <w:ind w:left="40"/>
              <w:spacing w:after="0"/>
              <w:rPr>
                <w:sz w:val="20"/>
                <w:szCs w:val="20"/>
                <w:color w:val="auto"/>
              </w:rPr>
            </w:pPr>
            <w:r>
              <w:rPr>
                <w:rFonts w:ascii="Arial" w:cs="Arial" w:eastAsia="Arial" w:hAnsi="Arial"/>
                <w:sz w:val="18"/>
                <w:szCs w:val="18"/>
                <w:color w:val="auto"/>
              </w:rPr>
              <w:t>UCLA</w:t>
            </w:r>
          </w:p>
        </w:tc>
        <w:tc>
          <w:tcPr>
            <w:tcW w:w="840" w:type="dxa"/>
            <w:vAlign w:val="bottom"/>
          </w:tcPr>
          <w:p>
            <w:pPr>
              <w:ind w:left="40"/>
              <w:spacing w:after="0"/>
              <w:rPr>
                <w:sz w:val="20"/>
                <w:szCs w:val="20"/>
                <w:color w:val="auto"/>
              </w:rPr>
            </w:pPr>
            <w:r>
              <w:rPr>
                <w:rFonts w:ascii="Arial" w:cs="Arial" w:eastAsia="Arial" w:hAnsi="Arial"/>
                <w:sz w:val="18"/>
                <w:szCs w:val="18"/>
                <w:color w:val="auto"/>
              </w:rPr>
              <w:t>Ongoing</w:t>
            </w:r>
          </w:p>
        </w:tc>
      </w:tr>
      <w:tr>
        <w:trPr>
          <w:trHeight w:val="216"/>
        </w:trPr>
        <w:tc>
          <w:tcPr>
            <w:tcW w:w="1660" w:type="dxa"/>
            <w:vAlign w:val="bottom"/>
          </w:tcPr>
          <w:p>
            <w:pPr>
              <w:spacing w:after="0"/>
              <w:rPr>
                <w:sz w:val="18"/>
                <w:szCs w:val="18"/>
                <w:color w:val="auto"/>
              </w:rPr>
            </w:pPr>
          </w:p>
        </w:tc>
        <w:tc>
          <w:tcPr>
            <w:tcW w:w="2740" w:type="dxa"/>
            <w:vAlign w:val="bottom"/>
          </w:tcPr>
          <w:p>
            <w:pPr>
              <w:ind w:left="140"/>
              <w:spacing w:after="0"/>
              <w:rPr>
                <w:sz w:val="20"/>
                <w:szCs w:val="20"/>
                <w:color w:val="auto"/>
              </w:rPr>
            </w:pPr>
            <w:r>
              <w:rPr>
                <w:rFonts w:ascii="Arial" w:cs="Arial" w:eastAsia="Arial" w:hAnsi="Arial"/>
                <w:sz w:val="18"/>
                <w:szCs w:val="18"/>
                <w:color w:val="auto"/>
              </w:rPr>
              <w:t>Treatment of Alcohol Use</w:t>
            </w:r>
          </w:p>
        </w:tc>
        <w:tc>
          <w:tcPr>
            <w:tcW w:w="2700" w:type="dxa"/>
            <w:vAlign w:val="bottom"/>
          </w:tcPr>
          <w:p>
            <w:pPr>
              <w:ind w:left="40"/>
              <w:spacing w:after="0"/>
              <w:rPr>
                <w:sz w:val="20"/>
                <w:szCs w:val="20"/>
                <w:color w:val="auto"/>
              </w:rPr>
            </w:pPr>
            <w:r>
              <w:rPr>
                <w:rFonts w:ascii="Arial" w:cs="Arial" w:eastAsia="Arial" w:hAnsi="Arial"/>
                <w:sz w:val="18"/>
                <w:szCs w:val="18"/>
                <w:color w:val="auto"/>
                <w:w w:val="94"/>
              </w:rPr>
              <w:t>National Institute on Alcohol Abuse</w:t>
            </w:r>
          </w:p>
        </w:tc>
        <w:tc>
          <w:tcPr>
            <w:tcW w:w="84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2740" w:type="dxa"/>
            <w:vAlign w:val="bottom"/>
          </w:tcPr>
          <w:p>
            <w:pPr>
              <w:ind w:left="140"/>
              <w:spacing w:after="0"/>
              <w:rPr>
                <w:sz w:val="20"/>
                <w:szCs w:val="20"/>
                <w:color w:val="auto"/>
              </w:rPr>
            </w:pPr>
            <w:r>
              <w:rPr>
                <w:rFonts w:ascii="Arial" w:cs="Arial" w:eastAsia="Arial" w:hAnsi="Arial"/>
                <w:sz w:val="18"/>
                <w:szCs w:val="18"/>
                <w:color w:val="auto"/>
              </w:rPr>
              <w:t>Disorder</w:t>
            </w:r>
          </w:p>
        </w:tc>
        <w:tc>
          <w:tcPr>
            <w:tcW w:w="2700" w:type="dxa"/>
            <w:vAlign w:val="bottom"/>
          </w:tcPr>
          <w:p>
            <w:pPr>
              <w:ind w:left="40"/>
              <w:spacing w:after="0"/>
              <w:rPr>
                <w:sz w:val="20"/>
                <w:szCs w:val="20"/>
                <w:color w:val="auto"/>
              </w:rPr>
            </w:pPr>
            <w:r>
              <w:rPr>
                <w:rFonts w:ascii="Arial" w:cs="Arial" w:eastAsia="Arial" w:hAnsi="Arial"/>
                <w:sz w:val="18"/>
                <w:szCs w:val="18"/>
                <w:color w:val="auto"/>
              </w:rPr>
              <w:t>and Alcoholism</w:t>
            </w:r>
          </w:p>
        </w:tc>
        <w:tc>
          <w:tcPr>
            <w:tcW w:w="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currently have no marketing and sales capabilities and we expect to rely on strategic partners to commercialize our products.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firstLine="635"/>
        <w:spacing w:after="0" w:line="263" w:lineRule="auto"/>
        <w:rPr>
          <w:sz w:val="20"/>
          <w:szCs w:val="20"/>
          <w:color w:val="auto"/>
        </w:rPr>
      </w:pPr>
      <w:r>
        <w:rPr>
          <w:rFonts w:ascii="Arial" w:cs="Arial" w:eastAsia="Arial" w:hAnsi="Arial"/>
          <w:sz w:val="18"/>
          <w:szCs w:val="18"/>
          <w:color w:val="auto"/>
        </w:rPr>
        <w:t>We rely on third parties to manufacture bulk active pharmaceutical ingredients (API) and finished investigational products for research, development, preclinical and clinical trials. We expect to continue to rely on third party manufacturers for the manufacture of the API and finished products for our clinical and any future</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type w:val="continuous"/>
        </w:sectPr>
      </w:pPr>
    </w:p>
    <w:bookmarkStart w:id="20" w:name="page21"/>
    <w:bookmarkEnd w:id="20"/>
    <w:p>
      <w:pPr>
        <w:ind w:right="340"/>
        <w:spacing w:after="0" w:line="308" w:lineRule="auto"/>
        <w:rPr>
          <w:sz w:val="20"/>
          <w:szCs w:val="20"/>
          <w:color w:val="auto"/>
        </w:rPr>
      </w:pPr>
      <w:r>
        <w:rPr>
          <w:rFonts w:ascii="Arial" w:cs="Arial" w:eastAsia="Arial" w:hAnsi="Arial"/>
          <w:sz w:val="17"/>
          <w:szCs w:val="17"/>
          <w:color w:val="auto"/>
        </w:rPr>
        <w:t>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52" w:lineRule="exact"/>
        <w:rPr>
          <w:sz w:val="20"/>
          <w:szCs w:val="20"/>
          <w:color w:val="auto"/>
        </w:rPr>
      </w:pPr>
    </w:p>
    <w:p>
      <w:pPr>
        <w:ind w:firstLine="644"/>
        <w:spacing w:after="0" w:line="263" w:lineRule="auto"/>
        <w:rPr>
          <w:sz w:val="20"/>
          <w:szCs w:val="20"/>
          <w:color w:val="auto"/>
        </w:rPr>
      </w:pPr>
      <w:r>
        <w:rPr>
          <w:rFonts w:ascii="Arial" w:cs="Arial" w:eastAsia="Arial" w:hAnsi="Arial"/>
          <w:sz w:val="18"/>
          <w:szCs w:val="18"/>
          <w:color w:val="auto"/>
        </w:rPr>
        <w:t>For the MN-166 (ibudilast) development program, we have historically sourced and imported delayed-release ibudilast capsules, marketed in Japan as Pinatos</w:t>
      </w:r>
      <w:r>
        <w:rPr>
          <w:rFonts w:ascii="Arial" w:cs="Arial" w:eastAsia="Arial" w:hAnsi="Arial"/>
          <w:sz w:val="15"/>
          <w:szCs w:val="15"/>
          <w:color w:val="auto"/>
        </w:rPr>
        <w:t>®</w:t>
      </w:r>
      <w:r>
        <w:rPr>
          <w:rFonts w:ascii="Arial" w:cs="Arial" w:eastAsia="Arial" w:hAnsi="Arial"/>
          <w:sz w:val="18"/>
          <w:szCs w:val="18"/>
          <w:color w:val="auto"/>
        </w:rPr>
        <w:t>, from Taisho Pharmaceutical Co., Ltd. (Taisho). In addition, we use contract manufacturers to manufacture API and finished product for the MN-166 (ibudilast) development program.</w:t>
      </w:r>
    </w:p>
    <w:p>
      <w:pPr>
        <w:spacing w:after="0" w:line="76" w:lineRule="exact"/>
        <w:rPr>
          <w:sz w:val="20"/>
          <w:szCs w:val="20"/>
          <w:color w:val="auto"/>
        </w:rPr>
      </w:pPr>
    </w:p>
    <w:p>
      <w:pPr>
        <w:ind w:right="200" w:firstLine="643"/>
        <w:spacing w:after="0" w:line="259" w:lineRule="auto"/>
        <w:rPr>
          <w:sz w:val="20"/>
          <w:szCs w:val="20"/>
          <w:color w:val="auto"/>
        </w:rPr>
      </w:pPr>
      <w:r>
        <w:rPr>
          <w:rFonts w:ascii="Arial" w:cs="Arial" w:eastAsia="Arial" w:hAnsi="Arial"/>
          <w:sz w:val="18"/>
          <w:szCs w:val="18"/>
          <w:color w:val="auto"/>
        </w:rPr>
        <w:t>Pursuant to the terms of our license agreement with Kissei for MN-221 (bedoradrine), Kissei has the exclusive right to manufacture the commercial supply of the API for MN-221 (bedoradrine). If we enter into a supply agreement with Kissei, we will purchase from Kissei all API that we require for the commercial supply of MN-221 (bedoradrine), if this product candidate is approved for commercial sale by the FDA or other regulatory authorities.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89" w:lineRule="exact"/>
        <w:rPr>
          <w:sz w:val="20"/>
          <w:szCs w:val="20"/>
          <w:color w:val="auto"/>
        </w:rPr>
      </w:pPr>
    </w:p>
    <w:p>
      <w:pPr>
        <w:ind w:right="60" w:firstLine="639"/>
        <w:spacing w:after="0" w:line="253" w:lineRule="auto"/>
        <w:rPr>
          <w:sz w:val="20"/>
          <w:szCs w:val="20"/>
          <w:color w:val="auto"/>
        </w:rPr>
      </w:pPr>
      <w:r>
        <w:rPr>
          <w:rFonts w:ascii="Arial" w:cs="Arial" w:eastAsia="Arial" w:hAnsi="Arial"/>
          <w:sz w:val="18"/>
          <w:szCs w:val="18"/>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 Although the majority of our licensed patents have expired, we hold licensed rights to one issued foreign patent that is not expired. In addition to these licensed rights, we hold 27 issued U.S. patents and have filed 11 additional U.S. patent applications. We also hold 58 issued foreign patents and 36 pending foreign patent applications corresponding to these U.S. patents and patent applications. We are not aware of any third 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clinical product candidates.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71" w:lineRule="exact"/>
        <w:rPr>
          <w:sz w:val="20"/>
          <w:szCs w:val="20"/>
          <w:color w:val="auto"/>
        </w:rPr>
      </w:pPr>
    </w:p>
    <w:p>
      <w:pPr>
        <w:ind w:right="60" w:firstLine="646"/>
        <w:spacing w:after="0" w:line="290" w:lineRule="auto"/>
        <w:rPr>
          <w:sz w:val="20"/>
          <w:szCs w:val="20"/>
          <w:color w:val="auto"/>
        </w:rPr>
      </w:pPr>
      <w:r>
        <w:rPr>
          <w:rFonts w:ascii="Arial" w:cs="Arial" w:eastAsia="Arial" w:hAnsi="Arial"/>
          <w:sz w:val="16"/>
          <w:szCs w:val="16"/>
          <w:color w:val="auto"/>
        </w:rPr>
        <w:t>On October 22, 2004, we entered into an exclusive license agreement with Kyorin for the development and commercialization of MN-166 (ibudilast). Kyorin is a fully integrated Japanese pharmaceutical company and is listed on the First Section of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84" w:lineRule="exact"/>
        <w:rPr>
          <w:sz w:val="20"/>
          <w:szCs w:val="20"/>
          <w:color w:val="auto"/>
        </w:rPr>
      </w:pPr>
    </w:p>
    <w:p>
      <w:pPr>
        <w:ind w:right="280" w:firstLine="639"/>
        <w:spacing w:after="0" w:line="263"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03" w:lineRule="exact"/>
        <w:rPr>
          <w:sz w:val="20"/>
          <w:szCs w:val="20"/>
          <w:color w:val="auto"/>
        </w:rPr>
      </w:pPr>
    </w:p>
    <w:p>
      <w:pPr>
        <w:ind w:right="20" w:firstLine="636"/>
        <w:spacing w:after="0" w:line="311"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35" w:lineRule="exact"/>
        <w:rPr>
          <w:sz w:val="20"/>
          <w:szCs w:val="20"/>
          <w:color w:val="auto"/>
        </w:rPr>
      </w:pPr>
    </w:p>
    <w:p>
      <w:pPr>
        <w:ind w:right="220" w:firstLine="640"/>
        <w:spacing w:after="0" w:line="308" w:lineRule="auto"/>
        <w:rPr>
          <w:sz w:val="20"/>
          <w:szCs w:val="20"/>
          <w:color w:val="auto"/>
        </w:rPr>
      </w:pPr>
      <w:r>
        <w:rPr>
          <w:rFonts w:ascii="Arial" w:cs="Arial" w:eastAsia="Arial" w:hAnsi="Arial"/>
          <w:sz w:val="17"/>
          <w:szCs w:val="17"/>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52" w:lineRule="exact"/>
        <w:rPr>
          <w:sz w:val="20"/>
          <w:szCs w:val="20"/>
          <w:color w:val="auto"/>
        </w:rPr>
      </w:pPr>
    </w:p>
    <w:p>
      <w:pPr>
        <w:jc w:val="both"/>
        <w:ind w:right="460" w:firstLine="617"/>
        <w:spacing w:after="0" w:line="311" w:lineRule="auto"/>
        <w:rPr>
          <w:sz w:val="20"/>
          <w:szCs w:val="20"/>
          <w:color w:val="auto"/>
        </w:rPr>
      </w:pPr>
      <w:r>
        <w:rPr>
          <w:rFonts w:ascii="Arial" w:cs="Arial" w:eastAsia="Arial" w:hAnsi="Arial"/>
          <w:sz w:val="16"/>
          <w:szCs w:val="16"/>
          <w:color w:val="auto"/>
        </w:rPr>
        <w:t>We own, co-own or hold licenses to ten issued U.S. patents and ten pending U.S. patent applications as well as 23 issued foreign patents and 17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54" w:lineRule="exact"/>
        <w:rPr>
          <w:sz w:val="20"/>
          <w:szCs w:val="20"/>
          <w:color w:val="auto"/>
        </w:rPr>
      </w:pPr>
    </w:p>
    <w:p>
      <w:pPr>
        <w:ind w:firstLine="644"/>
        <w:spacing w:after="0" w:line="287" w:lineRule="auto"/>
        <w:rPr>
          <w:sz w:val="20"/>
          <w:szCs w:val="20"/>
          <w:color w:val="auto"/>
        </w:rPr>
      </w:pPr>
      <w:r>
        <w:rPr>
          <w:rFonts w:ascii="Arial" w:cs="Arial" w:eastAsia="Arial" w:hAnsi="Arial"/>
          <w:sz w:val="16"/>
          <w:szCs w:val="16"/>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In December 2020, we received a notice of allowance for a pending U.S. patent application which covers the combination of MN-166 (ibudilast) and interferon-beta for the treatment of progressive MS including both PPMS and SPMS. Once issued, the patent maturing from this allowed U.S. patent application is expected to expire no earlier than October 2039. We have been granted a U.S. patent which covers the use of MN-166 (ibudilast) for the treatment of amyotrophic lateral sclerosis (ALS) and it expires no earlier than January 2029. We have been granted a U.S. patent which covers the combination of MN-166 (ibudilast) and riluzole for the treatment of ALS and other neurodegenerative diseases and it expires no earlier than November 2035. We have been granted a U.S. patent which covers the use of MN-166 (ibudilast) as part of a combination treatment for glioblastoma and it expires no earlier than February 2039. We have been granted a U.S. patent which covers the use of MN-166 (ibudilast) for the treatment of drug addiction or drug dependence or withdrawal syndrome and it expires no earlier than January 2030. Counterparts of this patent application have been granted in certain foreign jurisdictions. We have been granted a U.S. patent which covers the use of MN-166 (ibudilast) for the treatment of neuropathic pain and it expires no earlier than December 2025.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171" w:lineRule="exact"/>
        <w:rPr>
          <w:sz w:val="20"/>
          <w:szCs w:val="20"/>
          <w:color w:val="auto"/>
        </w:rPr>
      </w:pPr>
    </w:p>
    <w:p>
      <w:pPr>
        <w:ind w:right="80" w:firstLine="646"/>
        <w:spacing w:after="0" w:line="272" w:lineRule="auto"/>
        <w:rPr>
          <w:sz w:val="20"/>
          <w:szCs w:val="20"/>
          <w:color w:val="auto"/>
        </w:rPr>
      </w:pPr>
      <w:r>
        <w:rPr>
          <w:rFonts w:ascii="Arial" w:cs="Arial" w:eastAsia="Arial" w:hAnsi="Arial"/>
          <w:sz w:val="17"/>
          <w:szCs w:val="17"/>
          <w:color w:val="auto"/>
        </w:rPr>
        <w:t>On February 25, 2004, we entered into an exclusive license agreement with Kissei for the development and commercialization of MN-221 (bedoradrine). Kissei is a fully integrated Japanese pharmaceutical company and is listed on the Tokyo Stock Exchange. We obtained an exclusive, worldwide (excluding Japan), sub-licensable license to various patent rights and know-how related to MN-221 (bedoradrine) and other compounds disclosed or included in, or covered by, these patent rights, for all indications. This license includes an exclusive license under one U.S. patent and certain corresponding patents in foreign countries and is sub-licensable upon receipt of the written consent of Kissei. The United States composition of matter patent underlying the license issued on October 17, 2000 and it expired on February 18, 2017. Most of the corresponding composition of matter patents in various other countries also expired on February 18, 2017.</w:t>
      </w:r>
    </w:p>
    <w:p>
      <w:pPr>
        <w:spacing w:after="0" w:line="96" w:lineRule="exact"/>
        <w:rPr>
          <w:sz w:val="20"/>
          <w:szCs w:val="20"/>
          <w:color w:val="auto"/>
        </w:rPr>
      </w:pPr>
    </w:p>
    <w:p>
      <w:pPr>
        <w:ind w:right="180" w:firstLine="632"/>
        <w:spacing w:after="0" w:line="255" w:lineRule="auto"/>
        <w:rPr>
          <w:sz w:val="20"/>
          <w:szCs w:val="20"/>
          <w:color w:val="auto"/>
        </w:rPr>
      </w:pPr>
      <w:r>
        <w:rPr>
          <w:rFonts w:ascii="Arial" w:cs="Arial" w:eastAsia="Arial" w:hAnsi="Arial"/>
          <w:sz w:val="18"/>
          <w:szCs w:val="18"/>
          <w:color w:val="auto"/>
        </w:rPr>
        <w:t>In addition to the licensed patents, we have filed patent applications in the United States and certain foreign countries regarding additional uses and formulations of MN-221 (bedoradrine). We have been granted a U.S. patent which covers the use of MN-221 (bedoradrine)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We have been granted a U.S. patent that covers the use of MN-221 (bedoradrine) for the treatment of irritable bowel syndrome and it expires no earlier than April 2031.</w:t>
      </w:r>
    </w:p>
    <w:p>
      <w:pPr>
        <w:spacing w:after="0" w:line="98" w:lineRule="exact"/>
        <w:rPr>
          <w:sz w:val="20"/>
          <w:szCs w:val="20"/>
          <w:color w:val="auto"/>
        </w:rPr>
      </w:pPr>
    </w:p>
    <w:p>
      <w:pPr>
        <w:ind w:right="320" w:firstLine="640"/>
        <w:spacing w:after="0" w:line="277"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ind w:right="1220"/>
        <w:spacing w:after="0" w:line="277" w:lineRule="auto"/>
        <w:rPr>
          <w:sz w:val="20"/>
          <w:szCs w:val="20"/>
          <w:color w:val="auto"/>
        </w:rPr>
      </w:pPr>
      <w:r>
        <w:rPr>
          <w:rFonts w:ascii="Arial" w:cs="Arial" w:eastAsia="Arial" w:hAnsi="Arial"/>
          <w:sz w:val="18"/>
          <w:szCs w:val="18"/>
          <w:color w:val="auto"/>
        </w:rPr>
        <w:t>reasons upon 100 days’ prior written notice to Kissei during the development phase and 180 days’ prior written notice to Kissei during the commercialization phase.</w:t>
      </w:r>
    </w:p>
    <w:p>
      <w:pPr>
        <w:spacing w:after="0" w:line="76" w:lineRule="exact"/>
        <w:rPr>
          <w:sz w:val="20"/>
          <w:szCs w:val="20"/>
          <w:color w:val="auto"/>
        </w:rPr>
      </w:pPr>
    </w:p>
    <w:p>
      <w:pPr>
        <w:ind w:right="240" w:firstLine="642"/>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patent (or equivalent) under license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33" w:lineRule="exact"/>
        <w:rPr>
          <w:sz w:val="20"/>
          <w:szCs w:val="20"/>
          <w:color w:val="auto"/>
        </w:rPr>
      </w:pPr>
    </w:p>
    <w:p>
      <w:pPr>
        <w:jc w:val="both"/>
        <w:ind w:right="360" w:firstLine="622"/>
        <w:spacing w:after="0" w:line="259" w:lineRule="auto"/>
        <w:rPr>
          <w:sz w:val="20"/>
          <w:szCs w:val="20"/>
          <w:color w:val="auto"/>
        </w:rPr>
      </w:pPr>
      <w:r>
        <w:rPr>
          <w:rFonts w:ascii="Arial" w:cs="Arial" w:eastAsia="Arial" w:hAnsi="Arial"/>
          <w:sz w:val="18"/>
          <w:szCs w:val="18"/>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a letter agreement we entered into with Kissei in September 2011, we agreed to renegotiate in good faith with Kissei the existing levels of the milestone payment amounts and royalty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71" w:lineRule="exact"/>
        <w:rPr>
          <w:sz w:val="20"/>
          <w:szCs w:val="20"/>
          <w:color w:val="auto"/>
        </w:rPr>
      </w:pPr>
    </w:p>
    <w:p>
      <w:pPr>
        <w:ind w:firstLine="646"/>
        <w:spacing w:after="0" w:line="269" w:lineRule="auto"/>
        <w:rPr>
          <w:sz w:val="20"/>
          <w:szCs w:val="20"/>
          <w:color w:val="auto"/>
        </w:rPr>
      </w:pPr>
      <w:r>
        <w:rPr>
          <w:rFonts w:ascii="Arial" w:cs="Arial" w:eastAsia="Arial" w:hAnsi="Arial"/>
          <w:sz w:val="17"/>
          <w:szCs w:val="17"/>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have been granted 14 U.S. patents covering certain compositions, uses and manufacturing processes associated with MN-001 (tipelukast) and MN-002. Uses covered by these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87" w:lineRule="exact"/>
        <w:rPr>
          <w:sz w:val="20"/>
          <w:szCs w:val="20"/>
          <w:color w:val="auto"/>
        </w:rPr>
      </w:pPr>
    </w:p>
    <w:p>
      <w:pPr>
        <w:jc w:val="both"/>
        <w:ind w:right="80" w:firstLine="639"/>
        <w:spacing w:after="0" w:line="255" w:lineRule="auto"/>
        <w:rPr>
          <w:sz w:val="20"/>
          <w:szCs w:val="20"/>
          <w:color w:val="auto"/>
        </w:rPr>
      </w:pPr>
      <w:r>
        <w:rPr>
          <w:rFonts w:ascii="Arial" w:cs="Arial" w:eastAsia="Arial" w:hAnsi="Arial"/>
          <w:sz w:val="18"/>
          <w:szCs w:val="18"/>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98" w:lineRule="exact"/>
        <w:rPr>
          <w:sz w:val="20"/>
          <w:szCs w:val="20"/>
          <w:color w:val="auto"/>
        </w:rPr>
      </w:pPr>
    </w:p>
    <w:p>
      <w:pPr>
        <w:ind w:right="80" w:firstLine="644"/>
        <w:spacing w:after="0" w:line="275"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ind w:right="60" w:firstLine="642"/>
        <w:spacing w:after="0" w:line="277" w:lineRule="auto"/>
        <w:rPr>
          <w:sz w:val="20"/>
          <w:szCs w:val="20"/>
          <w:color w:val="auto"/>
        </w:rPr>
      </w:pPr>
      <w:r>
        <w:rPr>
          <w:rFonts w:ascii="Arial" w:cs="Arial" w:eastAsia="Arial" w:hAnsi="Arial"/>
          <w:sz w:val="18"/>
          <w:szCs w:val="18"/>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71" w:lineRule="exact"/>
        <w:rPr>
          <w:sz w:val="20"/>
          <w:szCs w:val="20"/>
          <w:color w:val="auto"/>
        </w:rPr>
      </w:pPr>
    </w:p>
    <w:p>
      <w:pPr>
        <w:ind w:firstLine="646"/>
        <w:spacing w:after="0" w:line="272" w:lineRule="auto"/>
        <w:rPr>
          <w:sz w:val="20"/>
          <w:szCs w:val="20"/>
          <w:color w:val="auto"/>
        </w:rPr>
      </w:pPr>
      <w:r>
        <w:rPr>
          <w:rFonts w:ascii="Arial" w:cs="Arial" w:eastAsia="Arial" w:hAnsi="Arial"/>
          <w:sz w:val="17"/>
          <w:szCs w:val="17"/>
          <w:color w:val="auto"/>
        </w:rPr>
        <w:t>On June 19, 2002, we entered into an exclusive license agreement with Angiogene, a privately held, British drug discovery company, for the development and commercialization of the ANG-600 series of compounds. We obtained an exclusive, worldwide, sub-licensable license to the patent rights and know-how related to the ANG-600 series of compounds disclosed in and included or covered by these patents for all indications. MN-029 (denibulin)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in some of those countries.</w:t>
      </w:r>
    </w:p>
    <w:p>
      <w:pPr>
        <w:spacing w:after="0" w:line="83" w:lineRule="exact"/>
        <w:rPr>
          <w:sz w:val="20"/>
          <w:szCs w:val="20"/>
          <w:color w:val="auto"/>
        </w:rPr>
      </w:pPr>
    </w:p>
    <w:p>
      <w:pPr>
        <w:ind w:right="360" w:firstLine="642"/>
        <w:spacing w:after="0" w:line="277"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76" w:lineRule="exact"/>
        <w:rPr>
          <w:sz w:val="20"/>
          <w:szCs w:val="20"/>
          <w:color w:val="auto"/>
        </w:rPr>
      </w:pPr>
    </w:p>
    <w:p>
      <w:pPr>
        <w:ind w:right="40" w:firstLine="644"/>
        <w:spacing w:after="0" w:line="277" w:lineRule="auto"/>
        <w:rPr>
          <w:sz w:val="20"/>
          <w:szCs w:val="20"/>
          <w:color w:val="auto"/>
        </w:rPr>
      </w:pPr>
      <w:r>
        <w:rPr>
          <w:rFonts w:ascii="Arial" w:cs="Arial" w:eastAsia="Arial" w:hAnsi="Arial"/>
          <w:sz w:val="18"/>
          <w:szCs w:val="18"/>
          <w:color w:val="auto"/>
        </w:rPr>
        <w:t>The term of this agreement is determined on a country-by-country basis and extends until the earlier of the expiration of the last Angiogene patent (or equivalent) under license which has a valid claim or 15 years from the date of first commercial sale.</w:t>
      </w:r>
    </w:p>
    <w:p>
      <w:pPr>
        <w:spacing w:after="0" w:line="76" w:lineRule="exact"/>
        <w:rPr>
          <w:sz w:val="20"/>
          <w:szCs w:val="20"/>
          <w:color w:val="auto"/>
        </w:rPr>
      </w:pPr>
    </w:p>
    <w:p>
      <w:pPr>
        <w:ind w:right="240" w:firstLine="644"/>
        <w:spacing w:after="0" w:line="308" w:lineRule="auto"/>
        <w:rPr>
          <w:sz w:val="20"/>
          <w:szCs w:val="20"/>
          <w:color w:val="auto"/>
        </w:rPr>
      </w:pPr>
      <w:r>
        <w:rPr>
          <w:rFonts w:ascii="Arial" w:cs="Arial" w:eastAsia="Arial" w:hAnsi="Arial"/>
          <w:sz w:val="17"/>
          <w:szCs w:val="17"/>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20" w:firstLine="646"/>
        <w:spacing w:after="0" w:line="287"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 party infringements of patents we hold or have licensed and have not received any material claims by third parties of infringement by us of such parties’ intellectual property rights.</w:t>
      </w:r>
    </w:p>
    <w:p>
      <w:pPr>
        <w:spacing w:after="0" w:line="73" w:lineRule="exact"/>
        <w:rPr>
          <w:sz w:val="20"/>
          <w:szCs w:val="20"/>
          <w:color w:val="auto"/>
        </w:rPr>
      </w:pPr>
    </w:p>
    <w:p>
      <w:pPr>
        <w:ind w:right="80" w:firstLine="644"/>
        <w:spacing w:after="0" w:line="263" w:lineRule="auto"/>
        <w:rPr>
          <w:sz w:val="20"/>
          <w:szCs w:val="20"/>
          <w:color w:val="auto"/>
        </w:rPr>
      </w:pPr>
      <w:r>
        <w:rPr>
          <w:rFonts w:ascii="Arial" w:cs="Arial" w:eastAsia="Arial" w:hAnsi="Arial"/>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t>challenged. For example, we have U.S. patents covering the method of treating progressive MS with MN-166 (ibudilast), the method of treating ALS with MN-166 (ibudilast), the method of treating glioblastoma with MN-166 (ibudilast) as part of a combination therapy,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111" w:lineRule="exact"/>
        <w:rPr>
          <w:sz w:val="20"/>
          <w:szCs w:val="20"/>
          <w:color w:val="auto"/>
        </w:rPr>
      </w:pPr>
    </w:p>
    <w:p>
      <w:pPr>
        <w:ind w:right="80" w:firstLine="643"/>
        <w:spacing w:after="0" w:line="255"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new chemical entity exclusivity provisions of the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6"/>
        <w:spacing w:after="0" w:line="270" w:lineRule="auto"/>
        <w:rPr>
          <w:sz w:val="20"/>
          <w:szCs w:val="20"/>
          <w:color w:val="auto"/>
        </w:rPr>
      </w:pPr>
      <w:r>
        <w:rPr>
          <w:rFonts w:ascii="Arial" w:cs="Arial" w:eastAsia="Arial" w:hAnsi="Arial"/>
          <w:sz w:val="17"/>
          <w:szCs w:val="17"/>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00" w:lineRule="exact"/>
        <w:rPr>
          <w:sz w:val="20"/>
          <w:szCs w:val="20"/>
          <w:color w:val="auto"/>
        </w:rPr>
      </w:pPr>
    </w:p>
    <w:p>
      <w:pPr>
        <w:ind w:right="240" w:firstLine="637"/>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Progressive Multiple Sclerosis (Progressive MS)</w:t>
      </w:r>
    </w:p>
    <w:p>
      <w:pPr>
        <w:spacing w:after="0" w:line="171" w:lineRule="exact"/>
        <w:rPr>
          <w:sz w:val="20"/>
          <w:szCs w:val="20"/>
          <w:color w:val="auto"/>
        </w:rPr>
      </w:pPr>
    </w:p>
    <w:p>
      <w:pPr>
        <w:ind w:right="100" w:firstLine="644"/>
        <w:spacing w:after="0" w:line="275" w:lineRule="auto"/>
        <w:rPr>
          <w:sz w:val="20"/>
          <w:szCs w:val="20"/>
          <w:color w:val="auto"/>
        </w:rPr>
      </w:pPr>
      <w:r>
        <w:rPr>
          <w:rFonts w:ascii="Arial" w:cs="Arial" w:eastAsia="Arial" w:hAnsi="Arial"/>
          <w:sz w:val="17"/>
          <w:szCs w:val="17"/>
          <w:color w:val="auto"/>
        </w:rPr>
        <w:t>Our MN-166 (ibudilast) product candidate is in development for the treatment of progressive MS. Mitoxantrone is approved for the treatment of secondary progressive MS but it cannot be used on a long-term basis because of the potential for cardiac toxicity. Mayzent (siponimod), Mavenclad (cladribine), Vumerity (diroximel fumarate), Zeposia (ozanimod), Kesimpta (ofatumumab), and Bafiertam (monomethyl fumarate) are approved for the treatment of secondary progressive MS with relapses. Ocrevus (ocrelizumab) is approved for the treatment of primary progressive MS. Other programs in clinical development for progressive MS include MedDay’s MD1003 and AB Science’s masitinib.</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Amyotrophic Lateral Sclerosis (ALS)</w:t>
      </w:r>
    </w:p>
    <w:p>
      <w:pPr>
        <w:spacing w:after="0" w:line="171" w:lineRule="exact"/>
        <w:rPr>
          <w:sz w:val="20"/>
          <w:szCs w:val="20"/>
          <w:color w:val="auto"/>
        </w:rPr>
      </w:pPr>
    </w:p>
    <w:p>
      <w:pPr>
        <w:ind w:right="200" w:firstLine="646"/>
        <w:spacing w:after="0" w:line="277" w:lineRule="auto"/>
        <w:rPr>
          <w:sz w:val="20"/>
          <w:szCs w:val="20"/>
          <w:color w:val="auto"/>
        </w:rPr>
      </w:pPr>
      <w:r>
        <w:rPr>
          <w:rFonts w:ascii="Arial" w:cs="Arial" w:eastAsia="Arial" w:hAnsi="Arial"/>
          <w:sz w:val="18"/>
          <w:szCs w:val="18"/>
          <w:color w:val="auto"/>
        </w:rPr>
        <w:t>Our MN-166 (ibudilast) product candidate is also in development for the treatment of ALS. Generic riluzole, which is also sold under the brand names Rilutek and Tiglutik, and Radicava (edaravone) are approved for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ind w:right="360"/>
        <w:spacing w:after="0" w:line="277" w:lineRule="auto"/>
        <w:rPr>
          <w:sz w:val="20"/>
          <w:szCs w:val="20"/>
          <w:color w:val="auto"/>
        </w:rPr>
      </w:pPr>
      <w:r>
        <w:rPr>
          <w:rFonts w:ascii="Arial" w:cs="Arial" w:eastAsia="Arial" w:hAnsi="Arial"/>
          <w:sz w:val="18"/>
          <w:szCs w:val="18"/>
          <w:color w:val="auto"/>
        </w:rPr>
        <w:t>treatment of ALS. We are aware of additional compounds in clinical development for the treatment of ALS at other companies including Cytokinetics, BrainStorm Cell Therapeutics Inc., AB Science, Biogen, Orphazyme, and Amylyx Pharmaceuticals.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Substance Dependence and Addiction</w:t>
      </w:r>
    </w:p>
    <w:p>
      <w:pPr>
        <w:spacing w:after="0" w:line="171" w:lineRule="exact"/>
        <w:rPr>
          <w:sz w:val="20"/>
          <w:szCs w:val="20"/>
          <w:color w:val="auto"/>
        </w:rPr>
      </w:pPr>
    </w:p>
    <w:p>
      <w:pPr>
        <w:ind w:firstLine="646"/>
        <w:spacing w:after="0" w:line="286" w:lineRule="auto"/>
        <w:rPr>
          <w:sz w:val="20"/>
          <w:szCs w:val="20"/>
          <w:color w:val="auto"/>
        </w:rPr>
      </w:pPr>
      <w:r>
        <w:rPr>
          <w:rFonts w:ascii="Arial" w:cs="Arial" w:eastAsia="Arial" w:hAnsi="Arial"/>
          <w:sz w:val="16"/>
          <w:szCs w:val="16"/>
          <w:color w:val="auto"/>
        </w:rPr>
        <w:t>Our MN-166 (ibudilast) product candidate is also in development for the treatment of opioid dependence, methamphetamine addiction, and alcohol dependence. Current treatments for opioid withdrawal symptoms include narcotics such as generic methadone and Indivior, Inc.’s Suboxone Film (buprenorphine + the opioid antagonist naloxone). Other products approved for opioid dependence include Alkermes’s Vivitrol (naltrexone monthly injection), Orexo’s Zubsolv (buprenorphine and naloxone), BioDelivery Sciences’s Bunavail (buprenorphine and naloxone), Titan Pharmaceuticals Inc.’s Probuphine (buprenorphine) implant, and Indivior’s Sublocade (buprenorphine extended-release injection). In December 2018, Braeburn announced tentative FDA approval of BRIXADI, an extended-release weekly and monthly injectable buprenorphine product, for the treatment of moderate to severe opioid use disorder and it is eligible for marketing approval starting in November 2020. In December 2020, Braeburn announced that the FDA issued a Complete Response Letter regarding the New Drug Application (NDA) for BRIXADI. FDA was unable to approve the BRIXADI NDA at this time due to deficiencies found during a recent inspection at a third-party manufacturing facility. Limited non-narcotic drug candidates for opioid withdrawal symptoms exist. US WorldMeds, LLC’s Lucemyra (lofexidine) is a central alpha-2 adrenergic agonist approved for mitigation of opioid withdrawal symptoms to facilitate abrupt opioid discontinuation. There are no pharmaceuticals currently approved for the treatment of methamphetamine addiction. Approved treatments for alcohol dependence include Antabuse (disulfiram), Vivitrol (naltrexone), and generic acamprosate. We are aware of additional treatments in development for the treatment of alcohol dependence at other companies including Opiant Pharmaceuticals.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Chemotherapy-Induced Peripheral Neuropathy</w:t>
      </w:r>
    </w:p>
    <w:p>
      <w:pPr>
        <w:spacing w:after="0" w:line="225" w:lineRule="exact"/>
        <w:rPr>
          <w:sz w:val="20"/>
          <w:szCs w:val="20"/>
          <w:color w:val="auto"/>
        </w:rPr>
      </w:pPr>
    </w:p>
    <w:p>
      <w:pPr>
        <w:ind w:right="340" w:firstLine="628"/>
        <w:spacing w:after="0" w:line="263" w:lineRule="auto"/>
        <w:rPr>
          <w:sz w:val="20"/>
          <w:szCs w:val="20"/>
          <w:color w:val="auto"/>
        </w:rPr>
      </w:pPr>
      <w:r>
        <w:rPr>
          <w:rFonts w:ascii="Arial" w:cs="Arial" w:eastAsia="Arial" w:hAnsi="Arial"/>
          <w:sz w:val="18"/>
          <w:szCs w:val="18"/>
          <w:color w:val="auto"/>
        </w:rPr>
        <w:t>Our MN-166 (ibudilast) product candidate is also in development for the treatment of chemotherapy-induced peripheral neuropathy. There are no pharmaceuticals currently approved for the treatment of chemotherapy-induced peripheral neuropathy. Duloxetine is sometimes used off-label for this indication.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Degenerative Cervical Myelopathy</w:t>
      </w:r>
    </w:p>
    <w:p>
      <w:pPr>
        <w:spacing w:after="0" w:line="171" w:lineRule="exact"/>
        <w:rPr>
          <w:sz w:val="20"/>
          <w:szCs w:val="20"/>
          <w:color w:val="auto"/>
        </w:rPr>
      </w:pPr>
    </w:p>
    <w:p>
      <w:pPr>
        <w:ind w:right="960" w:firstLine="636"/>
        <w:spacing w:after="0" w:line="277" w:lineRule="auto"/>
        <w:rPr>
          <w:sz w:val="20"/>
          <w:szCs w:val="20"/>
          <w:color w:val="auto"/>
        </w:rPr>
      </w:pPr>
      <w:r>
        <w:rPr>
          <w:rFonts w:ascii="Arial" w:cs="Arial" w:eastAsia="Arial" w:hAnsi="Arial"/>
          <w:sz w:val="18"/>
          <w:szCs w:val="18"/>
          <w:color w:val="auto"/>
        </w:rPr>
        <w:t>Our MN-166 (ibudilast) product candidate is also in development for the treatment of degenerative cervical myelopathy. There are no pharmaceuticals currently approved for the treatment of degenerative cervical myelopathy.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Glioblastoma</w:t>
      </w:r>
    </w:p>
    <w:p>
      <w:pPr>
        <w:spacing w:after="0" w:line="171" w:lineRule="exact"/>
        <w:rPr>
          <w:sz w:val="20"/>
          <w:szCs w:val="20"/>
          <w:color w:val="auto"/>
        </w:rPr>
      </w:pPr>
    </w:p>
    <w:p>
      <w:pPr>
        <w:ind w:right="120" w:firstLine="639"/>
        <w:spacing w:after="0" w:line="259" w:lineRule="auto"/>
        <w:rPr>
          <w:sz w:val="20"/>
          <w:szCs w:val="20"/>
          <w:color w:val="auto"/>
        </w:rPr>
      </w:pPr>
      <w:r>
        <w:rPr>
          <w:rFonts w:ascii="Arial" w:cs="Arial" w:eastAsia="Arial" w:hAnsi="Arial"/>
          <w:sz w:val="18"/>
          <w:szCs w:val="18"/>
          <w:color w:val="auto"/>
        </w:rPr>
        <w:t>We have initiated clinical development of our MN-166 (ibudilast) product candidate for the treatment of glioblastoma. 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 glioblastoma at other companies including Bristol-Myers Squibb and Amgen.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Prevention of Acute Respiratory Distress Syndrome (ARDS) in patients with COVID-19</w:t>
      </w:r>
    </w:p>
    <w:p>
      <w:pPr>
        <w:spacing w:after="0" w:line="225" w:lineRule="exact"/>
        <w:rPr>
          <w:sz w:val="20"/>
          <w:szCs w:val="20"/>
          <w:color w:val="auto"/>
        </w:rPr>
      </w:pPr>
    </w:p>
    <w:p>
      <w:pPr>
        <w:ind w:right="140" w:firstLine="864"/>
        <w:spacing w:after="0" w:line="311" w:lineRule="auto"/>
        <w:rPr>
          <w:sz w:val="20"/>
          <w:szCs w:val="20"/>
          <w:color w:val="auto"/>
        </w:rPr>
      </w:pPr>
      <w:r>
        <w:rPr>
          <w:rFonts w:ascii="Arial" w:cs="Arial" w:eastAsia="Arial" w:hAnsi="Arial"/>
          <w:sz w:val="16"/>
          <w:szCs w:val="16"/>
          <w:color w:val="auto"/>
        </w:rPr>
        <w:t>Our MN-166 (ibudilast) product candidate is also in development for the prevention of ARDS in patients with COVID-19. While we are not aware of any other therapeutics that are in development specifically for this indication, we are aware of other therapeutics approved or in development for the treatment COVID-19. In October 2020, Gilead Sciences announced FDA approval of its antiviral drug Veklury (remdesivir) for the treatment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color w:val="auto"/>
        </w:rPr>
        <w:t>patients with COVID-19 requiring hospitalization. In November 2020, the FDA granted Emergency Use Authorization (EUA) for Eli Lilly's investigational neutralizing antibody bamlanivimab (LY-CoV555) for the treatment of COVID-19 patients at high risk for progressing to severe COVID-19 and/or hospitalization. In November 2020, Eli Lilly and Incyte announced that the FDA issued an EUA for the distribution and emergency use of baricitinib to be used in combination with remdesivir in hospitalized COVID-19 patients. In November 2020, Regeneron Pharmaceuticals announced that its multi-antibody therapy casirivimab and imdevimab administered together received Emergency Use Authorization (EUA) from the FDA for the treatment of COVID-19. We are aware of additional treatments in development for the treatment of COVID-19 at other companies including Eli Lilly, Amgen, Eisai, and AstraZeneca.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 for Acute Exacerbations of Asthma</w:t>
      </w:r>
    </w:p>
    <w:p>
      <w:pPr>
        <w:spacing w:after="0" w:line="171" w:lineRule="exact"/>
        <w:rPr>
          <w:sz w:val="20"/>
          <w:szCs w:val="20"/>
          <w:color w:val="auto"/>
        </w:rPr>
      </w:pPr>
    </w:p>
    <w:p>
      <w:pPr>
        <w:jc w:val="both"/>
        <w:ind w:right="460" w:firstLine="630"/>
        <w:spacing w:after="0" w:line="259" w:lineRule="auto"/>
        <w:rPr>
          <w:sz w:val="20"/>
          <w:szCs w:val="20"/>
          <w:color w:val="auto"/>
        </w:rPr>
      </w:pPr>
      <w:r>
        <w:rPr>
          <w:rFonts w:ascii="Arial" w:cs="Arial" w:eastAsia="Arial" w:hAnsi="Arial"/>
          <w:sz w:val="18"/>
          <w:szCs w:val="18"/>
          <w:color w:val="auto"/>
        </w:rPr>
        <w:t>Our MN-221 (bedoradrine) product candidate has been developed for the treatment of acute exacerbations of asthma in the emergency room setting. The current standard of care for acute exacerbations of asthma is inhaled albuterol (a beta-2-adrenergic receptor agonist), inhaled ipratropium (an anticholinergic) and oral or injected corticosteroids. In addition, subcutaneously administered terbutaline (a beta-2-adrenergic receptor agonist) is sometimes used to treat this condition, particularly in pediatric patients.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Nonalcoholic Steatohepatitis (NASH)</w:t>
      </w:r>
    </w:p>
    <w:p>
      <w:pPr>
        <w:spacing w:after="0" w:line="171" w:lineRule="exact"/>
        <w:rPr>
          <w:sz w:val="20"/>
          <w:szCs w:val="20"/>
          <w:color w:val="auto"/>
        </w:rPr>
      </w:pPr>
    </w:p>
    <w:p>
      <w:pPr>
        <w:ind w:firstLine="646"/>
        <w:spacing w:after="0" w:line="259" w:lineRule="auto"/>
        <w:rPr>
          <w:sz w:val="20"/>
          <w:szCs w:val="20"/>
          <w:color w:val="auto"/>
        </w:rPr>
      </w:pPr>
      <w:r>
        <w:rPr>
          <w:rFonts w:ascii="Arial" w:cs="Arial" w:eastAsia="Arial" w:hAnsi="Arial"/>
          <w:sz w:val="18"/>
          <w:szCs w:val="18"/>
          <w:color w:val="auto"/>
        </w:rPr>
        <w:t>Our MN-001 (tipelukast) product candidate has been developed for the treatment of NASH. There are currently no therapeutic products approved for the treatment of NASH. We are aware of compounds in clinical development for the treatment of NASH at other companies including Intercept Pharmaceuticals, Genfit, Galectin Therapeutics, Gilead Sciences, AbbVie, Galmed Pharmaceuticals, Bristol-Myers Squibb, Pfizer, Novartis, Novo Nordisk, and Enanta Pharmaceuticals.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Idiopathic Pulmonary Fibrosis (IPF)</w:t>
      </w:r>
    </w:p>
    <w:p>
      <w:pPr>
        <w:spacing w:after="0" w:line="171" w:lineRule="exact"/>
        <w:rPr>
          <w:sz w:val="20"/>
          <w:szCs w:val="20"/>
          <w:color w:val="auto"/>
        </w:rPr>
      </w:pPr>
    </w:p>
    <w:p>
      <w:pPr>
        <w:ind w:firstLine="646"/>
        <w:spacing w:after="0" w:line="263" w:lineRule="auto"/>
        <w:rPr>
          <w:sz w:val="20"/>
          <w:szCs w:val="20"/>
          <w:color w:val="auto"/>
        </w:rPr>
      </w:pPr>
      <w:r>
        <w:rPr>
          <w:rFonts w:ascii="Arial" w:cs="Arial" w:eastAsia="Arial" w:hAnsi="Arial"/>
          <w:sz w:val="18"/>
          <w:szCs w:val="18"/>
          <w:color w:val="auto"/>
        </w:rPr>
        <w:t>Our MN-001 (tipelukast) product candidate is in development for the treatment of IPF. Products approved in the United States for treatment of IPF include Roche’s (formerly InterMune) Esbriet (pirfenidone) and Boehringer Ingelheim’s OFEV (nintedanib). Other companies working on clinical development programs for treatment of IPF include Gilead, Galapagos, and FibroGen.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 for Solid Tumor Cancer</w:t>
      </w:r>
    </w:p>
    <w:p>
      <w:pPr>
        <w:spacing w:after="0" w:line="171" w:lineRule="exact"/>
        <w:rPr>
          <w:sz w:val="20"/>
          <w:szCs w:val="20"/>
          <w:color w:val="auto"/>
        </w:rPr>
      </w:pPr>
    </w:p>
    <w:p>
      <w:pPr>
        <w:ind w:right="140" w:firstLine="640"/>
        <w:spacing w:after="0" w:line="254" w:lineRule="auto"/>
        <w:rPr>
          <w:sz w:val="20"/>
          <w:szCs w:val="20"/>
          <w:color w:val="auto"/>
        </w:rPr>
      </w:pPr>
      <w:r>
        <w:rPr>
          <w:rFonts w:ascii="Arial" w:cs="Arial" w:eastAsia="Arial" w:hAnsi="Arial"/>
          <w:sz w:val="18"/>
          <w:szCs w:val="18"/>
          <w:color w:val="auto"/>
        </w:rPr>
        <w:t>Our MN-029 (denibulin) product candidate has been developed for the treatment of solid tumor cancers. Roche’s Kadcyla, a HER2-targeted antibody and microtubule inhibitor conjugate, is approved for treatment of patients with HER2-positive metastatic breast cancer who previously were treated with trastuzumab and a taxane. Bayer’s Stivarga, a kinase inhibitor approved for metastatic colorectal cancer, was also approved for patients with advanced, unresectable (not subject to surgical removal) or metastatic gastrointestinal stromal tumor. Other drugs approved for solid tumor cancers include Roche’s Avastin and Xeloda, Amgen’s Xgeva, Pfizer’s Sutent, and Novartis’s Afinitor. We are aware of additional compounds in development for the treatment of solid tumor cancers at companies including Eli Lilly, Roche, Novartis, Pfizer, Sanofi, Amgen, Bayer, Merck, AstraZeneca, AbbVie and Bristol-Myers Squibb.</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300" w:firstLine="639"/>
        <w:spacing w:after="0" w:line="257" w:lineRule="auto"/>
        <w:rPr>
          <w:sz w:val="20"/>
          <w:szCs w:val="20"/>
          <w:color w:val="auto"/>
        </w:rPr>
      </w:pPr>
      <w:r>
        <w:rPr>
          <w:rFonts w:ascii="Arial" w:cs="Arial" w:eastAsia="Arial" w:hAnsi="Arial"/>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 party manufacturers, contractors, suppliers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ind w:right="580"/>
        <w:spacing w:after="0" w:line="308" w:lineRule="auto"/>
        <w:rPr>
          <w:sz w:val="20"/>
          <w:szCs w:val="20"/>
          <w:color w:val="auto"/>
        </w:rPr>
      </w:pPr>
      <w:r>
        <w:rPr>
          <w:rFonts w:ascii="Arial" w:cs="Arial" w:eastAsia="Arial" w:hAnsi="Arial"/>
          <w:sz w:val="17"/>
          <w:szCs w:val="17"/>
          <w:color w:val="auto"/>
        </w:rPr>
        <w:t>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Regulatory Approval</w:t>
      </w:r>
    </w:p>
    <w:p>
      <w:pPr>
        <w:spacing w:after="0" w:line="171" w:lineRule="exact"/>
        <w:rPr>
          <w:sz w:val="20"/>
          <w:szCs w:val="20"/>
          <w:color w:val="auto"/>
        </w:rPr>
      </w:pPr>
    </w:p>
    <w:p>
      <w:pPr>
        <w:ind w:right="20" w:firstLine="646"/>
        <w:spacing w:after="0" w:line="296"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the United States, drugs and drug testing are regulated by the FDA under the Federal Food, Drug and Cosmetic Act, or FDCA,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state and local 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67" w:lineRule="exact"/>
        <w:rPr>
          <w:sz w:val="20"/>
          <w:szCs w:val="20"/>
          <w:color w:val="auto"/>
        </w:rPr>
      </w:pPr>
    </w:p>
    <w:p>
      <w:pPr>
        <w:ind w:left="1500" w:hanging="426"/>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nonclinical laboratory, animal studies, and formulation studies;</w:t>
      </w:r>
    </w:p>
    <w:p>
      <w:pPr>
        <w:spacing w:after="0" w:line="23" w:lineRule="exact"/>
        <w:rPr>
          <w:rFonts w:ascii="Arial" w:cs="Arial" w:eastAsia="Arial" w:hAnsi="Arial"/>
          <w:sz w:val="18"/>
          <w:szCs w:val="18"/>
          <w:color w:val="auto"/>
        </w:rPr>
      </w:pPr>
    </w:p>
    <w:p>
      <w:pPr>
        <w:ind w:left="1500" w:hanging="426"/>
        <w:spacing w:after="0"/>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submission of an IND application which must become effective before human clinical trials may begin in the United States;</w:t>
      </w:r>
    </w:p>
    <w:p>
      <w:pPr>
        <w:spacing w:after="0" w:line="20" w:lineRule="exact"/>
        <w:rPr>
          <w:rFonts w:ascii="Arial" w:cs="Arial" w:eastAsia="Arial" w:hAnsi="Arial"/>
          <w:sz w:val="17"/>
          <w:szCs w:val="17"/>
          <w:color w:val="auto"/>
        </w:rPr>
      </w:pPr>
    </w:p>
    <w:p>
      <w:pPr>
        <w:ind w:left="1500" w:right="100" w:hanging="426"/>
        <w:spacing w:after="0" w:line="250"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ind w:left="1500" w:hanging="426"/>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accompanied by a substantial user fee;</w:t>
      </w:r>
    </w:p>
    <w:p>
      <w:pPr>
        <w:spacing w:after="0" w:line="9" w:lineRule="exact"/>
        <w:rPr>
          <w:rFonts w:ascii="Arial" w:cs="Arial" w:eastAsia="Arial" w:hAnsi="Arial"/>
          <w:sz w:val="18"/>
          <w:szCs w:val="18"/>
          <w:color w:val="auto"/>
        </w:rPr>
      </w:pPr>
    </w:p>
    <w:p>
      <w:pPr>
        <w:ind w:left="1500" w:right="160" w:hanging="426"/>
        <w:spacing w:after="0" w:line="250"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 w:lineRule="exact"/>
        <w:rPr>
          <w:rFonts w:ascii="Arial" w:cs="Arial" w:eastAsia="Arial" w:hAnsi="Arial"/>
          <w:sz w:val="18"/>
          <w:szCs w:val="18"/>
          <w:color w:val="auto"/>
        </w:rPr>
      </w:pPr>
    </w:p>
    <w:p>
      <w:pPr>
        <w:ind w:left="1500" w:right="80" w:hanging="426"/>
        <w:spacing w:after="0" w:line="260"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04" w:lineRule="exact"/>
        <w:rPr>
          <w:sz w:val="20"/>
          <w:szCs w:val="20"/>
          <w:color w:val="auto"/>
        </w:rPr>
      </w:pPr>
    </w:p>
    <w:p>
      <w:pPr>
        <w:ind w:right="260" w:firstLine="639"/>
        <w:spacing w:after="0" w:line="259"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79" w:lineRule="exact"/>
        <w:rPr>
          <w:sz w:val="20"/>
          <w:szCs w:val="20"/>
          <w:color w:val="auto"/>
        </w:rPr>
      </w:pPr>
    </w:p>
    <w:p>
      <w:pPr>
        <w:jc w:val="both"/>
        <w:ind w:right="20" w:firstLine="643"/>
        <w:spacing w:after="0" w:line="301"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63"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w:t>
      </w:r>
      <w:r>
        <w:rPr>
          <w:rFonts w:ascii="Arial" w:cs="Arial" w:eastAsia="Arial" w:hAnsi="Arial"/>
          <w:sz w:val="18"/>
          <w:szCs w:val="18"/>
          <w:i w:val="1"/>
          <w:iCs w:val="1"/>
          <w:color w:val="auto"/>
        </w:rPr>
        <w:t xml:space="preserve"> </w:t>
      </w:r>
      <w:r>
        <w:rPr>
          <w:rFonts w:ascii="Arial" w:cs="Arial" w:eastAsia="Arial" w:hAnsi="Arial"/>
          <w:sz w:val="18"/>
          <w:szCs w:val="18"/>
          <w:color w:val="auto"/>
        </w:rPr>
        <w:t>days 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57" w:lineRule="exact"/>
        <w:rPr>
          <w:sz w:val="20"/>
          <w:szCs w:val="20"/>
          <w:color w:val="auto"/>
        </w:rPr>
      </w:pPr>
    </w:p>
    <w:p>
      <w:pPr>
        <w:ind w:right="160" w:firstLine="640"/>
        <w:spacing w:after="0" w:line="263"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225" w:lineRule="exact"/>
        <w:rPr>
          <w:sz w:val="20"/>
          <w:szCs w:val="20"/>
          <w:color w:val="auto"/>
        </w:rPr>
      </w:pPr>
    </w:p>
    <w:p>
      <w:pPr>
        <w:ind w:left="1520" w:right="200" w:hanging="432"/>
        <w:spacing w:after="0" w:line="287" w:lineRule="auto"/>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1: The drug candidate is initially introduced into a small number of healthy human subjects or patients and tested for safety, dosage tolerance, absorption, distribution, excretion and metabolism. If the investigational product is considered inherently toxic to ethically administer to healthy volunteers, the initial human testing is often conducted in the target population.</w:t>
      </w:r>
    </w:p>
    <w:p>
      <w:pPr>
        <w:spacing w:after="0" w:line="2" w:lineRule="exact"/>
        <w:rPr>
          <w:rFonts w:ascii="Arial" w:cs="Arial" w:eastAsia="Arial" w:hAnsi="Arial"/>
          <w:sz w:val="16"/>
          <w:szCs w:val="16"/>
          <w:color w:val="auto"/>
        </w:rPr>
      </w:pPr>
    </w:p>
    <w:p>
      <w:pPr>
        <w:ind w:left="1520" w:right="420" w:hanging="432"/>
        <w:spacing w:after="0" w:line="281" w:lineRule="auto"/>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 w:lineRule="exact"/>
        <w:rPr>
          <w:rFonts w:ascii="Arial" w:cs="Arial" w:eastAsia="Arial" w:hAnsi="Arial"/>
          <w:sz w:val="16"/>
          <w:szCs w:val="16"/>
          <w:color w:val="auto"/>
        </w:rPr>
      </w:pPr>
    </w:p>
    <w:p>
      <w:pPr>
        <w:ind w:left="1520" w:hanging="432"/>
        <w:spacing w:after="0" w:line="253"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98" w:lineRule="exact"/>
        <w:rPr>
          <w:sz w:val="20"/>
          <w:szCs w:val="20"/>
          <w:color w:val="auto"/>
        </w:rPr>
      </w:pPr>
    </w:p>
    <w:p>
      <w:pPr>
        <w:ind w:right="200" w:firstLine="640"/>
        <w:spacing w:after="0" w:line="308" w:lineRule="auto"/>
        <w:rPr>
          <w:sz w:val="20"/>
          <w:szCs w:val="20"/>
          <w:color w:val="auto"/>
        </w:rPr>
      </w:pPr>
      <w:r>
        <w:rPr>
          <w:rFonts w:ascii="Arial" w:cs="Arial" w:eastAsia="Arial" w:hAnsi="Arial"/>
          <w:sz w:val="17"/>
          <w:szCs w:val="17"/>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52" w:lineRule="exact"/>
        <w:rPr>
          <w:sz w:val="20"/>
          <w:szCs w:val="20"/>
          <w:color w:val="auto"/>
        </w:rPr>
      </w:pPr>
    </w:p>
    <w:p>
      <w:pPr>
        <w:ind w:right="100" w:firstLine="646"/>
        <w:spacing w:after="0" w:line="254" w:lineRule="auto"/>
        <w:rPr>
          <w:sz w:val="20"/>
          <w:szCs w:val="20"/>
          <w:color w:val="auto"/>
        </w:rPr>
      </w:pPr>
      <w:r>
        <w:rPr>
          <w:rFonts w:ascii="Arial" w:cs="Arial" w:eastAsia="Arial" w:hAnsi="Arial"/>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14" w:lineRule="exact"/>
        <w:rPr>
          <w:sz w:val="20"/>
          <w:szCs w:val="20"/>
          <w:color w:val="auto"/>
        </w:rPr>
      </w:pPr>
    </w:p>
    <w:p>
      <w:pPr>
        <w:ind w:right="40" w:firstLine="642"/>
        <w:spacing w:after="0" w:line="291" w:lineRule="auto"/>
        <w:rPr>
          <w:sz w:val="20"/>
          <w:szCs w:val="20"/>
          <w:color w:val="auto"/>
        </w:rPr>
      </w:pPr>
      <w:r>
        <w:rPr>
          <w:rFonts w:ascii="Arial" w:cs="Arial" w:eastAsia="Arial" w:hAnsi="Arial"/>
          <w:sz w:val="16"/>
          <w:szCs w:val="16"/>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72" w:lineRule="exact"/>
        <w:rPr>
          <w:sz w:val="20"/>
          <w:szCs w:val="20"/>
          <w:color w:val="auto"/>
        </w:rPr>
      </w:pPr>
    </w:p>
    <w:p>
      <w:pPr>
        <w:ind w:right="420" w:firstLine="620"/>
        <w:spacing w:after="0" w:line="272" w:lineRule="auto"/>
        <w:rPr>
          <w:sz w:val="20"/>
          <w:szCs w:val="20"/>
          <w:color w:val="auto"/>
        </w:rPr>
      </w:pPr>
      <w:r>
        <w:rPr>
          <w:rFonts w:ascii="Arial" w:cs="Arial" w:eastAsia="Arial" w:hAnsi="Arial"/>
          <w:sz w:val="17"/>
          <w:szCs w:val="17"/>
          <w:i w:val="1"/>
          <w:iCs w:val="1"/>
          <w:color w:val="auto"/>
        </w:rPr>
        <w:t xml:space="preserve">Fast track designation: </w:t>
      </w:r>
      <w:r>
        <w:rPr>
          <w:rFonts w:ascii="Arial" w:cs="Arial" w:eastAsia="Arial" w:hAnsi="Arial"/>
          <w:sz w:val="17"/>
          <w:szCs w:val="17"/>
          <w:color w:val="auto"/>
        </w:rPr>
        <w:t>The FDA has a Fast Track program that is intended to expedite or facilitate the process for reviewing new drugs and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9" w:name="page30"/>
    <w:bookmarkEnd w:id="29"/>
    <w:p>
      <w:pPr>
        <w:ind w:right="60" w:firstLine="643"/>
        <w:spacing w:after="0" w:line="287" w:lineRule="auto"/>
        <w:rPr>
          <w:sz w:val="20"/>
          <w:szCs w:val="20"/>
          <w:color w:val="auto"/>
        </w:rPr>
      </w:pPr>
      <w:r>
        <w:rPr>
          <w:rFonts w:ascii="Arial" w:cs="Arial" w:eastAsia="Arial" w:hAnsi="Arial"/>
          <w:sz w:val="16"/>
          <w:szCs w:val="16"/>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73" w:lineRule="exact"/>
        <w:rPr>
          <w:sz w:val="20"/>
          <w:szCs w:val="20"/>
          <w:color w:val="auto"/>
        </w:rPr>
      </w:pPr>
    </w:p>
    <w:p>
      <w:pPr>
        <w:ind w:right="20" w:firstLine="644"/>
        <w:spacing w:after="0" w:line="269" w:lineRule="auto"/>
        <w:rPr>
          <w:sz w:val="20"/>
          <w:szCs w:val="20"/>
          <w:color w:val="auto"/>
        </w:rPr>
      </w:pPr>
      <w:r>
        <w:rPr>
          <w:rFonts w:ascii="Arial" w:cs="Arial" w:eastAsia="Arial" w:hAnsi="Arial"/>
          <w:sz w:val="17"/>
          <w:szCs w:val="17"/>
          <w:i w:val="1"/>
          <w:iCs w:val="1"/>
          <w:color w:val="auto"/>
        </w:rPr>
        <w:t xml:space="preserve">United States patent term restoration and marketing exclusivity: </w:t>
      </w:r>
      <w:r>
        <w:rPr>
          <w:rFonts w:ascii="Arial" w:cs="Arial" w:eastAsia="Arial" w:hAnsi="Arial"/>
          <w:sz w:val="17"/>
          <w:szCs w:val="17"/>
          <w:color w:val="auto"/>
        </w:rPr>
        <w:t>Depending upon the timing, duration and specifics of the FDA approval of a drug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87" w:lineRule="exact"/>
        <w:rPr>
          <w:sz w:val="20"/>
          <w:szCs w:val="20"/>
          <w:color w:val="auto"/>
        </w:rPr>
      </w:pPr>
    </w:p>
    <w:p>
      <w:pPr>
        <w:ind w:firstLine="646"/>
        <w:spacing w:after="0" w:line="286"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 clinical trials necessary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ind w:right="120"/>
        <w:spacing w:after="0" w:line="259" w:lineRule="auto"/>
        <w:rPr>
          <w:sz w:val="20"/>
          <w:szCs w:val="20"/>
          <w:color w:val="auto"/>
        </w:rPr>
      </w:pPr>
      <w:r>
        <w:rPr>
          <w:rFonts w:ascii="Arial" w:cs="Arial" w:eastAsia="Arial" w:hAnsi="Arial"/>
          <w:sz w:val="18"/>
          <w:szCs w:val="18"/>
          <w:color w:val="auto"/>
        </w:rPr>
        <w:t>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06" w:lineRule="exact"/>
        <w:rPr>
          <w:sz w:val="20"/>
          <w:szCs w:val="20"/>
          <w:color w:val="auto"/>
        </w:rPr>
      </w:pPr>
    </w:p>
    <w:p>
      <w:pPr>
        <w:ind w:right="380" w:firstLine="629"/>
        <w:spacing w:after="0" w:line="342" w:lineRule="auto"/>
        <w:rPr>
          <w:sz w:val="20"/>
          <w:szCs w:val="20"/>
          <w:color w:val="auto"/>
        </w:rPr>
      </w:pPr>
      <w:r>
        <w:rPr>
          <w:rFonts w:ascii="Arial" w:cs="Arial" w:eastAsia="Arial" w:hAnsi="Arial"/>
          <w:sz w:val="16"/>
          <w:szCs w:val="16"/>
          <w:i w:val="1"/>
          <w:iCs w:val="1"/>
          <w:color w:val="auto"/>
        </w:rPr>
        <w:t xml:space="preserve">Regulation outside the United States: </w:t>
      </w:r>
      <w:r>
        <w:rPr>
          <w:rFonts w:ascii="Arial" w:cs="Arial" w:eastAsia="Arial" w:hAnsi="Arial"/>
          <w:sz w:val="16"/>
          <w:szCs w:val="16"/>
          <w:color w:val="auto"/>
        </w:rPr>
        <w:t>In addition to regulations in the United States, we and our strategic alliance partners will be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regulations in other jurisdictions governing, among other things, clinical trials and any commercial sales and distribution of our products.</w:t>
      </w:r>
    </w:p>
    <w:p>
      <w:pPr>
        <w:spacing w:after="0" w:line="29" w:lineRule="exact"/>
        <w:rPr>
          <w:sz w:val="20"/>
          <w:szCs w:val="20"/>
          <w:color w:val="auto"/>
        </w:rPr>
      </w:pPr>
    </w:p>
    <w:p>
      <w:pPr>
        <w:ind w:right="200" w:firstLine="632"/>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98" w:lineRule="exact"/>
        <w:rPr>
          <w:sz w:val="20"/>
          <w:szCs w:val="20"/>
          <w:color w:val="auto"/>
        </w:rPr>
      </w:pPr>
    </w:p>
    <w:p>
      <w:pPr>
        <w:ind w:right="40" w:firstLine="646"/>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49" w:lineRule="exact"/>
        <w:rPr>
          <w:sz w:val="20"/>
          <w:szCs w:val="20"/>
          <w:color w:val="auto"/>
        </w:rPr>
      </w:pPr>
    </w:p>
    <w:p>
      <w:pPr>
        <w:ind w:right="160" w:firstLine="643"/>
        <w:spacing w:after="0" w:line="263"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89" w:lineRule="exact"/>
        <w:rPr>
          <w:sz w:val="20"/>
          <w:szCs w:val="20"/>
          <w:color w:val="auto"/>
        </w:rPr>
      </w:pPr>
    </w:p>
    <w:p>
      <w:pPr>
        <w:jc w:val="both"/>
        <w:ind w:right="240" w:firstLine="632"/>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54" w:lineRule="exact"/>
        <w:rPr>
          <w:sz w:val="20"/>
          <w:szCs w:val="20"/>
          <w:color w:val="auto"/>
        </w:rPr>
      </w:pPr>
    </w:p>
    <w:p>
      <w:pPr>
        <w:jc w:val="both"/>
        <w:ind w:right="1060" w:firstLine="600"/>
        <w:spacing w:after="0" w:line="263" w:lineRule="auto"/>
        <w:rPr>
          <w:sz w:val="20"/>
          <w:szCs w:val="20"/>
          <w:color w:val="auto"/>
        </w:rPr>
      </w:pPr>
      <w:r>
        <w:rPr>
          <w:rFonts w:ascii="Arial" w:cs="Arial" w:eastAsia="Arial" w:hAnsi="Arial"/>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89" w:lineRule="exact"/>
        <w:rPr>
          <w:sz w:val="20"/>
          <w:szCs w:val="20"/>
          <w:color w:val="auto"/>
        </w:rPr>
      </w:pPr>
    </w:p>
    <w:p>
      <w:pPr>
        <w:ind w:right="240" w:firstLine="637"/>
        <w:spacing w:after="0" w:line="263"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nine full-time employees as of the date of this report. We believe that our relations with our employees are good, and we have no history of work stoppages.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89"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7"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this Item 1A below and you should read this summary together with those more detailed descriptions.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principal risks and uncertainties relate to, among other things: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our Industry:</w:t>
      </w:r>
    </w:p>
    <w:p>
      <w:pPr>
        <w:spacing w:after="0" w:line="36" w:lineRule="exact"/>
        <w:rPr>
          <w:sz w:val="20"/>
          <w:szCs w:val="20"/>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operating losses we have incurred and expect to incur for the foreseeable future;</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the capital necessary to fund our operations;</w:t>
      </w:r>
    </w:p>
    <w:p>
      <w:pPr>
        <w:spacing w:after="0" w:line="49" w:lineRule="exact"/>
        <w:rPr>
          <w:rFonts w:ascii="Arial" w:cs="Arial" w:eastAsia="Arial" w:hAnsi="Arial"/>
          <w:sz w:val="18"/>
          <w:szCs w:val="18"/>
          <w:color w:val="auto"/>
        </w:rPr>
      </w:pPr>
    </w:p>
    <w:p>
      <w:pPr>
        <w:ind w:left="880" w:right="560" w:hanging="408"/>
        <w:spacing w:after="0" w:line="266"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have any products that are approved for commercial sale and do not expect to generate any revenues from product sales for the foreseeable future, if ever;</w:t>
      </w:r>
    </w:p>
    <w:p>
      <w:pPr>
        <w:ind w:left="880" w:right="580" w:hanging="408"/>
        <w:spacing w:after="0" w:line="273"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the success of our MN-166 (ibudilast) and MN-001 (tipelukast) product candidates and uncertainty that these product candidates will receive regulatory approval or be successfully commercialized;</w:t>
      </w:r>
    </w:p>
    <w:p>
      <w:pPr>
        <w:spacing w:after="0" w:line="1" w:lineRule="exact"/>
        <w:rPr>
          <w:rFonts w:ascii="Arial" w:cs="Arial" w:eastAsia="Arial" w:hAnsi="Arial"/>
          <w:sz w:val="18"/>
          <w:szCs w:val="18"/>
          <w:color w:val="auto"/>
        </w:rPr>
      </w:pPr>
    </w:p>
    <w:p>
      <w:pPr>
        <w:ind w:left="880" w:right="220" w:hanging="408"/>
        <w:spacing w:after="0" w:line="273"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complexity and uncertainty relating to progressing product candidates through the various stages of clinical trials and obtaining regulatory approval;</w:t>
      </w:r>
    </w:p>
    <w:p>
      <w:pPr>
        <w:spacing w:after="0" w:line="1"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attempts to develop MN-001 (tipelukast) in NASH and IPF may detract from our efforts to develop other product candidates;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complexity, high cost and uncertainty of obtaining regulatory approval;</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stringent regulation of our product candidates;</w:t>
      </w:r>
    </w:p>
    <w:p>
      <w:pPr>
        <w:spacing w:after="0" w:line="49" w:lineRule="exact"/>
        <w:rPr>
          <w:rFonts w:ascii="Arial" w:cs="Arial" w:eastAsia="Arial" w:hAnsi="Arial"/>
          <w:sz w:val="18"/>
          <w:szCs w:val="18"/>
          <w:color w:val="auto"/>
        </w:rPr>
      </w:pPr>
    </w:p>
    <w:p>
      <w:pPr>
        <w:ind w:left="880" w:right="740" w:hanging="408"/>
        <w:spacing w:after="0" w:line="266"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development and regulatory difficulties even if we are successful in receiving regulatory approval of one or more of our product candidates;</w:t>
      </w:r>
    </w:p>
    <w:p>
      <w:pPr>
        <w:ind w:left="880" w:right="1200" w:hanging="408"/>
        <w:spacing w:after="0" w:line="273"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undesirable side effects of any product candidate experienced during clinical trials could delay or prevent regulatory approval or commercialization or limit its commercial potential;</w:t>
      </w:r>
    </w:p>
    <w:p>
      <w:pPr>
        <w:spacing w:after="0" w:line="1"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commencement or completion of clinical trials, or suspension or termination of our clinical trials;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any rights to develop and market any of our product candidates;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widespread outbreak of COVID-19 or any other illness or communicable disease, or any other public health crisis;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strategic collaborations with third parties to develop and commercialize product candidates;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third party manufacturers to produce our product candidates;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commercial quantities;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availability of materials necessary to manufacture our product candidates;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acceptance among physicians, patients and the medical community of our product candidates;</w:t>
      </w:r>
    </w:p>
    <w:p>
      <w:pPr>
        <w:spacing w:after="0" w:line="49" w:lineRule="exact"/>
        <w:rPr>
          <w:rFonts w:ascii="Arial" w:cs="Arial" w:eastAsia="Arial" w:hAnsi="Arial"/>
          <w:sz w:val="18"/>
          <w:szCs w:val="18"/>
          <w:color w:val="auto"/>
        </w:rPr>
      </w:pPr>
    </w:p>
    <w:p>
      <w:pPr>
        <w:ind w:left="880" w:right="260" w:hanging="408"/>
        <w:spacing w:after="0" w:line="266"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users of our products to obtain adequate coverage of and reimbursement for our products from government and other third party payers;</w:t>
      </w: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motivate and attract key personnel;</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sales, marketing and distribution capabilities;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care reform measures could adversely affect our business;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any product liability lawsuits against 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fluctuations in our results of operations;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and management attention required to operate as a public company;</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technology systems failures, network disruptions, breaches in data security and computer crime and cyber-attacks;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complexity of operating our business and marketing our products internationally;</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Risks Related to Our Intellectual Property</w:t>
      </w:r>
      <w:r>
        <w:rPr>
          <w:rFonts w:ascii="Arial" w:cs="Arial" w:eastAsia="Arial" w:hAnsi="Arial"/>
          <w:sz w:val="18"/>
          <w:szCs w:val="18"/>
          <w:color w:val="auto"/>
        </w:rPr>
        <w:t>:</w:t>
      </w:r>
    </w:p>
    <w:p>
      <w:pPr>
        <w:spacing w:after="0" w:line="50" w:lineRule="exact"/>
        <w:rPr>
          <w:sz w:val="20"/>
          <w:szCs w:val="20"/>
          <w:color w:val="auto"/>
        </w:rPr>
      </w:pPr>
    </w:p>
    <w:p>
      <w:pPr>
        <w:ind w:left="760" w:hanging="28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depends on the adequate protection of our proprietary rights;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disclosure of our trade secrets and other proprietary information;</w:t>
      </w:r>
    </w:p>
    <w:p>
      <w:pPr>
        <w:spacing w:after="0" w:line="49" w:lineRule="exact"/>
        <w:rPr>
          <w:rFonts w:ascii="Arial" w:cs="Arial" w:eastAsia="Arial" w:hAnsi="Arial"/>
          <w:sz w:val="18"/>
          <w:szCs w:val="18"/>
          <w:color w:val="auto"/>
        </w:rPr>
      </w:pPr>
    </w:p>
    <w:p>
      <w:pPr>
        <w:ind w:left="880" w:right="180" w:hanging="408"/>
        <w:spacing w:after="0" w:line="277" w:lineRule="auto"/>
        <w:tabs>
          <w:tab w:leader="none" w:pos="7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uncertainties of any dispute concerning the infringement or misappropriation of our proprietary rights or the proprietary rights of others, including trade secrets;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Risks Related to the Securities Markets and Investments in Our Common Stock</w:t>
      </w:r>
    </w:p>
    <w:p>
      <w:pPr>
        <w:spacing w:after="0" w:line="306" w:lineRule="exact"/>
        <w:rPr>
          <w:sz w:val="20"/>
          <w:szCs w:val="20"/>
          <w:color w:val="auto"/>
        </w:rPr>
      </w:pPr>
    </w:p>
    <w:p>
      <w:pPr>
        <w:ind w:left="760" w:hanging="28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delisting of our common stock on the NASDAQ Global Market or the JASDAQ Market of the Tokyo Stock Exchange;</w:t>
      </w:r>
    </w:p>
    <w:p>
      <w:pPr>
        <w:spacing w:after="0" w:line="49" w:lineRule="exact"/>
        <w:rPr>
          <w:rFonts w:ascii="Arial" w:cs="Arial" w:eastAsia="Arial" w:hAnsi="Arial"/>
          <w:sz w:val="18"/>
          <w:szCs w:val="18"/>
          <w:color w:val="auto"/>
        </w:rPr>
      </w:pPr>
    </w:p>
    <w:p>
      <w:pPr>
        <w:ind w:left="880" w:right="200" w:hanging="408"/>
        <w:spacing w:after="0" w:line="273" w:lineRule="auto"/>
        <w:tabs>
          <w:tab w:leader="none" w:pos="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of substantial dilution to our existing stockholders and/or the decline in price of our common stock if we were to sell additional stock under our existing at-the-market issuance sales agreement;</w:t>
      </w:r>
    </w:p>
    <w:p>
      <w:pPr>
        <w:spacing w:after="0" w:line="1" w:lineRule="exact"/>
        <w:rPr>
          <w:rFonts w:ascii="Arial" w:cs="Arial" w:eastAsia="Arial" w:hAnsi="Arial"/>
          <w:sz w:val="18"/>
          <w:szCs w:val="18"/>
          <w:color w:val="auto"/>
        </w:rPr>
      </w:pPr>
    </w:p>
    <w:p>
      <w:pPr>
        <w:ind w:left="760" w:hanging="28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and management distraction if we were to face securities class action litigation; and</w:t>
      </w:r>
    </w:p>
    <w:p>
      <w:pPr>
        <w:spacing w:after="0" w:line="36" w:lineRule="exact"/>
        <w:rPr>
          <w:rFonts w:ascii="Arial" w:cs="Arial" w:eastAsia="Arial" w:hAnsi="Arial"/>
          <w:sz w:val="18"/>
          <w:szCs w:val="18"/>
          <w:color w:val="auto"/>
        </w:rPr>
      </w:pPr>
    </w:p>
    <w:p>
      <w:pPr>
        <w:ind w:left="880" w:hanging="408"/>
        <w:spacing w:after="0" w:line="277" w:lineRule="auto"/>
        <w:tabs>
          <w:tab w:leader="none" w:pos="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anti-takeover provisions in our charter documents and under Delaware law may make it difficult for third parties to acquire us or remove and replace our directors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6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We have incurred significant net losses since our inception. For the year ended December 31, 2020, we had a net loss of $13.9 million. At December 31, 2020, from inception, our accumulated deficit was $382.9 million.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2020, we had available cash and cash equivalents of $60.0 million and working capital of $58.5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239"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agreements and other arrangements;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33" w:name="page34"/>
    <w:bookmarkEnd w:id="33"/>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225"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84" w:lineRule="exact"/>
        <w:rPr>
          <w:sz w:val="20"/>
          <w:szCs w:val="20"/>
          <w:color w:val="auto"/>
        </w:rPr>
      </w:pPr>
    </w:p>
    <w:p>
      <w:pPr>
        <w:jc w:val="both"/>
        <w:ind w:right="120" w:firstLine="432"/>
        <w:spacing w:after="0" w:line="311" w:lineRule="auto"/>
        <w:rPr>
          <w:sz w:val="20"/>
          <w:szCs w:val="20"/>
          <w:color w:val="auto"/>
        </w:rPr>
      </w:pPr>
      <w:r>
        <w:rPr>
          <w:rFonts w:ascii="Arial" w:cs="Arial" w:eastAsia="Arial" w:hAnsi="Arial"/>
          <w:sz w:val="16"/>
          <w:szCs w:val="16"/>
          <w:color w:val="auto"/>
        </w:rPr>
        <w:t>We expect our research and development expenses to increase in 2021 relative to 2020 as we continue development of MN-166 (ibudilast) and MN-001 (tipelukast).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7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obtain the capital necessary to fund our operations, we will be unable to develop and commercialize our product candidates.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consumed substantial amounts of capital since our inception.</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62"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To date, we have funded our operations primarily from sales of our securities and, to a lesser extent, debt financing.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4" w:name="page35"/>
    <w:bookmarkEnd w:id="34"/>
    <w:p>
      <w:pPr>
        <w:ind w:right="260"/>
        <w:spacing w:after="0" w:line="277" w:lineRule="auto"/>
        <w:rPr>
          <w:sz w:val="20"/>
          <w:szCs w:val="20"/>
          <w:color w:val="auto"/>
        </w:rPr>
      </w:pPr>
      <w:r>
        <w:rPr>
          <w:rFonts w:ascii="Arial" w:cs="Arial" w:eastAsia="Arial" w:hAnsi="Arial"/>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62"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(ibudilast) and MN-001 (tipelukast) product candidates. These product candidates have not completed the clinical development process, and therefore we have not submitted an NDA or foreign equivalent or received marketing approval.</w:t>
      </w:r>
    </w:p>
    <w:p>
      <w:pPr>
        <w:spacing w:after="0" w:line="18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6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the relevant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21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Companies frequently suffer significant setbacks in advanced clinical trials, even after earlier clinical trials have shown promising results.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attempts to develop MN-001 (tipelukast) in NASH and IPF may detract from our efforts to develop other product candidates and may limit the effectiveness of our product development efforts as a whole.</w:t>
      </w:r>
    </w:p>
    <w:p>
      <w:pPr>
        <w:spacing w:after="0" w:line="170"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We have decided to pursue development of MN-001 (tipelukast) in NASH and IPF. These activities will divert financial and management resources from our other product development activities and may limit our ability to complete or continue those other programs.</w:t>
      </w:r>
    </w:p>
    <w:p>
      <w:pPr>
        <w:spacing w:after="0" w:line="14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 w:name="page36"/>
    <w:bookmarkEnd w:id="35"/>
    <w:p>
      <w:pPr>
        <w:ind w:right="140"/>
        <w:spacing w:after="0" w:line="263" w:lineRule="auto"/>
        <w:rPr>
          <w:sz w:val="20"/>
          <w:szCs w:val="20"/>
          <w:color w:val="auto"/>
        </w:rPr>
      </w:pPr>
      <w:r>
        <w:rPr>
          <w:rFonts w:ascii="Arial" w:cs="Arial" w:eastAsia="Arial" w:hAnsi="Arial"/>
          <w:sz w:val="18"/>
          <w:szCs w:val="18"/>
          <w:color w:val="auto"/>
        </w:rPr>
        <w:t>human patients to demonstrate the efficacy and safety of the product candidate. Clinical testing is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19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239"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225"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regulatory authorities may not agree with our proposed development plans or accept the results of completed clinical trials; and</w:t>
      </w:r>
    </w:p>
    <w:p>
      <w:pPr>
        <w:spacing w:after="0" w:line="170" w:lineRule="exact"/>
        <w:rPr>
          <w:rFonts w:ascii="Arial" w:cs="Arial" w:eastAsia="Arial" w:hAnsi="Arial"/>
          <w:sz w:val="18"/>
          <w:szCs w:val="18"/>
          <w:color w:val="auto"/>
        </w:rPr>
      </w:pPr>
    </w:p>
    <w:p>
      <w:pPr>
        <w:ind w:left="880" w:hanging="440"/>
        <w:spacing w:after="0" w:line="26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84" w:lineRule="exact"/>
        <w:rPr>
          <w:sz w:val="20"/>
          <w:szCs w:val="20"/>
          <w:color w:val="auto"/>
        </w:rPr>
      </w:pPr>
    </w:p>
    <w:p>
      <w:pPr>
        <w:ind w:right="200" w:firstLine="432"/>
        <w:spacing w:after="0" w:line="271" w:lineRule="auto"/>
        <w:rPr>
          <w:sz w:val="20"/>
          <w:szCs w:val="20"/>
          <w:color w:val="auto"/>
        </w:rPr>
      </w:pPr>
      <w:r>
        <w:rPr>
          <w:rFonts w:ascii="Arial" w:cs="Arial" w:eastAsia="Arial" w:hAnsi="Arial"/>
          <w:sz w:val="17"/>
          <w:szCs w:val="17"/>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5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our third 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6" w:name="page37"/>
    <w:bookmarkEnd w:id="36"/>
    <w:p>
      <w:pPr>
        <w:ind w:right="80"/>
        <w:spacing w:after="0" w:line="301" w:lineRule="auto"/>
        <w:rPr>
          <w:sz w:val="20"/>
          <w:szCs w:val="20"/>
          <w:color w:val="auto"/>
        </w:rPr>
      </w:pPr>
      <w:r>
        <w:rPr>
          <w:rFonts w:ascii="Arial" w:cs="Arial" w:eastAsia="Arial" w:hAnsi="Arial"/>
          <w:sz w:val="16"/>
          <w:szCs w:val="16"/>
          <w:color w:val="auto"/>
        </w:rPr>
        <w:t>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7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21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20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Any product candidates that we advance into clinical trials may cause undesirable side effects or have other properties that could delay or prevent regulatory approval or commercialization or limit its commercial potential.</w:t>
      </w:r>
    </w:p>
    <w:p>
      <w:pPr>
        <w:spacing w:after="0" w:line="6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2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97"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225" w:lineRule="exact"/>
        <w:rPr>
          <w:rFonts w:ascii="Arial" w:cs="Arial" w:eastAsia="Arial" w:hAnsi="Arial"/>
          <w:sz w:val="18"/>
          <w:szCs w:val="18"/>
          <w:color w:val="auto"/>
        </w:rPr>
      </w:pPr>
    </w:p>
    <w:p>
      <w:pPr>
        <w:ind w:left="880" w:right="56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170"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ind w:firstLine="432"/>
        <w:spacing w:after="0" w:line="257"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252"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approval to commence or amend a clinical trial;</w:t>
      </w:r>
    </w:p>
    <w:p>
      <w:pPr>
        <w:spacing w:after="0" w:line="211"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225"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 addition, a clinical trial may be delayed, suspended or terminated by us, the FDA or other regulatory authorities due to a number of factors, including:</w:t>
      </w:r>
    </w:p>
    <w:p>
      <w:pPr>
        <w:spacing w:after="0" w:line="170" w:lineRule="exact"/>
        <w:rPr>
          <w:sz w:val="20"/>
          <w:szCs w:val="20"/>
          <w:color w:val="auto"/>
        </w:rPr>
      </w:pPr>
    </w:p>
    <w:p>
      <w:pPr>
        <w:ind w:left="880" w:right="140" w:hanging="440"/>
        <w:spacing w:after="0" w:line="259"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86" w:lineRule="exact"/>
        <w:rPr>
          <w:rFonts w:ascii="Arial" w:cs="Arial" w:eastAsia="Arial" w:hAnsi="Arial"/>
          <w:sz w:val="18"/>
          <w:szCs w:val="18"/>
          <w:color w:val="auto"/>
        </w:rPr>
      </w:pPr>
    </w:p>
    <w:p>
      <w:pPr>
        <w:ind w:left="880" w:hanging="440"/>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83"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225" w:lineRule="exact"/>
        <w:rPr>
          <w:rFonts w:ascii="Arial" w:cs="Arial" w:eastAsia="Arial" w:hAnsi="Arial"/>
          <w:sz w:val="18"/>
          <w:szCs w:val="18"/>
          <w:color w:val="auto"/>
        </w:rPr>
      </w:pPr>
    </w:p>
    <w:p>
      <w:pPr>
        <w:ind w:left="880" w:right="68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clinical trial presents unacceptable health risks;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9" w:name="page40"/>
    <w:bookmarkEnd w:id="39"/>
    <w:p>
      <w:pPr>
        <w:ind w:left="880" w:right="260" w:hanging="440"/>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23" w:lineRule="exact"/>
        <w:rPr>
          <w:rFonts w:ascii="Arial" w:cs="Arial" w:eastAsia="Arial" w:hAnsi="Arial"/>
          <w:sz w:val="16"/>
          <w:szCs w:val="16"/>
          <w:color w:val="auto"/>
        </w:rPr>
      </w:pPr>
    </w:p>
    <w:p>
      <w:pPr>
        <w:ind w:left="880" w:right="66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license the rights to certain compounds to develop and market our product candidates.</w:t>
      </w:r>
    </w:p>
    <w:p>
      <w:pPr>
        <w:spacing w:after="0" w:line="23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21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widespread outbreak of COVID-19 or any other illness or communicable disease, or any other public health crisis, could adversely affect our business, results of operations and financial condition.</w:t>
      </w:r>
    </w:p>
    <w:p>
      <w:pPr>
        <w:spacing w:after="0" w:line="103" w:lineRule="exact"/>
        <w:rPr>
          <w:sz w:val="20"/>
          <w:szCs w:val="20"/>
          <w:color w:val="auto"/>
        </w:rPr>
      </w:pPr>
    </w:p>
    <w:p>
      <w:pPr>
        <w:ind w:right="120" w:firstLine="864"/>
        <w:spacing w:after="0" w:line="271" w:lineRule="auto"/>
        <w:rPr>
          <w:sz w:val="20"/>
          <w:szCs w:val="20"/>
          <w:color w:val="auto"/>
        </w:rPr>
      </w:pPr>
      <w:r>
        <w:rPr>
          <w:rFonts w:ascii="Arial" w:cs="Arial" w:eastAsia="Arial" w:hAnsi="Arial"/>
          <w:sz w:val="17"/>
          <w:szCs w:val="17"/>
          <w:color w:val="auto"/>
        </w:rPr>
        <w:t>We could be negatively impacted by the widespread outbreak of COVID-19 or any other illness or communicable disease, or any other public health crisis that results in economic and trade disruptions, including the disruption of global supply chains. In December 2019, an outbreak of COVID-19 began and, in March 2020, the World Health Organization declared COVID-19 a pandemic. The COVID-19 pandemic has negatively impacted the global economy, disrupted global supply chains and created significant volatility and disruption of financial markets. The extent of the impact of the COVID-19 pandemic on our financial condition, liquidity, and future results of operations, including our ability to continue to advance our product development programs in the expected time frame, will depend on future developments, including the duration and spread of the pandemic and related restrictions on travel and transports, all of which are uncertain and cannot be predicted. An extended period of global supply chain and economic disruption could materially affect our business, results of operations, access to sources of liquidity and financial condition.</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6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line="311" w:lineRule="auto"/>
        <w:rPr>
          <w:sz w:val="20"/>
          <w:szCs w:val="20"/>
          <w:color w:val="auto"/>
        </w:rPr>
      </w:pPr>
      <w:r>
        <w:rPr>
          <w:rFonts w:ascii="Arial" w:cs="Arial" w:eastAsia="Arial" w:hAnsi="Arial"/>
          <w:sz w:val="16"/>
          <w:szCs w:val="16"/>
          <w:color w:val="auto"/>
        </w:rPr>
        <w:t>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6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21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29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 party arrangements.</w:t>
      </w:r>
    </w:p>
    <w:p>
      <w:pPr>
        <w:spacing w:after="0" w:line="76" w:lineRule="exact"/>
        <w:rPr>
          <w:sz w:val="20"/>
          <w:szCs w:val="20"/>
          <w:color w:val="auto"/>
        </w:rPr>
      </w:pPr>
    </w:p>
    <w:p>
      <w:pPr>
        <w:jc w:val="both"/>
        <w:ind w:right="160" w:firstLine="432"/>
        <w:spacing w:after="0" w:line="311"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62"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211" w:lineRule="exact"/>
        <w:rPr>
          <w:sz w:val="20"/>
          <w:szCs w:val="20"/>
          <w:color w:val="auto"/>
        </w:rPr>
      </w:pPr>
    </w:p>
    <w:p>
      <w:pPr>
        <w:ind w:left="1300" w:right="38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156"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17"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211"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1" w:name="page42"/>
    <w:bookmarkEnd w:id="41"/>
    <w:p>
      <w:pPr>
        <w:jc w:val="both"/>
        <w:ind w:right="30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4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8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party manufacturers to produce our product candidates, which may result in delays in our clinical trials and the commercialization of products, as well as increased costs.</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 party manufacturers to produce, in collaboration with us, sufficient quantities of our product candidates for clinical trials, and we plan to contract with third 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206"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Reliance on third 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 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right="20" w:firstLine="432"/>
        <w:spacing w:after="0" w:line="290"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 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9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 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 party manufacturers is difficult. For example, a change in third 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 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be able to manufacture our product candidates in commercial quantities, which would prevent us from commercializing our product candidates.</w:t>
      </w:r>
    </w:p>
    <w:p>
      <w:pPr>
        <w:spacing w:after="0" w:line="6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 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62"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rely on the third party manufacturers of our product candidates to purchase from third 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color w:val="auto"/>
        </w:rPr>
        <w:t>launch of such product would be delayed or there would be a shortage in supply of such product, which would harm our ability to generate revenues from such product and achieve or sustain profitability.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62"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If one of our product candidates is approved for commercial sale by the FDA or other regulatory authorities, the degree of market acceptance of any approved product by physicians, healthcare professionals and third party payers and our profitability and growth will depend on a number of factors, including:</w:t>
      </w:r>
    </w:p>
    <w:p>
      <w:pPr>
        <w:spacing w:after="0" w:line="76"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225" w:lineRule="exact"/>
        <w:rPr>
          <w:rFonts w:ascii="Arial" w:cs="Arial" w:eastAsia="Arial" w:hAnsi="Arial"/>
          <w:sz w:val="18"/>
          <w:szCs w:val="18"/>
          <w:color w:val="auto"/>
        </w:rPr>
      </w:pPr>
    </w:p>
    <w:p>
      <w:pPr>
        <w:ind w:left="880" w:right="27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 the availability of adequate third party insurance coverage or reimbursement.</w:t>
      </w:r>
    </w:p>
    <w:p>
      <w:pPr>
        <w:spacing w:after="0" w:line="17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 party coverage or reimbursement. If any product candidate is approved but does not achieve an adequate level of acceptance by physicians, patients and third party payers, our ability to generate revenues from that product would be substantially reduced. In addition, our efforts to educate the medical community and third party payers on the benefits of our product candidates may require significant resources and may never be successful.</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 party payers, our revenues and profitability will suffer.</w:t>
      </w:r>
    </w:p>
    <w:p>
      <w:pPr>
        <w:spacing w:after="0" w:line="62" w:lineRule="exact"/>
        <w:rPr>
          <w:sz w:val="20"/>
          <w:szCs w:val="20"/>
          <w:color w:val="auto"/>
        </w:rPr>
      </w:pPr>
    </w:p>
    <w:p>
      <w:pPr>
        <w:ind w:right="100" w:firstLine="432"/>
        <w:spacing w:after="0" w:line="275" w:lineRule="auto"/>
        <w:rPr>
          <w:sz w:val="20"/>
          <w:szCs w:val="20"/>
          <w:color w:val="auto"/>
        </w:rPr>
      </w:pPr>
      <w:r>
        <w:rPr>
          <w:rFonts w:ascii="Arial" w:cs="Arial" w:eastAsia="Arial" w:hAnsi="Arial"/>
          <w:sz w:val="17"/>
          <w:szCs w:val="17"/>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 party payers are increasingly challenging the prices charged for medical products and services. We cannot provide any assurances that third party payers will consider our products cost-effective or provide coverage of and reimbursement for our products, in whole or in part.</w:t>
      </w:r>
    </w:p>
    <w:p>
      <w:pPr>
        <w:spacing w:after="0" w:line="1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 party payers may conclude that our products are less safe, less clinically effective or less cost-effective than existing products, and third party payers may not approve our products for coverage and reimbursement. If we are unable to obtain adequate coverage of and reimbursement for our products from third party payers, physicians may limit how much or under what circumstances they will prescribe or administer them. Such reduction or limitation in the use of our products could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4" w:name="page45"/>
    <w:bookmarkEnd w:id="44"/>
    <w:p>
      <w:pPr>
        <w:ind w:right="240"/>
        <w:spacing w:after="0" w:line="277" w:lineRule="auto"/>
        <w:rPr>
          <w:sz w:val="20"/>
          <w:szCs w:val="20"/>
          <w:color w:val="auto"/>
        </w:rPr>
      </w:pPr>
      <w:r>
        <w:rPr>
          <w:rFonts w:ascii="Arial" w:cs="Arial" w:eastAsia="Arial" w:hAnsi="Arial"/>
          <w:sz w:val="18"/>
          <w:szCs w:val="18"/>
          <w:color w:val="auto"/>
        </w:rPr>
        <w:t>cause our sales to suffer. Even if third party payers make reimbursement available, payment levels may not be sufficient to make the sale of our products profitable.</w:t>
      </w:r>
    </w:p>
    <w:p>
      <w:pPr>
        <w:spacing w:after="0" w:line="19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Market acceptance and sales of our current or future product candidates will depend in large part on global reimbursement policies and may be affected by future healthcare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 party payers are pursuing various ways to reduce pharmaceutical costs, including the use of formularies. The market for our products depends on access to such formularies, which are lists of medications for which third 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 party payers, including government payers, are instituting could have a material adverse effect on our ability to operate profitably.</w:t>
      </w:r>
    </w:p>
    <w:p>
      <w:pPr>
        <w:spacing w:after="0" w:line="16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are dependent on our management team, particularly our President and Chief Executive Officer, and our experienced scientific staff, and if we are unable to retain, motivate and attract key personnel, our product development programs may be delayed and we may be unable to develop successfully or commercialize our product candidates.</w:t>
      </w:r>
    </w:p>
    <w:p>
      <w:pPr>
        <w:spacing w:after="0" w:line="76"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are dependent upon the continued services of our executive officers and other key personnel, particularly 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9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6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6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62"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ind w:right="160"/>
        <w:spacing w:after="0" w:line="271" w:lineRule="auto"/>
        <w:rPr>
          <w:sz w:val="20"/>
          <w:szCs w:val="20"/>
          <w:color w:val="auto"/>
        </w:rPr>
      </w:pPr>
      <w:r>
        <w:rPr>
          <w:rFonts w:ascii="Arial" w:cs="Arial" w:eastAsia="Arial" w:hAnsi="Arial"/>
          <w:sz w:val="17"/>
          <w:szCs w:val="17"/>
          <w:color w:val="auto"/>
        </w:rPr>
        <w:t>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 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4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57"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total assets if we do not prevail in any lawsuit brought by a third party alleging that an injury was caused by one of our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that our results of operations will fluctuate, which may make it difficult to predict our future performance from period to period.</w:t>
      </w:r>
    </w:p>
    <w:p>
      <w:pPr>
        <w:spacing w:after="0" w:line="12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62" w:lineRule="exact"/>
        <w:rPr>
          <w:sz w:val="20"/>
          <w:szCs w:val="20"/>
          <w:color w:val="auto"/>
        </w:rPr>
      </w:pPr>
    </w:p>
    <w:p>
      <w:pPr>
        <w:ind w:left="880" w:right="52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70"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7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Our listing obligations under the JASDAQ Market of the Tokyo Stock Exchange, or TSE, also require that we comply either with Section 404 of the Sarbanes-Oxley Act or equivalent regulations in Japan and we elected to comply with Section 404. Additionally, we are subject to attestation by our independent registered public accounting firm regarding our internal controls over financial reporting as of December 31, 2020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ind w:right="140"/>
        <w:spacing w:after="0" w:line="277" w:lineRule="auto"/>
        <w:rPr>
          <w:sz w:val="20"/>
          <w:szCs w:val="20"/>
          <w:color w:val="auto"/>
        </w:rPr>
      </w:pPr>
      <w:r>
        <w:rPr>
          <w:rFonts w:ascii="Arial" w:cs="Arial" w:eastAsia="Arial" w:hAnsi="Arial"/>
          <w:sz w:val="18"/>
          <w:szCs w:val="18"/>
          <w:color w:val="auto"/>
        </w:rPr>
        <w:t>would require additional financial and management resources, costly litigation or a loss of public confidence in our internal controls, which could have an adverse effect on the market price of our stock.</w:t>
      </w:r>
    </w:p>
    <w:p>
      <w:pPr>
        <w:spacing w:after="0" w:line="197" w:lineRule="exact"/>
        <w:rPr>
          <w:sz w:val="20"/>
          <w:szCs w:val="20"/>
          <w:color w:val="auto"/>
        </w:rPr>
      </w:pPr>
    </w:p>
    <w:p>
      <w:pPr>
        <w:ind w:right="40" w:firstLine="432"/>
        <w:spacing w:after="0" w:line="296" w:lineRule="auto"/>
        <w:rPr>
          <w:sz w:val="20"/>
          <w:szCs w:val="20"/>
          <w:color w:val="auto"/>
        </w:rPr>
      </w:pPr>
      <w:r>
        <w:rPr>
          <w:rFonts w:ascii="Arial" w:cs="Arial" w:eastAsia="Arial" w:hAnsi="Arial"/>
          <w:sz w:val="16"/>
          <w:szCs w:val="16"/>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information technology systems failures, network disruptions, breaches in data security and computer crime and cyber-attacks.</w:t>
      </w:r>
    </w:p>
    <w:p>
      <w:pPr>
        <w:spacing w:after="0" w:line="260" w:lineRule="exact"/>
        <w:rPr>
          <w:sz w:val="20"/>
          <w:szCs w:val="20"/>
          <w:color w:val="auto"/>
        </w:rPr>
      </w:pPr>
    </w:p>
    <w:p>
      <w:pPr>
        <w:ind w:firstLine="576"/>
        <w:spacing w:after="0" w:line="285" w:lineRule="auto"/>
        <w:rPr>
          <w:sz w:val="20"/>
          <w:szCs w:val="20"/>
          <w:color w:val="auto"/>
        </w:rPr>
      </w:pPr>
      <w:r>
        <w:rPr>
          <w:rFonts w:ascii="Arial" w:cs="Arial" w:eastAsia="Arial" w:hAnsi="Arial"/>
          <w:sz w:val="16"/>
          <w:szCs w:val="16"/>
          <w:color w:val="auto"/>
        </w:rPr>
        <w:t>Information technology system failures, network disruptions, breaches of data security and sophisticated and targeted computer crime and cyber-attacks could disrupt our operations by impeding our drug development programs, including delays in our regulatory efforts, the manufacture or shipment of products, the processing of transactions or reporting of financial results, or by causing an unintentional disclosure of confidential information.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In the ordinary course of our business, we collect and store sensitive data in our data centers and on our networks, including IP, proprietary business information, and personal information of our business partners and employees. Despite our efforts to protect sensitive, confidential or personal data or information, our facilities and systems and those of our third party service providers may be vulnerable to security breaches, theft, misplaced or lost data, programming and/or human errors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While management has taken steps to address these concerns by conducting employee training, implementing certain data and system redundancy, hardening and fail-over along with other network security, comprehensive monitoring of our networks and systems, maintenance of backup and protective systems and other internal control measures, there can be no assurance that the measures we have implemented to date would be sufficient in the event of a system failure, loss of data or security breach. As a result, in the event of such a failure, loss of data or security breach, our financial condition and operating results could be adversely affected.</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and marketing our products internationally could materially adversely affect our business.</w:t>
      </w:r>
    </w:p>
    <w:p>
      <w:pPr>
        <w:spacing w:after="0" w:line="152"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76"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United States and foreign government tariffs, trade restrictions, price and exchange controls and other regulatory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ind w:left="880" w:hanging="440"/>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economic weakness, including inflation, natural disasters, war, events of terrorism or political instability in particular foreign countries;</w:t>
      </w:r>
    </w:p>
    <w:p>
      <w:pPr>
        <w:spacing w:after="0" w:line="236" w:lineRule="exact"/>
        <w:rPr>
          <w:rFonts w:ascii="Arial" w:cs="Arial" w:eastAsia="Arial" w:hAnsi="Arial"/>
          <w:sz w:val="17"/>
          <w:szCs w:val="17"/>
          <w:color w:val="auto"/>
        </w:rPr>
      </w:pPr>
    </w:p>
    <w:p>
      <w:pPr>
        <w:ind w:left="880" w:right="6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regulations and restrictions for employees living or traveling abroad;</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225"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252" w:lineRule="exact"/>
        <w:rPr>
          <w:sz w:val="20"/>
          <w:szCs w:val="20"/>
          <w:color w:val="auto"/>
        </w:rPr>
      </w:pPr>
    </w:p>
    <w:p>
      <w:pPr>
        <w:jc w:val="both"/>
        <w:ind w:right="40" w:firstLine="432"/>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w:t>
      </w:r>
    </w:p>
    <w:p>
      <w:pPr>
        <w:spacing w:after="0" w:line="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Composition of matter patents on APIs may provide protection for pharmaceutical products without regard to formulation, method of use, or other type of limitation. We do not have compound patent protection for the API in our MN-166 (ibudilast), MN-001 (tipelukast), and MN-221 (bedoradrine)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MN-001 (tipelukast), and MN-221 (bedoradrine)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MN-001 (tipelukast), and MN-221 (bedoradrine) although we have a compound patent for MN-029.</w:t>
      </w:r>
    </w:p>
    <w:p>
      <w:pPr>
        <w:spacing w:after="0" w:line="197"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(tipelukast)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20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right="20"/>
        <w:spacing w:after="0" w:line="275" w:lineRule="auto"/>
        <w:rPr>
          <w:sz w:val="20"/>
          <w:szCs w:val="20"/>
          <w:color w:val="auto"/>
        </w:rPr>
      </w:pPr>
      <w:r>
        <w:rPr>
          <w:rFonts w:ascii="Arial" w:cs="Arial" w:eastAsia="Arial" w:hAnsi="Arial"/>
          <w:sz w:val="17"/>
          <w:szCs w:val="17"/>
          <w:color w:val="auto"/>
        </w:rPr>
        <w:t>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20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84"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 and maintain any required or desirable licenses to use certain technologies of third parties, which may be protected by patents;</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239"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225" w:lineRule="exact"/>
        <w:rPr>
          <w:rFonts w:ascii="Arial" w:cs="Arial" w:eastAsia="Arial" w:hAnsi="Arial"/>
          <w:sz w:val="18"/>
          <w:szCs w:val="18"/>
          <w:color w:val="auto"/>
        </w:rPr>
      </w:pPr>
    </w:p>
    <w:p>
      <w:pPr>
        <w:ind w:left="880" w:hanging="440"/>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183"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6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jc w:val="both"/>
        <w:ind w:right="160"/>
        <w:spacing w:after="0" w:line="275" w:lineRule="auto"/>
        <w:rPr>
          <w:sz w:val="20"/>
          <w:szCs w:val="20"/>
          <w:color w:val="auto"/>
        </w:rPr>
      </w:pPr>
      <w:r>
        <w:rPr>
          <w:rFonts w:ascii="Arial" w:cs="Arial" w:eastAsia="Arial" w:hAnsi="Arial"/>
          <w:sz w:val="17"/>
          <w:szCs w:val="17"/>
          <w:color w:val="auto"/>
        </w:rPr>
        <w:t>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6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 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 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66" w:lineRule="exact"/>
        <w:rPr>
          <w:sz w:val="20"/>
          <w:szCs w:val="20"/>
          <w:color w:val="auto"/>
        </w:rPr>
      </w:pPr>
    </w:p>
    <w:p>
      <w:pPr>
        <w:ind w:left="880" w:right="6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ind w:right="60" w:firstLine="432"/>
        <w:spacing w:after="0" w:line="31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1" w:name="page52"/>
    <w:bookmarkEnd w:id="51"/>
    <w:p>
      <w:pPr>
        <w:ind w:right="220"/>
        <w:spacing w:after="0" w:line="277" w:lineRule="auto"/>
        <w:rPr>
          <w:sz w:val="20"/>
          <w:szCs w:val="20"/>
          <w:color w:val="auto"/>
        </w:rPr>
      </w:pPr>
      <w:r>
        <w:rPr>
          <w:rFonts w:ascii="Arial" w:cs="Arial" w:eastAsia="Arial" w:hAnsi="Arial"/>
          <w:sz w:val="18"/>
          <w:szCs w:val="18"/>
          <w:color w:val="auto"/>
        </w:rPr>
        <w:t>defend against these claims. Even if we are successful in defending against these claims, litigation could result in substantial costs and be a distraction to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17" w:lineRule="exact"/>
        <w:rPr>
          <w:sz w:val="20"/>
          <w:szCs w:val="20"/>
          <w:color w:val="auto"/>
        </w:rPr>
      </w:pPr>
    </w:p>
    <w:p>
      <w:pPr>
        <w:ind w:right="220" w:firstLine="432"/>
        <w:spacing w:after="0" w:line="311" w:lineRule="auto"/>
        <w:rPr>
          <w:sz w:val="20"/>
          <w:szCs w:val="20"/>
          <w:color w:val="auto"/>
        </w:rPr>
      </w:pPr>
      <w:r>
        <w:rPr>
          <w:rFonts w:ascii="Arial" w:cs="Arial" w:eastAsia="Arial" w:hAnsi="Arial"/>
          <w:sz w:val="16"/>
          <w:szCs w:val="16"/>
          <w:color w:val="auto"/>
        </w:rPr>
        <w:t>Despite the listing of our common stock on the NASDAQ Global Market and the JASDAQ Market of the Tokyo Stock Exchange in Japan, trading volume in our securities has been light and an active trading market may not develop for our common stock. In 2020, our average trading volume was approximately 618,033 shares per day on the NASDAQ Global Market and approximately 230,440 shares per day on the JASDAQ Market.</w:t>
      </w:r>
    </w:p>
    <w:p>
      <w:pPr>
        <w:spacing w:after="0" w:line="16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2020,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215" w:lineRule="exact"/>
        <w:rPr>
          <w:sz w:val="20"/>
          <w:szCs w:val="20"/>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156" w:lineRule="exact"/>
        <w:rPr>
          <w:rFonts w:ascii="Arial" w:cs="Arial" w:eastAsia="Arial" w:hAnsi="Arial"/>
          <w:sz w:val="18"/>
          <w:szCs w:val="18"/>
          <w:color w:val="auto"/>
        </w:rPr>
      </w:pPr>
    </w:p>
    <w:p>
      <w:pPr>
        <w:ind w:left="880" w:right="66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25"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common stock may be delisted on the NASDAQ Global Market or the JASDAQ Market of the Tokyo Stock Exchange.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sale of additional common stock under our existing at-the-market issuance sales agreement may cause substantial dilution to our existing stockholders and/or the price of our common stock to decline.</w:t>
      </w:r>
    </w:p>
    <w:p>
      <w:pPr>
        <w:spacing w:after="0" w:line="62"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From time to time, we may sell additional shares of our common stock under the 2019 ATM Agreement. Depending upon market liquidity at the time, sales of shares of our common stock under the 2019 ATM Agreement may cause the trading price of our common stock to decline and may result in substantial dilution to the interests of other holders of our common stock. The sale of a substantial number of shares of our common stock under the 2019 ATM Agreement, or anticipation of such sales, could make it more difficult for us to sell equity or equity-related securities in the future at a time and at a price that we might otherwise wish to effect sales.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62"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79"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62"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These provisions may also make it difficult for stockholders to remove and replace our board of directors and management. These provisions:</w:t>
      </w:r>
    </w:p>
    <w:p>
      <w:pPr>
        <w:spacing w:after="0" w:line="129" w:lineRule="exact"/>
        <w:rPr>
          <w:sz w:val="20"/>
          <w:szCs w:val="20"/>
          <w:color w:val="auto"/>
        </w:rPr>
      </w:pPr>
    </w:p>
    <w:p>
      <w:pPr>
        <w:ind w:left="880" w:right="36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70"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225"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170"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66-2/3% stockholder approval; and</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17"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executed a sublease agreement for our headquarters effective December 1, 2017 (the “Sublease”) with Cardinal Health 127 Inc., the sublessor, to which Irvine Company, the master lessor, has provided its consent. The Sublease is for approximately 4,400 square feet and has a term of four years and one month. In June 2005, we leased office space in Tokyo, Japan under a non-cancelable operating lease with an original expiration date of May 2013 and an auto-renewal two-year extension, which we have extended through May 2021, with the acceptance of the extensions for those given periods. We have no laboratory, research or manufacturing facilities, and we currently do not plan to purchase or lease any such facilities, as such services are provided to us by third 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180" w:firstLine="432"/>
        <w:spacing w:after="0" w:line="277" w:lineRule="auto"/>
        <w:rPr>
          <w:sz w:val="20"/>
          <w:szCs w:val="20"/>
          <w:color w:val="auto"/>
        </w:rPr>
      </w:pPr>
      <w:r>
        <w:rPr>
          <w:rFonts w:ascii="Arial" w:cs="Arial" w:eastAsia="Arial" w:hAnsi="Arial"/>
          <w:sz w:val="18"/>
          <w:szCs w:val="18"/>
          <w:color w:val="auto"/>
        </w:rPr>
        <w:t>Our common stock is listed on the JASDAQ Market of the Tokyo Stock Exchange and trades under the code “4875,” and is listed on the NASDAQ Global Market and trades under the symbol “MNOV.”</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4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As of December 31, 2020, there were approximately 14 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retain our future earnings, if any, to fund the growth and development of our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3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(ARDS),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6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have incurred significant net losses since our inception. For the year ended December 31, 2020, we had a net loss of $13.9 million. At December 31, 2020, from inception, our accumulated deficit was $382.9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64" w:lineRule="exact"/>
        <w:rPr>
          <w:sz w:val="20"/>
          <w:szCs w:val="20"/>
          <w:color w:val="auto"/>
        </w:rPr>
      </w:pPr>
    </w:p>
    <w:p>
      <w:pPr>
        <w:ind w:right="260" w:firstLine="432"/>
        <w:spacing w:after="0" w:line="296" w:lineRule="auto"/>
        <w:rPr>
          <w:sz w:val="20"/>
          <w:szCs w:val="20"/>
          <w:color w:val="auto"/>
        </w:rPr>
      </w:pPr>
      <w:r>
        <w:rPr>
          <w:rFonts w:ascii="Arial" w:cs="Arial" w:eastAsia="Arial" w:hAnsi="Arial"/>
          <w:sz w:val="16"/>
          <w:szCs w:val="16"/>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stock-based compensation which impacts operating expenses and goodwill and purchased intangibles.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research, development and patents expenses consist primarily of license fees related to our product candidates, salaries and related employee benefits, costs associated with the preclinical and clinical development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ind w:right="60"/>
        <w:spacing w:after="0" w:line="272" w:lineRule="auto"/>
        <w:rPr>
          <w:sz w:val="20"/>
          <w:szCs w:val="20"/>
          <w:color w:val="auto"/>
        </w:rPr>
      </w:pPr>
      <w:r>
        <w:rPr>
          <w:rFonts w:ascii="Arial" w:cs="Arial" w:eastAsia="Arial" w:hAnsi="Arial"/>
          <w:sz w:val="17"/>
          <w:szCs w:val="17"/>
          <w:color w:val="auto"/>
        </w:rPr>
        <w:t>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To date, our accrued research, development and patent expenses have not differed significantly from the actual expenses incurred.</w:t>
      </w:r>
    </w:p>
    <w:p>
      <w:pPr>
        <w:spacing w:after="0" w:line="177"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30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49"/>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MN-166</w:t>
            </w:r>
          </w:p>
        </w:tc>
        <w:tc>
          <w:tcPr>
            <w:tcW w:w="3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4,250</w:t>
            </w:r>
          </w:p>
        </w:tc>
        <w:tc>
          <w:tcPr>
            <w:tcW w:w="280" w:type="dxa"/>
            <w:vAlign w:val="bottom"/>
          </w:tcPr>
          <w:p>
            <w:pPr>
              <w:spacing w:after="0"/>
              <w:rPr>
                <w:sz w:val="19"/>
                <w:szCs w:val="19"/>
                <w:color w:val="auto"/>
              </w:rPr>
            </w:pPr>
          </w:p>
        </w:tc>
        <w:tc>
          <w:tcPr>
            <w:tcW w:w="1020" w:type="dxa"/>
            <w:vAlign w:val="bottom"/>
            <w:gridSpan w:val="2"/>
          </w:tcPr>
          <w:p>
            <w:pPr>
              <w:jc w:val="right"/>
              <w:ind w:right="88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BC-PIV vaccine for COVID-19</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MN-001</w:t>
            </w: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MN-221</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MN-029</w:t>
            </w:r>
          </w:p>
        </w:tc>
        <w:tc>
          <w:tcPr>
            <w:tcW w:w="2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development expense</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R&amp;D personnel expense</w:t>
            </w: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R&amp;D facility expense</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Patent expense</w:t>
            </w: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R&amp;D expense</w:t>
            </w:r>
          </w:p>
        </w:tc>
        <w:tc>
          <w:tcPr>
            <w:tcW w:w="2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research, development and patent expense</w:t>
            </w:r>
          </w:p>
        </w:tc>
        <w:tc>
          <w:tcPr>
            <w:tcW w:w="2160" w:type="dxa"/>
            <w:vAlign w:val="bottom"/>
          </w:tcPr>
          <w:p>
            <w:pPr>
              <w:spacing w:after="0"/>
              <w:rPr>
                <w:sz w:val="19"/>
                <w:szCs w:val="19"/>
                <w:color w:val="auto"/>
              </w:rPr>
            </w:pP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use the Black-Scholes option pricing model to estimate the fair value of stock option awards including performance-based options. The Black-Scholes model requires the use of highly subjective and complex assumptions, including the Company’s stock price, expected volatility, expected term, risk-free interest rate, and expected dividend yield. For expected volatility, we base the assumption on the historical volatility of the Company’s common stock. The expected term of the awards is based on historical data regarding employees’ option exercise behaviors. The risk-free interest rate assumption is based on observed interest rates appropriate for the terms of the awards. The dividend yield assumption is based on the Company’s history and expectation of dividend payouts. Only expenses associated with awards that are ultimately expected to vest are included in our financial statements. Changes to our estimations and assumptions could have a significant impact on the stock-based compensation amount recognized.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 (“IPR&amp;D”) and Goodwill</w:t>
      </w:r>
    </w:p>
    <w:p>
      <w:pPr>
        <w:spacing w:after="0" w:line="225"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As a result of our acquisitions we have recorded goodwill and other identifiable finite and indefinite lived acquired intangibles. The identification and valuation of these intangible assets at the time of acquisition require significant management judgment and estimates, including the amount and timing of future cash flows, growth rates, discount rates and useful lives.</w:t>
      </w:r>
    </w:p>
    <w:p>
      <w:pPr>
        <w:spacing w:after="0" w:line="18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review IPR&amp;D and goodwill for impairment annually or more frequently whenever events or changes in circumstances indicate that the carrying amount of the asset might not be recoverable. When evaluating for impairment of indefinite lived intangible assets, we may first perform a qualitative assessment to determine whether it is more likely than not that our indefinite-lived intangible assets are impaired. The criteria used for these evaluations include management’s estimate of the asset’s continuing ability to generate income from operations and positive cash flows in future periods, business and economic trends as well as the strategic significance of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ind w:right="60"/>
        <w:spacing w:after="0" w:line="259" w:lineRule="auto"/>
        <w:rPr>
          <w:sz w:val="20"/>
          <w:szCs w:val="20"/>
          <w:color w:val="auto"/>
        </w:rPr>
      </w:pPr>
      <w:r>
        <w:rPr>
          <w:rFonts w:ascii="Arial" w:cs="Arial" w:eastAsia="Arial" w:hAnsi="Arial"/>
          <w:sz w:val="18"/>
          <w:szCs w:val="18"/>
          <w:color w:val="auto"/>
        </w:rPr>
        <w:t>intangible assets in our business objectives. Additionally, we consider the reasonableness of the various inputs and assumptions used in determining the IPR&amp;D fair value, including a probability of success factor, a debt free working capital requirement, costs to complete, our tax rate, peak sales years, potential market size, a royalty rate and any up-front milestone revenue payments. If assets are considered to be impaired, the impairment recognized is the amount by which the carrying value of the assets exceeds the fair value of the assets.</w:t>
      </w:r>
    </w:p>
    <w:p>
      <w:pPr>
        <w:spacing w:after="0" w:line="29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impact of recent accounting pronouncements is more fully described in Note 1 of our consolidated financial statements included elsewhere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recognize any revenue or cost of revenues for the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Research, development and patent expenses for the year ended December 31, 2020 increased by $1.4 million as compared to the same period in 2019, primarily due to higher clinical trial expenses from the ongoing clinical trial of MN-166 (ibudilast) in 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80" w:firstLine="432"/>
        <w:spacing w:after="0" w:line="308" w:lineRule="auto"/>
        <w:rPr>
          <w:sz w:val="20"/>
          <w:szCs w:val="20"/>
          <w:color w:val="auto"/>
        </w:rPr>
      </w:pPr>
      <w:r>
        <w:rPr>
          <w:rFonts w:ascii="Arial" w:cs="Arial" w:eastAsia="Arial" w:hAnsi="Arial"/>
          <w:sz w:val="17"/>
          <w:szCs w:val="17"/>
          <w:color w:val="auto"/>
        </w:rPr>
        <w:t>General and administrative expenses for the year ended December 31, 2020 decreased by $1.3 million compared to the same period in 2019, primarily driven by a decrease in stock compensation expense for performance-based stock options and lower legal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Other expense for the years ended 2020 and 2019 was approximately $38,000 and $46,000, respectively. Other expense consisted of interest expense and net transaction losses related to vendor invoices denominated in foreign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Interest income for the year ended December 31, 2020 was approximately $0.4 million, as compared to approximately $1.1 million for the same period in 2019. The decrease was primarily due to lower interest rates available in 2020. Interest income consists of interest earned on our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32"/>
        <w:spacing w:after="0" w:line="311" w:lineRule="auto"/>
        <w:rPr>
          <w:sz w:val="20"/>
          <w:szCs w:val="20"/>
          <w:color w:val="auto"/>
        </w:rPr>
      </w:pPr>
      <w:r>
        <w:rPr>
          <w:rFonts w:ascii="Arial" w:cs="Arial" w:eastAsia="Arial" w:hAnsi="Arial"/>
          <w:sz w:val="16"/>
          <w:szCs w:val="16"/>
          <w:color w:val="auto"/>
        </w:rPr>
        <w:t>We incurred losses of $13.9 million and $12.9 million for the years ended December 31, 2020 and 2019, respectively. At December 31, 2020, our accumulated deficit was $382.9 million. Our operating losses to date have been funded primarily through the private placement of our equity securities, the public sale of our common stock, long-term debt, development agreements with partners and the exercise of warrants, net of treasury stock repurchases.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color w:val="auto"/>
        </w:rPr>
        <w:t>The following table shows a summary of our cash flows for the years ended December 31, 2020 and 2019 (in thousands):</w:t>
      </w:r>
    </w:p>
    <w:p>
      <w:pPr>
        <w:spacing w:after="0" w:line="29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680" w:type="dxa"/>
            <w:vAlign w:val="bottom"/>
            <w:tcBorders>
              <w:bottom w:val="single" w:sz="8" w:color="CFF0FC"/>
            </w:tcBorders>
          </w:tcPr>
          <w:p>
            <w:pPr>
              <w:spacing w:after="0"/>
              <w:rPr>
                <w:sz w:val="14"/>
                <w:szCs w:val="14"/>
                <w:color w:val="auto"/>
              </w:rPr>
            </w:pPr>
          </w:p>
        </w:tc>
        <w:tc>
          <w:tcPr>
            <w:tcW w:w="14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Operating activities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(10,826)</w:t>
            </w: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(9,125)</w:t>
            </w: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29"/>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10,616</w:t>
            </w:r>
          </w:p>
        </w:tc>
        <w:tc>
          <w:tcPr>
            <w:tcW w:w="80" w:type="dxa"/>
            <w:vAlign w:val="bottom"/>
            <w:tcBorders>
              <w:bottom w:val="single" w:sz="8" w:color="CFF0FC"/>
            </w:tcBorders>
          </w:tcPr>
          <w:p>
            <w:pPr>
              <w:spacing w:after="0"/>
              <w:rPr>
                <w:sz w:val="19"/>
                <w:szCs w:val="19"/>
                <w:color w:val="auto"/>
              </w:rPr>
            </w:pPr>
          </w:p>
        </w:tc>
      </w:tr>
      <w:tr>
        <w:trPr>
          <w:trHeight w:val="223"/>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On May 22, 2015, we entered into an at-the-market issuance sales agreement (the “2015 ATM Agreement”) with MLV &amp; Co. LLC (MLV), pursuant to which we could sell common stock through MLV from time to time up to an aggregate offering price of $30.0 million. Sales of our common stock through MLV, if any, were to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our prior approval. We agreed to pay MLV an aggregate commission rate of up to 4.0% of the gross proceeds of any common stock sold under this agreement. Proceeds from sales of common stock depended on the number of shares of common stock sold to MLV and the per share purchase price of each transaction. We were not obligated to make any sales of common stock under the sales agreement and could terminate the sales agreement at any time upon written notice. On September 16, 2016, we entered into an amendment No. 1 to the 2015 ATM Agreement with MLV to also include FBR Capital Markets &amp; Co (FBR) as a sales agent. The 2015 ATM Agreement was terminated on August 23, 2019.</w:t>
      </w:r>
    </w:p>
    <w:p>
      <w:pPr>
        <w:spacing w:after="0" w:line="199" w:lineRule="exact"/>
        <w:rPr>
          <w:sz w:val="20"/>
          <w:szCs w:val="20"/>
          <w:color w:val="auto"/>
        </w:rPr>
      </w:pPr>
    </w:p>
    <w:p>
      <w:pPr>
        <w:ind w:right="20" w:firstLine="633"/>
        <w:spacing w:after="0" w:line="254" w:lineRule="auto"/>
        <w:rPr>
          <w:sz w:val="20"/>
          <w:szCs w:val="20"/>
          <w:color w:val="auto"/>
        </w:rPr>
      </w:pPr>
      <w:r>
        <w:rPr>
          <w:rFonts w:ascii="Arial" w:cs="Arial" w:eastAsia="Arial" w:hAnsi="Arial"/>
          <w:sz w:val="18"/>
          <w:szCs w:val="18"/>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right="60" w:firstLine="432"/>
        <w:spacing w:after="0" w:line="311" w:lineRule="auto"/>
        <w:rPr>
          <w:sz w:val="20"/>
          <w:szCs w:val="20"/>
          <w:color w:val="auto"/>
        </w:rPr>
      </w:pPr>
      <w:r>
        <w:rPr>
          <w:rFonts w:ascii="Arial" w:cs="Arial" w:eastAsia="Arial" w:hAnsi="Arial"/>
          <w:sz w:val="16"/>
          <w:szCs w:val="16"/>
          <w:color w:val="auto"/>
        </w:rPr>
        <w:t>For the year ended December 31, 2020, we generated gross and net proceeds of $6.4 million and $6.2 million, respectively, on sales of 824,798 shares of our common stock at prices ranging from $5.55 to $10.45 per share. For the year ended December 31, 2019, we generated gross and net proceeds of $6.8 million and $6.5 million, respectively, on sales of 804,963 shares of our common stock at prices ranging from $7.24 to $10.03 per share.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Financial Condition and Liquidity</w:t>
      </w:r>
    </w:p>
    <w:p>
      <w:pPr>
        <w:spacing w:after="0" w:line="12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As of December 31, 2020, we had available cash and cash equivalents of $60.0 million and working capital of $58.5 million. On January 29, 2021 we sold and issued 3,656,307 shares of our common stock at a price of $5.47 per share for approximately $20 million in gross proceeds in a private placement of stock. As of the date of this report, we believe we have sufficient working capital to fund operations at least through the end of 2022.</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left="88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62"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any of our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At December 31, 2020,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MediciNova, Inc. (the “Company”) as of December 31, 2020 and 2019, the related consolidated statements of operations and comprehensive income, stockholders’ equity, and cash flows for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1, the Company recognizes costs it incurs for preclinical studies, clinical trials and manufacturing activities as research and development expenses based on its evaluation of its vendors’ progress toward completion of specific tasks. Payment timing may differ significantly from the period in which the costs are recognized as expense. Costs for services incurred that have not yet been billed or paid are recognized as accrued expenses. In estimating the vendors’ progress toward completion of specific tasks, the Company uses data such as patient enrollment, clinical site activations or vendor information of actual costs incurred. This data is obtained through reports from or discussions with Company personnel and outside service providers as to the progress or state of completion of trials, or the completion of services. As of December 31, 2020, the Company recorded $0.4 million in clinical trial accruals.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identified auditing management’s accounting for clinical trial accruals as a critical audit matter due to significant management judgment to estimate the progress toward completion of specific tasks that is dependent upon data and information from internal clinical personnel and third-party service providers. Auditing these elements involved especially challenging auditor judgment due to the nature and extent of audit effort required to address these matters.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jc w:val="both"/>
        <w:ind w:left="880" w:hanging="440"/>
        <w:spacing w:after="0" w:line="285" w:lineRule="auto"/>
        <w:tabs>
          <w:tab w:leader="none" w:pos="880" w:val="left"/>
        </w:tabs>
        <w:numPr>
          <w:ilvl w:val="0"/>
          <w:numId w:val="35"/>
        </w:numPr>
        <w:rPr>
          <w:rFonts w:ascii="Arial" w:cs="Arial" w:eastAsia="Arial" w:hAnsi="Arial"/>
          <w:sz w:val="19"/>
          <w:szCs w:val="19"/>
          <w:color w:val="auto"/>
        </w:rPr>
      </w:pPr>
      <w:r>
        <w:rPr>
          <w:rFonts w:ascii="Arial" w:cs="Arial" w:eastAsia="Arial" w:hAnsi="Arial"/>
          <w:sz w:val="16"/>
          <w:szCs w:val="16"/>
          <w:color w:val="auto"/>
        </w:rPr>
        <w:t>Testing the appropriate measurement of clinical trial accruals by obtaining and inspecting significant agreements and agreement amendments, evaluating the Company’s documentation of trial progress and status (including consideration of measures such as patient enrollment and milestones achieved), and testing a sample of transactions and comparing the costs against related invoices and contracts.</w:t>
      </w:r>
    </w:p>
    <w:p>
      <w:pPr>
        <w:spacing w:after="0" w:line="167" w:lineRule="exact"/>
        <w:rPr>
          <w:rFonts w:ascii="Arial" w:cs="Arial" w:eastAsia="Arial" w:hAnsi="Arial"/>
          <w:sz w:val="19"/>
          <w:szCs w:val="19"/>
          <w:color w:val="auto"/>
        </w:rPr>
      </w:pPr>
    </w:p>
    <w:p>
      <w:pPr>
        <w:jc w:val="both"/>
        <w:ind w:left="880" w:hanging="440"/>
        <w:spacing w:after="0" w:line="256" w:lineRule="auto"/>
        <w:tabs>
          <w:tab w:leader="none" w:pos="880" w:val="left"/>
        </w:tabs>
        <w:numPr>
          <w:ilvl w:val="0"/>
          <w:numId w:val="35"/>
        </w:numPr>
        <w:rPr>
          <w:rFonts w:ascii="Arial" w:cs="Arial" w:eastAsia="Arial" w:hAnsi="Arial"/>
          <w:sz w:val="21"/>
          <w:szCs w:val="21"/>
          <w:color w:val="auto"/>
        </w:rPr>
      </w:pPr>
      <w:r>
        <w:rPr>
          <w:rFonts w:ascii="Arial" w:cs="Arial" w:eastAsia="Arial" w:hAnsi="Arial"/>
          <w:sz w:val="17"/>
          <w:szCs w:val="17"/>
          <w:color w:val="auto"/>
        </w:rPr>
        <w:t>Testing the completeness of the Company’s clinical trial accruals by evaluating publicly available information (such as press releases, investor presentations and public databases that track clinical trials) and board of directors’ materials regarding the status of clinical trials and inquiring of clinical staff outside of finance to gain an understanding of the status of significant on-going clinical trials.</w:t>
      </w:r>
    </w:p>
    <w:p>
      <w:pPr>
        <w:spacing w:after="0" w:line="166" w:lineRule="exact"/>
        <w:rPr>
          <w:rFonts w:ascii="Arial" w:cs="Arial" w:eastAsia="Arial" w:hAnsi="Arial"/>
          <w:sz w:val="21"/>
          <w:szCs w:val="21"/>
          <w:color w:val="auto"/>
        </w:rPr>
      </w:pPr>
    </w:p>
    <w:p>
      <w:pPr>
        <w:ind w:left="880" w:hanging="440"/>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Testing a sample of subsequent payments to evaluate the completeness of clinical trial accruals at the end of the year.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63,792,657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Prepaid expense and other current assets</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680,171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60,716,934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64,304,573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9,600,240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246,236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75,419,110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79,205,174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616,629</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Accrued liabilities and other current liabilities</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1,577,321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1,776,912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2,193,950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1,694,163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1,694,163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4,092,610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ind w:left="220"/>
              <w:spacing w:after="0"/>
              <w:rPr>
                <w:sz w:val="20"/>
                <w:szCs w:val="20"/>
                <w:color w:val="auto"/>
              </w:rPr>
            </w:pPr>
            <w:r>
              <w:rPr>
                <w:rFonts w:ascii="Arial" w:cs="Arial" w:eastAsia="Arial" w:hAnsi="Arial"/>
                <w:sz w:val="18"/>
                <w:szCs w:val="18"/>
                <w:color w:val="auto"/>
                <w:w w:val="92"/>
              </w:rPr>
              <w:t>Common stock, $0.001 par value; 100,000,000 shares authorized at December 31, 2020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20"/>
              <w:spacing w:after="0"/>
              <w:rPr>
                <w:sz w:val="20"/>
                <w:szCs w:val="20"/>
                <w:color w:val="auto"/>
              </w:rPr>
            </w:pPr>
            <w:r>
              <w:rPr>
                <w:rFonts w:ascii="Arial" w:cs="Arial" w:eastAsia="Arial" w:hAnsi="Arial"/>
                <w:sz w:val="18"/>
                <w:szCs w:val="18"/>
                <w:color w:val="auto"/>
                <w:w w:val="93"/>
              </w:rPr>
              <w:t>and December 31, 2019; 45,024,560 and 43,908,065 shares issued and outstanding at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220"/>
              <w:spacing w:after="0"/>
              <w:rPr>
                <w:sz w:val="20"/>
                <w:szCs w:val="20"/>
                <w:color w:val="auto"/>
              </w:rPr>
            </w:pPr>
            <w:r>
              <w:rPr>
                <w:rFonts w:ascii="Arial" w:cs="Arial" w:eastAsia="Arial" w:hAnsi="Arial"/>
                <w:sz w:val="18"/>
                <w:szCs w:val="18"/>
                <w:color w:val="auto"/>
              </w:rPr>
              <w:t>December 31, 2020 and December 31, 2019, 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454,296,536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444,016,341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(88,219)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(92,681)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(382,926,842)</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(369,072,945)</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71,326,500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74,894,623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75,419,110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79,205,174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660" w:top="337" w:right="6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Research, development and patents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7,484,835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6,079,042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6,693,488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7,952,035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14,178,323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14,031,077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(14,178,323)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(14,031,077)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1,148,242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(38,404)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(46,163)</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(13,855,545)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(12,928,998)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(12,660)</w:t>
            </w: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(13,853,897)</w:t>
            </w: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(12,941,658)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44,413,441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43,158,830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(13,853,897)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(12,941,658)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(13,849,435)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(12,941,189)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24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24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4"/>
                <w:szCs w:val="14"/>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14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1000" w:type="dxa"/>
            <w:vAlign w:val="bottom"/>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47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2018</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42,081,306</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429,289,968</w:t>
            </w:r>
          </w:p>
        </w:tc>
        <w:tc>
          <w:tcPr>
            <w:tcW w:w="22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(93,150)</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6"/>
              </w:rPr>
              <w:t>$ (356,131,287)</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73,107,612</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4,112,649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4,112,649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under an employee stock purchase plan (ESPP)</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27,316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27,320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 equity distribution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0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900" w:type="dxa"/>
            <w:vAlign w:val="bottom"/>
          </w:tcPr>
          <w:p>
            <w:pPr>
              <w:jc w:val="right"/>
              <w:spacing w:after="0"/>
              <w:rPr>
                <w:sz w:val="20"/>
                <w:szCs w:val="20"/>
                <w:color w:val="auto"/>
              </w:rPr>
            </w:pPr>
            <w:r>
              <w:rPr>
                <w:rFonts w:ascii="Arial" w:cs="Arial" w:eastAsia="Arial" w:hAnsi="Arial"/>
                <w:sz w:val="14"/>
                <w:szCs w:val="14"/>
                <w:color w:val="auto"/>
              </w:rPr>
              <w:t>804,963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6,468,705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6,469,510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1,017,854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4,117,703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4,118,721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Net loss</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(12,941,658)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(12,941,658)</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ind w:left="260"/>
              <w:spacing w:after="0" w:line="155" w:lineRule="exact"/>
              <w:rPr>
                <w:sz w:val="20"/>
                <w:szCs w:val="20"/>
                <w:color w:val="auto"/>
              </w:rPr>
            </w:pPr>
            <w:r>
              <w:rPr>
                <w:rFonts w:ascii="Arial" w:cs="Arial" w:eastAsia="Arial" w:hAnsi="Arial"/>
                <w:sz w:val="14"/>
                <w:szCs w:val="14"/>
                <w:color w:val="auto"/>
              </w:rPr>
              <w:t>Balance at December 31, 2019</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43,908,065</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43,908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444,016,341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(92,681)</w:t>
            </w:r>
          </w:p>
        </w:tc>
        <w:tc>
          <w:tcPr>
            <w:tcW w:w="100" w:type="dxa"/>
            <w:vAlign w:val="bottom"/>
          </w:tcPr>
          <w:p>
            <w:pPr>
              <w:spacing w:after="0"/>
              <w:rPr>
                <w:sz w:val="13"/>
                <w:szCs w:val="13"/>
                <w:color w:val="auto"/>
              </w:rPr>
            </w:pPr>
          </w:p>
        </w:tc>
        <w:tc>
          <w:tcPr>
            <w:tcW w:w="10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(369,072,945)</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74,894,623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3,175,553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3,175,553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Issuance of shares under an employee stock purchase plan (ESPP)</w:t>
            </w:r>
          </w:p>
        </w:tc>
        <w:tc>
          <w:tcPr>
            <w:tcW w:w="900" w:type="dxa"/>
            <w:vAlign w:val="bottom"/>
          </w:tcPr>
          <w:p>
            <w:pPr>
              <w:jc w:val="right"/>
              <w:spacing w:after="0"/>
              <w:rPr>
                <w:sz w:val="20"/>
                <w:szCs w:val="20"/>
                <w:color w:val="auto"/>
              </w:rPr>
            </w:pPr>
            <w:r>
              <w:rPr>
                <w:rFonts w:ascii="Arial" w:cs="Arial" w:eastAsia="Arial" w:hAnsi="Arial"/>
                <w:sz w:val="14"/>
                <w:szCs w:val="14"/>
                <w:color w:val="auto"/>
              </w:rPr>
              <w:t>3,834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at-the-market equity distribution</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824,798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6,187,254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6,188,079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900" w:type="dxa"/>
            <w:vAlign w:val="bottom"/>
          </w:tcPr>
          <w:p>
            <w:pPr>
              <w:jc w:val="right"/>
              <w:spacing w:after="0"/>
              <w:rPr>
                <w:sz w:val="20"/>
                <w:szCs w:val="20"/>
                <w:color w:val="auto"/>
              </w:rPr>
            </w:pPr>
            <w:r>
              <w:rPr>
                <w:rFonts w:ascii="Arial" w:cs="Arial" w:eastAsia="Arial" w:hAnsi="Arial"/>
                <w:sz w:val="14"/>
                <w:szCs w:val="14"/>
                <w:color w:val="auto"/>
              </w:rPr>
              <w:t>287,863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905,684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905,972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(13,853,897)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98"/>
              </w:rPr>
              <w:t>(13,853,897)</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2020</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45,024,560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454,296,536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(88,219)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 (382,926,842</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71,326,500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65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(13,853,897)</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(12,941,658)</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Non-cash share-based compensation</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3,175,553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4,112,649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and long-term assets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(514,021)</w:t>
            </w:r>
          </w:p>
        </w:tc>
        <w:tc>
          <w:tcPr>
            <w:tcW w:w="0" w:type="dxa"/>
            <w:vAlign w:val="bottom"/>
          </w:tcPr>
          <w:p>
            <w:pPr>
              <w:spacing w:after="0"/>
              <w:rPr>
                <w:sz w:val="1"/>
                <w:szCs w:val="1"/>
                <w:color w:val="auto"/>
              </w:rPr>
            </w:pPr>
          </w:p>
        </w:tc>
      </w:tr>
      <w:tr>
        <w:trPr>
          <w:trHeight w:val="215"/>
        </w:trPr>
        <w:tc>
          <w:tcPr>
            <w:tcW w:w="6500" w:type="dxa"/>
            <w:vAlign w:val="bottom"/>
          </w:tcPr>
          <w:p>
            <w:pPr>
              <w:ind w:left="260"/>
              <w:spacing w:after="0"/>
              <w:rPr>
                <w:sz w:val="20"/>
                <w:szCs w:val="20"/>
                <w:color w:val="auto"/>
              </w:rPr>
            </w:pPr>
            <w:r>
              <w:rPr>
                <w:rFonts w:ascii="Arial" w:cs="Arial" w:eastAsia="Arial" w:hAnsi="Arial"/>
                <w:sz w:val="18"/>
                <w:szCs w:val="18"/>
                <w:color w:val="auto"/>
              </w:rPr>
              <w:t>Accounts payable, accrued liabilities and other current</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80"/>
              <w:spacing w:after="0"/>
              <w:rPr>
                <w:sz w:val="20"/>
                <w:szCs w:val="20"/>
                <w:color w:val="auto"/>
              </w:rPr>
            </w:pPr>
            <w:r>
              <w:rPr>
                <w:rFonts w:ascii="Arial" w:cs="Arial" w:eastAsia="Arial" w:hAnsi="Arial"/>
                <w:sz w:val="18"/>
                <w:szCs w:val="18"/>
                <w:color w:val="auto"/>
              </w:rPr>
              <w:t>and long-term liabilities</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(224,314)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194,099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(10,826,362)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(9,124,987)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of property and equipment</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(36,492)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and exercise of common</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7,297,891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10,876,600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issuance costs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(203,840)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(288,369)</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issuance of equity under ESPP</w:t>
            </w:r>
          </w:p>
        </w:tc>
        <w:tc>
          <w:tcPr>
            <w:tcW w:w="1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7,105,759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10,615,551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Effects of foreign exchange rates on cash</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(3,755,894)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63,792,657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62,313,418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63,792,657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w:t>
            </w:r>
          </w:p>
        </w:tc>
        <w:tc>
          <w:tcPr>
            <w:tcW w:w="16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MediciNova, Inc. (the Company) was incorporated in the state of Delaware in September 2000 and is a public company. The Company’s common stock is listed in both the United States and Japan and trades on the NASDAQ Global Market and the JASDAQ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MediciNova, Inc. and its wholly owned subsidiaries. All intercompany transactions and balances are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 – the acquisition and development of small molecule therapeutics for the treatment of serious diseases with unmet medical needs.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Impact of COVID-19 on the Company’s Business</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212529"/>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The preparation of consolidated financial statements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7" w:name="page68"/>
    <w:bookmarkEnd w:id="67"/>
    <w:p>
      <w:pPr>
        <w:ind w:right="80"/>
        <w:spacing w:after="0" w:line="263" w:lineRule="auto"/>
        <w:rPr>
          <w:sz w:val="20"/>
          <w:szCs w:val="20"/>
          <w:color w:val="auto"/>
        </w:rPr>
      </w:pPr>
      <w:r>
        <w:rPr>
          <w:rFonts w:ascii="Arial" w:cs="Arial" w:eastAsia="Arial" w:hAnsi="Arial"/>
          <w:sz w:val="18"/>
          <w:szCs w:val="18"/>
          <w:color w:val="auto"/>
        </w:rPr>
        <w:t>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with original maturities of three months or less from the date of purchase. Cash equivalents at December 31, 2020 and 2019 consisted of money market funds.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11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Financial instruments, including cash equivalents and accounts payable, are carried at cost, which management believes approximates fair value because of the short-term nature of these instruments.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IPR&amp;D, Long-Lived Assets and Goodwill</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7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Company’s long-lived assets are reviewed for impairment whenever events or changes in circumstances indicate that the carrying value of an asset (or asset group) may not be recoverable, and the Company will perform an impairment analysis. Long-lived assets are deemed to be impaired when the undiscounted cash flows expected to be generated by the asset (or asset group) are less than the asset’s carrying amount. Any required impairment loss would be measured as the amount by which the asset’s (or asset group’s) carrying value exceeds its fair value and would be recorded as a reduction in the carrying value of the related asset and a charge to operating expense. There were no events or changes in circumstances to indicate that the carrying value of an asset (or asset group) may not be recoverable.</w:t>
      </w:r>
    </w:p>
    <w:p>
      <w:pPr>
        <w:spacing w:after="0" w:line="8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Goodwill is reviewed for impairment annually (as of December 31st) or more frequently if indicators of impairment exist. As the Company operates in a single operating segment and reporting unit, goodwill is assessed at a consolidated level. The Company first assesses qualitative factors to determine whether it is more likely than not that the fair value of the reporting unit is less than its carrying amount, including goodwill. If so, the Company will proceed with a quantitative assessment that compares the fair value of the reporting unit with its carrying amount. If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40"/>
        <w:spacing w:after="0" w:line="301" w:lineRule="auto"/>
        <w:rPr>
          <w:sz w:val="20"/>
          <w:szCs w:val="20"/>
          <w:color w:val="auto"/>
        </w:rPr>
      </w:pPr>
      <w:r>
        <w:rPr>
          <w:rFonts w:ascii="Arial" w:cs="Arial" w:eastAsia="Arial" w:hAnsi="Arial"/>
          <w:sz w:val="16"/>
          <w:szCs w:val="16"/>
          <w:color w:val="auto"/>
        </w:rPr>
        <w:t>the fair value exceeds the carrying value as a result of either the qualitative or quantitative test, goodwill is not considered impaired. The qualitative factors include economic environment, business climate, market capitalization, operating performance, competition, and other factors. The Company placed the highest weight in excess cushion of the market capitalization to the equity carrying value in the analysis. Based on the results of the Company’s annual qualitative assessment, the Company concluded that it is not more likely than not that goodwill was impaired for any of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$7.1 million and $5.7 million for the years ended December 31, 2020 and 2019, respectively.</w:t>
      </w:r>
    </w:p>
    <w:p>
      <w:pPr>
        <w:spacing w:after="0" w:line="184"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$0.4 million and $0.3 million for the years ended December 31, 2020 and 2019,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right="60" w:firstLine="756"/>
        <w:spacing w:after="0" w:line="295" w:lineRule="auto"/>
        <w:rPr>
          <w:sz w:val="20"/>
          <w:szCs w:val="20"/>
          <w:color w:val="auto"/>
        </w:rPr>
      </w:pPr>
      <w:r>
        <w:rPr>
          <w:rFonts w:ascii="Arial" w:cs="Arial" w:eastAsia="Arial" w:hAnsi="Arial"/>
          <w:sz w:val="16"/>
          <w:szCs w:val="16"/>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 As of December 31, 2020, the Company recorded $0.4 million and $0.5 million in clinical trial accruals and prepaid expenses,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 Forfeitures are recognized as they occur.</w:t>
      </w:r>
    </w:p>
    <w:p>
      <w:pPr>
        <w:spacing w:after="0" w:line="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outstanding stock options. Common share equivalents were excluded from the diluted net loss per share calculation because of their anti-dilutive effect for all periods presented.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9" w:name="page70"/>
    <w:bookmarkEnd w:id="69"/>
    <w:p>
      <w:pPr>
        <w:ind w:right="120" w:firstLine="432"/>
        <w:spacing w:after="0" w:line="277" w:lineRule="auto"/>
        <w:rPr>
          <w:sz w:val="20"/>
          <w:szCs w:val="20"/>
          <w:color w:val="auto"/>
        </w:rPr>
      </w:pPr>
      <w:r>
        <w:rPr>
          <w:rFonts w:ascii="Arial" w:cs="Arial" w:eastAsia="Arial" w:hAnsi="Arial"/>
          <w:sz w:val="18"/>
          <w:szCs w:val="18"/>
          <w:color w:val="auto"/>
        </w:rPr>
        <w:t>Potentially dilutive outstanding securities of 7,401,387 and 6,802,093 for the years ended December 31, 2020 and 2019, respectively, were excluded from diluted net loss per common share because of their anti-dilutive effect.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Credit Losses (Topic 326): Measurement of Credit Losses on Financial Instruments </w:t>
      </w:r>
      <w:r>
        <w:rPr>
          <w:rFonts w:ascii="Arial" w:cs="Arial" w:eastAsia="Arial" w:hAnsi="Arial"/>
          <w:sz w:val="17"/>
          <w:szCs w:val="17"/>
          <w:color w:val="auto"/>
        </w:rPr>
        <w:t>(“ASU 2016-13”). The ASU introduced a new credit loss</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will be effective for the Company on January 1, 2023 or at such earlier time where it is no longer a smaller reporting company. The Company is currently evaluating the potential impact that this standard may have on its consolidated financial statements and related disclosures.</w:t>
      </w:r>
    </w:p>
    <w:p>
      <w:pPr>
        <w:spacing w:after="0" w:line="185"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ASU 2019-12 simplifies the accounting for income taxes by removing certain exceptions to the general principles in Topic 740. ASU 2019-12 also improves the consistent application, and the simplification, of other areas of Topic 740 by clarifying and amending existing guidance. ASU 2019-12 is effective for fiscal years beginning after December 15, 2020, and interim periods within those fiscal years, with early adoption permitted. The Company is currently evaluating the potential impact that this standard may have on its consolidated financial statements and related disclosures.</w:t>
      </w:r>
    </w:p>
    <w:p>
      <w:pPr>
        <w:spacing w:after="0" w:line="176"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(Subtopic 815-40) </w:t>
      </w:r>
      <w:r>
        <w:rPr>
          <w:rFonts w:ascii="Arial" w:cs="Arial" w:eastAsia="Arial" w:hAnsi="Arial"/>
          <w:sz w:val="17"/>
          <w:szCs w:val="17"/>
          <w:color w:val="auto"/>
        </w:rPr>
        <w:t>(“ASU 2020-06”). ASU 2020-06 simplifies the accounting for convertible debt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9" w:lineRule="exact"/>
        <w:rPr>
          <w:sz w:val="20"/>
          <w:szCs w:val="20"/>
          <w:color w:val="auto"/>
        </w:rPr>
      </w:pPr>
    </w:p>
    <w:p>
      <w:pPr>
        <w:ind w:right="20" w:firstLine="58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calculated for recurring and nonrecurring Level 3 fair value measurements. The amendment is effective for fiscal years beginning after December 15, 2019 and interim periods within that fiscal year with early adoption permitted. The Company adopted ASU 2018-13 on January 1, 2020 with no material impact on its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225"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120" w:firstLine="432"/>
        <w:spacing w:after="0" w:line="296" w:lineRule="auto"/>
        <w:rPr>
          <w:sz w:val="20"/>
          <w:szCs w:val="20"/>
          <w:color w:val="auto"/>
        </w:rPr>
      </w:pPr>
      <w:r>
        <w:rPr>
          <w:rFonts w:ascii="Arial" w:cs="Arial" w:eastAsia="Arial" w:hAnsi="Arial"/>
          <w:sz w:val="16"/>
          <w:szCs w:val="16"/>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its meets the definition of a collaborative arrangement per ASC 808 which is outside of the scope of ASC 606. Since ASC 808 does not provide recognition and measurement guidance for collaborative arrangements, the Company analogized to ASC 606.</w:t>
      </w:r>
    </w:p>
    <w:p>
      <w:pPr>
        <w:spacing w:after="0" w:line="5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Company concluded the two studies to be performed under the agreement represented two separate performance obligations. The transaction price was allocated between the two studies that were deemed separate performance obligations based on the expected costs to be incurred for each obligation. While amounts were received in advance for the studies, at contract inception, both parties anticipated the contract would be completed within 1 year, so no significant financing component existed at contract inception. Revenue is recognized proportional to the total costs expected for each performance obligation as incurred over the service period. The first study was completed in 2013 and the timing of the second study is undetermined as of December 31, 2020. The amount received from Kissei and allocated, net of the amount recorded as revenue, is included on the balance sheet as long-term deferred revenue since it is non-refundable and not expected to be started within the next year and will be recognized as revenue as the remaining performance obligation is satisfied. No revenue was recognized for the years ended December 31, 2020 and 2019 in connection with the collaboration agreement with Kissei.</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31" w:lineRule="exact"/>
        <w:rPr>
          <w:sz w:val="20"/>
          <w:szCs w:val="20"/>
          <w:color w:val="auto"/>
        </w:rPr>
      </w:pPr>
    </w:p>
    <w:p>
      <w:pPr>
        <w:ind w:left="1540" w:right="600" w:hanging="1025"/>
        <w:spacing w:after="0" w:line="277"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 near the measurement date; and</w:t>
      </w:r>
    </w:p>
    <w:p>
      <w:pPr>
        <w:spacing w:after="0" w:line="76"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225"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Cash equivalents including money market accounts of $694,127 and $691,649 measured at fair value as of December 31, 2020 and 2019, respectively, are classified within Level 1.</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4. Balance Sheet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244,021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236,622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285,461</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579,317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538,409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(523,617)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(497,859)</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40,550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Company uses the straight-line method to record depreciation expense with useful lives of three to five years. Depreciation and amortization of property and equipment of $21,342, and $23,944 was recorded for the years ended December 31, 2020 and 2019,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 and Other Current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and other current liabilities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823,254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768,498</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Clinical trial accruals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401,789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572,880</w:t>
            </w:r>
          </w:p>
        </w:tc>
        <w:tc>
          <w:tcPr>
            <w:tcW w:w="8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fees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80,827</w:t>
            </w:r>
          </w:p>
        </w:tc>
        <w:tc>
          <w:tcPr>
            <w:tcW w:w="80" w:type="dxa"/>
            <w:vAlign w:val="bottom"/>
            <w:shd w:val="clear" w:color="auto" w:fill="CFF0FC"/>
          </w:tcPr>
          <w:p>
            <w:pPr>
              <w:spacing w:after="0"/>
              <w:rPr>
                <w:sz w:val="19"/>
                <w:szCs w:val="19"/>
                <w:color w:val="auto"/>
              </w:rPr>
            </w:pPr>
          </w:p>
        </w:tc>
      </w:tr>
      <w:tr>
        <w:trPr>
          <w:trHeight w:val="229"/>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287,071</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354,707</w:t>
            </w:r>
          </w:p>
        </w:tc>
        <w:tc>
          <w:tcPr>
            <w:tcW w:w="80" w:type="dxa"/>
            <w:vAlign w:val="bottom"/>
            <w:tcBorders>
              <w:bottom w:val="single" w:sz="8" w:color="CFF0FC"/>
            </w:tcBorders>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 and other current liabilities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1,577,321</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1,776,912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333" w:lineRule="exact"/>
        <w:rPr>
          <w:sz w:val="20"/>
          <w:szCs w:val="20"/>
          <w:color w:val="auto"/>
        </w:rPr>
      </w:pPr>
    </w:p>
    <w:p>
      <w:pPr>
        <w:ind w:firstLine="580"/>
        <w:spacing w:after="0" w:line="270" w:lineRule="auto"/>
        <w:rPr>
          <w:sz w:val="20"/>
          <w:szCs w:val="20"/>
          <w:color w:val="auto"/>
        </w:rPr>
      </w:pPr>
      <w:r>
        <w:rPr>
          <w:rFonts w:ascii="Arial" w:cs="Arial" w:eastAsia="Arial" w:hAnsi="Arial"/>
          <w:sz w:val="17"/>
          <w:szCs w:val="17"/>
          <w:color w:val="auto"/>
        </w:rPr>
        <w:t>The Company has operating leases primarily for real estate in the United States and Japan. The United States lease is for the Company’s headquarters in San Diego and is for a term of four years and one month with a term date of December 31, 2021. The Company’s lease in Tokyo, Japan was renewed in May 2019 and has a term of two years with an auto-renewal, two-year extension. The real estate operating leases are included in "Other long-term assets" on the Company's balance sheet and represents the Company’s right to use the underlying assets for the lease term. The Company’s obligation to make lease payments are included in "Accrued liabilities and other current liabilities" and "Other long-term liabilities" on the Company's balance sheet. The Company elected to not recognize right-of-use assets and lease liabilities for leases with a term of 12 months or less and to not separate non-lease components from lease. Operating lease right-of-use assets and liabilities commencing after January 1, 2019 are recognized at commencement date based on the present value of lease payments over the lease term. Operating lease expense is recognized on a straight-line basis over the lease term and is included in general and administrative expenses.</w:t>
      </w:r>
    </w:p>
    <w:p>
      <w:pPr>
        <w:spacing w:after="0" w:line="181" w:lineRule="exact"/>
        <w:rPr>
          <w:sz w:val="20"/>
          <w:szCs w:val="20"/>
          <w:color w:val="auto"/>
        </w:rPr>
      </w:pPr>
    </w:p>
    <w:p>
      <w:pPr>
        <w:ind w:right="720" w:firstLine="580"/>
        <w:spacing w:after="0" w:line="277" w:lineRule="auto"/>
        <w:rPr>
          <w:sz w:val="20"/>
          <w:szCs w:val="20"/>
          <w:color w:val="auto"/>
        </w:rPr>
      </w:pPr>
      <w:r>
        <w:rPr>
          <w:rFonts w:ascii="Arial" w:cs="Arial" w:eastAsia="Arial" w:hAnsi="Arial"/>
          <w:sz w:val="18"/>
          <w:szCs w:val="18"/>
          <w:color w:val="auto"/>
        </w:rPr>
        <w:t>As most of the Company’s operating leases do not provide an implicit rate, the Company uses its incremental borrowing rate based on the information available at commencement date in determining the present value of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ind w:right="200"/>
        <w:spacing w:after="0" w:line="277" w:lineRule="auto"/>
        <w:rPr>
          <w:sz w:val="20"/>
          <w:szCs w:val="20"/>
          <w:color w:val="auto"/>
        </w:rPr>
      </w:pPr>
      <w:r>
        <w:rPr>
          <w:rFonts w:ascii="Arial" w:cs="Arial" w:eastAsia="Arial" w:hAnsi="Arial"/>
          <w:sz w:val="18"/>
          <w:szCs w:val="18"/>
          <w:color w:val="auto"/>
        </w:rPr>
        <w:t>payments. The incremental borrowing rate is the rate of interest that the Company would expect to pay to borrow on a collateralized and fully amortizing basis over a similar term an amount equal to the lease payments in a similar economic environment.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related to the Company's right-of-use assets and related lease liabilities are as follows:</w:t>
      </w:r>
    </w:p>
    <w:p>
      <w:pPr>
        <w:spacing w:after="0" w:line="200" w:lineRule="exact"/>
        <w:rPr>
          <w:sz w:val="20"/>
          <w:szCs w:val="20"/>
          <w:color w:val="auto"/>
        </w:rPr>
      </w:pPr>
    </w:p>
    <w:p>
      <w:pPr>
        <w:spacing w:after="0" w:line="246"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Year Ended</w:t>
      </w:r>
    </w:p>
    <w:p>
      <w:pPr>
        <w:jc w:val="center"/>
        <w:ind w:left="68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70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5"/>
        </w:trPr>
        <w:tc>
          <w:tcPr>
            <w:tcW w:w="7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 liabilities</w:t>
            </w: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248,648</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229,450</w:t>
            </w:r>
          </w:p>
        </w:tc>
        <w:tc>
          <w:tcPr>
            <w:tcW w:w="18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Operating lease costs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240,467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226,766</w:t>
            </w:r>
          </w:p>
        </w:tc>
        <w:tc>
          <w:tcPr>
            <w:tcW w:w="18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1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534,605</w:t>
            </w:r>
          </w:p>
        </w:tc>
        <w:tc>
          <w:tcPr>
            <w:tcW w:w="18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operating lease liabilities as of December 31, 2020 were as follows:</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2021</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192,563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(7,809)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liabilities</w:t>
            </w:r>
          </w:p>
        </w:tc>
        <w:tc>
          <w:tcPr>
            <w:tcW w:w="1120" w:type="dxa"/>
            <w:vAlign w:val="bottom"/>
            <w:tcBorders>
              <w:top w:val="single" w:sz="8" w:color="auto"/>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184,754</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420" w:type="dxa"/>
            <w:vAlign w:val="bottom"/>
            <w:tcBorders>
              <w:bottom w:val="single" w:sz="8" w:color="CFF0FC"/>
            </w:tcBorders>
          </w:tcPr>
          <w:p>
            <w:pPr>
              <w:spacing w:after="0"/>
              <w:rPr>
                <w:sz w:val="22"/>
                <w:szCs w:val="22"/>
                <w:color w:val="auto"/>
              </w:rPr>
            </w:pPr>
          </w:p>
        </w:tc>
        <w:tc>
          <w:tcPr>
            <w:tcW w:w="13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70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1120" w:type="dxa"/>
            <w:vAlign w:val="bottom"/>
          </w:tcPr>
          <w:p>
            <w:pPr>
              <w:jc w:val="right"/>
              <w:ind w:right="9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184,754</w:t>
            </w:r>
          </w:p>
        </w:tc>
        <w:tc>
          <w:tcPr>
            <w:tcW w:w="18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216,768</w:t>
            </w:r>
          </w:p>
        </w:tc>
        <w:tc>
          <w:tcPr>
            <w:tcW w:w="18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1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182,579</w:t>
            </w:r>
          </w:p>
        </w:tc>
        <w:tc>
          <w:tcPr>
            <w:tcW w:w="180" w:type="dxa"/>
            <w:vAlign w:val="bottom"/>
            <w:shd w:val="clear" w:color="auto" w:fill="CFF0FC"/>
          </w:tcPr>
          <w:p>
            <w:pPr>
              <w:spacing w:after="0"/>
              <w:rPr>
                <w:sz w:val="19"/>
                <w:szCs w:val="19"/>
                <w:color w:val="auto"/>
              </w:rPr>
            </w:pPr>
          </w:p>
        </w:tc>
      </w:tr>
      <w:tr>
        <w:trPr>
          <w:trHeight w:val="26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1120" w:type="dxa"/>
            <w:vAlign w:val="bottom"/>
            <w:tcBorders>
              <w:top w:val="single" w:sz="8" w:color="auto"/>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184,754</w:t>
            </w:r>
          </w:p>
        </w:tc>
        <w:tc>
          <w:tcPr>
            <w:tcW w:w="18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399,347</w:t>
            </w:r>
          </w:p>
        </w:tc>
        <w:tc>
          <w:tcPr>
            <w:tcW w:w="180" w:type="dxa"/>
            <w:vAlign w:val="bottom"/>
            <w:tcBorders>
              <w:bottom w:val="single" w:sz="8" w:color="CFF0FC"/>
            </w:tcBorders>
          </w:tcPr>
          <w:p>
            <w:pPr>
              <w:spacing w:after="0"/>
              <w:rPr>
                <w:sz w:val="22"/>
                <w:szCs w:val="22"/>
                <w:color w:val="auto"/>
              </w:rPr>
            </w:pPr>
          </w:p>
        </w:tc>
      </w:tr>
      <w:tr>
        <w:trPr>
          <w:trHeight w:val="210"/>
        </w:trPr>
        <w:tc>
          <w:tcPr>
            <w:tcW w:w="70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8"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No amounts have been expended under these agreements during the years ended December 31, 2020 and 2019. For products currently in development, future potential milestone payments based on product development of MN-166 (ibudilast) and MN-001 (tipelukast) are $10.0 million as of December 31, 2020. For all other products, future potential milestone payments related to development milestones and commercialization milestones totaled $33.5 million as of December 31, 2020.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The Company’s stockholders have subsequently approved increases to the number of shares reserved for issuance under the 2013 plan, including approval of an additional 1,500,000 shares at the annual meeting of stockholders held in June 2020. As of December 31,2020, a total of 8,700,000 shares of common stock were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2020, 2,897,135 shares remain available for future grant under the 2013 Plan.</w:t>
      </w:r>
    </w:p>
    <w:p>
      <w:pPr>
        <w:spacing w:after="0" w:line="7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Company issues employee performance-based stock options,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As of December 31, 2020, there were a total of 1,161,000 shares underlying performance options that were subject to vesting based on achievement of performance milestones for 2020. In February 2021, the compensation committee and the board of directors determined that the performance milestones were achieved between the 45% and 100% levels and accordingly 1,020,000 of these options vested and the remaining shares were forfeited.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Options granted under the 2013 Plan and 2004 Plan have terms of ten years from the date of grant unless earlier terminated and generally vest over a three or four-year period.</w:t>
      </w:r>
    </w:p>
    <w:p>
      <w:pPr>
        <w:spacing w:after="0" w:line="1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exercise price of all options granted during the years ended December 31, 2020 and 2019 was equal to the market value of the Company’s common stock on the date of grant.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color w:val="auto"/>
        </w:rPr>
        <w:t>A summary of stock option activity and related information for the years ended December 31, 2020 and 2019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1,337,000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(1,017,854)</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(126,700)</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6,802,093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1,382,000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(287,863)</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(494,843)</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7,401,387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6,120,887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76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 Shares</w:t>
            </w:r>
          </w:p>
        </w:tc>
        <w:tc>
          <w:tcPr>
            <w:tcW w:w="120" w:type="dxa"/>
            <w:vAlign w:val="bottom"/>
          </w:tcPr>
          <w:p>
            <w:pPr>
              <w:spacing w:after="0"/>
              <w:rPr>
                <w:sz w:val="14"/>
                <w:szCs w:val="1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Grant-Date Fair Value</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1,202,000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1,382,000</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(965,500)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Forfeitures</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1,280,500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intrinsic value of options exercised was $0.7 million and $5.2 million for the years ended December 31,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and exercisable at December 31, 2020 had a weighted average contractual life of 5.96 and 5.31 years, respectively.</w:t>
      </w:r>
    </w:p>
    <w:p>
      <w:pPr>
        <w:spacing w:after="0" w:line="21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December 31, 2020 and 2019, the total intrinsic value of options outstanding was $5.7 million and $11.8 million, respectively. Total intrinsic value of options exercisable was $5.7 million and $11.8 million as of December 31, 2020 and 2019,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92"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For the year ended December 31, 2020, an aggregate of 3,834 shares were issued under the ESPP, leaving 214,102 shares available for future issuance.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75"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Year Ended</w:t>
      </w:r>
    </w:p>
    <w:p>
      <w:pPr>
        <w:jc w:val="center"/>
        <w:ind w:left="39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2000" w:type="dxa"/>
        <w:tblCellMar>
          <w:top w:w="0" w:type="dxa"/>
          <w:left w:w="0" w:type="dxa"/>
          <w:bottom w:w="0" w:type="dxa"/>
          <w:right w:w="0" w:type="dxa"/>
        </w:tblCellMar>
      </w:tblPr>
      <w:tr>
        <w:trPr>
          <w:trHeight w:val="156"/>
        </w:trPr>
        <w:tc>
          <w:tcPr>
            <w:tcW w:w="420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29"/>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74.08%</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57.78%</w:t>
            </w: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6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Employee Stock Purchase Plan</w:t>
            </w: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81.49%</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67.56%</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380" w:firstLine="432"/>
        <w:spacing w:after="0" w:line="275" w:lineRule="auto"/>
        <w:rPr>
          <w:sz w:val="20"/>
          <w:szCs w:val="20"/>
          <w:color w:val="auto"/>
        </w:rPr>
      </w:pPr>
      <w:r>
        <w:rPr>
          <w:rFonts w:ascii="Arial" w:cs="Arial" w:eastAsia="Arial" w:hAnsi="Arial"/>
          <w:sz w:val="17"/>
          <w:szCs w:val="17"/>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 The simplified method approximates the average historical exercise for stock options.</w:t>
      </w:r>
    </w:p>
    <w:p>
      <w:pPr>
        <w:spacing w:after="0" w:line="17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weighted-average fair value of each stock option granted during the years ended December 31, 2020 and 2019, estimated as of the grant date using the Black-Scholes option valuation model, was $3.70 per option and $2.76 per option,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expenses for the years ended December 31, 2020 and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vMerge w:val="restart"/>
          </w:tcPr>
          <w:p>
            <w:pPr>
              <w:spacing w:after="0"/>
              <w:rPr>
                <w:sz w:val="20"/>
                <w:szCs w:val="20"/>
                <w:color w:val="auto"/>
              </w:rPr>
            </w:pPr>
            <w:r>
              <w:rPr>
                <w:rFonts w:ascii="Arial" w:cs="Arial" w:eastAsia="Arial" w:hAnsi="Arial"/>
                <w:sz w:val="18"/>
                <w:szCs w:val="18"/>
                <w:color w:val="auto"/>
              </w:rPr>
              <w:t>Research, development and patents</w:t>
            </w:r>
          </w:p>
        </w:tc>
        <w:tc>
          <w:tcPr>
            <w:tcW w:w="1620" w:type="dxa"/>
            <w:vAlign w:val="bottom"/>
          </w:tcPr>
          <w:p>
            <w:pPr>
              <w:spacing w:after="0"/>
              <w:rPr>
                <w:sz w:val="13"/>
                <w:szCs w:val="13"/>
                <w:color w:val="auto"/>
              </w:rPr>
            </w:pPr>
          </w:p>
        </w:tc>
        <w:tc>
          <w:tcPr>
            <w:tcW w:w="148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9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jc w:val="right"/>
              <w:ind w:right="129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1,090,839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1,150,995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2,084,714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620" w:type="dxa"/>
            <w:vAlign w:val="bottom"/>
          </w:tcPr>
          <w:p>
            <w:pPr>
              <w:spacing w:after="0"/>
              <w:rPr>
                <w:sz w:val="19"/>
                <w:szCs w:val="19"/>
                <w:color w:val="auto"/>
              </w:rPr>
            </w:pPr>
          </w:p>
        </w:tc>
        <w:tc>
          <w:tcPr>
            <w:tcW w:w="1480" w:type="dxa"/>
            <w:vAlign w:val="bottom"/>
            <w:tcBorders>
              <w:bottom w:val="single" w:sz="8" w:color="auto"/>
            </w:tcBorders>
          </w:tcPr>
          <w:p>
            <w:pPr>
              <w:jc w:val="right"/>
              <w:ind w:right="1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3,175,553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As of December 31, 2020, there was $0.4 million of unamortized compensation cost related to unvested stock option awards which is expected to be recognized over a remaining weighted-average vesting period of 0.16 years, on a straight-line basis.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On May 22, 2015, the Company entered into an at-the-market issuance sales agreement (the “2015 ATM Agreement”) with MLV &amp; Co. LLC (MLV), pursuant to which the Company could sell common stock through MLV from time to time up to an aggregate offering price of $30.0 million. The Company agreed to pay MLV an aggregate commission rate of up to 4.0% of the gross proceeds of any common stock sold under this agreement. Proceeds from sales of common stock depended on the number of shares of common stock sold to MLV and the per share purchase price of each transaction. The Company was not obligated to make any sales of common stock under the sales agreement and could terminate the sales agreement at any time upon written notice. On September 16, 2016, the Company amended the original sales agreement with MLV to also include FBR Capital Markets &amp; Co as a sales agent. The 2015 ATM Agreement was terminated on August 23, 2019.</w:t>
      </w:r>
    </w:p>
    <w:p>
      <w:pPr>
        <w:spacing w:after="0" w:line="191" w:lineRule="exact"/>
        <w:rPr>
          <w:sz w:val="20"/>
          <w:szCs w:val="20"/>
          <w:color w:val="auto"/>
        </w:rPr>
      </w:pPr>
    </w:p>
    <w:p>
      <w:pPr>
        <w:ind w:right="120" w:firstLine="633"/>
        <w:spacing w:after="0" w:line="254" w:lineRule="auto"/>
        <w:rPr>
          <w:sz w:val="20"/>
          <w:szCs w:val="20"/>
          <w:color w:val="auto"/>
        </w:rPr>
      </w:pPr>
      <w:r>
        <w:rPr>
          <w:rFonts w:ascii="Arial" w:cs="Arial" w:eastAsia="Arial" w:hAnsi="Arial"/>
          <w:sz w:val="18"/>
          <w:szCs w:val="18"/>
          <w:color w:val="auto"/>
        </w:rPr>
        <w:t>On August 23, 2019, the Company entered into an at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can be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under the ATM agreements for the following periods: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0" w:type="dxa"/>
            <w:vAlign w:val="bottom"/>
            <w:vMerge w:val="restart"/>
          </w:tcPr>
          <w:p>
            <w:pPr>
              <w:spacing w:after="0"/>
              <w:rPr>
                <w:sz w:val="20"/>
                <w:szCs w:val="20"/>
                <w:color w:val="auto"/>
              </w:rPr>
            </w:pPr>
            <w:r>
              <w:rPr>
                <w:rFonts w:ascii="Arial" w:cs="Arial" w:eastAsia="Arial" w:hAnsi="Arial"/>
                <w:sz w:val="18"/>
                <w:szCs w:val="18"/>
                <w:color w:val="auto"/>
              </w:rPr>
              <w:t>Gross proceeds</w:t>
            </w:r>
          </w:p>
        </w:tc>
        <w:tc>
          <w:tcPr>
            <w:tcW w:w="15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1580" w:type="dxa"/>
            <w:vAlign w:val="bottom"/>
          </w:tcPr>
          <w:p>
            <w:pPr>
              <w:jc w:val="right"/>
              <w:ind w:right="14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6,391,919</w:t>
            </w:r>
          </w:p>
        </w:tc>
        <w:tc>
          <w:tcPr>
            <w:tcW w:w="36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6,757,879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proceeds</w:t>
            </w:r>
          </w:p>
        </w:tc>
        <w:tc>
          <w:tcPr>
            <w:tcW w:w="1580" w:type="dxa"/>
            <w:vAlign w:val="bottom"/>
            <w:shd w:val="clear" w:color="auto" w:fill="CFF0FC"/>
          </w:tcPr>
          <w:p>
            <w:pPr>
              <w:jc w:val="right"/>
              <w:ind w:right="14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6,188,079</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Shares sold</w:t>
            </w:r>
          </w:p>
        </w:tc>
        <w:tc>
          <w:tcPr>
            <w:tcW w:w="1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824,798</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804,963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Price range</w:t>
            </w:r>
          </w:p>
        </w:tc>
        <w:tc>
          <w:tcPr>
            <w:tcW w:w="1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$5.55 - 10.45</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$7.24 - 10.03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ectPr>
          <w:pgSz w:w="11900" w:h="16838" w:orient="portrait"/>
          <w:cols w:equalWidth="0" w:num="1">
            <w:col w:w="11240"/>
          </w:cols>
          <w:pgMar w:left="320" w:top="337" w:right="339" w:bottom="1440" w:gutter="0" w:footer="0" w:header="0"/>
        </w:sectPr>
      </w:pP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common stock reserved for future issuance at December 31, 2020:</w:t>
      </w:r>
    </w:p>
    <w:p>
      <w:pPr>
        <w:spacing w:after="0" w:line="26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reserved for issuance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736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reserved for issuance upon exercise of</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options outstanding (under the 2004 Plan and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2013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282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77360" cy="28257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Common stock reserved for future equity awards (under</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2013 Plan)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right"/>
        <w:ind w:right="2320"/>
        <w:spacing w:after="0"/>
        <w:rPr>
          <w:sz w:val="20"/>
          <w:szCs w:val="20"/>
          <w:color w:val="auto"/>
        </w:rPr>
      </w:pPr>
      <w:r>
        <w:rPr>
          <w:rFonts w:ascii="Arial" w:cs="Arial" w:eastAsia="Arial" w:hAnsi="Arial"/>
          <w:sz w:val="18"/>
          <w:szCs w:val="18"/>
          <w:color w:val="auto"/>
        </w:rPr>
        <w:t>214,102</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7,401,387</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2,897,135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29210</wp:posOffset>
            </wp:positionV>
            <wp:extent cx="7112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10,512,624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29210</wp:posOffset>
            </wp:positionV>
            <wp:extent cx="7112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46355</wp:posOffset>
            </wp:positionV>
            <wp:extent cx="7112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814" w:lineRule="exact"/>
        <w:rPr>
          <w:sz w:val="20"/>
          <w:szCs w:val="20"/>
          <w:color w:val="auto"/>
        </w:rPr>
      </w:pPr>
    </w:p>
    <w:p>
      <w:pPr>
        <w:sectPr>
          <w:pgSz w:w="11900" w:h="16838" w:orient="portrait"/>
          <w:cols w:equalWidth="0" w:num="2">
            <w:col w:w="7580" w:space="520"/>
            <w:col w:w="3140"/>
          </w:cols>
          <w:pgMar w:left="320" w:top="337" w:right="33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A reconciliation of loss before income taxes for domestic and foreign locations for the years ended December 31, 2020 and 2019 is as follows:</w:t>
      </w:r>
    </w:p>
    <w:p>
      <w:pPr>
        <w:spacing w:after="0" w:line="242"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Year Ended</w:t>
      </w:r>
    </w:p>
    <w:p>
      <w:pPr>
        <w:jc w:val="center"/>
        <w:ind w:left="76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3720" w:type="dxa"/>
            <w:vAlign w:val="bottom"/>
            <w:tcBorders>
              <w:bottom w:val="single" w:sz="8" w:color="CFF0FC"/>
            </w:tcBorders>
          </w:tcPr>
          <w:p>
            <w:pPr>
              <w:spacing w:after="0"/>
              <w:rPr>
                <w:sz w:val="13"/>
                <w:szCs w:val="13"/>
                <w:color w:val="auto"/>
              </w:rPr>
            </w:pPr>
          </w:p>
        </w:tc>
        <w:tc>
          <w:tcPr>
            <w:tcW w:w="40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0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(13,865,784)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(12,952,730)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40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40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(13,855,545)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(12,928,998)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60" w:type="dxa"/>
            <w:vAlign w:val="bottom"/>
            <w:vMerge w:val="restart"/>
          </w:tcPr>
          <w:p>
            <w:pPr>
              <w:jc w:val="right"/>
              <w:ind w:right="1970"/>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7" w:name="page78"/>
    <w:bookmarkEnd w:id="77"/>
    <w:p>
      <w:pPr>
        <w:ind w:left="440"/>
        <w:spacing w:after="0"/>
        <w:rPr>
          <w:sz w:val="20"/>
          <w:szCs w:val="20"/>
          <w:color w:val="auto"/>
        </w:rPr>
      </w:pPr>
      <w:r>
        <w:rPr>
          <w:rFonts w:ascii="Arial" w:cs="Arial" w:eastAsia="Arial" w:hAnsi="Arial"/>
          <w:sz w:val="18"/>
          <w:szCs w:val="18"/>
          <w:color w:val="auto"/>
        </w:rPr>
        <w:t>A reconciliation of income tax benefit (expense) for the years ended December 31, 2020 and 2019 is as follows:</w:t>
      </w:r>
    </w:p>
    <w:p>
      <w:pPr>
        <w:spacing w:after="0" w:line="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vMerge w:val="continue"/>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State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(12,660)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income tax benefit (expense)</w:t>
            </w:r>
          </w:p>
        </w:tc>
        <w:tc>
          <w:tcPr>
            <w:tcW w:w="1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income tax benefit (expense)</w:t>
            </w:r>
          </w:p>
        </w:tc>
        <w:tc>
          <w:tcPr>
            <w:tcW w:w="1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Total income tax benefit (expense)</w:t>
            </w:r>
          </w:p>
        </w:tc>
        <w:tc>
          <w:tcPr>
            <w:tcW w:w="1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deferred income taxes at December 31, 2020 and 2019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189"/>
              <w:spacing w:after="0"/>
              <w:rPr>
                <w:sz w:val="20"/>
                <w:szCs w:val="20"/>
                <w:color w:val="auto"/>
              </w:rPr>
            </w:pPr>
            <w:r>
              <w:rPr>
                <w:rFonts w:ascii="Arial" w:cs="Arial" w:eastAsia="Arial" w:hAnsi="Arial"/>
                <w:sz w:val="14"/>
                <w:szCs w:val="14"/>
                <w:b w:val="1"/>
                <w:bCs w:val="1"/>
                <w:color w:val="auto"/>
              </w:rPr>
              <w:t>Year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2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vMerge w:val="continue"/>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loss carryforwards</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67,403,329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64,600,662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Capitalized licenses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98,411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tax credits</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8,980,935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2,902,963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3,119,991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770,293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Right-of-use asset</w:t>
            </w:r>
          </w:p>
        </w:tc>
        <w:tc>
          <w:tcPr>
            <w:tcW w:w="2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5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80,195,546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77,262,558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liability</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(35,726)</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(68,202)</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In process R&amp;D</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(1,343,213)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(1,343,213)</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5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(1,378,939)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(1,411,415)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78,816,607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75,851,143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(79,018,206)</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(76,052,742)</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Net deferred tax liability</w:t>
            </w:r>
          </w:p>
        </w:tc>
        <w:tc>
          <w:tcPr>
            <w:tcW w:w="25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(201,599)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8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At December 31, 2020, the Company has federal and California net operating loss (NOL), carryforwards of approximately $267.9 million and $159.5 million, respectively. The federal NOL carryforwards began to expire in 2020, and the California NOL carryforwards will begin to expire in 2028. At December 31, 2020, the Company also had federal and California research tax credit carry forwards of approximately $7.3 million and $2.1 million, respectively. The federal research tax credit carryforwards will begin to expire in 2024, and the California research tax credit carryforward does not expire and can be carried forward indefinitely until utilized.</w:t>
      </w:r>
    </w:p>
    <w:p>
      <w:pPr>
        <w:spacing w:after="0" w:line="18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On March 27, 2020, the CARES Act was signed into law in response to the economic challenges facing US businesses. Under the CARES Act, the Internal Revenue Code was amended to allow for federal NOL carrybacks for five years to offset previous years income, or can be carryforward indefinitely to offset 100% of taxable income for the tax year 2020 and 80% of taxable income for tax years 2021 and thereafter.</w:t>
      </w:r>
    </w:p>
    <w:p>
      <w:pPr>
        <w:spacing w:after="0" w:line="16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above NOL carryforward and the research tax credit carryforwards are subject to an annual limitation under Section 382 and 383 of the Internal Revenue Code of 1986, and similar state provisions due to ownership 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8" w:name="page79"/>
    <w:bookmarkEnd w:id="78"/>
    <w:p>
      <w:pPr>
        <w:ind w:right="20"/>
        <w:spacing w:after="0" w:line="290" w:lineRule="auto"/>
        <w:rPr>
          <w:sz w:val="20"/>
          <w:szCs w:val="20"/>
          <w:color w:val="auto"/>
        </w:rPr>
      </w:pPr>
      <w:r>
        <w:rPr>
          <w:rFonts w:ascii="Arial" w:cs="Arial" w:eastAsia="Arial" w:hAnsi="Arial"/>
          <w:sz w:val="16"/>
          <w:szCs w:val="16"/>
          <w:color w:val="auto"/>
        </w:rPr>
        <w:t>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18"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Year Ended</w:t>
      </w:r>
    </w:p>
    <w:p>
      <w:pPr>
        <w:jc w:val="center"/>
        <w:ind w:left="788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814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960" w:type="dxa"/>
            <w:vAlign w:val="bottom"/>
            <w:gridSpan w:val="2"/>
          </w:tcPr>
          <w:p>
            <w:pPr>
              <w:spacing w:after="0"/>
              <w:rPr>
                <w:sz w:val="20"/>
                <w:szCs w:val="20"/>
                <w:color w:val="auto"/>
              </w:rPr>
            </w:pPr>
            <w:r>
              <w:rPr>
                <w:rFonts w:ascii="Arial" w:cs="Arial" w:eastAsia="Arial" w:hAnsi="Arial"/>
                <w:sz w:val="18"/>
                <w:szCs w:val="18"/>
                <w:color w:val="auto"/>
              </w:rPr>
              <w:t>Expiration of attributes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(5.2)</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814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474"/>
        <w:spacing w:after="0" w:line="259" w:lineRule="auto"/>
        <w:rPr>
          <w:sz w:val="20"/>
          <w:szCs w:val="20"/>
          <w:color w:val="auto"/>
        </w:rPr>
      </w:pPr>
      <w:r>
        <w:rPr>
          <w:rFonts w:ascii="Arial" w:cs="Arial" w:eastAsia="Arial" w:hAnsi="Arial"/>
          <w:sz w:val="18"/>
          <w:szCs w:val="18"/>
          <w:color w:val="auto"/>
        </w:rPr>
        <w:t>The Company files income tax returns in the United States, California and foreign jurisdictions. Due to the Company’s losses incurred, the Company is potentially subject to income tax examination by tax authorities from inception to date. The Company’s policy is to recognize interest expense and penalties related to income tax matters as tax expense. At December 31, 2020, there are no unrecognized tax benefits nor any significant accruals for interest related to unrecognized tax benefits or tax penalties.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Savings Plan</w:t>
      </w:r>
    </w:p>
    <w:p>
      <w:pPr>
        <w:spacing w:after="0" w:line="121"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$81,647 and $78,412 for the years ended December 31, 2020 and 2019,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2020, our disclosure controls and procedures were effective.</w:t>
      </w:r>
    </w:p>
    <w:p>
      <w:pPr>
        <w:spacing w:after="0" w:line="17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720" w:hanging="258"/>
        <w:spacing w:after="0"/>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760" w:right="320" w:hanging="298"/>
        <w:spacing w:after="0" w:line="263" w:lineRule="auto"/>
        <w:tabs>
          <w:tab w:leader="none" w:pos="7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75" w:lineRule="exact"/>
        <w:rPr>
          <w:rFonts w:ascii="Arial" w:cs="Arial" w:eastAsia="Arial" w:hAnsi="Arial"/>
          <w:sz w:val="18"/>
          <w:szCs w:val="18"/>
          <w:color w:val="auto"/>
        </w:rPr>
      </w:pPr>
    </w:p>
    <w:p>
      <w:pPr>
        <w:ind w:left="760" w:right="360" w:hanging="298"/>
        <w:spacing w:after="0" w:line="277" w:lineRule="auto"/>
        <w:tabs>
          <w:tab w:leader="none" w:pos="7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0" w:name="page81"/>
    <w:bookmarkEnd w:id="80"/>
    <w:p>
      <w:pPr>
        <w:ind w:firstLine="432"/>
        <w:spacing w:after="0" w:line="311"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framework) published by the Committee of Sponsoring Organizations of the Treadway Commission, known as COSO, to evaluate the effectiveness of our internal control over financial reporting. Based on this assessment, management has concluded that our internal control over financial reporting was effective as of December 31, 2020.</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2021 Annual Meeting of Stockholders to be filed with the SEC within 120 days after the conclusion of our fiscal year ended December 31, 2020 (the “Proxy Statement”) and is incorporated in this Annual Report on Form 10-K by reference.</w:t>
      </w:r>
    </w:p>
    <w:p>
      <w:pPr>
        <w:spacing w:after="0" w:line="17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6"/>
          <w:szCs w:val="16"/>
          <w:i w:val="1"/>
          <w:iCs w:val="1"/>
          <w:color w:val="auto"/>
        </w:rPr>
        <w:t>www.medicinova.com</w:t>
      </w:r>
      <w:r>
        <w:rPr>
          <w:rFonts w:ascii="Arial" w:cs="Arial" w:eastAsia="Arial" w:hAnsi="Arial"/>
          <w:sz w:val="16"/>
          <w:szCs w:val="16"/>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“Executive Compensation” in our Proxy Statement and is incorporated in this Annual Report on Form 10-K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Certain of the information required by this item will be contained in the section titled “Security Ownership of Certain Beneficial Owners and Management” in our Proxy Statement and is incorporated in this Annual Report on Form 10-K by reference.</w:t>
      </w:r>
    </w:p>
    <w:p>
      <w:pPr>
        <w:spacing w:after="0" w:line="17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provides information as of December 31, 2020 with respect to the shares of our common stock that may be issued under our existing equity compensation plans.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Equity Compensation Plan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8"/>
        </w:trPr>
        <w:tc>
          <w:tcPr>
            <w:tcW w:w="516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Plan Category</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Options</w:t>
            </w: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1"/>
        </w:trPr>
        <w:tc>
          <w:tcPr>
            <w:tcW w:w="5160" w:type="dxa"/>
            <w:vAlign w:val="bottom"/>
            <w:gridSpan w:val="4"/>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and Rights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1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by Stockholders (1)</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7,401,387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3,111,237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gridSpan w:val="4"/>
          </w:tcPr>
          <w:p>
            <w:pPr>
              <w:ind w:left="114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7,401,387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0" w:right="200" w:hanging="432"/>
        <w:spacing w:after="0" w:line="311"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661" w:right="111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80" w:hanging="240"/>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5" w:lineRule="exact"/>
        <w:rPr>
          <w:sz w:val="20"/>
          <w:szCs w:val="20"/>
          <w:color w:val="auto"/>
        </w:rPr>
      </w:pPr>
    </w:p>
    <w:p>
      <w:pPr>
        <w:ind w:right="240" w:firstLine="440"/>
        <w:spacing w:after="0" w:line="277" w:lineRule="auto"/>
        <w:tabs>
          <w:tab w:leader="none" w:pos="612"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Reports of BDO USA, LLP, an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are included in this Annual Report on Form 10-K: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gridSpan w:val="13"/>
            <w:vMerge w:val="restart"/>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Report of Independent Registered Public Accounting Firm</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11"/>
          </w:tcPr>
          <w:p>
            <w:pPr>
              <w:jc w:val="right"/>
              <w:ind w:right="1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80" w:type="dxa"/>
            <w:vAlign w:val="bottom"/>
            <w:gridSpan w:val="13"/>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gridSpan w:val="6"/>
          </w:tcPr>
          <w:p>
            <w:pPr>
              <w:jc w:val="right"/>
              <w:spacing w:after="0" w:line="195" w:lineRule="exact"/>
              <w:rPr>
                <w:sz w:val="20"/>
                <w:szCs w:val="20"/>
                <w:color w:val="auto"/>
              </w:rPr>
            </w:pPr>
            <w:r>
              <w:rPr>
                <w:rFonts w:ascii="Arial" w:cs="Arial" w:eastAsia="Arial" w:hAnsi="Arial"/>
                <w:sz w:val="18"/>
                <w:szCs w:val="18"/>
                <w:color w:val="auto"/>
                <w:w w:val="79"/>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60" w:type="dxa"/>
            <w:vAlign w:val="bottom"/>
            <w:gridSpan w:val="19"/>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Balance Sheets</w:t>
              </w:r>
            </w:hyperlink>
          </w:p>
        </w:tc>
        <w:tc>
          <w:tcPr>
            <w:tcW w:w="200" w:type="dxa"/>
            <w:vAlign w:val="bottom"/>
            <w:gridSpan w:val="7"/>
          </w:tcPr>
          <w:p>
            <w:pPr>
              <w:jc w:val="right"/>
              <w:ind w:right="20"/>
              <w:spacing w:after="0"/>
              <w:rPr>
                <w:sz w:val="20"/>
                <w:szCs w:val="20"/>
                <w:color w:val="auto"/>
              </w:rPr>
            </w:pPr>
            <w:r>
              <w:rPr>
                <w:rFonts w:ascii="Arial" w:cs="Arial" w:eastAsia="Arial" w:hAnsi="Arial"/>
                <w:sz w:val="18"/>
                <w:szCs w:val="18"/>
                <w:color w:val="auto"/>
                <w:w w:val="79"/>
              </w:rPr>
              <w:t>63</w:t>
            </w:r>
          </w:p>
        </w:tc>
        <w:tc>
          <w:tcPr>
            <w:tcW w:w="0" w:type="dxa"/>
            <w:vAlign w:val="bottom"/>
          </w:tcPr>
          <w:p>
            <w:pPr>
              <w:spacing w:after="0"/>
              <w:rPr>
                <w:sz w:val="1"/>
                <w:szCs w:val="1"/>
                <w:color w:val="auto"/>
              </w:rPr>
            </w:pPr>
          </w:p>
        </w:tc>
      </w:tr>
      <w:tr>
        <w:trPr>
          <w:trHeight w:val="216"/>
        </w:trPr>
        <w:tc>
          <w:tcPr>
            <w:tcW w:w="11060" w:type="dxa"/>
            <w:vAlign w:val="bottom"/>
            <w:gridSpan w:val="19"/>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Statements of Operations and Comprehensive Loss</w:t>
              </w:r>
            </w:hyperlink>
          </w:p>
        </w:tc>
        <w:tc>
          <w:tcPr>
            <w:tcW w:w="200" w:type="dxa"/>
            <w:vAlign w:val="bottom"/>
            <w:gridSpan w:val="7"/>
          </w:tcPr>
          <w:p>
            <w:pPr>
              <w:jc w:val="right"/>
              <w:ind w:right="20"/>
              <w:spacing w:after="0"/>
              <w:rPr>
                <w:sz w:val="20"/>
                <w:szCs w:val="20"/>
                <w:color w:val="auto"/>
              </w:rPr>
            </w:pPr>
            <w:r>
              <w:rPr>
                <w:rFonts w:ascii="Arial" w:cs="Arial" w:eastAsia="Arial" w:hAnsi="Arial"/>
                <w:sz w:val="18"/>
                <w:szCs w:val="18"/>
                <w:color w:val="auto"/>
                <w:w w:val="79"/>
              </w:rPr>
              <w:t>64</w:t>
            </w:r>
          </w:p>
        </w:tc>
        <w:tc>
          <w:tcPr>
            <w:tcW w:w="0" w:type="dxa"/>
            <w:vAlign w:val="bottom"/>
          </w:tcPr>
          <w:p>
            <w:pPr>
              <w:spacing w:after="0"/>
              <w:rPr>
                <w:sz w:val="1"/>
                <w:szCs w:val="1"/>
                <w:color w:val="auto"/>
              </w:rPr>
            </w:pPr>
          </w:p>
        </w:tc>
      </w:tr>
      <w:tr>
        <w:trPr>
          <w:trHeight w:val="216"/>
        </w:trPr>
        <w:tc>
          <w:tcPr>
            <w:tcW w:w="11060" w:type="dxa"/>
            <w:vAlign w:val="bottom"/>
            <w:gridSpan w:val="19"/>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Stockholders’ Equity</w:t>
              </w:r>
            </w:hyperlink>
          </w:p>
        </w:tc>
        <w:tc>
          <w:tcPr>
            <w:tcW w:w="200" w:type="dxa"/>
            <w:vAlign w:val="bottom"/>
            <w:gridSpan w:val="7"/>
          </w:tcPr>
          <w:p>
            <w:pPr>
              <w:jc w:val="right"/>
              <w:ind w:right="20"/>
              <w:spacing w:after="0"/>
              <w:rPr>
                <w:sz w:val="20"/>
                <w:szCs w:val="20"/>
                <w:color w:val="auto"/>
              </w:rPr>
            </w:pPr>
            <w:r>
              <w:rPr>
                <w:rFonts w:ascii="Arial" w:cs="Arial" w:eastAsia="Arial" w:hAnsi="Arial"/>
                <w:sz w:val="18"/>
                <w:szCs w:val="18"/>
                <w:color w:val="auto"/>
                <w:w w:val="79"/>
              </w:rPr>
              <w:t>65</w:t>
            </w:r>
          </w:p>
        </w:tc>
        <w:tc>
          <w:tcPr>
            <w:tcW w:w="0" w:type="dxa"/>
            <w:vAlign w:val="bottom"/>
          </w:tcPr>
          <w:p>
            <w:pPr>
              <w:spacing w:after="0"/>
              <w:rPr>
                <w:sz w:val="1"/>
                <w:szCs w:val="1"/>
                <w:color w:val="auto"/>
              </w:rPr>
            </w:pPr>
          </w:p>
        </w:tc>
      </w:tr>
      <w:tr>
        <w:trPr>
          <w:trHeight w:val="216"/>
        </w:trPr>
        <w:tc>
          <w:tcPr>
            <w:tcW w:w="11060" w:type="dxa"/>
            <w:vAlign w:val="bottom"/>
            <w:gridSpan w:val="19"/>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Cash Flows</w:t>
              </w:r>
            </w:hyperlink>
          </w:p>
        </w:tc>
        <w:tc>
          <w:tcPr>
            <w:tcW w:w="200" w:type="dxa"/>
            <w:vAlign w:val="bottom"/>
            <w:gridSpan w:val="7"/>
          </w:tcPr>
          <w:p>
            <w:pPr>
              <w:jc w:val="right"/>
              <w:ind w:right="20"/>
              <w:spacing w:after="0"/>
              <w:rPr>
                <w:sz w:val="20"/>
                <w:szCs w:val="20"/>
                <w:color w:val="auto"/>
              </w:rPr>
            </w:pPr>
            <w:r>
              <w:rPr>
                <w:rFonts w:ascii="Arial" w:cs="Arial" w:eastAsia="Arial" w:hAnsi="Arial"/>
                <w:sz w:val="18"/>
                <w:szCs w:val="18"/>
                <w:color w:val="auto"/>
                <w:w w:val="79"/>
              </w:rPr>
              <w:t>66</w:t>
            </w:r>
          </w:p>
        </w:tc>
        <w:tc>
          <w:tcPr>
            <w:tcW w:w="0" w:type="dxa"/>
            <w:vAlign w:val="bottom"/>
          </w:tcPr>
          <w:p>
            <w:pPr>
              <w:spacing w:after="0"/>
              <w:rPr>
                <w:sz w:val="1"/>
                <w:szCs w:val="1"/>
                <w:color w:val="auto"/>
              </w:rPr>
            </w:pPr>
          </w:p>
        </w:tc>
      </w:tr>
      <w:tr>
        <w:trPr>
          <w:trHeight w:val="230"/>
        </w:trPr>
        <w:tc>
          <w:tcPr>
            <w:tcW w:w="11060" w:type="dxa"/>
            <w:vAlign w:val="bottom"/>
            <w:gridSpan w:val="19"/>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Notes to Consolidated Financial Statements</w:t>
              </w:r>
            </w:hyperlink>
          </w:p>
        </w:tc>
        <w:tc>
          <w:tcPr>
            <w:tcW w:w="200" w:type="dxa"/>
            <w:vAlign w:val="bottom"/>
            <w:gridSpan w:val="7"/>
          </w:tcPr>
          <w:p>
            <w:pPr>
              <w:jc w:val="right"/>
              <w:ind w:right="20"/>
              <w:spacing w:after="0"/>
              <w:rPr>
                <w:sz w:val="20"/>
                <w:szCs w:val="20"/>
                <w:color w:val="auto"/>
              </w:rPr>
            </w:pPr>
            <w:r>
              <w:rPr>
                <w:rFonts w:ascii="Arial" w:cs="Arial" w:eastAsia="Arial" w:hAnsi="Arial"/>
                <w:sz w:val="18"/>
                <w:szCs w:val="18"/>
                <w:color w:val="auto"/>
                <w:w w:val="79"/>
              </w:rPr>
              <w:t>67</w:t>
            </w:r>
          </w:p>
        </w:tc>
        <w:tc>
          <w:tcPr>
            <w:tcW w:w="0" w:type="dxa"/>
            <w:vAlign w:val="bottom"/>
          </w:tcPr>
          <w:p>
            <w:pPr>
              <w:spacing w:after="0"/>
              <w:rPr>
                <w:sz w:val="1"/>
                <w:szCs w:val="1"/>
                <w:color w:val="auto"/>
              </w:rPr>
            </w:pPr>
          </w:p>
        </w:tc>
      </w:tr>
      <w:tr>
        <w:trPr>
          <w:trHeight w:val="473"/>
        </w:trPr>
        <w:tc>
          <w:tcPr>
            <w:tcW w:w="80" w:type="dxa"/>
            <w:vAlign w:val="bottom"/>
          </w:tcPr>
          <w:p>
            <w:pPr>
              <w:spacing w:after="0"/>
              <w:rPr>
                <w:sz w:val="24"/>
                <w:szCs w:val="24"/>
                <w:color w:val="auto"/>
              </w:rPr>
            </w:pPr>
          </w:p>
        </w:tc>
        <w:tc>
          <w:tcPr>
            <w:tcW w:w="10980" w:type="dxa"/>
            <w:vAlign w:val="bottom"/>
            <w:gridSpan w:val="18"/>
          </w:tcPr>
          <w:p>
            <w:pPr>
              <w:ind w:left="3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10980" w:type="dxa"/>
            <w:vAlign w:val="bottom"/>
            <w:gridSpan w:val="18"/>
          </w:tcPr>
          <w:p>
            <w:pPr>
              <w:ind w:left="3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w:t>
            </w:r>
          </w:p>
        </w:tc>
        <w:tc>
          <w:tcPr>
            <w:tcW w:w="1012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Number</w:t>
            </w:r>
          </w:p>
        </w:tc>
        <w:tc>
          <w:tcPr>
            <w:tcW w:w="10120" w:type="dxa"/>
            <w:vAlign w:val="bottom"/>
            <w:gridSpan w:val="16"/>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6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10120" w:type="dxa"/>
            <w:vAlign w:val="bottom"/>
            <w:tcBorders>
              <w:top w:val="single" w:sz="8" w:color="auto"/>
            </w:tcBorders>
            <w:gridSpan w:val="16"/>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Restated Certificate of Incorporation of the Registrant, as amended (incorporated by reference to Exhibit 3.1 of the Registrant’s Quarterly</w:t>
              </w:r>
            </w:hyperlink>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Report on Form 10-Q (File No. 001-33185) filed August 9, 2012).</w:t>
              </w:r>
            </w:hyperlink>
          </w:p>
        </w:tc>
        <w:tc>
          <w:tcPr>
            <w:tcW w:w="5120" w:type="dxa"/>
            <w:vAlign w:val="bottom"/>
            <w:tcBorders>
              <w:top w:val="single" w:sz="8" w:color="0000EE"/>
            </w:tcBorders>
            <w:gridSpan w:val="8"/>
          </w:tcPr>
          <w:p>
            <w:pPr>
              <w:spacing w:after="0"/>
              <w:rPr>
                <w:sz w:val="17"/>
                <w:szCs w:val="17"/>
                <w:color w:val="auto"/>
              </w:rPr>
            </w:pPr>
          </w:p>
        </w:tc>
        <w:tc>
          <w:tcPr>
            <w:tcW w:w="2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gridSpan w:val="2"/>
          </w:tcPr>
          <w:p>
            <w:pPr>
              <w:jc w:val="center"/>
              <w:ind w:right="110"/>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10320" w:type="dxa"/>
            <w:vAlign w:val="bottom"/>
            <w:gridSpan w:val="23"/>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Amended and Restated Bylaws of the Registrant (incorporated by reference to Exhibit 3.4 of the Registrant’s Registration Statement on Form</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S-1 (File No. 333-119433) filed October 1, 2004).</w:t>
              </w:r>
            </w:hyperlink>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2"/>
          </w:tcPr>
          <w:p>
            <w:pPr>
              <w:jc w:val="center"/>
              <w:ind w:right="110"/>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10120" w:type="dxa"/>
            <w:vAlign w:val="bottom"/>
            <w:gridSpan w:val="16"/>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Specimen of Common Stock Certificate (incorporated by reference to Exhibit 4.1 of the Registrant’s Annual Report on Form 10-K (File No.</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001-33185) filed February 15, 2007).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60" w:type="dxa"/>
            <w:vAlign w:val="bottom"/>
            <w:gridSpan w:val="2"/>
          </w:tcPr>
          <w:p>
            <w:pPr>
              <w:jc w:val="center"/>
              <w:ind w:right="110"/>
              <w:spacing w:after="0"/>
              <w:rPr>
                <w:sz w:val="20"/>
                <w:szCs w:val="20"/>
                <w:color w:val="auto"/>
              </w:rPr>
            </w:pPr>
            <w:r>
              <w:rPr>
                <w:rFonts w:ascii="Arial" w:cs="Arial" w:eastAsia="Arial" w:hAnsi="Arial"/>
                <w:sz w:val="18"/>
                <w:szCs w:val="18"/>
                <w:color w:val="auto"/>
                <w:w w:val="95"/>
              </w:rPr>
              <w:t>4.2</w:t>
            </w:r>
          </w:p>
        </w:tc>
        <w:tc>
          <w:tcPr>
            <w:tcW w:w="180" w:type="dxa"/>
            <w:vAlign w:val="bottom"/>
          </w:tcPr>
          <w:p>
            <w:pPr>
              <w:spacing w:after="0"/>
              <w:rPr>
                <w:sz w:val="24"/>
                <w:szCs w:val="24"/>
                <w:color w:val="auto"/>
              </w:rPr>
            </w:pPr>
          </w:p>
        </w:tc>
        <w:tc>
          <w:tcPr>
            <w:tcW w:w="10320" w:type="dxa"/>
            <w:vAlign w:val="bottom"/>
            <w:gridSpan w:val="23"/>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Amended and Restated Registration Rights Agreement, dated September 2, 2004, by and among the Registrant, its founders and the investors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named therein (incorporated by reference to Exhibit 4.2 of the Registrant’s Registration Statement on Form S-1 (File No. 333-119433) filed</w:t>
              </w:r>
            </w:hyperlink>
          </w:p>
        </w:tc>
        <w:tc>
          <w:tcPr>
            <w:tcW w:w="60" w:type="dxa"/>
            <w:vAlign w:val="bottom"/>
            <w:tcBorders>
              <w:top w:val="single" w:sz="8" w:color="0000EE"/>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October 1, 2004).</w:t>
              </w:r>
            </w:hyperlink>
          </w:p>
        </w:tc>
        <w:tc>
          <w:tcPr>
            <w:tcW w:w="88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6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120" w:type="dxa"/>
            <w:vAlign w:val="bottom"/>
            <w:gridSpan w:val="16"/>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Description of Capital Stock</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gridSpan w:val="2"/>
          </w:tcPr>
          <w:p>
            <w:pPr>
              <w:jc w:val="center"/>
              <w:ind w:right="110"/>
              <w:spacing w:after="0"/>
              <w:rPr>
                <w:sz w:val="20"/>
                <w:szCs w:val="20"/>
                <w:color w:val="auto"/>
              </w:rPr>
            </w:pPr>
            <w:r>
              <w:rPr>
                <w:rFonts w:ascii="Arial" w:cs="Arial" w:eastAsia="Arial" w:hAnsi="Arial"/>
                <w:sz w:val="18"/>
                <w:szCs w:val="18"/>
                <w:color w:val="auto"/>
                <w:w w:val="95"/>
              </w:rPr>
              <w:t>10.1*</w:t>
            </w:r>
          </w:p>
        </w:tc>
        <w:tc>
          <w:tcPr>
            <w:tcW w:w="180" w:type="dxa"/>
            <w:vAlign w:val="bottom"/>
          </w:tcPr>
          <w:p>
            <w:pPr>
              <w:spacing w:after="0"/>
              <w:rPr>
                <w:sz w:val="24"/>
                <w:szCs w:val="24"/>
                <w:color w:val="auto"/>
              </w:rPr>
            </w:pPr>
          </w:p>
        </w:tc>
        <w:tc>
          <w:tcPr>
            <w:tcW w:w="10120" w:type="dxa"/>
            <w:vAlign w:val="bottom"/>
            <w:gridSpan w:val="16"/>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Amended and Restated 2004 Stock Incentive Plan of the Registrant (incorporated by reference to Exhibit 10.2 of the Registrant’s Annual</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Report on Form 10-K (File No. 001-33185) filed March 29, 2012).</w:t>
              </w:r>
            </w:hyperlink>
          </w:p>
        </w:tc>
        <w:tc>
          <w:tcPr>
            <w:tcW w:w="5040" w:type="dxa"/>
            <w:vAlign w:val="bottom"/>
            <w:tcBorders>
              <w:top w:val="single" w:sz="8" w:color="0000EE"/>
            </w:tcBorders>
            <w:gridSpan w:val="6"/>
          </w:tcPr>
          <w:p>
            <w:pPr>
              <w:spacing w:after="0"/>
              <w:rPr>
                <w:sz w:val="17"/>
                <w:szCs w:val="17"/>
                <w:color w:val="auto"/>
              </w:rPr>
            </w:pPr>
          </w:p>
        </w:tc>
        <w:tc>
          <w:tcPr>
            <w:tcW w:w="2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gridSpan w:val="2"/>
          </w:tcPr>
          <w:p>
            <w:pPr>
              <w:jc w:val="center"/>
              <w:ind w:right="110"/>
              <w:spacing w:after="0"/>
              <w:rPr>
                <w:sz w:val="20"/>
                <w:szCs w:val="20"/>
                <w:color w:val="auto"/>
              </w:rPr>
            </w:pPr>
            <w:r>
              <w:rPr>
                <w:rFonts w:ascii="Arial" w:cs="Arial" w:eastAsia="Arial" w:hAnsi="Arial"/>
                <w:sz w:val="18"/>
                <w:szCs w:val="18"/>
                <w:color w:val="auto"/>
                <w:w w:val="95"/>
              </w:rPr>
              <w:t>10.2*</w:t>
            </w:r>
          </w:p>
        </w:tc>
        <w:tc>
          <w:tcPr>
            <w:tcW w:w="180" w:type="dxa"/>
            <w:vAlign w:val="bottom"/>
          </w:tcPr>
          <w:p>
            <w:pPr>
              <w:spacing w:after="0"/>
              <w:rPr>
                <w:sz w:val="24"/>
                <w:szCs w:val="24"/>
                <w:color w:val="auto"/>
              </w:rPr>
            </w:pPr>
          </w:p>
        </w:tc>
        <w:tc>
          <w:tcPr>
            <w:tcW w:w="10120" w:type="dxa"/>
            <w:vAlign w:val="bottom"/>
            <w:gridSpan w:val="16"/>
          </w:tcPr>
          <w:p>
            <w:pPr>
              <w:spacing w:after="0"/>
              <w:rPr>
                <w:rFonts w:ascii="Arial" w:cs="Arial" w:eastAsia="Arial" w:hAnsi="Arial"/>
                <w:sz w:val="18"/>
                <w:szCs w:val="18"/>
                <w:color w:val="0000EE"/>
                <w:w w:val="96"/>
              </w:rPr>
            </w:pPr>
            <w:hyperlink r:id="rId115">
              <w:r>
                <w:rPr>
                  <w:rFonts w:ascii="Arial" w:cs="Arial" w:eastAsia="Arial" w:hAnsi="Arial"/>
                  <w:sz w:val="18"/>
                  <w:szCs w:val="18"/>
                  <w:color w:val="0000EE"/>
                  <w:w w:val="96"/>
                </w:rPr>
                <w:t>Form of Indemnity Agreement between the Registrant and its officers and directors (incorporated by reference to Exhibit 10.3 of the</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Registrant’s Annual Report on Form 10-K (File No. 001-33185) filed March 28, 2013).</w:t>
              </w:r>
            </w:hyperlink>
          </w:p>
        </w:tc>
        <w:tc>
          <w:tcPr>
            <w:tcW w:w="3220" w:type="dxa"/>
            <w:vAlign w:val="bottom"/>
            <w:tcBorders>
              <w:top w:val="single" w:sz="8" w:color="0000EE"/>
            </w:tcBorders>
          </w:tcPr>
          <w:p>
            <w:pPr>
              <w:spacing w:after="0"/>
              <w:rPr>
                <w:sz w:val="17"/>
                <w:szCs w:val="17"/>
                <w:color w:val="auto"/>
              </w:rPr>
            </w:pPr>
          </w:p>
        </w:tc>
        <w:tc>
          <w:tcPr>
            <w:tcW w:w="6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10.3†</w:t>
            </w:r>
          </w:p>
        </w:tc>
        <w:tc>
          <w:tcPr>
            <w:tcW w:w="10320" w:type="dxa"/>
            <w:vAlign w:val="bottom"/>
            <w:gridSpan w:val="23"/>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License Agreement, dated March 14, 2002, between the Registrant and Kyorin Pharmaceutical Co., Ltd. (incorporated by reference to Exhibit</w:t>
              </w:r>
            </w:hyperlink>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tcBorders>
              <w:top w:val="single" w:sz="8" w:color="0000EE"/>
            </w:tcBorders>
            <w:gridSpan w:val="16"/>
          </w:tcPr>
          <w:p>
            <w:pPr>
              <w:spacing w:after="0"/>
              <w:rPr>
                <w:rFonts w:ascii="Arial" w:cs="Arial" w:eastAsia="Arial" w:hAnsi="Arial"/>
                <w:sz w:val="18"/>
                <w:szCs w:val="18"/>
                <w:u w:val="single" w:color="auto"/>
                <w:color w:val="0000EE"/>
                <w:w w:val="95"/>
              </w:rPr>
            </w:pPr>
            <w:hyperlink r:id="rId116">
              <w:r>
                <w:rPr>
                  <w:rFonts w:ascii="Arial" w:cs="Arial" w:eastAsia="Arial" w:hAnsi="Arial"/>
                  <w:sz w:val="18"/>
                  <w:szCs w:val="18"/>
                  <w:u w:val="single" w:color="auto"/>
                  <w:color w:val="0000EE"/>
                  <w:w w:val="95"/>
                </w:rPr>
                <w:t>10.4 of the Registrant’s Registration Statement on Form S-1, as amended (File No. 333-119433), originally filed on October 1, 2004).</w:t>
              </w:r>
            </w:hyperlink>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10.4†</w:t>
            </w:r>
          </w:p>
        </w:tc>
        <w:tc>
          <w:tcPr>
            <w:tcW w:w="10320" w:type="dxa"/>
            <w:vAlign w:val="bottom"/>
            <w:gridSpan w:val="23"/>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License Agreement, dated June 19, 2002, between the Registrant and Angiogene Pharmaceuticals, Ltd. (incorporated by reference to Exhibit</w:t>
              </w:r>
            </w:hyperlink>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tcBorders>
              <w:top w:val="single" w:sz="8" w:color="0000EE"/>
            </w:tcBorders>
            <w:gridSpan w:val="16"/>
          </w:tcPr>
          <w:p>
            <w:pPr>
              <w:spacing w:after="0"/>
              <w:rPr>
                <w:rFonts w:ascii="Arial" w:cs="Arial" w:eastAsia="Arial" w:hAnsi="Arial"/>
                <w:sz w:val="18"/>
                <w:szCs w:val="18"/>
                <w:u w:val="single" w:color="auto"/>
                <w:color w:val="0000EE"/>
                <w:w w:val="95"/>
              </w:rPr>
            </w:pPr>
            <w:hyperlink r:id="rId117">
              <w:r>
                <w:rPr>
                  <w:rFonts w:ascii="Arial" w:cs="Arial" w:eastAsia="Arial" w:hAnsi="Arial"/>
                  <w:sz w:val="18"/>
                  <w:szCs w:val="18"/>
                  <w:u w:val="single" w:color="auto"/>
                  <w:color w:val="0000EE"/>
                  <w:w w:val="95"/>
                </w:rPr>
                <w:t>10.5 of the Registrant’s Registration Statement on Form S-1, as amended (File No. 333-119433), originally filed on October 1, 2004).</w:t>
              </w:r>
            </w:hyperlink>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10.5†</w:t>
            </w:r>
          </w:p>
        </w:tc>
        <w:tc>
          <w:tcPr>
            <w:tcW w:w="10120" w:type="dxa"/>
            <w:vAlign w:val="bottom"/>
            <w:gridSpan w:val="16"/>
          </w:tcPr>
          <w:p>
            <w:pPr>
              <w:spacing w:after="0"/>
              <w:rPr>
                <w:rFonts w:ascii="Arial" w:cs="Arial" w:eastAsia="Arial" w:hAnsi="Arial"/>
                <w:sz w:val="18"/>
                <w:szCs w:val="18"/>
                <w:color w:val="0000EE"/>
                <w:w w:val="94"/>
              </w:rPr>
            </w:pPr>
            <w:hyperlink r:id="rId118">
              <w:r>
                <w:rPr>
                  <w:rFonts w:ascii="Arial" w:cs="Arial" w:eastAsia="Arial" w:hAnsi="Arial"/>
                  <w:sz w:val="18"/>
                  <w:szCs w:val="18"/>
                  <w:color w:val="0000EE"/>
                  <w:w w:val="94"/>
                </w:rPr>
                <w:t>Exclusive License Agreement, dated February 25, 2004, between the Registrant and Kissei Pharmaceutical Co., Ltd. (incorporated by</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360" w:type="dxa"/>
            <w:vAlign w:val="bottom"/>
            <w:gridSpan w:val="8"/>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16"/>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reference to Exhibit 10.7 of the Registrant’s Registration Statement on Form S-1, as amended (File No. 333-119433), originally filed on</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October 1, 2004).</w:t>
              </w:r>
            </w:hyperlink>
          </w:p>
        </w:tc>
        <w:tc>
          <w:tcPr>
            <w:tcW w:w="3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560" w:type="dxa"/>
            <w:vAlign w:val="bottom"/>
            <w:gridSpan w:val="5"/>
          </w:tcPr>
          <w:p>
            <w:pPr>
              <w:jc w:val="right"/>
              <w:ind w:right="40"/>
              <w:spacing w:after="0"/>
              <w:rPr>
                <w:sz w:val="20"/>
                <w:szCs w:val="20"/>
                <w:color w:val="auto"/>
              </w:rPr>
            </w:pPr>
            <w:r>
              <w:rPr>
                <w:rFonts w:ascii="Arial" w:cs="Arial" w:eastAsia="Arial" w:hAnsi="Arial"/>
                <w:sz w:val="18"/>
                <w:szCs w:val="18"/>
                <w:color w:val="auto"/>
              </w:rPr>
              <w:t>85</w:t>
            </w:r>
          </w:p>
        </w:tc>
        <w:tc>
          <w:tcPr>
            <w:tcW w:w="1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0465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16" w:lineRule="exact"/>
        <w:rPr>
          <w:sz w:val="20"/>
          <w:szCs w:val="20"/>
          <w:color w:val="auto"/>
        </w:rPr>
      </w:pPr>
    </w:p>
    <w:p>
      <w:pPr>
        <w:jc w:val="both"/>
        <w:ind w:left="860" w:right="340" w:hanging="863"/>
        <w:spacing w:after="0" w:line="263"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22">
        <w:r>
          <w:rPr>
            <w:rFonts w:ascii="Arial" w:cs="Arial" w:eastAsia="Arial" w:hAnsi="Arial"/>
            <w:sz w:val="18"/>
            <w:szCs w:val="18"/>
            <w:u w:val="single" w:color="auto"/>
            <w:color w:val="0000EE"/>
          </w:rPr>
          <w:t>License Agreement, dated October 22, 2004, between the Registrant and Kyorin Pharmaceutical Co., Ltd., (incorporated by reference to</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Exhibit 10.18 of the Registrant’s Registration Statement on Form S-1, as amended (File No. 333-119433), originally filed on October 1,</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2004).</w:t>
        </w:r>
      </w:hyperlink>
    </w:p>
    <w:p>
      <w:pPr>
        <w:spacing w:after="0" w:line="211" w:lineRule="exact"/>
        <w:rPr>
          <w:rFonts w:ascii="Arial" w:cs="Arial" w:eastAsia="Arial" w:hAnsi="Arial"/>
          <w:sz w:val="18"/>
          <w:szCs w:val="18"/>
          <w:u w:val="single" w:color="auto"/>
          <w:color w:val="0000EE"/>
        </w:rPr>
      </w:pPr>
    </w:p>
    <w:p>
      <w:pPr>
        <w:ind w:left="860" w:right="440" w:hanging="863"/>
        <w:spacing w:after="0" w:line="308" w:lineRule="auto"/>
        <w:tabs>
          <w:tab w:leader="none" w:pos="84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23">
        <w:r>
          <w:rPr>
            <w:rFonts w:ascii="Arial" w:cs="Arial" w:eastAsia="Arial" w:hAnsi="Arial"/>
            <w:sz w:val="17"/>
            <w:szCs w:val="17"/>
            <w:u w:val="single" w:color="auto"/>
            <w:color w:val="0000EE"/>
          </w:rPr>
          <w:t>License Agreement, dated October 31, 2006, by and between the Registrant and Meiji Seika Kaisha, Ltd. (incorporated by reference to</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Exhibit 10.1 of the Registrant’s Current Report on Form 8-K (File No. 000-51133) filed November 2, 2006).</w:t>
        </w:r>
      </w:hyperlink>
    </w:p>
    <w:p>
      <w:pPr>
        <w:spacing w:after="0" w:line="52" w:lineRule="exact"/>
        <w:rPr>
          <w:sz w:val="20"/>
          <w:szCs w:val="20"/>
          <w:color w:val="auto"/>
        </w:rPr>
      </w:pPr>
    </w:p>
    <w:p>
      <w:pPr>
        <w:ind w:left="860" w:right="440" w:hanging="863"/>
        <w:spacing w:after="0" w:line="308" w:lineRule="auto"/>
        <w:tabs>
          <w:tab w:leader="none" w:pos="84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124">
        <w:r>
          <w:rPr>
            <w:rFonts w:ascii="Arial" w:cs="Arial" w:eastAsia="Arial" w:hAnsi="Arial"/>
            <w:sz w:val="17"/>
            <w:szCs w:val="17"/>
            <w:u w:val="single" w:color="auto"/>
            <w:color w:val="0000EE"/>
          </w:rPr>
          <w:t>License Agreement, dated October 31, 2006, by and between the Registrant and Meiji Seika Kaisha, Ltd. (incorporated by reference to</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Exhibit 10.2 of the Registrant’s Current Report on Form 8-K (File No. 000-51133) filed November 2, 2006).</w:t>
        </w:r>
      </w:hyperlink>
    </w:p>
    <w:p>
      <w:pPr>
        <w:spacing w:after="0" w:line="52" w:lineRule="exact"/>
        <w:rPr>
          <w:sz w:val="20"/>
          <w:szCs w:val="20"/>
          <w:color w:val="auto"/>
        </w:rPr>
      </w:pPr>
    </w:p>
    <w:p>
      <w:pPr>
        <w:ind w:left="860" w:hanging="863"/>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5">
        <w:r>
          <w:rPr>
            <w:rFonts w:ascii="Arial" w:cs="Arial" w:eastAsia="Arial" w:hAnsi="Arial"/>
            <w:sz w:val="18"/>
            <w:szCs w:val="18"/>
            <w:u w:val="single" w:color="auto"/>
            <w:color w:val="0000EE"/>
          </w:rPr>
          <w:t>Executive Employment Agreement, dated April 1, 2007, between the Registrant and Yuichi Iwaki, M.D., Ph.D. (incorporated by reference to</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Exhibit 10.1 of the Registrant’s Current Report on Form 8-K (File No. 001-33185) filed April 4, 2007).</w:t>
        </w:r>
      </w:hyperlink>
    </w:p>
    <w:p>
      <w:pPr>
        <w:spacing w:after="0" w:line="76" w:lineRule="exact"/>
        <w:rPr>
          <w:sz w:val="20"/>
          <w:szCs w:val="20"/>
          <w:color w:val="auto"/>
        </w:rPr>
      </w:pPr>
    </w:p>
    <w:p>
      <w:pPr>
        <w:ind w:left="860" w:right="560" w:hanging="863"/>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6">
        <w:r>
          <w:rPr>
            <w:rFonts w:ascii="Arial" w:cs="Arial" w:eastAsia="Arial" w:hAnsi="Arial"/>
            <w:sz w:val="18"/>
            <w:szCs w:val="18"/>
            <w:u w:val="single" w:color="auto"/>
            <w:color w:val="0000EE"/>
          </w:rPr>
          <w:t>2007 Employee Stock Purchase Plan of the Registrant (incorporated by reference to Appendix A of the Registrant’s Definitive Proxy</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Statement on Schedule 14A (File No. 001-33185) filed March 13, 2007).</w:t>
        </w:r>
      </w:hyperlink>
    </w:p>
    <w:p>
      <w:pPr>
        <w:spacing w:after="0" w:line="76" w:lineRule="exact"/>
        <w:rPr>
          <w:sz w:val="20"/>
          <w:szCs w:val="20"/>
          <w:color w:val="auto"/>
        </w:rPr>
      </w:pPr>
    </w:p>
    <w:p>
      <w:pPr>
        <w:ind w:left="860" w:right="300" w:hanging="863"/>
        <w:spacing w:after="0" w:line="342" w:lineRule="auto"/>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27">
        <w:r>
          <w:rPr>
            <w:rFonts w:ascii="Arial" w:cs="Arial" w:eastAsia="Arial" w:hAnsi="Arial"/>
            <w:sz w:val="16"/>
            <w:szCs w:val="16"/>
            <w:u w:val="single" w:color="auto"/>
            <w:color w:val="0000EE"/>
          </w:rPr>
          <w:t>Development and Supply Agreement, dated as of March 26, 2009, between the Registrant and Hospira Worldwide, Inc. (incorporated by</w:t>
        </w:r>
      </w:hyperlink>
      <w:r>
        <w:rPr>
          <w:rFonts w:ascii="Arial" w:cs="Arial" w:eastAsia="Arial" w:hAnsi="Arial"/>
          <w:sz w:val="16"/>
          <w:szCs w:val="16"/>
          <w:u w:val="single" w:color="auto"/>
          <w:color w:val="0000EE"/>
        </w:rPr>
        <w:t xml:space="preserve"> </w:t>
      </w:r>
      <w:hyperlink r:id="rId127">
        <w:r>
          <w:rPr>
            <w:rFonts w:ascii="Arial" w:cs="Arial" w:eastAsia="Arial" w:hAnsi="Arial"/>
            <w:sz w:val="16"/>
            <w:szCs w:val="16"/>
            <w:u w:val="single" w:color="auto"/>
            <w:color w:val="0000EE"/>
          </w:rPr>
          <w:t>reference to Exhibit 10.1 of the Registrant’s Current Report on Form 8-K (File No. 001-33185) filed March 30, 2009).</w:t>
        </w:r>
      </w:hyperlink>
    </w:p>
    <w:p>
      <w:pPr>
        <w:spacing w:after="0" w:line="29" w:lineRule="exact"/>
        <w:rPr>
          <w:sz w:val="20"/>
          <w:szCs w:val="20"/>
          <w:color w:val="auto"/>
        </w:rPr>
      </w:pPr>
    </w:p>
    <w:p>
      <w:pPr>
        <w:spacing w:after="0"/>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28">
        <w:r>
          <w:rPr>
            <w:rFonts w:ascii="Arial" w:cs="Arial" w:eastAsia="Arial" w:hAnsi="Arial"/>
            <w:sz w:val="16"/>
            <w:szCs w:val="16"/>
            <w:u w:val="single" w:color="auto"/>
            <w:color w:val="0000EE"/>
          </w:rPr>
          <w:t>Assignment Agreement, dated December 19, 2005, between Genzyme Corporation and Avigen, Inc. (incorporated by reference to Exhibit</w:t>
        </w:r>
      </w:hyperlink>
    </w:p>
    <w:p>
      <w:pPr>
        <w:spacing w:after="0" w:line="23" w:lineRule="exact"/>
        <w:rPr>
          <w:sz w:val="20"/>
          <w:szCs w:val="20"/>
          <w:color w:val="auto"/>
        </w:rPr>
      </w:pPr>
    </w:p>
    <w:p>
      <w:pPr>
        <w:ind w:left="860"/>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10.58 of Avigen, Inc.’s Annual Report on Form 10-K (File No. 000-51133) filed February 16, 2006).</w:t>
        </w:r>
      </w:hyperlink>
    </w:p>
    <w:p>
      <w:pPr>
        <w:spacing w:after="0" w:line="116" w:lineRule="exact"/>
        <w:rPr>
          <w:sz w:val="20"/>
          <w:szCs w:val="20"/>
          <w:color w:val="auto"/>
        </w:rPr>
      </w:pPr>
    </w:p>
    <w:p>
      <w:pPr>
        <w:ind w:left="860" w:right="280" w:hanging="863"/>
        <w:spacing w:after="0" w:line="263"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9">
        <w:r>
          <w:rPr>
            <w:rFonts w:ascii="Arial" w:cs="Arial" w:eastAsia="Arial" w:hAnsi="Arial"/>
            <w:sz w:val="18"/>
            <w:szCs w:val="18"/>
            <w:u w:val="single" w:color="auto"/>
            <w:color w:val="0000EE"/>
          </w:rPr>
          <w:t>Asset Purchase Agreement, dated December 17, 2008, between Baxter Healthcare Corporation, Baxter International Inc., and Baxter</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Healthcare S.A. and Avigen, Inc. (incorporated by reference to Exhibit 2.2 of Avigen, Inc.’s Annual Report on Form 10-K (File No. 001-</w:t>
        </w:r>
      </w:hyperlink>
      <w:hyperlink r:id="rId129">
        <w:r>
          <w:rPr>
            <w:rFonts w:ascii="Arial" w:cs="Arial" w:eastAsia="Arial" w:hAnsi="Arial"/>
            <w:sz w:val="18"/>
            <w:szCs w:val="18"/>
            <w:u w:val="single" w:color="auto"/>
            <w:color w:val="0000EE"/>
          </w:rPr>
          <w:t>33185) filed March 31, 2009).</w:t>
        </w:r>
      </w:hyperlink>
    </w:p>
    <w:p>
      <w:pPr>
        <w:spacing w:after="0" w:line="89" w:lineRule="exact"/>
        <w:rPr>
          <w:rFonts w:ascii="Arial" w:cs="Arial" w:eastAsia="Arial" w:hAnsi="Arial"/>
          <w:sz w:val="18"/>
          <w:szCs w:val="18"/>
          <w:u w:val="single" w:color="auto"/>
          <w:color w:val="0000EE"/>
        </w:rPr>
      </w:pPr>
    </w:p>
    <w:p>
      <w:pPr>
        <w:spacing w:after="0"/>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130">
        <w:r>
          <w:rPr>
            <w:rFonts w:ascii="Arial" w:cs="Arial" w:eastAsia="Arial" w:hAnsi="Arial"/>
            <w:sz w:val="16"/>
            <w:szCs w:val="16"/>
            <w:u w:val="single" w:color="auto"/>
            <w:color w:val="0000EE"/>
          </w:rPr>
          <w:t>Form of Amendment to Employment Agreement, dated December 31, 2011, between the Registrant and Yuichi Iwaki, M.D., Ph.D.</w:t>
        </w:r>
      </w:hyperlink>
    </w:p>
    <w:p>
      <w:pPr>
        <w:spacing w:after="0" w:line="23" w:lineRule="exact"/>
        <w:rPr>
          <w:rFonts w:ascii="Arial" w:cs="Arial" w:eastAsia="Arial" w:hAnsi="Arial"/>
          <w:sz w:val="18"/>
          <w:szCs w:val="18"/>
          <w:u w:val="single" w:color="auto"/>
          <w:color w:val="0000EE"/>
        </w:rPr>
      </w:pPr>
    </w:p>
    <w:p>
      <w:pPr>
        <w:ind w:left="860"/>
        <w:spacing w:after="0"/>
        <w:rPr>
          <w:rFonts w:ascii="Arial" w:cs="Arial" w:eastAsia="Arial" w:hAnsi="Arial"/>
          <w:sz w:val="17"/>
          <w:szCs w:val="17"/>
          <w:u w:val="single" w:color="auto"/>
          <w:color w:val="0000EE"/>
        </w:rPr>
      </w:pPr>
      <w:hyperlink r:id="rId130">
        <w:r>
          <w:rPr>
            <w:rFonts w:ascii="Arial" w:cs="Arial" w:eastAsia="Arial" w:hAnsi="Arial"/>
            <w:sz w:val="17"/>
            <w:szCs w:val="17"/>
            <w:u w:val="single" w:color="auto"/>
            <w:color w:val="0000EE"/>
          </w:rPr>
          <w:t>(incorporated by reference to Exhibit 10.1 of the Registrant’s Current Report on Form 8-K (File No. 001-33185) filed January 4, 2011).</w:t>
        </w:r>
      </w:hyperlink>
    </w:p>
    <w:p>
      <w:pPr>
        <w:spacing w:after="0" w:line="128" w:lineRule="exact"/>
        <w:rPr>
          <w:rFonts w:ascii="Arial" w:cs="Arial" w:eastAsia="Arial" w:hAnsi="Arial"/>
          <w:sz w:val="18"/>
          <w:szCs w:val="18"/>
          <w:u w:val="single" w:color="auto"/>
          <w:color w:val="0000EE"/>
        </w:rPr>
      </w:pPr>
    </w:p>
    <w:p>
      <w:pPr>
        <w:ind w:left="860" w:right="60" w:hanging="863"/>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31">
        <w:r>
          <w:rPr>
            <w:rFonts w:ascii="Arial" w:cs="Arial" w:eastAsia="Arial" w:hAnsi="Arial"/>
            <w:sz w:val="18"/>
            <w:szCs w:val="18"/>
            <w:u w:val="single" w:color="auto"/>
            <w:color w:val="0000EE"/>
          </w:rPr>
          <w:t>Sublease, by and between MediciNova, Inc. and Cardinal Health 127 Inc., dated August 31, 2017 (incorporated by reference to Exhibit 10.1</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to Current Report on Form 8-K (File No. 001-33185) filed with the SEC on September 7, 2017).</w:t>
        </w:r>
      </w:hyperlink>
    </w:p>
    <w:p>
      <w:pPr>
        <w:spacing w:after="0" w:line="76" w:lineRule="exact"/>
        <w:rPr>
          <w:sz w:val="20"/>
          <w:szCs w:val="20"/>
          <w:color w:val="auto"/>
        </w:rPr>
      </w:pPr>
    </w:p>
    <w:p>
      <w:pPr>
        <w:ind w:left="860" w:right="220" w:hanging="863"/>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2">
        <w:r>
          <w:rPr>
            <w:rFonts w:ascii="Arial" w:cs="Arial" w:eastAsia="Arial" w:hAnsi="Arial"/>
            <w:sz w:val="18"/>
            <w:szCs w:val="18"/>
            <w:u w:val="single" w:color="auto"/>
            <w:color w:val="0000EE"/>
          </w:rPr>
          <w:t>2013 Equity Incentive Plan of the Registrant (incorporated by reference to Exhibit 10.23 of the Registrant’s Annual Report on Form 10-K</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(File No. 001-33185) filed March 27, 2014).</w:t>
        </w:r>
      </w:hyperlink>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00" w:top="333" w:right="499" w:bottom="1440" w:gutter="0" w:footer="0" w:header="0"/>
        </w:sectPr>
      </w:pPr>
    </w:p>
    <w:bookmarkStart w:id="86" w:name="page87"/>
    <w:bookmarkEnd w:id="86"/>
    <w:p>
      <w:pPr>
        <w:ind w:left="72"/>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72"/>
        <w:spacing w:after="0"/>
        <w:tabs>
          <w:tab w:leader="none" w:pos="912"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-3175</wp:posOffset>
            </wp:positionV>
            <wp:extent cx="70465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62" w:lineRule="exact"/>
        <w:rPr>
          <w:sz w:val="20"/>
          <w:szCs w:val="20"/>
          <w:color w:val="auto"/>
        </w:rPr>
      </w:pPr>
    </w:p>
    <w:p>
      <w:pPr>
        <w:ind w:left="932" w:hanging="863"/>
        <w:spacing w:after="0" w:line="277" w:lineRule="auto"/>
        <w:tabs>
          <w:tab w:leader="none" w:pos="912"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5">
        <w:r>
          <w:rPr>
            <w:rFonts w:ascii="Arial" w:cs="Arial" w:eastAsia="Arial" w:hAnsi="Arial"/>
            <w:sz w:val="18"/>
            <w:szCs w:val="18"/>
            <w:u w:val="single" w:color="auto"/>
            <w:color w:val="0000EE"/>
          </w:rPr>
          <w:t>Amended and Restated 2013 Equity Incentive Plan of the Registrant.* (incorporated by reference to Exhibit 10.1 of the Registrant’s Quarterly</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Report on Form 10-Q (File No. 001-33185) filed July 26, 2017).</w:t>
        </w:r>
      </w:hyperlink>
    </w:p>
    <w:p>
      <w:pPr>
        <w:spacing w:after="0" w:line="22" w:lineRule="exact"/>
        <w:rPr>
          <w:sz w:val="20"/>
          <w:szCs w:val="20"/>
          <w:color w:val="auto"/>
        </w:rPr>
      </w:pPr>
    </w:p>
    <w:p>
      <w:pPr>
        <w:ind w:left="932" w:right="140" w:hanging="863"/>
        <w:spacing w:after="0" w:line="325" w:lineRule="auto"/>
        <w:tabs>
          <w:tab w:leader="none" w:pos="912"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36">
        <w:r>
          <w:rPr>
            <w:rFonts w:ascii="Arial" w:cs="Arial" w:eastAsia="Arial" w:hAnsi="Arial"/>
            <w:sz w:val="16"/>
            <w:szCs w:val="16"/>
            <w:u w:val="single" w:color="auto"/>
            <w:color w:val="0000EE"/>
          </w:rPr>
          <w:t>Form of Notice of Stock Option Grant and Stock Option Agreement for awards pursuant to the 2013 Equity Incentive Plan (incorporated by</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reference to Exhibit 10.3 of the Registrant’s Quarterly Report on Form 10-Q (File No. 001-33185) filed November 7, 2013).</w:t>
        </w:r>
      </w:hyperlink>
    </w:p>
    <w:p>
      <w:pPr>
        <w:spacing w:after="0" w:line="1" w:lineRule="exact"/>
        <w:rPr>
          <w:sz w:val="20"/>
          <w:szCs w:val="20"/>
          <w:color w:val="auto"/>
        </w:rPr>
      </w:pPr>
    </w:p>
    <w:p>
      <w:pPr>
        <w:ind w:left="932" w:right="140" w:hanging="863"/>
        <w:spacing w:after="0" w:line="277" w:lineRule="auto"/>
        <w:tabs>
          <w:tab w:leader="none" w:pos="912"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7">
        <w:r>
          <w:rPr>
            <w:rFonts w:ascii="Arial" w:cs="Arial" w:eastAsia="Arial" w:hAnsi="Arial"/>
            <w:sz w:val="18"/>
            <w:szCs w:val="18"/>
            <w:u w:val="single" w:color="auto"/>
            <w:color w:val="0000EE"/>
          </w:rPr>
          <w:t>Severance Protection Agreement, dated July 14, 2014, by and between MediciNova, Inc. and Dr. Yuichi Iwaki (incorporated by reference to</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Exhibit 10.2 of the Registrant’s Quarterly Report on Form 10-Q (File No. 001-33185) filed August 13, 2014).</w:t>
        </w:r>
      </w:hyperlink>
    </w:p>
    <w:p>
      <w:pPr>
        <w:spacing w:after="0" w:line="89" w:lineRule="exact"/>
        <w:rPr>
          <w:sz w:val="20"/>
          <w:szCs w:val="20"/>
          <w:color w:val="auto"/>
        </w:rPr>
      </w:pPr>
    </w:p>
    <w:p>
      <w:pPr>
        <w:ind w:left="932" w:right="20" w:hanging="863"/>
        <w:spacing w:after="0" w:line="306" w:lineRule="auto"/>
        <w:tabs>
          <w:tab w:leader="none" w:pos="912" w:val="left"/>
        </w:tabs>
        <w:rPr>
          <w:rFonts w:ascii="Arial" w:cs="Arial" w:eastAsia="Arial" w:hAnsi="Arial"/>
          <w:sz w:val="17"/>
          <w:szCs w:val="17"/>
          <w:u w:val="single" w:color="auto"/>
          <w:color w:val="0000EE"/>
        </w:rPr>
      </w:pPr>
      <w:r>
        <w:rPr>
          <w:rFonts w:ascii="Arial" w:cs="Arial" w:eastAsia="Arial" w:hAnsi="Arial"/>
          <w:sz w:val="18"/>
          <w:szCs w:val="18"/>
          <w:color w:val="auto"/>
        </w:rPr>
        <w:t>10.20*</w:t>
      </w:r>
      <w:r>
        <w:rPr>
          <w:sz w:val="20"/>
          <w:szCs w:val="20"/>
          <w:color w:val="auto"/>
        </w:rPr>
        <w:tab/>
      </w:r>
      <w:hyperlink r:id="rId138">
        <w:r>
          <w:rPr>
            <w:rFonts w:ascii="Arial" w:cs="Arial" w:eastAsia="Arial" w:hAnsi="Arial"/>
            <w:sz w:val="17"/>
            <w:szCs w:val="17"/>
            <w:u w:val="single" w:color="auto"/>
            <w:color w:val="0000EE"/>
          </w:rPr>
          <w:t>Severance Protection Agreement, dated July 14, 2014, by and between MediciNova, Inc. and Dr. Kazuko Matsuda (incorporated by reference</w:t>
        </w:r>
      </w:hyperlink>
      <w:r>
        <w:rPr>
          <w:rFonts w:ascii="Arial" w:cs="Arial" w:eastAsia="Arial" w:hAnsi="Arial"/>
          <w:sz w:val="17"/>
          <w:szCs w:val="17"/>
          <w:u w:val="single" w:color="auto"/>
          <w:color w:val="0000EE"/>
        </w:rPr>
        <w:t xml:space="preserve"> </w:t>
      </w:r>
      <w:hyperlink r:id="rId138">
        <w:r>
          <w:rPr>
            <w:rFonts w:ascii="Arial" w:cs="Arial" w:eastAsia="Arial" w:hAnsi="Arial"/>
            <w:sz w:val="17"/>
            <w:szCs w:val="17"/>
            <w:u w:val="single" w:color="auto"/>
            <w:color w:val="0000EE"/>
          </w:rPr>
          <w:t>to Exhibit 10.4 of the Registrant’s Quarterly Report on Form 10-Q (File No. 001-33185) filed August 13, 2014).</w:t>
        </w:r>
      </w:hyperlink>
    </w:p>
    <w:p>
      <w:pPr>
        <w:spacing w:after="0" w:line="1" w:lineRule="exact"/>
        <w:rPr>
          <w:sz w:val="20"/>
          <w:szCs w:val="20"/>
          <w:color w:val="auto"/>
        </w:rPr>
      </w:pPr>
    </w:p>
    <w:p>
      <w:pPr>
        <w:ind w:left="932" w:right="60" w:hanging="863"/>
        <w:spacing w:after="0" w:line="277" w:lineRule="auto"/>
        <w:tabs>
          <w:tab w:leader="none" w:pos="912"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9">
        <w:r>
          <w:rPr>
            <w:rFonts w:ascii="Arial" w:cs="Arial" w:eastAsia="Arial" w:hAnsi="Arial"/>
            <w:sz w:val="18"/>
            <w:szCs w:val="18"/>
            <w:u w:val="single" w:color="auto"/>
            <w:color w:val="0000EE"/>
          </w:rPr>
          <w:t>Severance Protection Agreement, dated July 14, 2014, by and between MediciNova, Inc. and Geoffrey O’Brien (incorporated by reference to</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Exhibit 10.5 of the Registrant’s Quarterly Report on Form 10-Q (File No. 001-33185) filed August 13, 2014).</w:t>
        </w:r>
      </w:hyperlink>
    </w:p>
    <w:p>
      <w:pPr>
        <w:spacing w:after="0" w:line="22" w:lineRule="exact"/>
        <w:rPr>
          <w:sz w:val="20"/>
          <w:szCs w:val="20"/>
          <w:color w:val="auto"/>
        </w:rPr>
      </w:pPr>
    </w:p>
    <w:p>
      <w:pPr>
        <w:ind w:left="932" w:right="340" w:hanging="863"/>
        <w:spacing w:after="0" w:line="308" w:lineRule="auto"/>
        <w:tabs>
          <w:tab w:leader="none" w:pos="912" w:val="left"/>
        </w:tabs>
        <w:rPr>
          <w:rFonts w:ascii="Arial" w:cs="Arial" w:eastAsia="Arial" w:hAnsi="Arial"/>
          <w:sz w:val="17"/>
          <w:szCs w:val="17"/>
          <w:u w:val="single" w:color="auto"/>
          <w:color w:val="0000EE"/>
        </w:rPr>
      </w:pPr>
      <w:r>
        <w:rPr>
          <w:rFonts w:ascii="Arial" w:cs="Arial" w:eastAsia="Arial" w:hAnsi="Arial"/>
          <w:sz w:val="18"/>
          <w:szCs w:val="18"/>
          <w:color w:val="auto"/>
        </w:rPr>
        <w:t>10.22</w:t>
      </w:r>
      <w:r>
        <w:rPr>
          <w:sz w:val="20"/>
          <w:szCs w:val="20"/>
          <w:color w:val="auto"/>
        </w:rPr>
        <w:tab/>
      </w:r>
      <w:hyperlink r:id="rId140">
        <w:r>
          <w:rPr>
            <w:rFonts w:ascii="Arial" w:cs="Arial" w:eastAsia="Arial" w:hAnsi="Arial"/>
            <w:sz w:val="17"/>
            <w:szCs w:val="17"/>
            <w:u w:val="single" w:color="auto"/>
            <w:color w:val="0000EE"/>
          </w:rPr>
          <w:t>At-the-Market Issuance Sales Agreement, dated May 22, 2015, by and between MediciNova, Inc. and MLV &amp; Co. LLC (incorporated by</w:t>
        </w:r>
      </w:hyperlink>
      <w:r>
        <w:rPr>
          <w:rFonts w:ascii="Arial" w:cs="Arial" w:eastAsia="Arial" w:hAnsi="Arial"/>
          <w:sz w:val="17"/>
          <w:szCs w:val="17"/>
          <w:u w:val="single" w:color="auto"/>
          <w:color w:val="0000EE"/>
        </w:rPr>
        <w:t xml:space="preserve"> </w:t>
      </w:r>
      <w:hyperlink r:id="rId140">
        <w:r>
          <w:rPr>
            <w:rFonts w:ascii="Arial" w:cs="Arial" w:eastAsia="Arial" w:hAnsi="Arial"/>
            <w:sz w:val="17"/>
            <w:szCs w:val="17"/>
            <w:u w:val="single" w:color="auto"/>
            <w:color w:val="0000EE"/>
          </w:rPr>
          <w:t>reference to Exhibit 10.1 of the Registrant’s Current Report on Form 8-K (File No. 001-33185) filed May 22, 2015).</w:t>
        </w:r>
      </w:hyperlink>
    </w:p>
    <w:p>
      <w:pPr>
        <w:spacing w:after="0" w:line="119" w:lineRule="exact"/>
        <w:rPr>
          <w:sz w:val="20"/>
          <w:szCs w:val="20"/>
          <w:color w:val="auto"/>
        </w:rPr>
      </w:pPr>
    </w:p>
    <w:p>
      <w:pPr>
        <w:ind w:left="932" w:right="100" w:hanging="863"/>
        <w:spacing w:after="0" w:line="308" w:lineRule="auto"/>
        <w:tabs>
          <w:tab w:leader="none" w:pos="912" w:val="left"/>
        </w:tabs>
        <w:rPr>
          <w:rFonts w:ascii="Arial" w:cs="Arial" w:eastAsia="Arial" w:hAnsi="Arial"/>
          <w:sz w:val="17"/>
          <w:szCs w:val="17"/>
          <w:u w:val="single" w:color="auto"/>
          <w:color w:val="0000EE"/>
        </w:rPr>
      </w:pPr>
      <w:r>
        <w:rPr>
          <w:rFonts w:ascii="Arial" w:cs="Arial" w:eastAsia="Arial" w:hAnsi="Arial"/>
          <w:sz w:val="18"/>
          <w:szCs w:val="18"/>
          <w:color w:val="auto"/>
        </w:rPr>
        <w:t>10.23</w:t>
      </w:r>
      <w:r>
        <w:rPr>
          <w:sz w:val="20"/>
          <w:szCs w:val="20"/>
          <w:color w:val="auto"/>
        </w:rPr>
        <w:tab/>
      </w:r>
      <w:hyperlink r:id="rId141">
        <w:r>
          <w:rPr>
            <w:rFonts w:ascii="Arial" w:cs="Arial" w:eastAsia="Arial" w:hAnsi="Arial"/>
            <w:sz w:val="17"/>
            <w:szCs w:val="17"/>
            <w:u w:val="single" w:color="auto"/>
            <w:color w:val="0000EE"/>
          </w:rPr>
          <w:t>Services Agreement, effective March 31, 2016, by and between MediciNova, Inc. and Signature Analytics San Diego, LLC (incorporated by</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reference to Exhibit 10.1 of the Registrant’s Current Report on Form 8-K (File No. 001-33185) filed March 31, 2016).</w:t>
        </w:r>
      </w:hyperlink>
    </w:p>
    <w:p>
      <w:pPr>
        <w:spacing w:after="0" w:line="241" w:lineRule="exact"/>
        <w:rPr>
          <w:sz w:val="20"/>
          <w:szCs w:val="20"/>
          <w:color w:val="auto"/>
        </w:rPr>
      </w:pPr>
    </w:p>
    <w:p>
      <w:pPr>
        <w:ind w:left="72"/>
        <w:spacing w:after="0"/>
        <w:tabs>
          <w:tab w:leader="none" w:pos="972"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42">
        <w:r>
          <w:rPr>
            <w:rFonts w:ascii="Arial" w:cs="Arial" w:eastAsia="Arial" w:hAnsi="Arial"/>
            <w:sz w:val="16"/>
            <w:szCs w:val="16"/>
            <w:u w:val="single" w:color="auto"/>
            <w:color w:val="0000EE"/>
          </w:rPr>
          <w:t>Amendment No. 1 to At-the Market Issuance Sales Agreement, dated September 16, 2016, by and among MediciNova, Inc., MLV &amp; Co.</w:t>
        </w:r>
      </w:hyperlink>
    </w:p>
    <w:p>
      <w:pPr>
        <w:spacing w:after="0" w:line="23" w:lineRule="exact"/>
        <w:rPr>
          <w:sz w:val="20"/>
          <w:szCs w:val="20"/>
          <w:color w:val="auto"/>
        </w:rPr>
      </w:pPr>
    </w:p>
    <w:p>
      <w:pPr>
        <w:ind w:left="992"/>
        <w:spacing w:after="0"/>
        <w:rPr>
          <w:rFonts w:ascii="Arial" w:cs="Arial" w:eastAsia="Arial" w:hAnsi="Arial"/>
          <w:sz w:val="16"/>
          <w:szCs w:val="16"/>
          <w:u w:val="single" w:color="auto"/>
          <w:color w:val="0000EE"/>
        </w:rPr>
      </w:pPr>
      <w:hyperlink r:id="rId142">
        <w:r>
          <w:rPr>
            <w:rFonts w:ascii="Arial" w:cs="Arial" w:eastAsia="Arial" w:hAnsi="Arial"/>
            <w:sz w:val="16"/>
            <w:szCs w:val="16"/>
            <w:u w:val="single" w:color="auto"/>
            <w:color w:val="0000EE"/>
          </w:rPr>
          <w:t>LLC and FBR Capital Markets &amp; Co. (incorporated by reference to Exhibit 10.1 of the Registrant’s Current Report on Form 8-K (File No.</w:t>
        </w:r>
      </w:hyperlink>
    </w:p>
    <w:p>
      <w:pPr>
        <w:spacing w:after="0" w:line="32" w:lineRule="exact"/>
        <w:rPr>
          <w:sz w:val="20"/>
          <w:szCs w:val="20"/>
          <w:color w:val="auto"/>
        </w:rPr>
      </w:pPr>
    </w:p>
    <w:p>
      <w:pPr>
        <w:ind w:left="992"/>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001-33185) filed September 16, 2016).</w:t>
        </w:r>
      </w:hyperlink>
    </w:p>
    <w:p>
      <w:pPr>
        <w:spacing w:after="0" w:line="62" w:lineRule="exact"/>
        <w:rPr>
          <w:sz w:val="20"/>
          <w:szCs w:val="20"/>
          <w:color w:val="auto"/>
        </w:rPr>
      </w:pPr>
    </w:p>
    <w:p>
      <w:pPr>
        <w:ind w:left="932" w:right="320" w:hanging="863"/>
        <w:spacing w:after="0" w:line="325" w:lineRule="auto"/>
        <w:tabs>
          <w:tab w:leader="none" w:pos="912"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43">
        <w:r>
          <w:rPr>
            <w:rFonts w:ascii="Arial" w:cs="Arial" w:eastAsia="Arial" w:hAnsi="Arial"/>
            <w:sz w:val="16"/>
            <w:szCs w:val="16"/>
            <w:u w:val="single" w:color="auto"/>
            <w:color w:val="0000EE"/>
          </w:rPr>
          <w:t>At Market Issuance Sales Agreement, dated August 23, 2019, by and between MediciNova, Inc. and B. Riley FBR, Inc. (incorporated by</w:t>
        </w:r>
      </w:hyperlink>
      <w:r>
        <w:rPr>
          <w:rFonts w:ascii="Arial" w:cs="Arial" w:eastAsia="Arial" w:hAnsi="Arial"/>
          <w:sz w:val="16"/>
          <w:szCs w:val="16"/>
          <w:u w:val="single" w:color="auto"/>
          <w:color w:val="0000EE"/>
        </w:rPr>
        <w:t xml:space="preserve"> </w:t>
      </w:r>
      <w:hyperlink r:id="rId143">
        <w:r>
          <w:rPr>
            <w:rFonts w:ascii="Arial" w:cs="Arial" w:eastAsia="Arial" w:hAnsi="Arial"/>
            <w:sz w:val="16"/>
            <w:szCs w:val="16"/>
            <w:u w:val="single" w:color="auto"/>
            <w:color w:val="0000EE"/>
          </w:rPr>
          <w:t>reference to Exhibit 10.1 of the Registrant’s Current Report on Form 8-K (File No. 001-33185) filed August 23, 2019). Inc.</w:t>
        </w:r>
      </w:hyperlink>
    </w:p>
    <w:p>
      <w:pPr>
        <w:spacing w:after="0" w:line="1" w:lineRule="exact"/>
        <w:rPr>
          <w:sz w:val="20"/>
          <w:szCs w:val="20"/>
          <w:color w:val="auto"/>
        </w:rPr>
      </w:pPr>
    </w:p>
    <w:p>
      <w:pPr>
        <w:ind w:left="72"/>
        <w:spacing w:after="0"/>
        <w:tabs>
          <w:tab w:leader="none" w:pos="912"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3">
        <w:r>
          <w:rPr>
            <w:rFonts w:ascii="Arial" w:cs="Arial" w:eastAsia="Arial" w:hAnsi="Arial"/>
            <w:sz w:val="16"/>
            <w:szCs w:val="16"/>
            <w:u w:val="single" w:color="auto"/>
            <w:color w:val="0000EE"/>
          </w:rPr>
          <w:t>Consent of Independent Registered Public Accounting Firm.</w:t>
        </w:r>
      </w:hyperlink>
    </w:p>
    <w:p>
      <w:pPr>
        <w:spacing w:after="0" w:line="77" w:lineRule="exact"/>
        <w:rPr>
          <w:sz w:val="20"/>
          <w:szCs w:val="20"/>
          <w:color w:val="auto"/>
        </w:rPr>
      </w:pPr>
    </w:p>
    <w:p>
      <w:pPr>
        <w:ind w:left="72"/>
        <w:spacing w:after="0"/>
        <w:tabs>
          <w:tab w:leader="none" w:pos="912"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88">
        <w:r>
          <w:rPr>
            <w:rFonts w:ascii="Arial" w:cs="Arial" w:eastAsia="Arial" w:hAnsi="Arial"/>
            <w:sz w:val="16"/>
            <w:szCs w:val="16"/>
            <w:u w:val="single" w:color="auto"/>
            <w:color w:val="0000EE"/>
          </w:rPr>
          <w:t>Powers of Attorney (see signature page).</w:t>
        </w:r>
      </w:hyperlink>
    </w:p>
    <w:p>
      <w:pPr>
        <w:spacing w:after="0" w:line="77" w:lineRule="exact"/>
        <w:rPr>
          <w:sz w:val="20"/>
          <w:szCs w:val="20"/>
          <w:color w:val="auto"/>
        </w:rPr>
      </w:pPr>
    </w:p>
    <w:p>
      <w:pPr>
        <w:ind w:left="72"/>
        <w:spacing w:after="0"/>
        <w:tabs>
          <w:tab w:leader="none" w:pos="912"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94">
        <w:r>
          <w:rPr>
            <w:rFonts w:ascii="Arial" w:cs="Arial" w:eastAsia="Arial" w:hAnsi="Arial"/>
            <w:sz w:val="16"/>
            <w:szCs w:val="16"/>
            <w:u w:val="single" w:color="auto"/>
            <w:color w:val="0000EE"/>
          </w:rPr>
          <w:t>Certification of the Principal Executive Officer pursuant to Rules 13a-14 and 15d-14 promulgated under the Securities Act of 1933.</w:t>
        </w:r>
      </w:hyperlink>
    </w:p>
    <w:p>
      <w:pPr>
        <w:spacing w:after="0" w:line="77" w:lineRule="exact"/>
        <w:rPr>
          <w:sz w:val="20"/>
          <w:szCs w:val="20"/>
          <w:color w:val="auto"/>
        </w:rPr>
      </w:pPr>
    </w:p>
    <w:p>
      <w:pPr>
        <w:ind w:left="72"/>
        <w:spacing w:after="0"/>
        <w:tabs>
          <w:tab w:leader="none" w:pos="912"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95">
        <w:r>
          <w:rPr>
            <w:rFonts w:ascii="Arial" w:cs="Arial" w:eastAsia="Arial" w:hAnsi="Arial"/>
            <w:sz w:val="16"/>
            <w:szCs w:val="16"/>
            <w:u w:val="single" w:color="auto"/>
            <w:color w:val="0000EE"/>
          </w:rPr>
          <w:t>Certification of the Principal Financial Officer pursuant to Rules 13a-14 and 15d-14 promulgated under the Securities Act of 1933.</w:t>
        </w:r>
      </w:hyperlink>
    </w:p>
    <w:p>
      <w:pPr>
        <w:spacing w:after="0" w:line="77" w:lineRule="exact"/>
        <w:rPr>
          <w:sz w:val="20"/>
          <w:szCs w:val="20"/>
          <w:color w:val="auto"/>
        </w:rPr>
      </w:pPr>
    </w:p>
    <w:p>
      <w:pPr>
        <w:ind w:left="932" w:right="420" w:hanging="863"/>
        <w:spacing w:after="0" w:line="277" w:lineRule="auto"/>
        <w:tabs>
          <w:tab w:leader="none" w:pos="912"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96">
        <w:r>
          <w:rPr>
            <w:rFonts w:ascii="Arial" w:cs="Arial" w:eastAsia="Arial" w:hAnsi="Arial"/>
            <w:sz w:val="18"/>
            <w:szCs w:val="18"/>
            <w:u w:val="single" w:color="auto"/>
            <w:color w:val="0000EE"/>
          </w:rPr>
          <w:t>Certification of the Principal Executive Officer pursuant to 18 U.S.C. Section 1350, as adopted pursuant to Section 906 of the Sarbanes-</w:t>
        </w:r>
      </w:hyperlink>
      <w:hyperlink w:anchor="page96">
        <w:r>
          <w:rPr>
            <w:rFonts w:ascii="Arial" w:cs="Arial" w:eastAsia="Arial" w:hAnsi="Arial"/>
            <w:sz w:val="18"/>
            <w:szCs w:val="18"/>
            <w:u w:val="single" w:color="auto"/>
            <w:color w:val="0000EE"/>
          </w:rPr>
          <w:t>Oxley Act of 2002.</w:t>
        </w:r>
      </w:hyperlink>
    </w:p>
    <w:p>
      <w:pPr>
        <w:spacing w:after="0" w:line="22" w:lineRule="exact"/>
        <w:rPr>
          <w:sz w:val="20"/>
          <w:szCs w:val="20"/>
          <w:color w:val="auto"/>
        </w:rPr>
      </w:pPr>
    </w:p>
    <w:p>
      <w:pPr>
        <w:ind w:left="932" w:right="20" w:hanging="863"/>
        <w:spacing w:after="0" w:line="277" w:lineRule="auto"/>
        <w:tabs>
          <w:tab w:leader="none" w:pos="912"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97">
        <w:r>
          <w:rPr>
            <w:rFonts w:ascii="Arial" w:cs="Arial" w:eastAsia="Arial" w:hAnsi="Arial"/>
            <w:sz w:val="18"/>
            <w:szCs w:val="18"/>
            <w:u w:val="single" w:color="auto"/>
            <w:color w:val="0000EE"/>
          </w:rPr>
          <w:t>Certification of the Principal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Act of 2002.</w:t>
        </w:r>
      </w:hyperlink>
    </w:p>
    <w:p>
      <w:pPr>
        <w:spacing w:after="0" w:line="22" w:lineRule="exact"/>
        <w:rPr>
          <w:sz w:val="20"/>
          <w:szCs w:val="20"/>
          <w:color w:val="auto"/>
        </w:rPr>
      </w:pPr>
    </w:p>
    <w:p>
      <w:pPr>
        <w:ind w:left="932" w:hanging="865"/>
        <w:spacing w:after="0" w:line="259" w:lineRule="auto"/>
        <w:tabs>
          <w:tab w:leader="none" w:pos="9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as of and for the year ended December 31, 2020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59" w:lineRule="exact"/>
        <w:rPr>
          <w:rFonts w:ascii="Arial" w:cs="Arial" w:eastAsia="Arial" w:hAnsi="Arial"/>
          <w:sz w:val="18"/>
          <w:szCs w:val="18"/>
          <w:color w:val="auto"/>
        </w:rPr>
      </w:pPr>
    </w:p>
    <w:p>
      <w:pPr>
        <w:ind w:left="572" w:hanging="572"/>
        <w:spacing w:after="0"/>
        <w:tabs>
          <w:tab w:leader="none" w:pos="5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1097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 w:lineRule="exact"/>
        <w:rPr>
          <w:sz w:val="20"/>
          <w:szCs w:val="20"/>
          <w:color w:val="auto"/>
        </w:rPr>
      </w:pPr>
    </w:p>
    <w:p>
      <w:pPr>
        <w:ind w:left="572" w:hanging="572"/>
        <w:spacing w:after="0"/>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333" w:right="41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EDICINOVA</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1240"/>
          </w:cols>
          <w:pgMar w:left="320" w:top="553" w:right="3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18, 2021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22225</wp:posOffset>
            </wp:positionV>
            <wp:extent cx="28460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3">
            <w:col w:w="5580" w:space="720"/>
            <w:col w:w="1400" w:space="720"/>
            <w:col w:w="2820"/>
          </w:cols>
          <w:pgMar w:left="320" w:top="553" w:right="339" w:bottom="1440" w:gutter="0" w:footer="0" w:header="0"/>
          <w:type w:val="continuous"/>
        </w:sectPr>
      </w:pPr>
    </w:p>
    <w:p>
      <w:pPr>
        <w:jc w:val="center"/>
        <w:ind w:left="6740"/>
        <w:spacing w:after="0"/>
        <w:rPr>
          <w:sz w:val="20"/>
          <w:szCs w:val="20"/>
          <w:color w:val="auto"/>
        </w:rPr>
      </w:pPr>
      <w:r>
        <w:rPr>
          <w:rFonts w:ascii="Arial" w:cs="Arial" w:eastAsia="Arial" w:hAnsi="Arial"/>
          <w:sz w:val="18"/>
          <w:szCs w:val="18"/>
          <w:color w:val="auto"/>
        </w:rPr>
        <w:t>Yuichi Iwaki, M.D., Ph.D.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President &amp; Chief Executive Officer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0" w:type="dxa"/>
            <w:vAlign w:val="bottom"/>
          </w:tcPr>
          <w:p>
            <w:pPr>
              <w:spacing w:after="0"/>
              <w:rPr>
                <w:sz w:val="14"/>
                <w:szCs w:val="14"/>
                <w:color w:val="auto"/>
              </w:rPr>
            </w:pPr>
          </w:p>
        </w:tc>
        <w:tc>
          <w:tcPr>
            <w:tcW w:w="502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0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7"/>
        </w:trPr>
        <w:tc>
          <w:tcPr>
            <w:tcW w:w="3900" w:type="dxa"/>
            <w:vAlign w:val="bottom"/>
          </w:tcPr>
          <w:p>
            <w:pPr>
              <w:jc w:val="center"/>
              <w:spacing w:after="0"/>
              <w:rPr>
                <w:sz w:val="20"/>
                <w:szCs w:val="20"/>
                <w:color w:val="auto"/>
              </w:rPr>
            </w:pPr>
            <w:r>
              <w:rPr>
                <w:rFonts w:ascii="Arial" w:cs="Arial" w:eastAsia="Arial" w:hAnsi="Arial"/>
                <w:sz w:val="18"/>
                <w:szCs w:val="18"/>
                <w:color w:val="auto"/>
                <w:w w:val="95"/>
              </w:rPr>
              <w:t>/s/ Yuichi Iwaki</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Director, President and Chief Executive Officer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18, 2021</w:t>
            </w:r>
          </w:p>
        </w:tc>
        <w:tc>
          <w:tcPr>
            <w:tcW w:w="0" w:type="dxa"/>
            <w:vAlign w:val="bottom"/>
          </w:tcPr>
          <w:p>
            <w:pPr>
              <w:spacing w:after="0"/>
              <w:rPr>
                <w:sz w:val="1"/>
                <w:szCs w:val="1"/>
                <w:color w:val="auto"/>
              </w:rPr>
            </w:pPr>
          </w:p>
        </w:tc>
      </w:tr>
      <w:tr>
        <w:trPr>
          <w:trHeight w:val="28"/>
        </w:trPr>
        <w:tc>
          <w:tcPr>
            <w:tcW w:w="3900" w:type="dxa"/>
            <w:vAlign w:val="bottom"/>
            <w:tcBorders>
              <w:bottom w:val="single" w:sz="8" w:color="auto"/>
            </w:tcBorders>
          </w:tcPr>
          <w:p>
            <w:pPr>
              <w:spacing w:after="0"/>
              <w:rPr>
                <w:sz w:val="2"/>
                <w:szCs w:val="2"/>
                <w:color w:val="auto"/>
              </w:rPr>
            </w:pPr>
          </w:p>
        </w:tc>
        <w:tc>
          <w:tcPr>
            <w:tcW w:w="5320" w:type="dxa"/>
            <w:vAlign w:val="bottom"/>
            <w:gridSpan w:val="3"/>
            <w:vMerge w:val="restart"/>
          </w:tcPr>
          <w:p>
            <w:pPr>
              <w:ind w:left="200"/>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4"/>
              </w:rPr>
              <w:t>Yuichi Iwaki, M.D., Ph.D.</w:t>
            </w:r>
          </w:p>
        </w:tc>
        <w:tc>
          <w:tcPr>
            <w:tcW w:w="532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900" w:type="dxa"/>
            <w:vAlign w:val="bottom"/>
          </w:tcPr>
          <w:p>
            <w:pPr>
              <w:jc w:val="center"/>
              <w:spacing w:after="0"/>
              <w:rPr>
                <w:sz w:val="20"/>
                <w:szCs w:val="20"/>
                <w:color w:val="auto"/>
              </w:rPr>
            </w:pPr>
            <w:r>
              <w:rPr>
                <w:rFonts w:ascii="Arial" w:cs="Arial" w:eastAsia="Arial" w:hAnsi="Arial"/>
                <w:sz w:val="18"/>
                <w:szCs w:val="18"/>
                <w:color w:val="auto"/>
                <w:w w:val="89"/>
              </w:rPr>
              <w:t>/s/ Edward Stepanow</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18, 2021</w:t>
            </w:r>
          </w:p>
        </w:tc>
        <w:tc>
          <w:tcPr>
            <w:tcW w:w="0" w:type="dxa"/>
            <w:vAlign w:val="bottom"/>
          </w:tcPr>
          <w:p>
            <w:pPr>
              <w:spacing w:after="0"/>
              <w:rPr>
                <w:sz w:val="1"/>
                <w:szCs w:val="1"/>
                <w:color w:val="auto"/>
              </w:rPr>
            </w:pPr>
          </w:p>
        </w:tc>
      </w:tr>
      <w:tr>
        <w:trPr>
          <w:trHeight w:val="28"/>
        </w:trPr>
        <w:tc>
          <w:tcPr>
            <w:tcW w:w="3900" w:type="dxa"/>
            <w:vAlign w:val="bottom"/>
            <w:tcBorders>
              <w:bottom w:val="single" w:sz="8" w:color="auto"/>
            </w:tcBorders>
          </w:tcPr>
          <w:p>
            <w:pPr>
              <w:spacing w:after="0"/>
              <w:rPr>
                <w:sz w:val="2"/>
                <w:szCs w:val="2"/>
                <w:color w:val="auto"/>
              </w:rPr>
            </w:pPr>
          </w:p>
        </w:tc>
        <w:tc>
          <w:tcPr>
            <w:tcW w:w="5320" w:type="dxa"/>
            <w:vAlign w:val="bottom"/>
            <w:gridSpan w:val="3"/>
            <w:vMerge w:val="restart"/>
          </w:tcPr>
          <w:p>
            <w:pPr>
              <w:ind w:left="200"/>
              <w:spacing w:after="0"/>
              <w:rPr>
                <w:sz w:val="20"/>
                <w:szCs w:val="20"/>
                <w:color w:val="auto"/>
              </w:rPr>
            </w:pPr>
            <w:r>
              <w:rPr>
                <w:rFonts w:ascii="Arial" w:cs="Arial" w:eastAsia="Arial" w:hAnsi="Arial"/>
                <w:sz w:val="18"/>
                <w:szCs w:val="18"/>
                <w:i w:val="1"/>
                <w:iCs w:val="1"/>
                <w:color w:val="auto"/>
              </w:rPr>
              <w:t>(Principal financial and accounting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0"/>
              </w:rPr>
              <w:t>Edward Stepanow</w:t>
            </w:r>
          </w:p>
        </w:tc>
        <w:tc>
          <w:tcPr>
            <w:tcW w:w="532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 Himawan</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Chairman of the Board of Directors</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18, 2021</w:t>
            </w:r>
          </w:p>
        </w:tc>
        <w:tc>
          <w:tcPr>
            <w:tcW w:w="0" w:type="dxa"/>
            <w:vAlign w:val="bottom"/>
          </w:tcPr>
          <w:p>
            <w:pPr>
              <w:spacing w:after="0"/>
              <w:rPr>
                <w:sz w:val="1"/>
                <w:szCs w:val="1"/>
                <w:color w:val="auto"/>
              </w:rPr>
            </w:pP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2"/>
              </w:rPr>
              <w:t>Jeff Himawan, Ph.D.</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Carolyn Beaver</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18, 2021</w:t>
            </w:r>
          </w:p>
        </w:tc>
        <w:tc>
          <w:tcPr>
            <w:tcW w:w="0" w:type="dxa"/>
            <w:vAlign w:val="bottom"/>
          </w:tcPr>
          <w:p>
            <w:pPr>
              <w:spacing w:after="0"/>
              <w:rPr>
                <w:sz w:val="1"/>
                <w:szCs w:val="1"/>
                <w:color w:val="auto"/>
              </w:rPr>
            </w:pP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0"/>
              </w:rPr>
              <w:t>Carolyn Beaver</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Kazuko Matsuda</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18, 2021</w:t>
            </w:r>
          </w:p>
        </w:tc>
        <w:tc>
          <w:tcPr>
            <w:tcW w:w="0" w:type="dxa"/>
            <w:vAlign w:val="bottom"/>
          </w:tcPr>
          <w:p>
            <w:pPr>
              <w:spacing w:after="0"/>
              <w:rPr>
                <w:sz w:val="1"/>
                <w:szCs w:val="1"/>
                <w:color w:val="auto"/>
              </w:rPr>
            </w:pP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2"/>
              </w:rPr>
              <w:t>Kazuko Matsuda</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Hideki Nagao</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18, 2021</w:t>
            </w:r>
          </w:p>
        </w:tc>
        <w:tc>
          <w:tcPr>
            <w:tcW w:w="0" w:type="dxa"/>
            <w:vAlign w:val="bottom"/>
          </w:tcPr>
          <w:p>
            <w:pPr>
              <w:spacing w:after="0"/>
              <w:rPr>
                <w:sz w:val="1"/>
                <w:szCs w:val="1"/>
                <w:color w:val="auto"/>
              </w:rPr>
            </w:pP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2"/>
              </w:rPr>
              <w:t>Hideki Nagao</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553" w:right="3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4.3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0" w:firstLine="802"/>
        <w:spacing w:after="0" w:line="277" w:lineRule="auto"/>
        <w:rPr>
          <w:sz w:val="20"/>
          <w:szCs w:val="20"/>
          <w:color w:val="auto"/>
        </w:rPr>
      </w:pPr>
      <w:r>
        <w:rPr>
          <w:rFonts w:ascii="Arial" w:cs="Arial" w:eastAsia="Arial" w:hAnsi="Arial"/>
          <w:sz w:val="18"/>
          <w:szCs w:val="18"/>
          <w:color w:val="auto"/>
        </w:rPr>
        <w:t>MediciNova, Inc. (“we,” “us,” and “our”) has one class of securities registered under Section 12 of the Securities Exchange Act of 1934, as amended - our common stock, $0.001 par value per share.</w:t>
      </w:r>
    </w:p>
    <w:p>
      <w:pPr>
        <w:spacing w:after="0" w:line="170" w:lineRule="exact"/>
        <w:rPr>
          <w:sz w:val="20"/>
          <w:szCs w:val="20"/>
          <w:color w:val="auto"/>
        </w:rPr>
      </w:pPr>
    </w:p>
    <w:p>
      <w:pPr>
        <w:ind w:right="100" w:firstLine="802"/>
        <w:spacing w:after="0" w:line="259" w:lineRule="auto"/>
        <w:rPr>
          <w:sz w:val="20"/>
          <w:szCs w:val="20"/>
          <w:color w:val="auto"/>
        </w:rPr>
      </w:pPr>
      <w:r>
        <w:rPr>
          <w:rFonts w:ascii="Arial" w:cs="Arial" w:eastAsia="Arial" w:hAnsi="Arial"/>
          <w:sz w:val="18"/>
          <w:szCs w:val="18"/>
          <w:color w:val="auto"/>
        </w:rPr>
        <w:t>The following information describes our capital stock, as well as certain provisions of our restated certificate of incorporation, as amended, and amended and restated bylaws. The summary does not purport to be complete and is qualified in its entirety by reference to our restated certificate of incorporation and amended and restated bylaws, copies of which have been filed as exhibits to our public filings with the Securities and Exchange Commission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802"/>
        <w:spacing w:after="0" w:line="296" w:lineRule="auto"/>
        <w:rPr>
          <w:sz w:val="20"/>
          <w:szCs w:val="20"/>
          <w:color w:val="auto"/>
        </w:rPr>
      </w:pPr>
      <w:r>
        <w:rPr>
          <w:rFonts w:ascii="Arial" w:cs="Arial" w:eastAsia="Arial" w:hAnsi="Arial"/>
          <w:sz w:val="16"/>
          <w:szCs w:val="16"/>
          <w:color w:val="auto"/>
        </w:rPr>
        <w:t>Our authorized capital stock consists of 100,000,000 shares of common stock, with a $0.001 par value per share, and 10,000,000 shares of preferred stock, with a $0.01 par value per share, all of which shares of preferred stock are undesignated. Our board of directors may establish the rights and preferences of the preferred stock from time to time. As of February 16, 2021, there were 48,680,867 shares of common stock issued and outstanding, held of record by 15 stockholders, although we believe that there may be a significantly larger number of beneficial owners of our common stock. We derived the number of stockholders by reviewing the listing of outstanding common stock recorded by our transfer agent as of February 16,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802"/>
        <w:spacing w:after="0" w:line="293"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164" w:lineRule="exact"/>
        <w:rPr>
          <w:sz w:val="20"/>
          <w:szCs w:val="20"/>
          <w:color w:val="auto"/>
        </w:rPr>
      </w:pPr>
    </w:p>
    <w:p>
      <w:pPr>
        <w:ind w:right="380" w:firstLine="802"/>
        <w:spacing w:after="0" w:line="277" w:lineRule="auto"/>
        <w:rPr>
          <w:sz w:val="20"/>
          <w:szCs w:val="20"/>
          <w:color w:val="auto"/>
        </w:rPr>
      </w:pPr>
      <w:r>
        <w:rPr>
          <w:rFonts w:ascii="Arial" w:cs="Arial" w:eastAsia="Arial" w:hAnsi="Arial"/>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70" w:lineRule="exact"/>
        <w:rPr>
          <w:sz w:val="20"/>
          <w:szCs w:val="20"/>
          <w:color w:val="auto"/>
        </w:rPr>
      </w:pPr>
    </w:p>
    <w:p>
      <w:pPr>
        <w:ind w:right="80" w:firstLine="802"/>
        <w:spacing w:after="0" w:line="263" w:lineRule="auto"/>
        <w:rPr>
          <w:sz w:val="20"/>
          <w:szCs w:val="20"/>
          <w:color w:val="auto"/>
        </w:rPr>
      </w:pPr>
      <w:r>
        <w:rPr>
          <w:rFonts w:ascii="Arial" w:cs="Arial" w:eastAsia="Arial" w:hAnsi="Arial"/>
          <w:sz w:val="18"/>
          <w:szCs w:val="18"/>
          <w:color w:val="auto"/>
        </w:rPr>
        <w:t>Our common stock is listed on the Nasdaq Capital Market under the symbol “MNOV.” The transfer agent and registrar for our common stock is American Stock Transfer &amp; Trust Company, LLC. Its address is 6201 15th Avenue, Brooklyn, New York 11219, and its telephone number is (718) 921-8200.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802"/>
        <w:spacing w:after="0" w:line="259"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spacing w:after="0" w:line="187" w:lineRule="exact"/>
        <w:rPr>
          <w:sz w:val="20"/>
          <w:szCs w:val="20"/>
          <w:color w:val="auto"/>
        </w:rPr>
      </w:pPr>
    </w:p>
    <w:p>
      <w:pPr>
        <w:ind w:right="100" w:firstLine="802"/>
        <w:spacing w:after="0" w:line="286" w:lineRule="auto"/>
        <w:rPr>
          <w:sz w:val="20"/>
          <w:szCs w:val="20"/>
          <w:color w:val="auto"/>
        </w:rPr>
      </w:pPr>
      <w:r>
        <w:rPr>
          <w:rFonts w:ascii="Arial" w:cs="Arial" w:eastAsia="Arial" w:hAnsi="Arial"/>
          <w:sz w:val="17"/>
          <w:szCs w:val="17"/>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57" w:lineRule="exact"/>
        <w:rPr>
          <w:sz w:val="20"/>
          <w:szCs w:val="20"/>
          <w:color w:val="auto"/>
        </w:rPr>
      </w:pPr>
    </w:p>
    <w:p>
      <w:pPr>
        <w:ind w:left="1200" w:hanging="396"/>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36" w:lineRule="exact"/>
        <w:rPr>
          <w:rFonts w:ascii="Arial" w:cs="Arial" w:eastAsia="Arial" w:hAnsi="Arial"/>
          <w:sz w:val="18"/>
          <w:szCs w:val="18"/>
          <w:color w:val="auto"/>
        </w:rPr>
      </w:pPr>
    </w:p>
    <w:p>
      <w:pPr>
        <w:ind w:left="1200" w:hanging="396"/>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36" w:lineRule="exact"/>
        <w:rPr>
          <w:rFonts w:ascii="Arial" w:cs="Arial" w:eastAsia="Arial" w:hAnsi="Arial"/>
          <w:sz w:val="18"/>
          <w:szCs w:val="18"/>
          <w:color w:val="auto"/>
        </w:rPr>
      </w:pPr>
    </w:p>
    <w:p>
      <w:pPr>
        <w:ind w:left="1200" w:hanging="396"/>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36" w:lineRule="exact"/>
        <w:rPr>
          <w:rFonts w:ascii="Arial" w:cs="Arial" w:eastAsia="Arial" w:hAnsi="Arial"/>
          <w:sz w:val="18"/>
          <w:szCs w:val="18"/>
          <w:color w:val="auto"/>
        </w:rPr>
      </w:pPr>
    </w:p>
    <w:p>
      <w:pPr>
        <w:ind w:left="1200" w:hanging="396"/>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or preventing changes in control or management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right="160" w:firstLine="802"/>
        <w:spacing w:after="0" w:line="277" w:lineRule="auto"/>
        <w:rPr>
          <w:sz w:val="20"/>
          <w:szCs w:val="20"/>
          <w:color w:val="auto"/>
        </w:rPr>
      </w:pPr>
      <w:r>
        <w:rPr>
          <w:rFonts w:ascii="Arial" w:cs="Arial" w:eastAsia="Arial" w:hAnsi="Arial"/>
          <w:sz w:val="18"/>
          <w:szCs w:val="18"/>
          <w:color w:val="auto"/>
        </w:rPr>
        <w:t>We have no present plans to issue any shares of preferred stock nor are any shares of our preferred stock presently outstanding. Preferred stock will be fully paid and nonassessable upon issuance.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 of Certain Provisions of our Restated Certificate of Incorporation and Bylaws</w:t>
      </w:r>
    </w:p>
    <w:p>
      <w:pPr>
        <w:spacing w:after="0" w:line="117" w:lineRule="exact"/>
        <w:rPr>
          <w:sz w:val="20"/>
          <w:szCs w:val="20"/>
          <w:color w:val="auto"/>
        </w:rPr>
      </w:pPr>
    </w:p>
    <w:p>
      <w:pPr>
        <w:ind w:firstLine="802"/>
        <w:spacing w:after="0" w:line="275" w:lineRule="auto"/>
        <w:rPr>
          <w:sz w:val="20"/>
          <w:szCs w:val="20"/>
          <w:color w:val="auto"/>
        </w:rPr>
      </w:pPr>
      <w:r>
        <w:rPr>
          <w:rFonts w:ascii="Arial" w:cs="Arial" w:eastAsia="Arial" w:hAnsi="Arial"/>
          <w:sz w:val="17"/>
          <w:szCs w:val="17"/>
          <w:color w:val="auto"/>
        </w:rPr>
        <w:t>Provisions of our restated certificate of incorporation and our amended and restated bylaws could have the effect of delaying, deferring or discouraging another party from acquiring control of us. These provisions, which are summarized below, may 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6" w:lineRule="exact"/>
        <w:rPr>
          <w:sz w:val="20"/>
          <w:szCs w:val="20"/>
          <w:color w:val="auto"/>
        </w:rPr>
      </w:pPr>
    </w:p>
    <w:p>
      <w:pPr>
        <w:jc w:val="both"/>
        <w:ind w:right="160" w:firstLine="802"/>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authority of our board of directors to issue preferred stock could potentially be used to discourage attempts</w:t>
      </w:r>
      <w:r>
        <w:rPr>
          <w:rFonts w:ascii="Arial" w:cs="Arial" w:eastAsia="Arial" w:hAnsi="Arial"/>
          <w:sz w:val="18"/>
          <w:szCs w:val="18"/>
          <w:i w:val="1"/>
          <w:iCs w:val="1"/>
          <w:color w:val="auto"/>
        </w:rPr>
        <w:t xml:space="preserve"> </w:t>
      </w:r>
      <w:r>
        <w:rPr>
          <w:rFonts w:ascii="Arial" w:cs="Arial" w:eastAsia="Arial" w:hAnsi="Arial"/>
          <w:sz w:val="18"/>
          <w:szCs w:val="18"/>
          <w:color w:val="auto"/>
        </w:rPr>
        <w:t>by third parties to obtain control of our company through a merger, tender offer, proxy contest, or otherwise by making it more difficult or more costly to obtain control of our company. Our board of directors may issue preferred stock with voting rights or conversion rights that, if exercised, could adversely affect the voting power of the holders of common stock.</w:t>
      </w:r>
    </w:p>
    <w:p>
      <w:pPr>
        <w:spacing w:after="0" w:line="187" w:lineRule="exact"/>
        <w:rPr>
          <w:sz w:val="20"/>
          <w:szCs w:val="20"/>
          <w:color w:val="auto"/>
        </w:rPr>
      </w:pPr>
    </w:p>
    <w:p>
      <w:pPr>
        <w:ind w:right="120" w:firstLine="802"/>
        <w:spacing w:after="0" w:line="259" w:lineRule="auto"/>
        <w:rPr>
          <w:sz w:val="20"/>
          <w:szCs w:val="20"/>
          <w:color w:val="auto"/>
        </w:rPr>
      </w:pPr>
      <w:r>
        <w:rPr>
          <w:rFonts w:ascii="Arial" w:cs="Arial" w:eastAsia="Arial" w:hAnsi="Arial"/>
          <w:sz w:val="18"/>
          <w:szCs w:val="18"/>
          <w:i w:val="1"/>
          <w:iCs w:val="1"/>
          <w:color w:val="auto"/>
        </w:rPr>
        <w:t xml:space="preserve">Limits on Ability of Stockholders to Call a Special Meeting. </w:t>
      </w:r>
      <w:r>
        <w:rPr>
          <w:rFonts w:ascii="Arial" w:cs="Arial" w:eastAsia="Arial" w:hAnsi="Arial"/>
          <w:sz w:val="18"/>
          <w:szCs w:val="18"/>
          <w:color w:val="auto"/>
        </w:rPr>
        <w:t>Our restated certificate of incorporation, as amended and our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bylaws generally provide that special meetings of our stockholders may be called only by the Chairman of the board of directors, our Chief Executive Officer or by resolution of the board of directors. Stockholders are not permitted to call a special meeting or require our board of directors to call a special meeting.</w:t>
      </w:r>
    </w:p>
    <w:p>
      <w:pPr>
        <w:spacing w:after="0" w:line="187"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i w:val="1"/>
          <w:iCs w:val="1"/>
          <w:color w:val="auto"/>
        </w:rPr>
        <w:t xml:space="preserve">Limits on Stockholder Action by Written Consent. </w:t>
      </w:r>
      <w:r>
        <w:rPr>
          <w:rFonts w:ascii="Arial" w:cs="Arial" w:eastAsia="Arial" w:hAnsi="Arial"/>
          <w:sz w:val="18"/>
          <w:szCs w:val="18"/>
          <w:color w:val="auto"/>
        </w:rPr>
        <w:t>Any action required or permitted to be taken by the stockholders must be taken at a duly called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or special meeting and not by written consent.</w:t>
      </w:r>
    </w:p>
    <w:p>
      <w:pPr>
        <w:spacing w:after="0" w:line="170" w:lineRule="exact"/>
        <w:rPr>
          <w:sz w:val="20"/>
          <w:szCs w:val="20"/>
          <w:color w:val="auto"/>
        </w:rPr>
      </w:pPr>
    </w:p>
    <w:p>
      <w:pPr>
        <w:ind w:right="220" w:firstLine="802"/>
        <w:spacing w:after="0" w:line="311"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Our board of directors is divided into three classes, one class of which is elected each year by our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directors in each class serve for a three-year term.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49" w:lineRule="exact"/>
        <w:rPr>
          <w:sz w:val="20"/>
          <w:szCs w:val="20"/>
          <w:color w:val="auto"/>
        </w:rPr>
      </w:pPr>
    </w:p>
    <w:p>
      <w:pPr>
        <w:ind w:right="160" w:firstLine="802"/>
        <w:spacing w:after="0" w:line="296" w:lineRule="auto"/>
        <w:rPr>
          <w:sz w:val="20"/>
          <w:szCs w:val="20"/>
          <w:color w:val="auto"/>
        </w:rPr>
      </w:pPr>
      <w:r>
        <w:rPr>
          <w:rFonts w:ascii="Arial" w:cs="Arial" w:eastAsia="Arial" w:hAnsi="Arial"/>
          <w:sz w:val="16"/>
          <w:szCs w:val="16"/>
          <w:i w:val="1"/>
          <w:iCs w:val="1"/>
          <w:color w:val="auto"/>
        </w:rPr>
        <w:t xml:space="preserve">Requirements for Advance Notification of Stockholder Nominations and Proposals. </w:t>
      </w:r>
      <w:r>
        <w:rPr>
          <w:rFonts w:ascii="Arial" w:cs="Arial" w:eastAsia="Arial" w:hAnsi="Arial"/>
          <w:sz w:val="16"/>
          <w:szCs w:val="16"/>
          <w:color w:val="auto"/>
        </w:rPr>
        <w:t>Our amended and restated bylaws establish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with respect to stockholder proposals and the nomination of candidates for election as directors, other than nominations made by or at the direction of our board of directors or a committee of our board of directors. However,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61" w:lineRule="exact"/>
        <w:rPr>
          <w:sz w:val="20"/>
          <w:szCs w:val="20"/>
          <w:color w:val="auto"/>
        </w:rPr>
      </w:pPr>
    </w:p>
    <w:p>
      <w:pPr>
        <w:jc w:val="both"/>
        <w:ind w:right="200" w:firstLine="802"/>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(“DGCL”) provides that stockholders are not entitled to the right to cumulate</w:t>
      </w:r>
      <w:r>
        <w:rPr>
          <w:rFonts w:ascii="Arial" w:cs="Arial" w:eastAsia="Arial" w:hAnsi="Arial"/>
          <w:sz w:val="18"/>
          <w:szCs w:val="18"/>
          <w:i w:val="1"/>
          <w:iCs w:val="1"/>
          <w:color w:val="auto"/>
        </w:rPr>
        <w:t xml:space="preserve"> </w:t>
      </w:r>
      <w:r>
        <w:rPr>
          <w:rFonts w:ascii="Arial" w:cs="Arial" w:eastAsia="Arial" w:hAnsi="Arial"/>
          <w:sz w:val="18"/>
          <w:szCs w:val="18"/>
          <w:color w:val="auto"/>
        </w:rPr>
        <w:t>votes in the election of directors unless our restated certificate of incorporation provides otherwise. Our restated certificate of incorporation and amended and restated bylaws do not expressly provide for cumulative voting.</w:t>
      </w:r>
    </w:p>
    <w:p>
      <w:pPr>
        <w:spacing w:after="0" w:line="184" w:lineRule="exact"/>
        <w:rPr>
          <w:sz w:val="20"/>
          <w:szCs w:val="20"/>
          <w:color w:val="auto"/>
        </w:rPr>
      </w:pPr>
    </w:p>
    <w:p>
      <w:pPr>
        <w:ind w:right="40" w:firstLine="802"/>
        <w:spacing w:after="0" w:line="273" w:lineRule="auto"/>
        <w:rPr>
          <w:sz w:val="20"/>
          <w:szCs w:val="20"/>
          <w:color w:val="auto"/>
        </w:rPr>
      </w:pPr>
      <w:r>
        <w:rPr>
          <w:rFonts w:ascii="Arial" w:cs="Arial" w:eastAsia="Arial" w:hAnsi="Arial"/>
          <w:sz w:val="17"/>
          <w:szCs w:val="17"/>
          <w:i w:val="1"/>
          <w:iCs w:val="1"/>
          <w:color w:val="auto"/>
        </w:rPr>
        <w:t>Size of Board and Vacancies</w:t>
      </w:r>
      <w:r>
        <w:rPr>
          <w:rFonts w:ascii="Arial" w:cs="Arial" w:eastAsia="Arial" w:hAnsi="Arial"/>
          <w:sz w:val="17"/>
          <w:szCs w:val="17"/>
          <w:color w:val="auto"/>
        </w:rPr>
        <w:t>. Our restated certificate provides that the number of directors on our board of directors is fixed exclusively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Newly created directorships resulting from any increase in our authorized number of directors or any vacancies in the board of directors resulting from death, resignation or other cause (including removal from office by a vote of the stockholders) may be filled only by a majority vote of the directors based on the total number of designated directors, though less than a quorum, or by the sole remaining director. The directors so chosen shall hold office for a term expiring at the next annual meeting of stockholders, and until their respective successors are elected, except in the case of the death, incapacity, resignation or removal of any director.</w:t>
      </w:r>
    </w:p>
    <w:p>
      <w:pPr>
        <w:spacing w:after="0" w:line="178" w:lineRule="exact"/>
        <w:rPr>
          <w:sz w:val="20"/>
          <w:szCs w:val="20"/>
          <w:color w:val="auto"/>
        </w:rPr>
      </w:pPr>
    </w:p>
    <w:p>
      <w:pPr>
        <w:jc w:val="both"/>
        <w:ind w:right="300" w:firstLine="802"/>
        <w:spacing w:after="0" w:line="311" w:lineRule="auto"/>
        <w:rPr>
          <w:sz w:val="20"/>
          <w:szCs w:val="20"/>
          <w:color w:val="auto"/>
        </w:rPr>
      </w:pPr>
      <w:r>
        <w:rPr>
          <w:rFonts w:ascii="Arial" w:cs="Arial" w:eastAsia="Arial" w:hAnsi="Arial"/>
          <w:sz w:val="16"/>
          <w:szCs w:val="16"/>
          <w:i w:val="1"/>
          <w:iCs w:val="1"/>
          <w:color w:val="auto"/>
        </w:rPr>
        <w:t xml:space="preserve">Amendments of Governance Documents. </w:t>
      </w:r>
      <w:r>
        <w:rPr>
          <w:rFonts w:ascii="Arial" w:cs="Arial" w:eastAsia="Arial" w:hAnsi="Arial"/>
          <w:sz w:val="16"/>
          <w:szCs w:val="16"/>
          <w:color w:val="auto"/>
        </w:rPr>
        <w:t>Our restated certificate of incorporation provides that the affirmative vote of the holders of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sixty-six and two-thirds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voting stock then outstanding is required to amend certain provisions relating to the number, term, election and removal of our directors, the filling of our board vacancies, the calling of special meetings of stockholders, and the indemnification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GDSVF&amp;H\5607010.2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0" w:name="page91"/>
    <w:bookmarkEnd w:id="90"/>
    <w:p>
      <w:pPr>
        <w:ind w:left="800"/>
        <w:spacing w:after="0"/>
        <w:rPr>
          <w:sz w:val="20"/>
          <w:szCs w:val="20"/>
          <w:color w:val="auto"/>
        </w:rPr>
      </w:pPr>
      <w:r>
        <w:rPr>
          <w:rFonts w:ascii="Arial" w:cs="Arial" w:eastAsia="Arial" w:hAnsi="Arial"/>
          <w:sz w:val="18"/>
          <w:szCs w:val="18"/>
          <w:i w:val="1"/>
          <w:iCs w:val="1"/>
          <w:color w:val="auto"/>
        </w:rPr>
        <w:t>Limitations on Liability, Indemnification of Officers and Directors and Insurance</w:t>
      </w:r>
      <w:r>
        <w:rPr>
          <w:rFonts w:ascii="Arial" w:cs="Arial" w:eastAsia="Arial" w:hAnsi="Arial"/>
          <w:sz w:val="18"/>
          <w:szCs w:val="18"/>
          <w:color w:val="auto"/>
        </w:rPr>
        <w:t>.</w:t>
      </w:r>
    </w:p>
    <w:p>
      <w:pPr>
        <w:spacing w:after="0" w:line="225" w:lineRule="exact"/>
        <w:rPr>
          <w:sz w:val="20"/>
          <w:szCs w:val="20"/>
          <w:color w:val="auto"/>
        </w:rPr>
      </w:pPr>
    </w:p>
    <w:p>
      <w:pPr>
        <w:ind w:right="80" w:firstLine="802"/>
        <w:spacing w:after="0" w:line="291"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as directors, subject to certain exceptions, by provision of the corporation’s certificate of incorporation. Our restated certificate of incorporation contains a provision eliminating the personal liability of our directors to the fullest extent permitted by the DGCL. In addition, our restated certificate of incorporation includes provisions that require us to indemnify, to the fullest extent allowable under the DGCL, our directors and officers for monetary damages for actions taken as our director or officer, or for serving at our request as a director or officer or another position at another corporation or enterprise, as the case may be. Our restated certificate of incorporation also provides that we must advance reasonable expenses to our directors and officers, subject to our receipt of an undertaking from the indemnified party as may be required under the DGCL.</w:t>
      </w:r>
    </w:p>
    <w:p>
      <w:pPr>
        <w:spacing w:after="0" w:line="166" w:lineRule="exact"/>
        <w:rPr>
          <w:sz w:val="20"/>
          <w:szCs w:val="20"/>
          <w:color w:val="auto"/>
        </w:rPr>
      </w:pPr>
    </w:p>
    <w:p>
      <w:pPr>
        <w:ind w:right="40" w:firstLine="802"/>
        <w:spacing w:after="0" w:line="269" w:lineRule="auto"/>
        <w:rPr>
          <w:sz w:val="20"/>
          <w:szCs w:val="20"/>
          <w:color w:val="auto"/>
        </w:rPr>
      </w:pPr>
      <w:r>
        <w:rPr>
          <w:rFonts w:ascii="Arial" w:cs="Arial" w:eastAsia="Arial" w:hAnsi="Arial"/>
          <w:sz w:val="17"/>
          <w:szCs w:val="17"/>
          <w:color w:val="auto"/>
        </w:rPr>
        <w:t>We are also expressly authorized by the DGCL to carry directors’ and officers’ insurance to protect us, our directors, officers and certain employees for some liabilities. The limitation of liability and indemnification and advancements provisions in our restated certificate of incorporation and amended and restated bylaws, respectively,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However, the provision in our restated certificate of incorporation eliminating the personal liability of our directors to the fullest extent permitted by the DGCL does not limit or eliminate our rights, or those of any stockholder, to seek non-monetary relief such as injunction or rescission in the event of a breach of a director’s fiduciary duties, including the duty of care. The indemnification provisions will not alter the liability of directors under the federal securities laws. In addition, your investment may be adversely affected to the extent that, in a derivative or direct suit, we pay the litigation costs of our directors and officers and the costs of settlement and damage awards against directors and officers pursuant to these indemnification and advancements provisions.</w:t>
      </w:r>
    </w:p>
    <w:p>
      <w:pPr>
        <w:spacing w:after="0" w:line="185" w:lineRule="exact"/>
        <w:rPr>
          <w:sz w:val="20"/>
          <w:szCs w:val="20"/>
          <w:color w:val="auto"/>
        </w:rPr>
      </w:pPr>
    </w:p>
    <w:p>
      <w:pPr>
        <w:ind w:firstLine="802"/>
        <w:spacing w:after="0" w:line="263" w:lineRule="auto"/>
        <w:rPr>
          <w:sz w:val="20"/>
          <w:szCs w:val="20"/>
          <w:color w:val="auto"/>
        </w:rPr>
      </w:pPr>
      <w:r>
        <w:rPr>
          <w:rFonts w:ascii="Arial" w:cs="Arial" w:eastAsia="Arial" w:hAnsi="Arial"/>
          <w:sz w:val="18"/>
          <w:szCs w:val="18"/>
          <w:color w:val="auto"/>
        </w:rPr>
        <w:t>We expect to maintain standard policies of insurance that provide coverage (i) to our directors and officers against loss arising from claims made by reason of breach of duty or other wrongful act and (ii) to us with respect to indemnification and advancements payments that we may make to such directors and officers.</w:t>
      </w:r>
    </w:p>
    <w:p>
      <w:pPr>
        <w:spacing w:after="0" w:line="184" w:lineRule="exact"/>
        <w:rPr>
          <w:sz w:val="20"/>
          <w:szCs w:val="20"/>
          <w:color w:val="auto"/>
        </w:rPr>
      </w:pPr>
    </w:p>
    <w:p>
      <w:pPr>
        <w:ind w:right="280" w:firstLine="802"/>
        <w:spacing w:after="0" w:line="257" w:lineRule="auto"/>
        <w:rPr>
          <w:sz w:val="20"/>
          <w:szCs w:val="20"/>
          <w:color w:val="auto"/>
        </w:rPr>
      </w:pPr>
      <w:r>
        <w:rPr>
          <w:rFonts w:ascii="Arial" w:cs="Arial" w:eastAsia="Arial" w:hAnsi="Arial"/>
          <w:sz w:val="18"/>
          <w:szCs w:val="18"/>
          <w:color w:val="auto"/>
        </w:rPr>
        <w:t>We have entered into an indemnification agreement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 limitation of liability provision in our restated certificate of incorporation and the indemnification agreements will facilitate our ability to continue to attract and retain qualified individuals to serve as directors and officers.</w:t>
      </w:r>
    </w:p>
    <w:p>
      <w:pPr>
        <w:spacing w:after="0" w:line="188" w:lineRule="exact"/>
        <w:rPr>
          <w:sz w:val="20"/>
          <w:szCs w:val="20"/>
          <w:color w:val="auto"/>
        </w:rPr>
      </w:pPr>
    </w:p>
    <w:p>
      <w:pPr>
        <w:ind w:right="220" w:firstLine="802"/>
        <w:spacing w:after="0" w:line="263" w:lineRule="auto"/>
        <w:rPr>
          <w:sz w:val="20"/>
          <w:szCs w:val="20"/>
          <w:color w:val="auto"/>
        </w:rPr>
      </w:pPr>
      <w:r>
        <w:rPr>
          <w:rFonts w:ascii="Arial" w:cs="Arial" w:eastAsia="Arial" w:hAnsi="Arial"/>
          <w:sz w:val="18"/>
          <w:szCs w:val="18"/>
          <w:color w:val="auto"/>
        </w:rPr>
        <w:t>Insofar as the above described indemnification provisions permit indemnification of directors, officers or persons controlling us for liability arising under the Securities Act of 1933, as amended (the “Securities Act”), we understand that in the opinion of the SEC, this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21" w:lineRule="exact"/>
        <w:rPr>
          <w:sz w:val="20"/>
          <w:szCs w:val="20"/>
          <w:color w:val="auto"/>
        </w:rPr>
      </w:pPr>
    </w:p>
    <w:p>
      <w:pPr>
        <w:jc w:val="both"/>
        <w:ind w:right="200" w:firstLine="802"/>
        <w:spacing w:after="0" w:line="26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184" w:lineRule="exact"/>
        <w:rPr>
          <w:sz w:val="20"/>
          <w:szCs w:val="20"/>
          <w:color w:val="auto"/>
        </w:rPr>
      </w:pPr>
    </w:p>
    <w:p>
      <w:pPr>
        <w:ind w:left="1200" w:right="640" w:hanging="396"/>
        <w:spacing w:after="0" w:line="258"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the date of the transaction that resulted in the stockholder becoming an interested stockholder, the board of directors of the corporation approved either the business combination or the transaction;</w:t>
      </w:r>
    </w:p>
    <w:p>
      <w:pPr>
        <w:spacing w:after="0" w:line="1" w:lineRule="exact"/>
        <w:rPr>
          <w:rFonts w:ascii="Arial" w:cs="Arial" w:eastAsia="Arial" w:hAnsi="Arial"/>
          <w:sz w:val="18"/>
          <w:szCs w:val="18"/>
          <w:color w:val="auto"/>
        </w:rPr>
      </w:pPr>
    </w:p>
    <w:p>
      <w:pPr>
        <w:ind w:left="1200" w:right="20" w:hanging="396"/>
        <w:spacing w:after="0" w:line="281" w:lineRule="auto"/>
        <w:tabs>
          <w:tab w:leader="none" w:pos="1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2" w:lineRule="exact"/>
        <w:rPr>
          <w:rFonts w:ascii="Arial" w:cs="Arial" w:eastAsia="Arial" w:hAnsi="Arial"/>
          <w:sz w:val="16"/>
          <w:szCs w:val="16"/>
          <w:color w:val="auto"/>
        </w:rPr>
      </w:pPr>
    </w:p>
    <w:p>
      <w:pPr>
        <w:ind w:left="1200" w:right="520" w:hanging="396"/>
        <w:spacing w:after="0" w:line="260"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GDSVF&amp;H\5607010.2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91" w:name="page92"/>
    <w:bookmarkEnd w:id="91"/>
    <w:p>
      <w:pPr>
        <w:ind w:left="1200"/>
        <w:spacing w:after="0"/>
        <w:rPr>
          <w:sz w:val="20"/>
          <w:szCs w:val="20"/>
          <w:color w:val="auto"/>
        </w:rPr>
      </w:pPr>
      <w:r>
        <w:rPr>
          <w:rFonts w:ascii="Arial" w:cs="Arial" w:eastAsia="Arial" w:hAnsi="Arial"/>
          <w:sz w:val="18"/>
          <w:szCs w:val="18"/>
          <w:color w:val="auto"/>
        </w:rPr>
        <w:t>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17" w:lineRule="exact"/>
        <w:rPr>
          <w:sz w:val="20"/>
          <w:szCs w:val="20"/>
          <w:color w:val="auto"/>
        </w:rPr>
      </w:pPr>
    </w:p>
    <w:p>
      <w:pPr>
        <w:ind w:left="1200" w:hanging="396"/>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36" w:lineRule="exact"/>
        <w:rPr>
          <w:rFonts w:ascii="Arial" w:cs="Arial" w:eastAsia="Arial" w:hAnsi="Arial"/>
          <w:sz w:val="18"/>
          <w:szCs w:val="18"/>
          <w:color w:val="auto"/>
        </w:rPr>
      </w:pPr>
    </w:p>
    <w:p>
      <w:pPr>
        <w:ind w:left="1200" w:right="280" w:hanging="396"/>
        <w:spacing w:after="0" w:line="258"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either the assets or outstanding stock of the corporation involving the interested stockholder;</w:t>
      </w:r>
    </w:p>
    <w:p>
      <w:pPr>
        <w:spacing w:after="0" w:line="1" w:lineRule="exact"/>
        <w:rPr>
          <w:rFonts w:ascii="Arial" w:cs="Arial" w:eastAsia="Arial" w:hAnsi="Arial"/>
          <w:sz w:val="18"/>
          <w:szCs w:val="18"/>
          <w:color w:val="auto"/>
        </w:rPr>
      </w:pPr>
    </w:p>
    <w:p>
      <w:pPr>
        <w:ind w:left="1200" w:hanging="396"/>
        <w:spacing w:after="0" w:line="250"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ind w:left="1200" w:right="160" w:hanging="396"/>
        <w:spacing w:after="0" w:line="250"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ind w:left="1200" w:right="60" w:hanging="396"/>
        <w:spacing w:after="0" w:line="260"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5" w:lineRule="exact"/>
        <w:rPr>
          <w:sz w:val="20"/>
          <w:szCs w:val="20"/>
          <w:color w:val="auto"/>
        </w:rPr>
      </w:pPr>
    </w:p>
    <w:p>
      <w:pPr>
        <w:ind w:right="220" w:firstLine="802"/>
        <w:spacing w:after="0" w:line="342" w:lineRule="auto"/>
        <w:rPr>
          <w:sz w:val="20"/>
          <w:szCs w:val="20"/>
          <w:color w:val="auto"/>
        </w:rPr>
      </w:pPr>
      <w:r>
        <w:rPr>
          <w:rFonts w:ascii="Arial" w:cs="Arial" w:eastAsia="Arial" w:hAnsi="Arial"/>
          <w:sz w:val="16"/>
          <w:szCs w:val="16"/>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124" w:lineRule="exact"/>
        <w:rPr>
          <w:sz w:val="20"/>
          <w:szCs w:val="20"/>
          <w:color w:val="auto"/>
        </w:rPr>
      </w:pPr>
    </w:p>
    <w:p>
      <w:pPr>
        <w:ind w:right="80" w:firstLine="844"/>
        <w:spacing w:after="0" w:line="257" w:lineRule="auto"/>
        <w:rPr>
          <w:sz w:val="20"/>
          <w:szCs w:val="20"/>
          <w:color w:val="auto"/>
        </w:rPr>
      </w:pPr>
      <w:r>
        <w:rPr>
          <w:rFonts w:ascii="Arial" w:cs="Arial" w:eastAsia="Arial" w:hAnsi="Arial"/>
          <w:sz w:val="18"/>
          <w:szCs w:val="18"/>
          <w:color w:val="auto"/>
        </w:rPr>
        <w:t>The provisions of the DGCL,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firstLine="802"/>
        <w:spacing w:after="0" w:line="254" w:lineRule="auto"/>
        <w:rPr>
          <w:sz w:val="20"/>
          <w:szCs w:val="20"/>
          <w:color w:val="auto"/>
        </w:rPr>
      </w:pPr>
      <w:r>
        <w:rPr>
          <w:rFonts w:ascii="Arial" w:cs="Arial" w:eastAsia="Arial" w:hAnsi="Arial"/>
          <w:sz w:val="18"/>
          <w:szCs w:val="18"/>
          <w:color w:val="auto"/>
        </w:rPr>
        <w:t>Certain holders of shares of our common stock are entitled to contractual rights to require us to register such shares under the Securities Act. These rights are provided under the terms of our amended and restated registration rights agreement. We will pay all expenses relating to any such registration, other than underwriting discounts and selling commissions. The registration rights terminate with respect to any holder if all of the following conditions are met: (a) as reflected on our books and records, such holder (together with its affiliates) holds less than 1% of our outstanding common stock (on an as-if-converted to common stock basis), (b) our securities trade on a national securities exchange or list on a national automatic quotation system, in each case, located in the United States, and (c) all shares of common stock issued or issuable upon conversion of the registrable securities held by such holder (and its affiliates) either (i) may be sold pursuant to Rule 144 promulgated under the Securities Act during any ninety (90) day period or (ii) have ceased to be outstanding.</w:t>
      </w:r>
    </w:p>
    <w:p>
      <w:pPr>
        <w:spacing w:after="0" w:line="192" w:lineRule="exact"/>
        <w:rPr>
          <w:sz w:val="20"/>
          <w:szCs w:val="20"/>
          <w:color w:val="auto"/>
        </w:rPr>
      </w:pPr>
    </w:p>
    <w:p>
      <w:pPr>
        <w:ind w:firstLine="802"/>
        <w:spacing w:after="0" w:line="275" w:lineRule="auto"/>
        <w:rPr>
          <w:sz w:val="20"/>
          <w:szCs w:val="20"/>
          <w:color w:val="auto"/>
        </w:rPr>
      </w:pPr>
      <w:r>
        <w:rPr>
          <w:rFonts w:ascii="Arial" w:cs="Arial" w:eastAsia="Arial" w:hAnsi="Arial"/>
          <w:sz w:val="17"/>
          <w:szCs w:val="17"/>
          <w:i w:val="1"/>
          <w:iCs w:val="1"/>
          <w:color w:val="auto"/>
        </w:rPr>
        <w:t>Piggyback Registration Rights</w:t>
      </w:r>
      <w:r>
        <w:rPr>
          <w:rFonts w:ascii="Arial" w:cs="Arial" w:eastAsia="Arial" w:hAnsi="Arial"/>
          <w:sz w:val="17"/>
          <w:szCs w:val="17"/>
          <w:color w:val="auto"/>
        </w:rPr>
        <w:t>. If we propose to register any of our securities under the Securities Act either for our own account or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of other stockholders, the holders of shares having registration rights will, subject to certain exceptions, be entitled to include their shares in our registration statement. These piggyback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 without the consent of more than 50% of the holders of registrable securities.</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GDSVF&amp;H\5607010.2</w:t>
      </w:r>
    </w:p>
    <w:p>
      <w:pPr>
        <w:sectPr>
          <w:pgSz w:w="11900" w:h="16838" w:orient="portrait"/>
          <w:cols w:equalWidth="0" w:num="1">
            <w:col w:w="11220"/>
          </w:cols>
          <w:pgMar w:left="320" w:top="355" w:right="3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(Nos. 333-252592, 333-233201, 333-220593, 333-214830 and 333-208274) and Form S-8 (Nos. 333-232239, 333-219491, 333-190490, 333-151808, 333-141694 and 333-122665) of MediciNova, Inc. of our report dated February 18, 2021, relating to the consolidated financial statements which appear in this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MediciNova,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97"/>
        <w:spacing w:after="0" w:line="263" w:lineRule="auto"/>
        <w:tabs>
          <w:tab w:leader="none" w:pos="7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97"/>
        <w:spacing w:after="0" w:line="263" w:lineRule="auto"/>
        <w:tabs>
          <w:tab w:leader="none" w:pos="7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60" w:firstLine="597"/>
        <w:spacing w:after="0" w:line="342" w:lineRule="auto"/>
        <w:tabs>
          <w:tab w:leader="none" w:pos="773"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40" w:firstLine="597"/>
        <w:spacing w:after="0" w:line="263" w:lineRule="auto"/>
        <w:tabs>
          <w:tab w:leader="none" w:pos="7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60" w:firstLine="597"/>
        <w:spacing w:after="0" w:line="277" w:lineRule="auto"/>
        <w:tabs>
          <w:tab w:leader="none" w:pos="7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597"/>
        <w:spacing w:after="0" w:line="277" w:lineRule="auto"/>
        <w:tabs>
          <w:tab w:leader="none" w:pos="7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Yuichi Iwaki, M.D.,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2021</w:t>
      </w:r>
    </w:p>
    <w:p>
      <w:pPr>
        <w:sectPr>
          <w:pgSz w:w="11900" w:h="16838" w:orient="portrait"/>
          <w:cols w:equalWidth="0" w:num="1">
            <w:col w:w="11240"/>
          </w:cols>
          <w:pgMar w:left="320" w:top="121" w:right="339" w:bottom="1440" w:gutter="0" w:footer="0" w:header="0"/>
        </w:sectPr>
      </w:pPr>
    </w:p>
    <w:bookmarkStart w:id="94" w:name="page95"/>
    <w:bookmarkEnd w:id="94"/>
    <w:p>
      <w:pPr>
        <w:ind w:left="952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Stepanow, certify that:</w:t>
      </w:r>
    </w:p>
    <w:p>
      <w:pPr>
        <w:spacing w:after="0" w:line="117"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MediciNova, Inc.;</w:t>
      </w:r>
    </w:p>
    <w:p>
      <w:pPr>
        <w:spacing w:after="0" w:line="117" w:lineRule="exact"/>
        <w:rPr>
          <w:rFonts w:ascii="Arial" w:cs="Arial" w:eastAsia="Arial" w:hAnsi="Arial"/>
          <w:sz w:val="18"/>
          <w:szCs w:val="18"/>
          <w:color w:val="auto"/>
        </w:rPr>
      </w:pPr>
    </w:p>
    <w:p>
      <w:pPr>
        <w:ind w:right="22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20" w:firstLine="597"/>
        <w:spacing w:after="0" w:line="263" w:lineRule="auto"/>
        <w:tabs>
          <w:tab w:leader="none" w:pos="77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firstLine="597"/>
        <w:spacing w:after="0" w:line="263" w:lineRule="auto"/>
        <w:tabs>
          <w:tab w:leader="none" w:pos="7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20" w:firstLine="597"/>
        <w:spacing w:after="0" w:line="342" w:lineRule="auto"/>
        <w:tabs>
          <w:tab w:leader="none" w:pos="773"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00" w:firstLine="597"/>
        <w:spacing w:after="0" w:line="263" w:lineRule="auto"/>
        <w:tabs>
          <w:tab w:leader="none" w:pos="7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4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20" w:firstLine="597"/>
        <w:spacing w:after="0" w:line="277" w:lineRule="auto"/>
        <w:tabs>
          <w:tab w:leader="none" w:pos="77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597"/>
        <w:spacing w:after="0" w:line="277" w:lineRule="auto"/>
        <w:tabs>
          <w:tab w:leader="none" w:pos="7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Stepanow</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2021</w:t>
      </w:r>
    </w:p>
    <w:p>
      <w:pPr>
        <w:sectPr>
          <w:pgSz w:w="11900" w:h="16838" w:orient="portrait"/>
          <w:cols w:equalWidth="0" w:num="1">
            <w:col w:w="11200"/>
          </w:cols>
          <w:pgMar w:left="320" w:top="121" w:right="3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340" w:right="2400"/>
        <w:spacing w:after="0" w:line="266" w:lineRule="auto"/>
        <w:rPr>
          <w:sz w:val="20"/>
          <w:szCs w:val="20"/>
          <w:color w:val="auto"/>
        </w:rPr>
      </w:pPr>
      <w:r>
        <w:rPr>
          <w:rFonts w:ascii="Arial" w:cs="Arial" w:eastAsia="Arial" w:hAnsi="Arial"/>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80" w:lineRule="exact"/>
        <w:rPr>
          <w:sz w:val="20"/>
          <w:szCs w:val="20"/>
          <w:color w:val="auto"/>
        </w:rPr>
      </w:pPr>
    </w:p>
    <w:p>
      <w:pPr>
        <w:jc w:val="both"/>
        <w:ind w:right="120" w:firstLine="589"/>
        <w:spacing w:after="0" w:line="311"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2020,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780" w:hanging="183"/>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183"/>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February 18,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Yuichi Iwaki, M.D., Ph.D.</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2"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96" w:name="page97"/>
    <w:bookmarkEnd w:id="96"/>
    <w:p>
      <w:pPr>
        <w:ind w:left="966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ind w:left="340" w:right="2400"/>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80"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In connection with the Annual Report on Form 10-K of MediciNova, Inc. (the “Company”) for the period ended December 31, 2020, as filed with the Securities and Exchange Commission on the date hereof (the “Report”),</w:t>
      </w:r>
    </w:p>
    <w:p>
      <w:pPr>
        <w:spacing w:after="0" w:line="17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 Edward Stepanow, as Chief Financial Officer of the Company, certify, pursuant to 18 U.S.C. Section 1350, as adopted pursuant to Section 906 of the Sarbanes-Oxley Act of 2002, that to my knowledge:</w:t>
      </w:r>
    </w:p>
    <w:p>
      <w:pPr>
        <w:spacing w:after="0" w:line="62" w:lineRule="exact"/>
        <w:rPr>
          <w:sz w:val="20"/>
          <w:szCs w:val="20"/>
          <w:color w:val="auto"/>
        </w:rPr>
      </w:pPr>
    </w:p>
    <w:p>
      <w:pPr>
        <w:ind w:left="780" w:hanging="183"/>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183"/>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Date: February 18, 2021</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Stepanow</w:t>
            </w:r>
          </w:p>
        </w:tc>
      </w:tr>
      <w:tr>
        <w:trPr>
          <w:trHeight w:val="195"/>
        </w:trPr>
        <w:tc>
          <w:tcPr>
            <w:tcW w:w="678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Edward Stepanow</w:t>
            </w:r>
          </w:p>
        </w:tc>
      </w:tr>
      <w:tr>
        <w:trPr>
          <w:trHeight w:val="216"/>
        </w:trPr>
        <w:tc>
          <w:tcPr>
            <w:tcW w:w="67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
      <w:numFmt w:val="bullet"/>
      <w:start w:val="1"/>
    </w:lvl>
    <w:lvl w:ilvl="1">
      <w:lvlJc w:val="left"/>
      <w:lvlText w:val="%2"/>
      <w:numFmt w:val="decimal"/>
      <w:start w:val="10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10" Type="http://schemas.openxmlformats.org/officeDocument/2006/relationships/hyperlink" Target="http://www.sec.gov/Archives/edgar/data/1226616/000119312512347932/d344794dex31.htm" TargetMode="External"/><Relationship Id="rId111" Type="http://schemas.openxmlformats.org/officeDocument/2006/relationships/hyperlink" Target="http://www.sec.gov/Archives/edgar/data/1226616/000119312504164964/dex34.htm" TargetMode="External"/><Relationship Id="rId112" Type="http://schemas.openxmlformats.org/officeDocument/2006/relationships/hyperlink" Target="http://www.sec.gov/Archives/edgar/data/1226616/000119312507033031/dex41.htm" TargetMode="External"/><Relationship Id="rId113" Type="http://schemas.openxmlformats.org/officeDocument/2006/relationships/hyperlink" Target="http://www.sec.gov/Archives/edgar/data/1226616/000119312504164964/dex42.htm" TargetMode="External"/><Relationship Id="rId114" Type="http://schemas.openxmlformats.org/officeDocument/2006/relationships/hyperlink" Target="http://www.sec.gov/Archives/edgar/data/1226616/000119312512137788/d270304dex102.htm" TargetMode="External"/><Relationship Id="rId115" Type="http://schemas.openxmlformats.org/officeDocument/2006/relationships/hyperlink" Target="http://www.sec.gov/Archives/edgar/data/1226616/000119312513132600/d448827dex103.htm" TargetMode="External"/><Relationship Id="rId116" Type="http://schemas.openxmlformats.org/officeDocument/2006/relationships/hyperlink" Target="http://www.sec.gov/Archives/edgar/data/1226616/000119312504202924/dex104.htm" TargetMode="External"/><Relationship Id="rId117" Type="http://schemas.openxmlformats.org/officeDocument/2006/relationships/hyperlink" Target="http://www.sec.gov/Archives/edgar/data/1226616/000119312504202924/dex105.htm" TargetMode="External"/><Relationship Id="rId118" Type="http://schemas.openxmlformats.org/officeDocument/2006/relationships/hyperlink" Target="http://www.sec.gov/Archives/edgar/data/1226616/000119312504202924/dex107.htm" TargetMode="External"/><Relationship Id="rId122" Type="http://schemas.openxmlformats.org/officeDocument/2006/relationships/hyperlink" Target="http://www.sec.gov/Archives/edgar/data/1226616/000119312504202924/dex1018.htm" TargetMode="External"/><Relationship Id="rId123" Type="http://schemas.openxmlformats.org/officeDocument/2006/relationships/hyperlink" Target="http://www.sec.gov/Archives/edgar/data/1226616/000119312506221980/dex101.htm" TargetMode="External"/><Relationship Id="rId124" Type="http://schemas.openxmlformats.org/officeDocument/2006/relationships/hyperlink" Target="http://www.sec.gov/Archives/edgar/data/1226616/000119312506221980/dex102.htm" TargetMode="External"/><Relationship Id="rId125" Type="http://schemas.openxmlformats.org/officeDocument/2006/relationships/hyperlink" Target="http://www.sec.gov/Archives/edgar/data/1226616/000119312507074153/dex101.htm" TargetMode="External"/><Relationship Id="rId126" Type="http://schemas.openxmlformats.org/officeDocument/2006/relationships/hyperlink" Target="http://www.sec.gov/Archives/edgar/data/1226616/000119312507053569/ddef14a.htm" TargetMode="External"/><Relationship Id="rId127" Type="http://schemas.openxmlformats.org/officeDocument/2006/relationships/hyperlink" Target="http://www.sec.gov/Archives/edgar/data/1226616/000119312509066501/dex101.htm" TargetMode="External"/><Relationship Id="rId128" Type="http://schemas.openxmlformats.org/officeDocument/2006/relationships/hyperlink" Target="http://www.sec.gov/Archives/edgar/data/932903/000114544306000811/d18787ex10-58.htm" TargetMode="External"/><Relationship Id="rId129" Type="http://schemas.openxmlformats.org/officeDocument/2006/relationships/hyperlink" Target="http://www.sec.gov/Archives/edgar/data/932903/000120677409000503/exhibit_2-2.htm" TargetMode="External"/><Relationship Id="rId130" Type="http://schemas.openxmlformats.org/officeDocument/2006/relationships/hyperlink" Target="http://www.sec.gov/Archives/edgar/data/1226616/000119312511001216/dex101.htm" TargetMode="External"/><Relationship Id="rId131" Type="http://schemas.openxmlformats.org/officeDocument/2006/relationships/hyperlink" Target="http://www.sec.gov/Archives/edgar/data/1226616/000119312517279377/d414779dex101.htm" TargetMode="External"/><Relationship Id="rId132" Type="http://schemas.openxmlformats.org/officeDocument/2006/relationships/hyperlink" Target="http://www.sec.gov/Archives/edgar/data/1226616/000119312514118744/d652763dex1023.htm" TargetMode="External"/><Relationship Id="rId135" Type="http://schemas.openxmlformats.org/officeDocument/2006/relationships/hyperlink" Target="http://www.sec.gov/Archives/edgar/data/1226616/000156459017014096/mnov-ex101_306.htm" TargetMode="External"/><Relationship Id="rId136" Type="http://schemas.openxmlformats.org/officeDocument/2006/relationships/hyperlink" Target="http://www.sec.gov/Archives/edgar/data/1226616/000119312513433171/d595996dex103.htm" TargetMode="External"/><Relationship Id="rId137" Type="http://schemas.openxmlformats.org/officeDocument/2006/relationships/hyperlink" Target="http://www.sec.gov/Archives/edgar/data/1226616/000119312514308545/d745670dex102.htm" TargetMode="External"/><Relationship Id="rId138" Type="http://schemas.openxmlformats.org/officeDocument/2006/relationships/hyperlink" Target="http://www.sec.gov/Archives/edgar/data/1226616/000119312514308545/d745670dex104.htm" TargetMode="External"/><Relationship Id="rId139" Type="http://schemas.openxmlformats.org/officeDocument/2006/relationships/hyperlink" Target="http://www.sec.gov/Archives/edgar/data/1226616/000119312514308545/d745670dex105.htm" TargetMode="External"/><Relationship Id="rId140" Type="http://schemas.openxmlformats.org/officeDocument/2006/relationships/hyperlink" Target="http://www.sec.gov/Archives/edgar/data/1226616/000119312515198902/d932175dex101.htm" TargetMode="External"/><Relationship Id="rId141" Type="http://schemas.openxmlformats.org/officeDocument/2006/relationships/hyperlink" Target="http://www.sec.gov/Archives/edgar/data/1226616/000119312516524645/d171332dex101.htm" TargetMode="External"/><Relationship Id="rId142" Type="http://schemas.openxmlformats.org/officeDocument/2006/relationships/hyperlink" Target="http://www.sec.gov/Archives/edgar/data/1226616/000119312516712376/d228879dex101.htm" TargetMode="External"/><Relationship Id="rId143" Type="http://schemas.openxmlformats.org/officeDocument/2006/relationships/hyperlink" Target="http://www.sec.gov/Archives/edgar/data/1226616/000119312519228009/d7681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2021-02-19T05:11:13Z</dcterms:created>
  <dcterms:modified xsi:type="dcterms:W3CDTF">2021-02-19T05:11:13Z</dcterms:modified>
</cp:coreProperties>
</file>