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00" w:hanging="452"/>
        <w:spacing w:after="0" w:line="237"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5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JUNE 30, 2010</w:t>
      </w:r>
    </w:p>
    <w:p>
      <w:pPr>
        <w:spacing w:after="0" w:line="77" w:lineRule="exact"/>
        <w:rPr>
          <w:sz w:val="24"/>
          <w:szCs w:val="24"/>
          <w:color w:val="auto"/>
        </w:rPr>
      </w:pPr>
    </w:p>
    <w:p>
      <w:pPr>
        <w:ind w:left="460" w:right="40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60"/>
          </w:cols>
          <w:pgMar w:left="240" w:top="230" w:right="299" w:bottom="1440" w:gutter="0" w:footer="0" w:header="0"/>
        </w:sectPr>
      </w:pPr>
    </w:p>
    <w:p>
      <w:pPr>
        <w:spacing w:after="0" w:line="41"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13" w:lineRule="exact"/>
        <w:rPr>
          <w:sz w:val="24"/>
          <w:szCs w:val="24"/>
          <w:color w:val="auto"/>
        </w:rPr>
      </w:pPr>
    </w:p>
    <w:p>
      <w:pPr>
        <w:sectPr>
          <w:pgSz w:w="11900" w:h="16838" w:orient="portrait"/>
          <w:cols w:equalWidth="0" w:num="2">
            <w:col w:w="3720" w:space="520"/>
            <w:col w:w="7120"/>
          </w:cols>
          <w:pgMar w:left="240" w:top="230" w:right="299" w:bottom="1440" w:gutter="0" w:footer="0" w:header="0"/>
          <w:type w:val="continuous"/>
        </w:sectPr>
      </w:pPr>
    </w:p>
    <w:p>
      <w:pPr>
        <w:jc w:val="center"/>
        <w:ind w:right="-59"/>
        <w:spacing w:after="0"/>
        <w:rPr>
          <w:sz w:val="20"/>
          <w:szCs w:val="20"/>
          <w:color w:val="auto"/>
        </w:rPr>
      </w:pPr>
      <w:r>
        <w:rPr>
          <w:rFonts w:ascii="Arial" w:cs="Arial" w:eastAsia="Arial" w:hAnsi="Arial"/>
          <w:sz w:val="15"/>
          <w:szCs w:val="15"/>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p>
      <w:pPr>
        <w:spacing w:after="0" w:line="271" w:lineRule="exact"/>
        <w:rPr>
          <w:sz w:val="24"/>
          <w:szCs w:val="24"/>
          <w:color w:val="auto"/>
        </w:rPr>
      </w:pPr>
    </w:p>
    <w:tbl>
      <w:tblPr>
        <w:tblLayout w:type="fixed"/>
        <w:tblInd w:w="1400" w:type="dxa"/>
        <w:tblCellMar>
          <w:top w:w="0" w:type="dxa"/>
          <w:left w:w="0" w:type="dxa"/>
          <w:bottom w:w="0" w:type="dxa"/>
          <w:right w:w="0" w:type="dxa"/>
        </w:tblCellMar>
      </w:tblPr>
      <w:tr>
        <w:trPr>
          <w:trHeight w:val="530"/>
        </w:trPr>
        <w:tc>
          <w:tcPr>
            <w:tcW w:w="6560" w:type="dxa"/>
            <w:vAlign w:val="bottom"/>
            <w:gridSpan w:val="3"/>
          </w:tcPr>
          <w:p>
            <w:pPr>
              <w:jc w:val="center"/>
              <w:ind w:left="1970"/>
              <w:spacing w:after="0"/>
              <w:rPr>
                <w:sz w:val="20"/>
                <w:szCs w:val="20"/>
                <w:color w:val="auto"/>
              </w:rPr>
            </w:pPr>
            <w:r>
              <w:rPr>
                <w:rFonts w:ascii="Arial" w:cs="Arial" w:eastAsia="Arial" w:hAnsi="Arial"/>
                <w:sz w:val="43"/>
                <w:szCs w:val="43"/>
                <w:b w:val="1"/>
                <w:bCs w:val="1"/>
                <w:color w:val="auto"/>
              </w:rPr>
              <w:t>MEDICINOVA, INC.</w:t>
            </w:r>
          </w:p>
        </w:tc>
        <w:tc>
          <w:tcPr>
            <w:tcW w:w="1300" w:type="dxa"/>
            <w:vAlign w:val="bottom"/>
          </w:tcPr>
          <w:p>
            <w:pPr>
              <w:spacing w:after="0"/>
              <w:rPr>
                <w:sz w:val="24"/>
                <w:szCs w:val="24"/>
                <w:color w:val="auto"/>
              </w:rPr>
            </w:pPr>
          </w:p>
        </w:tc>
      </w:tr>
      <w:tr>
        <w:trPr>
          <w:trHeight w:val="174"/>
        </w:trPr>
        <w:tc>
          <w:tcPr>
            <w:tcW w:w="6560" w:type="dxa"/>
            <w:vAlign w:val="bottom"/>
            <w:gridSpan w:val="3"/>
          </w:tcPr>
          <w:p>
            <w:pPr>
              <w:jc w:val="center"/>
              <w:ind w:left="1970"/>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300" w:type="dxa"/>
            <w:vAlign w:val="bottom"/>
          </w:tcPr>
          <w:p>
            <w:pPr>
              <w:spacing w:after="0"/>
              <w:rPr>
                <w:sz w:val="15"/>
                <w:szCs w:val="15"/>
                <w:color w:val="auto"/>
              </w:rPr>
            </w:pPr>
          </w:p>
        </w:tc>
      </w:tr>
      <w:tr>
        <w:trPr>
          <w:trHeight w:val="163"/>
        </w:trPr>
        <w:tc>
          <w:tcPr>
            <w:tcW w:w="31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05"/>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8"/>
              </w:rPr>
              <w:t>Delaware</w:t>
            </w:r>
          </w:p>
        </w:tc>
        <w:tc>
          <w:tcPr>
            <w:tcW w:w="1300" w:type="dxa"/>
            <w:vAlign w:val="bottom"/>
          </w:tcPr>
          <w:p>
            <w:pPr>
              <w:jc w:val="right"/>
              <w:ind w:right="24"/>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6560" w:type="dxa"/>
            <w:vAlign w:val="bottom"/>
            <w:gridSpan w:val="3"/>
          </w:tcPr>
          <w:p>
            <w:pPr>
              <w:jc w:val="center"/>
              <w:ind w:right="374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30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56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89"/>
              </w:rPr>
              <w:t>Incorporation or Organization)</w:t>
            </w:r>
          </w:p>
        </w:tc>
        <w:tc>
          <w:tcPr>
            <w:tcW w:w="1300" w:type="dxa"/>
            <w:vAlign w:val="bottom"/>
          </w:tcPr>
          <w:p>
            <w:pPr>
              <w:jc w:val="center"/>
              <w:ind w:left="184"/>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9"/>
              </w:rPr>
              <w:t>4350 La Jolla Village Drive, Suite 950</w:t>
            </w:r>
          </w:p>
        </w:tc>
        <w:tc>
          <w:tcPr>
            <w:tcW w:w="1300" w:type="dxa"/>
            <w:vAlign w:val="bottom"/>
          </w:tcPr>
          <w:p>
            <w:pPr>
              <w:spacing w:after="0"/>
              <w:rPr>
                <w:sz w:val="24"/>
                <w:szCs w:val="24"/>
                <w:color w:val="auto"/>
              </w:rPr>
            </w:pPr>
          </w:p>
        </w:tc>
      </w:tr>
      <w:tr>
        <w:trPr>
          <w:trHeight w:val="231"/>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8"/>
              </w:rPr>
              <w:t>San Diego, CA</w:t>
            </w:r>
          </w:p>
        </w:tc>
        <w:tc>
          <w:tcPr>
            <w:tcW w:w="1300" w:type="dxa"/>
            <w:vAlign w:val="bottom"/>
          </w:tcPr>
          <w:p>
            <w:pPr>
              <w:jc w:val="right"/>
              <w:ind w:right="224"/>
              <w:spacing w:after="0"/>
              <w:rPr>
                <w:sz w:val="20"/>
                <w:szCs w:val="20"/>
                <w:color w:val="auto"/>
              </w:rPr>
            </w:pPr>
            <w:r>
              <w:rPr>
                <w:rFonts w:ascii="Arial" w:cs="Arial" w:eastAsia="Arial" w:hAnsi="Arial"/>
                <w:sz w:val="18"/>
                <w:szCs w:val="18"/>
                <w:b w:val="1"/>
                <w:bCs w:val="1"/>
                <w:color w:val="auto"/>
              </w:rPr>
              <w:t>92122</w:t>
            </w:r>
          </w:p>
        </w:tc>
      </w:tr>
      <w:tr>
        <w:trPr>
          <w:trHeight w:val="174"/>
        </w:trPr>
        <w:tc>
          <w:tcPr>
            <w:tcW w:w="656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300" w:type="dxa"/>
            <w:vAlign w:val="bottom"/>
          </w:tcPr>
          <w:p>
            <w:pPr>
              <w:jc w:val="center"/>
              <w:ind w:left="184"/>
              <w:spacing w:after="0"/>
              <w:rPr>
                <w:sz w:val="20"/>
                <w:szCs w:val="20"/>
                <w:color w:val="auto"/>
              </w:rPr>
            </w:pPr>
            <w:r>
              <w:rPr>
                <w:rFonts w:ascii="Arial" w:cs="Arial" w:eastAsia="Arial" w:hAnsi="Arial"/>
                <w:sz w:val="14"/>
                <w:szCs w:val="14"/>
                <w:b w:val="1"/>
                <w:bCs w:val="1"/>
                <w:color w:val="auto"/>
                <w:w w:val="92"/>
              </w:rPr>
              <w:t>(Zip Code)</w:t>
            </w:r>
          </w:p>
        </w:tc>
      </w:tr>
      <w:tr>
        <w:trPr>
          <w:trHeight w:val="271"/>
        </w:trPr>
        <w:tc>
          <w:tcPr>
            <w:tcW w:w="5500" w:type="dxa"/>
            <w:vAlign w:val="bottom"/>
            <w:gridSpan w:val="2"/>
          </w:tcPr>
          <w:p>
            <w:pPr>
              <w:jc w:val="center"/>
              <w:ind w:left="3030"/>
              <w:spacing w:after="0"/>
              <w:rPr>
                <w:sz w:val="20"/>
                <w:szCs w:val="20"/>
                <w:color w:val="auto"/>
              </w:rPr>
            </w:pPr>
            <w:r>
              <w:rPr>
                <w:rFonts w:ascii="Arial" w:cs="Arial" w:eastAsia="Arial" w:hAnsi="Arial"/>
                <w:sz w:val="18"/>
                <w:szCs w:val="18"/>
                <w:b w:val="1"/>
                <w:bCs w:val="1"/>
                <w:color w:val="auto"/>
                <w:w w:val="89"/>
              </w:rPr>
              <w:t>(858) 373-1500</w:t>
            </w:r>
          </w:p>
        </w:tc>
        <w:tc>
          <w:tcPr>
            <w:tcW w:w="10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174"/>
        </w:trPr>
        <w:tc>
          <w:tcPr>
            <w:tcW w:w="6560" w:type="dxa"/>
            <w:vAlign w:val="bottom"/>
            <w:gridSpan w:val="3"/>
          </w:tcPr>
          <w:p>
            <w:pPr>
              <w:jc w:val="center"/>
              <w:ind w:left="1970"/>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3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30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 reporting company. See definition of “accelerated filer”, “large accelerated filer” and “smaller reporting company” in Rule 12b-2 of the Exchange Act. (Check one):</w:t>
      </w:r>
    </w:p>
    <w:p>
      <w:pPr>
        <w:sectPr>
          <w:pgSz w:w="11900" w:h="16838" w:orient="portrait"/>
          <w:cols w:equalWidth="0" w:num="1">
            <w:col w:w="11360"/>
          </w:cols>
          <w:pgMar w:left="240" w:top="230" w:right="29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720"/>
            <w:col w:w="5340" w:space="720"/>
            <w:col w:w="2120" w:space="720"/>
            <w:col w:w="160"/>
          </w:cols>
          <w:pgMar w:left="240" w:top="230" w:right="29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1580" w:space="720"/>
            <w:col w:w="160" w:space="100"/>
            <w:col w:w="5080" w:space="720"/>
            <w:col w:w="2120" w:space="720"/>
            <w:col w:w="160"/>
          </w:cols>
          <w:pgMar w:left="240" w:top="230" w:right="299" w:bottom="1440" w:gutter="0" w:footer="0" w:header="0"/>
          <w:type w:val="continuous"/>
        </w:sectPr>
      </w:pPr>
    </w:p>
    <w:p>
      <w:pPr>
        <w:ind w:left="460"/>
        <w:spacing w:after="0" w:line="184" w:lineRule="exact"/>
        <w:tabs>
          <w:tab w:leader="none" w:pos="8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46" w:lineRule="exact"/>
        <w:rPr>
          <w:sz w:val="24"/>
          <w:szCs w:val="24"/>
          <w:color w:val="auto"/>
        </w:rPr>
      </w:pPr>
    </w:p>
    <w:p>
      <w:pPr>
        <w:sectPr>
          <w:pgSz w:w="11900" w:h="16838" w:orient="portrait"/>
          <w:cols w:equalWidth="0" w:num="2">
            <w:col w:w="9100" w:space="180"/>
            <w:col w:w="2080"/>
          </w:cols>
          <w:pgMar w:left="240" w:top="230" w:right="29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As of August 13, 2010, the registrant had 12,403,355 shares of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240" w:type="dxa"/>
            <w:vAlign w:val="bottom"/>
            <w:gridSpan w:val="9"/>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36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3480" w:type="dxa"/>
            <w:vAlign w:val="bottom"/>
            <w:tcBorders>
              <w:bottom w:val="single" w:sz="8" w:color="0000EE"/>
            </w:tcBorders>
            <w:gridSpan w:val="10"/>
          </w:tcPr>
          <w:p>
            <w:pP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CONSOLIDATED FINANCIAL STATEMENTS</w:t>
              </w:r>
            </w:hyperlink>
          </w:p>
        </w:tc>
        <w:tc>
          <w:tcPr>
            <w:tcW w:w="5220" w:type="dxa"/>
            <w:vAlign w:val="bottom"/>
            <w:gridSpan w:val="3"/>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2.</w:t>
            </w:r>
          </w:p>
        </w:tc>
        <w:tc>
          <w:tcPr>
            <w:tcW w:w="870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MANAGEMENT’S DISCUSSION AND ANALYSIS OF FINANCIAL CONDITION AND RESULTS OF OPERATIONS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3.</w:t>
            </w:r>
          </w:p>
        </w:tc>
        <w:tc>
          <w:tcPr>
            <w:tcW w:w="8700" w:type="dxa"/>
            <w:vAlign w:val="bottom"/>
            <w:gridSpan w:val="1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4.</w:t>
            </w:r>
          </w:p>
        </w:tc>
        <w:tc>
          <w:tcPr>
            <w:tcW w:w="25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CONTROLS AND PROCEDURES</w:t>
              </w:r>
            </w:hyperlink>
          </w:p>
        </w:tc>
        <w:tc>
          <w:tcPr>
            <w:tcW w:w="3440" w:type="dxa"/>
            <w:vAlign w:val="bottom"/>
            <w:tcBorders>
              <w:top w:val="single" w:sz="8" w:color="0000EE"/>
            </w:tcBorders>
            <w:gridSpan w:val="4"/>
          </w:tcPr>
          <w:p>
            <w:pPr>
              <w:spacing w:after="0"/>
              <w:rPr>
                <w:sz w:val="17"/>
                <w:szCs w:val="17"/>
                <w:color w:val="auto"/>
              </w:rPr>
            </w:pPr>
          </w:p>
        </w:tc>
        <w:tc>
          <w:tcPr>
            <w:tcW w:w="27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304"/>
        </w:trPr>
        <w:tc>
          <w:tcPr>
            <w:tcW w:w="252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33">
              <w:r>
                <w:rPr>
                  <w:rFonts w:ascii="Arial" w:cs="Arial" w:eastAsia="Arial" w:hAnsi="Arial"/>
                  <w:sz w:val="18"/>
                  <w:szCs w:val="18"/>
                  <w:color w:val="0000EE"/>
                  <w:w w:val="93"/>
                </w:rPr>
                <w:t>PART II. OTHER INFORMATION</w:t>
              </w:r>
            </w:hyperlink>
          </w:p>
        </w:tc>
        <w:tc>
          <w:tcPr>
            <w:tcW w:w="7540" w:type="dxa"/>
            <w:vAlign w:val="bottom"/>
            <w:gridSpan w:val="11"/>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36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8700" w:type="dxa"/>
            <w:vAlign w:val="bottom"/>
            <w:gridSpan w:val="1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1A.</w:t>
            </w:r>
          </w:p>
        </w:tc>
        <w:tc>
          <w:tcPr>
            <w:tcW w:w="12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RISK FACTORS</w:t>
              </w:r>
            </w:hyperlink>
          </w:p>
        </w:tc>
        <w:tc>
          <w:tcPr>
            <w:tcW w:w="600" w:type="dxa"/>
            <w:vAlign w:val="bottom"/>
            <w:tcBorders>
              <w:top w:val="single" w:sz="8" w:color="0000EE"/>
            </w:tcBorders>
            <w:gridSpan w:val="2"/>
          </w:tcPr>
          <w:p>
            <w:pPr>
              <w:spacing w:after="0"/>
              <w:rPr>
                <w:sz w:val="17"/>
                <w:szCs w:val="17"/>
                <w:color w:val="auto"/>
              </w:rPr>
            </w:pPr>
          </w:p>
        </w:tc>
        <w:tc>
          <w:tcPr>
            <w:tcW w:w="6880" w:type="dxa"/>
            <w:vAlign w:val="bottom"/>
            <w:gridSpan w:val="8"/>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2.</w:t>
            </w:r>
          </w:p>
        </w:tc>
        <w:tc>
          <w:tcPr>
            <w:tcW w:w="59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57">
              <w:r>
                <w:rPr>
                  <w:rFonts w:ascii="Arial" w:cs="Arial" w:eastAsia="Arial" w:hAnsi="Arial"/>
                  <w:sz w:val="18"/>
                  <w:szCs w:val="18"/>
                  <w:color w:val="0000EE"/>
                  <w:w w:val="91"/>
                </w:rPr>
                <w:t>UNREGISTERED SALES OF EQUITY SECURITIES AND USE OF PROCEEDS</w:t>
              </w:r>
            </w:hyperlink>
          </w:p>
        </w:tc>
        <w:tc>
          <w:tcPr>
            <w:tcW w:w="2780" w:type="dxa"/>
            <w:vAlign w:val="bottom"/>
            <w:gridSpan w:val="2"/>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3.</w:t>
            </w:r>
          </w:p>
        </w:tc>
        <w:tc>
          <w:tcPr>
            <w:tcW w:w="8700" w:type="dxa"/>
            <w:vAlign w:val="bottom"/>
            <w:gridSpan w:val="13"/>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DEFAULTS UPON SENIOR SECURITIES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4.</w:t>
            </w:r>
          </w:p>
        </w:tc>
        <w:tc>
          <w:tcPr>
            <w:tcW w:w="31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REMOVED AND RESERVED</w:t>
              </w:r>
            </w:hyperlink>
          </w:p>
        </w:tc>
        <w:tc>
          <w:tcPr>
            <w:tcW w:w="5600" w:type="dxa"/>
            <w:vAlign w:val="bottom"/>
            <w:gridSpan w:val="4"/>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5.</w:t>
            </w:r>
          </w:p>
        </w:tc>
        <w:tc>
          <w:tcPr>
            <w:tcW w:w="18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57">
              <w:r>
                <w:rPr>
                  <w:rFonts w:ascii="Arial" w:cs="Arial" w:eastAsia="Arial" w:hAnsi="Arial"/>
                  <w:sz w:val="18"/>
                  <w:szCs w:val="18"/>
                  <w:color w:val="0000EE"/>
                  <w:w w:val="93"/>
                </w:rPr>
                <w:t>OTHER INFORMATION</w:t>
              </w:r>
            </w:hyperlink>
          </w:p>
        </w:tc>
        <w:tc>
          <w:tcPr>
            <w:tcW w:w="380" w:type="dxa"/>
            <w:vAlign w:val="bottom"/>
            <w:tcBorders>
              <w:top w:val="single" w:sz="8" w:color="0000EE"/>
            </w:tcBorders>
          </w:tcPr>
          <w:p>
            <w:pPr>
              <w:spacing w:after="0"/>
              <w:rPr>
                <w:sz w:val="17"/>
                <w:szCs w:val="17"/>
                <w:color w:val="auto"/>
              </w:rPr>
            </w:pPr>
          </w:p>
        </w:tc>
        <w:tc>
          <w:tcPr>
            <w:tcW w:w="6480" w:type="dxa"/>
            <w:vAlign w:val="bottom"/>
            <w:gridSpan w:val="6"/>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6.</w:t>
            </w:r>
          </w:p>
        </w:tc>
        <w:tc>
          <w:tcPr>
            <w:tcW w:w="8700" w:type="dxa"/>
            <w:vAlign w:val="bottom"/>
            <w:gridSpan w:val="13"/>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304"/>
        </w:trPr>
        <w:tc>
          <w:tcPr>
            <w:tcW w:w="1360" w:type="dxa"/>
            <w:vAlign w:val="bottom"/>
            <w:gridSpan w:val="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SIGNATURES</w:t>
              </w:r>
            </w:hyperlink>
          </w:p>
        </w:tc>
        <w:tc>
          <w:tcPr>
            <w:tcW w:w="8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83"/>
        </w:trPr>
        <w:tc>
          <w:tcPr>
            <w:tcW w:w="10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5920" w:type="dxa"/>
            <w:vAlign w:val="bottom"/>
            <w:gridSpan w:val="11"/>
          </w:tcPr>
          <w:p>
            <w:pPr>
              <w:ind w:left="432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20" w:type="dxa"/>
            <w:vAlign w:val="bottom"/>
          </w:tcPr>
          <w:p>
            <w:pPr>
              <w:jc w:val="center"/>
              <w:ind w:left="1800"/>
              <w:spacing w:after="0"/>
              <w:rPr>
                <w:sz w:val="20"/>
                <w:szCs w:val="20"/>
                <w:color w:val="auto"/>
              </w:rPr>
            </w:pPr>
            <w:r>
              <w:rPr>
                <w:rFonts w:ascii="Arial" w:cs="Arial" w:eastAsia="Arial" w:hAnsi="Arial"/>
                <w:sz w:val="18"/>
                <w:szCs w:val="18"/>
                <w:b w:val="1"/>
                <w:bCs w:val="1"/>
                <w:color w:val="auto"/>
                <w:w w:val="99"/>
              </w:rPr>
              <w:t>PART I. FINANCIAL INFORMATION</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220" w:type="dxa"/>
            <w:vAlign w:val="bottom"/>
          </w:tcPr>
          <w:p>
            <w:pPr>
              <w:ind w:left="380"/>
              <w:spacing w:after="0"/>
              <w:rPr>
                <w:sz w:val="20"/>
                <w:szCs w:val="20"/>
                <w:color w:val="auto"/>
              </w:rPr>
            </w:pPr>
            <w:r>
              <w:rPr>
                <w:rFonts w:ascii="Arial" w:cs="Arial" w:eastAsia="Arial" w:hAnsi="Arial"/>
                <w:sz w:val="18"/>
                <w:szCs w:val="18"/>
                <w:b w:val="1"/>
                <w:bCs w:val="1"/>
                <w:color w:val="auto"/>
              </w:rPr>
              <w:t>CONSOLIDATED FINANCIAL STATEMENTS.</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20" w:type="dxa"/>
            <w:vAlign w:val="bottom"/>
          </w:tcPr>
          <w:p>
            <w:pPr>
              <w:jc w:val="center"/>
              <w:ind w:left="1800"/>
              <w:spacing w:after="0"/>
              <w:rPr>
                <w:sz w:val="20"/>
                <w:szCs w:val="20"/>
                <w:color w:val="auto"/>
              </w:rPr>
            </w:pPr>
            <w:r>
              <w:rPr>
                <w:rFonts w:ascii="Arial" w:cs="Arial" w:eastAsia="Arial" w:hAnsi="Arial"/>
                <w:sz w:val="18"/>
                <w:szCs w:val="18"/>
                <w:b w:val="1"/>
                <w:bCs w:val="1"/>
                <w:color w:val="auto"/>
              </w:rPr>
              <w:t>MEDICINOVA, INC.</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20" w:type="dxa"/>
            <w:vAlign w:val="bottom"/>
          </w:tcPr>
          <w:p>
            <w:pPr>
              <w:jc w:val="center"/>
              <w:ind w:left="1820"/>
              <w:spacing w:after="0"/>
              <w:rPr>
                <w:sz w:val="20"/>
                <w:szCs w:val="20"/>
                <w:color w:val="auto"/>
              </w:rPr>
            </w:pPr>
            <w:r>
              <w:rPr>
                <w:rFonts w:ascii="Arial" w:cs="Arial" w:eastAsia="Arial" w:hAnsi="Arial"/>
                <w:sz w:val="18"/>
                <w:szCs w:val="18"/>
                <w:b w:val="1"/>
                <w:bCs w:val="1"/>
                <w:color w:val="auto"/>
                <w:w w:val="86"/>
              </w:rPr>
              <w:t>(a development stage company)</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20" w:type="dxa"/>
            <w:vAlign w:val="bottom"/>
          </w:tcPr>
          <w:p>
            <w:pPr>
              <w:jc w:val="center"/>
              <w:ind w:left="1820"/>
              <w:spacing w:after="0"/>
              <w:rPr>
                <w:sz w:val="20"/>
                <w:szCs w:val="20"/>
                <w:color w:val="auto"/>
              </w:rPr>
            </w:pPr>
            <w:r>
              <w:rPr>
                <w:rFonts w:ascii="Arial" w:cs="Arial" w:eastAsia="Arial" w:hAnsi="Arial"/>
                <w:sz w:val="18"/>
                <w:szCs w:val="18"/>
                <w:b w:val="1"/>
                <w:bCs w:val="1"/>
                <w:color w:val="auto"/>
                <w:w w:val="96"/>
              </w:rPr>
              <w:t>CONSOLIDATED BALANCE SHEETS</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June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2010</w:t>
            </w: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8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gridSpan w:val="2"/>
          </w:tcPr>
          <w:p>
            <w:pPr>
              <w:spacing w:after="0" w:line="149" w:lineRule="exact"/>
              <w:rPr>
                <w:sz w:val="20"/>
                <w:szCs w:val="20"/>
                <w:color w:val="auto"/>
              </w:rPr>
            </w:pPr>
            <w:r>
              <w:rPr>
                <w:rFonts w:ascii="Arial" w:cs="Arial" w:eastAsia="Arial" w:hAnsi="Arial"/>
                <w:sz w:val="14"/>
                <w:szCs w:val="14"/>
                <w:color w:val="auto"/>
              </w:rPr>
              <w:t>Current assets: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25,357,050</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19,241,581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Investment securities-current (Note 3)</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9,902,415</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24,254,987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ARS put-current (Note 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1,587,881</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2,557,007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Restricted letter of credit (Note 2)</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500,292</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3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1,147,200</w:t>
            </w:r>
          </w:p>
        </w:tc>
        <w:tc>
          <w:tcPr>
            <w:tcW w:w="5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869,649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880" w:type="dxa"/>
            <w:vAlign w:val="bottom"/>
            <w:gridSpan w:val="3"/>
          </w:tcPr>
          <w:p>
            <w:pPr>
              <w:spacing w:after="0" w:line="155" w:lineRule="exact"/>
              <w:rPr>
                <w:sz w:val="20"/>
                <w:szCs w:val="20"/>
                <w:color w:val="auto"/>
              </w:rPr>
            </w:pPr>
            <w:r>
              <w:rPr>
                <w:rFonts w:ascii="Arial" w:cs="Arial" w:eastAsia="Arial" w:hAnsi="Arial"/>
                <w:sz w:val="14"/>
                <w:szCs w:val="14"/>
                <w:color w:val="auto"/>
              </w:rPr>
              <w:t>Total current assets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99"/>
              </w:rPr>
              <w:t>38,494,838</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9"/>
              </w:rPr>
              <w:t>46,923,224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Restricted cash (Note 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28,296,766</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30,045,965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gridSpan w:val="2"/>
          </w:tcPr>
          <w:p>
            <w:pPr>
              <w:spacing w:after="0" w:line="149" w:lineRule="exact"/>
              <w:rPr>
                <w:sz w:val="20"/>
                <w:szCs w:val="20"/>
                <w:color w:val="auto"/>
              </w:rPr>
            </w:pPr>
            <w:r>
              <w:rPr>
                <w:rFonts w:ascii="Arial" w:cs="Arial" w:eastAsia="Arial" w:hAnsi="Arial"/>
                <w:sz w:val="14"/>
                <w:szCs w:val="14"/>
                <w:color w:val="auto"/>
              </w:rPr>
              <w:t>Restricted investment (Note 2)</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643,098</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676,499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Restricted letter of credit (Note 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500,042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gridSpan w:val="2"/>
          </w:tcPr>
          <w:p>
            <w:pPr>
              <w:spacing w:after="0" w:line="149" w:lineRule="exact"/>
              <w:rPr>
                <w:sz w:val="20"/>
                <w:szCs w:val="20"/>
                <w:color w:val="auto"/>
              </w:rPr>
            </w:pPr>
            <w:r>
              <w:rPr>
                <w:rFonts w:ascii="Arial" w:cs="Arial" w:eastAsia="Arial" w:hAnsi="Arial"/>
                <w:sz w:val="14"/>
                <w:szCs w:val="14"/>
                <w:color w:val="auto"/>
              </w:rPr>
              <w:t>In-process research and development (Notes 2, 3)</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4,800,000</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Goodwill (Notes 2, 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9,368,205</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9,142,205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gridSpan w:val="2"/>
          </w:tcPr>
          <w:p>
            <w:pPr>
              <w:spacing w:after="0" w:line="149" w:lineRule="exact"/>
              <w:rPr>
                <w:sz w:val="20"/>
                <w:szCs w:val="20"/>
                <w:color w:val="auto"/>
              </w:rPr>
            </w:pPr>
            <w:r>
              <w:rPr>
                <w:rFonts w:ascii="Arial" w:cs="Arial" w:eastAsia="Arial" w:hAnsi="Arial"/>
                <w:sz w:val="14"/>
                <w:szCs w:val="14"/>
                <w:color w:val="auto"/>
              </w:rPr>
              <w:t>Property and equipment, net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90,381</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153,547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Long-term investments (Note 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1,769,468</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2,085,425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60" w:type="dxa"/>
            <w:vAlign w:val="bottom"/>
            <w:gridSpan w:val="2"/>
          </w:tcPr>
          <w:p>
            <w:pPr>
              <w:spacing w:after="0" w:line="149" w:lineRule="exact"/>
              <w:rPr>
                <w:sz w:val="20"/>
                <w:szCs w:val="20"/>
                <w:color w:val="auto"/>
              </w:rPr>
            </w:pPr>
            <w:r>
              <w:rPr>
                <w:rFonts w:ascii="Arial" w:cs="Arial" w:eastAsia="Arial" w:hAnsi="Arial"/>
                <w:sz w:val="14"/>
                <w:szCs w:val="14"/>
                <w:color w:val="auto"/>
              </w:rPr>
              <w:t>Other assets (Note 4)</w:t>
            </w: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167,986</w:t>
            </w:r>
          </w:p>
        </w:tc>
        <w:tc>
          <w:tcPr>
            <w:tcW w:w="5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2"/>
              </w:rPr>
              <w:t>Total assets</w:t>
            </w:r>
          </w:p>
        </w:tc>
        <w:tc>
          <w:tcPr>
            <w:tcW w:w="82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83,630,742</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94,326,907</w:t>
            </w:r>
          </w:p>
        </w:tc>
        <w:tc>
          <w:tcPr>
            <w:tcW w:w="0" w:type="dxa"/>
            <w:vAlign w:val="bottom"/>
          </w:tcPr>
          <w:p>
            <w:pPr>
              <w:spacing w:after="0"/>
              <w:rPr>
                <w:sz w:val="1"/>
                <w:szCs w:val="1"/>
                <w:color w:val="auto"/>
              </w:rPr>
            </w:pPr>
          </w:p>
        </w:tc>
      </w:tr>
      <w:tr>
        <w:trPr>
          <w:trHeight w:val="20"/>
        </w:trPr>
        <w:tc>
          <w:tcPr>
            <w:tcW w:w="8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8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514,605</w:t>
            </w:r>
          </w:p>
        </w:tc>
        <w:tc>
          <w:tcPr>
            <w:tcW w:w="52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1,300,271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ARS loan payable (Note 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2,002,624</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17,605,485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Current portion of long-term debt (Notes 3, 4)</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2,178,849</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Escrow holdback (Note 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1,094,324</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1,094,045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1,184,638</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1,276,036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compensation and related expenses</w:t>
            </w:r>
          </w:p>
        </w:tc>
        <w:tc>
          <w:tcPr>
            <w:tcW w:w="3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289,327</w:t>
            </w:r>
          </w:p>
        </w:tc>
        <w:tc>
          <w:tcPr>
            <w:tcW w:w="5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1,146,960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880" w:type="dxa"/>
            <w:vAlign w:val="bottom"/>
            <w:gridSpan w:val="3"/>
          </w:tcPr>
          <w:p>
            <w:pPr>
              <w:spacing w:after="0" w:line="155" w:lineRule="exact"/>
              <w:rPr>
                <w:sz w:val="20"/>
                <w:szCs w:val="20"/>
                <w:color w:val="auto"/>
              </w:rPr>
            </w:pPr>
            <w:r>
              <w:rPr>
                <w:rFonts w:ascii="Arial" w:cs="Arial" w:eastAsia="Arial" w:hAnsi="Arial"/>
                <w:sz w:val="14"/>
                <w:szCs w:val="14"/>
                <w:color w:val="auto"/>
              </w:rPr>
              <w:t>Total current liabilities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7,264,367</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9"/>
              </w:rPr>
              <w:t>22,422,797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Management transition plan liability (Note 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643,098</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676,499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gridSpan w:val="2"/>
          </w:tcPr>
          <w:p>
            <w:pPr>
              <w:spacing w:after="0" w:line="149" w:lineRule="exact"/>
              <w:rPr>
                <w:sz w:val="20"/>
                <w:szCs w:val="20"/>
                <w:color w:val="auto"/>
              </w:rPr>
            </w:pPr>
            <w:r>
              <w:rPr>
                <w:rFonts w:ascii="Arial" w:cs="Arial" w:eastAsia="Arial" w:hAnsi="Arial"/>
                <w:sz w:val="14"/>
                <w:szCs w:val="14"/>
                <w:color w:val="auto"/>
              </w:rPr>
              <w:t>Deferred tax liability (Note 2)</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1,956,000</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1,956,000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Convertible notes (Note 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27,571,523</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29,258,137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60" w:type="dxa"/>
            <w:vAlign w:val="bottom"/>
            <w:gridSpan w:val="2"/>
          </w:tcPr>
          <w:p>
            <w:pPr>
              <w:spacing w:after="0" w:line="149" w:lineRule="exact"/>
              <w:rPr>
                <w:sz w:val="20"/>
                <w:szCs w:val="20"/>
                <w:color w:val="auto"/>
              </w:rPr>
            </w:pPr>
            <w:r>
              <w:rPr>
                <w:rFonts w:ascii="Arial" w:cs="Arial" w:eastAsia="Arial" w:hAnsi="Arial"/>
                <w:sz w:val="14"/>
                <w:szCs w:val="14"/>
                <w:color w:val="auto"/>
              </w:rPr>
              <w:t>Long-term debt, less current portion (Notes 3, 4)</w:t>
            </w: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9"/>
              </w:rPr>
              <w:t>11,904,359</w:t>
            </w:r>
          </w:p>
        </w:tc>
        <w:tc>
          <w:tcPr>
            <w:tcW w:w="5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liabilities</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49,339,347</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54,313,433</w:t>
            </w:r>
          </w:p>
        </w:tc>
        <w:tc>
          <w:tcPr>
            <w:tcW w:w="0" w:type="dxa"/>
            <w:vAlign w:val="bottom"/>
          </w:tcPr>
          <w:p>
            <w:pPr>
              <w:spacing w:after="0"/>
              <w:rPr>
                <w:sz w:val="1"/>
                <w:szCs w:val="1"/>
                <w:color w:val="auto"/>
              </w:rPr>
            </w:pPr>
          </w:p>
        </w:tc>
      </w:tr>
      <w:tr>
        <w:trPr>
          <w:trHeight w:val="169"/>
        </w:trPr>
        <w:tc>
          <w:tcPr>
            <w:tcW w:w="8880" w:type="dxa"/>
            <w:vAlign w:val="bottom"/>
            <w:gridSpan w:val="3"/>
          </w:tcPr>
          <w:p>
            <w:pPr>
              <w:spacing w:after="0"/>
              <w:rPr>
                <w:sz w:val="20"/>
                <w:szCs w:val="20"/>
                <w:color w:val="auto"/>
              </w:rPr>
            </w:pPr>
            <w:r>
              <w:rPr>
                <w:rFonts w:ascii="Arial" w:cs="Arial" w:eastAsia="Arial" w:hAnsi="Arial"/>
                <w:sz w:val="14"/>
                <w:szCs w:val="14"/>
                <w:color w:val="auto"/>
              </w:rPr>
              <w:t>Commitments and contingencies (Note 9)</w:t>
            </w:r>
          </w:p>
        </w:tc>
        <w:tc>
          <w:tcPr>
            <w:tcW w:w="3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860" w:type="dxa"/>
            <w:vAlign w:val="bottom"/>
            <w:gridSpan w:val="2"/>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860" w:type="dxa"/>
            <w:vAlign w:val="bottom"/>
            <w:gridSpan w:val="2"/>
          </w:tcPr>
          <w:p>
            <w:pPr>
              <w:ind w:left="420"/>
              <w:spacing w:after="0" w:line="138" w:lineRule="exact"/>
              <w:rPr>
                <w:sz w:val="20"/>
                <w:szCs w:val="20"/>
                <w:color w:val="auto"/>
              </w:rPr>
            </w:pPr>
            <w:r>
              <w:rPr>
                <w:rFonts w:ascii="Arial" w:cs="Arial" w:eastAsia="Arial" w:hAnsi="Arial"/>
                <w:sz w:val="14"/>
                <w:szCs w:val="14"/>
                <w:color w:val="auto"/>
                <w:w w:val="91"/>
              </w:rPr>
              <w:t>Preferred stock, $0.01 par value; 500,000 shares authorized at June 30, 2010 and December 31, 2009; no shares outstanding at June 30, 2010 and</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20" w:type="dxa"/>
            <w:vAlign w:val="bottom"/>
          </w:tcPr>
          <w:p>
            <w:pPr>
              <w:spacing w:after="0" w:line="159" w:lineRule="exact"/>
              <w:rPr>
                <w:sz w:val="20"/>
                <w:szCs w:val="20"/>
                <w:color w:val="auto"/>
              </w:rPr>
            </w:pPr>
            <w:r>
              <w:rPr>
                <w:rFonts w:ascii="Arial" w:cs="Arial" w:eastAsia="Arial" w:hAnsi="Arial"/>
                <w:sz w:val="14"/>
                <w:szCs w:val="14"/>
                <w:color w:val="auto"/>
              </w:rPr>
              <w:t>December 31, 2009</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right"/>
              <w:ind w:right="6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86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w w:val="89"/>
              </w:rPr>
              <w:t>Common stock, $0.001 par value; 30,000,000 shares authorized at June 30, 2010 and December 31, 2009; 12,448,520 and 12,172,510 shares issued at</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June 30, 2010 and December 31, 2009, respectively, and 12,402,713 and 12,122,217 shares outstanding at June 30, 2010 and December 31, 2009,</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respectively</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12,449</w:t>
            </w: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12,170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Additional paid-in capital</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89"/>
              </w:rPr>
              <w:t>292,401,018</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9"/>
              </w:rPr>
              <w:t>288,652,712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Accumulated other comprehensive loss</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(63,375)</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(64,914)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Treasury stock, at cost; 45,807 shares at June 30, 2010 and 50,293 shares at December 31, 2009</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(1,212,288)</w:t>
            </w: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(1,235,395)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Deficit accumulated during the development stage</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84"/>
              </w:rPr>
              <w:t>(256,846,409)</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4"/>
              </w:rPr>
              <w:t>(247,351,099)</w:t>
            </w:r>
          </w:p>
        </w:tc>
        <w:tc>
          <w:tcPr>
            <w:tcW w:w="0" w:type="dxa"/>
            <w:vAlign w:val="bottom"/>
          </w:tcPr>
          <w:p>
            <w:pPr>
              <w:spacing w:after="0"/>
              <w:rPr>
                <w:sz w:val="1"/>
                <w:szCs w:val="1"/>
                <w:color w:val="auto"/>
              </w:rPr>
            </w:pPr>
          </w:p>
        </w:tc>
      </w:tr>
      <w:tr>
        <w:trPr>
          <w:trHeight w:val="163"/>
        </w:trPr>
        <w:tc>
          <w:tcPr>
            <w:tcW w:w="8880" w:type="dxa"/>
            <w:vAlign w:val="bottom"/>
            <w:gridSpan w:val="3"/>
          </w:tcPr>
          <w:p>
            <w:pPr>
              <w:spacing w:after="0" w:line="155" w:lineRule="exact"/>
              <w:rPr>
                <w:sz w:val="20"/>
                <w:szCs w:val="20"/>
                <w:color w:val="auto"/>
              </w:rPr>
            </w:pPr>
            <w:r>
              <w:rPr>
                <w:rFonts w:ascii="Arial" w:cs="Arial" w:eastAsia="Arial" w:hAnsi="Arial"/>
                <w:sz w:val="14"/>
                <w:szCs w:val="14"/>
                <w:color w:val="auto"/>
              </w:rPr>
              <w:t>Total stockholders’ equity</w:t>
            </w:r>
          </w:p>
        </w:tc>
        <w:tc>
          <w:tcPr>
            <w:tcW w:w="3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34,291,395</w:t>
            </w:r>
          </w:p>
        </w:tc>
        <w:tc>
          <w:tcPr>
            <w:tcW w:w="5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40,013,474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liabilities and stockholders’ equity</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83,630,742</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94,326,907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50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June 30,</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2000 (inception)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restart"/>
          </w:tcPr>
          <w:p>
            <w:pPr>
              <w:jc w:val="center"/>
              <w:ind w:right="240"/>
              <w:spacing w:after="0" w:line="136" w:lineRule="exact"/>
              <w:rPr>
                <w:sz w:val="20"/>
                <w:szCs w:val="20"/>
                <w:color w:val="auto"/>
              </w:rPr>
            </w:pPr>
            <w:r>
              <w:rPr>
                <w:rFonts w:ascii="Arial" w:cs="Arial" w:eastAsia="Arial" w:hAnsi="Arial"/>
                <w:sz w:val="14"/>
                <w:szCs w:val="14"/>
                <w:b w:val="1"/>
                <w:bCs w:val="1"/>
                <w:color w:val="auto"/>
                <w:w w:val="84"/>
              </w:rPr>
              <w:t>to June 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3"/>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1,558,227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1,258,421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2,304,518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2,745,816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5,253,974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5,846,717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149,799,841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1,847,284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2,198,883</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4,134,236</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4,363,077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93,161,234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4,151,802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4,944,699</w:t>
            </w:r>
          </w:p>
        </w:tc>
        <w:tc>
          <w:tcPr>
            <w:tcW w:w="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9,388,210</w:t>
            </w: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10,209,794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244,219,496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(4,151,802)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(4,944,699)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91"/>
              </w:rPr>
              <w:t>(9,388,210)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(10,209,794)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(242,661,269)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Gain/(impairment charge) on investment securities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64,018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114,155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56,539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140,826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(893,196)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gain/(loss)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(17,912)</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(1,726)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expense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(43,324)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332"/>
              <w:spacing w:after="0"/>
              <w:rPr>
                <w:sz w:val="20"/>
                <w:szCs w:val="20"/>
                <w:color w:val="auto"/>
              </w:rPr>
            </w:pPr>
            <w:r>
              <w:rPr>
                <w:rFonts w:ascii="Arial" w:cs="Arial" w:eastAsia="Arial" w:hAnsi="Arial"/>
                <w:sz w:val="18"/>
                <w:szCs w:val="18"/>
                <w:color w:val="auto"/>
              </w:rPr>
              <w:t>(74,631)</w:t>
            </w: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(74,631)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(406,269)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(65,118)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(450,443)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(107,595)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(692,815)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201,297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248,738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362,410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509,165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18,981,946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(39,815)</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(4,334,060)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(4,664,836)</w:t>
            </w:r>
          </w:p>
        </w:tc>
        <w:tc>
          <w:tcPr>
            <w:tcW w:w="120" w:type="dxa"/>
            <w:vAlign w:val="bottom"/>
          </w:tcPr>
          <w:p>
            <w:pPr>
              <w:spacing w:after="0"/>
              <w:rPr>
                <w:sz w:val="19"/>
                <w:szCs w:val="19"/>
                <w:color w:val="auto"/>
              </w:rPr>
            </w:pPr>
          </w:p>
        </w:tc>
        <w:tc>
          <w:tcPr>
            <w:tcW w:w="1260" w:type="dxa"/>
            <w:vAlign w:val="bottom"/>
            <w:gridSpan w:val="2"/>
          </w:tcPr>
          <w:p>
            <w:pPr>
              <w:jc w:val="right"/>
              <w:ind w:right="332"/>
              <w:spacing w:after="0"/>
              <w:rPr>
                <w:sz w:val="20"/>
                <w:szCs w:val="20"/>
                <w:color w:val="auto"/>
              </w:rPr>
            </w:pPr>
            <w:r>
              <w:rPr>
                <w:rFonts w:ascii="Arial" w:cs="Arial" w:eastAsia="Arial" w:hAnsi="Arial"/>
                <w:sz w:val="18"/>
                <w:szCs w:val="18"/>
                <w:color w:val="auto"/>
                <w:w w:val="91"/>
              </w:rPr>
              <w:t>(9,495,310)</w:t>
            </w:r>
          </w:p>
        </w:tc>
        <w:tc>
          <w:tcPr>
            <w:tcW w:w="1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(9,658,227)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(225,483,287)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5"/>
              </w:rPr>
              <w:t>Accretion to redemption value of redeemable convertible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(98,445)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Deemed dividend resulting from beneficial conversion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w w:val="96"/>
              </w:rPr>
              <w:t>feature on Series C redeemable convertible preferred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stock</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(31,264,677)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(4,334,060)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(4,664,836)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91"/>
              </w:rPr>
              <w:t>(9,495,310)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(9,658,227)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(256,846,409)</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60" w:type="dxa"/>
            <w:vAlign w:val="bottom"/>
            <w:gridSpan w:val="2"/>
            <w:vMerge w:val="continue"/>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(0.35)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(0.39)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32"/>
              <w:spacing w:after="0"/>
              <w:rPr>
                <w:sz w:val="20"/>
                <w:szCs w:val="20"/>
                <w:color w:val="auto"/>
              </w:rPr>
            </w:pPr>
            <w:r>
              <w:rPr>
                <w:rFonts w:ascii="Arial" w:cs="Arial" w:eastAsia="Arial" w:hAnsi="Arial"/>
                <w:sz w:val="18"/>
                <w:szCs w:val="18"/>
                <w:color w:val="auto"/>
              </w:rPr>
              <w:t>(0.77)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Shares used to compute basic and diluted net loss per</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share</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12,431,395</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12,072,027</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12,350,697</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12,072,027</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2000 (inception)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restart"/>
          </w:tcPr>
          <w:p>
            <w:pPr>
              <w:jc w:val="right"/>
              <w:ind w:right="260"/>
              <w:spacing w:after="0" w:line="136" w:lineRule="exact"/>
              <w:rPr>
                <w:sz w:val="20"/>
                <w:szCs w:val="20"/>
                <w:color w:val="auto"/>
              </w:rPr>
            </w:pPr>
            <w:r>
              <w:rPr>
                <w:rFonts w:ascii="Arial" w:cs="Arial" w:eastAsia="Arial" w:hAnsi="Arial"/>
                <w:sz w:val="14"/>
                <w:szCs w:val="14"/>
                <w:b w:val="1"/>
                <w:bCs w:val="1"/>
                <w:color w:val="auto"/>
                <w:w w:val="87"/>
              </w:rPr>
              <w:t>to June 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3"/>
              </w:rPr>
              <w:t>2010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Operating activities: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(9,495,310)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9"/>
              </w:rPr>
              <w:t>(9,658,227)</w:t>
            </w:r>
          </w:p>
        </w:tc>
        <w:tc>
          <w:tcPr>
            <w:tcW w:w="2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8"/>
              </w:rPr>
              <w:t>(225,483,287)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ind w:left="860"/>
              <w:spacing w:after="0" w:line="149" w:lineRule="exact"/>
              <w:rPr>
                <w:sz w:val="20"/>
                <w:szCs w:val="20"/>
                <w:color w:val="auto"/>
              </w:rPr>
            </w:pPr>
            <w:r>
              <w:rPr>
                <w:rFonts w:ascii="Arial" w:cs="Arial" w:eastAsia="Arial" w:hAnsi="Arial"/>
                <w:sz w:val="14"/>
                <w:szCs w:val="14"/>
                <w:color w:val="auto"/>
              </w:rPr>
              <w:t>Non-cash stock-based compensation</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1,065,387</w:t>
            </w:r>
          </w:p>
        </w:tc>
        <w:tc>
          <w:tcPr>
            <w:tcW w:w="2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1,330,834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47,372,985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Depreciation and amortization</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68,239</w:t>
            </w:r>
          </w:p>
        </w:tc>
        <w:tc>
          <w:tcPr>
            <w:tcW w:w="20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131,168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1,863,537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ind w:left="860"/>
              <w:spacing w:after="0" w:line="149" w:lineRule="exact"/>
              <w:rPr>
                <w:sz w:val="20"/>
                <w:szCs w:val="20"/>
                <w:color w:val="auto"/>
              </w:rPr>
            </w:pPr>
            <w:r>
              <w:rPr>
                <w:rFonts w:ascii="Arial" w:cs="Arial" w:eastAsia="Arial" w:hAnsi="Arial"/>
                <w:sz w:val="14"/>
                <w:szCs w:val="14"/>
                <w:color w:val="auto"/>
                <w:w w:val="96"/>
              </w:rPr>
              <w:t>Amortization of premium/discount on investment securities, convertible notes and debt discount and issuance costs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167,045</w:t>
            </w:r>
          </w:p>
        </w:tc>
        <w:tc>
          <w:tcPr>
            <w:tcW w:w="2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(2,309,375)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(Gain)/impairment charge, net on investment securities and ARS put</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(56,537)</w:t>
            </w:r>
          </w:p>
        </w:tc>
        <w:tc>
          <w:tcPr>
            <w:tcW w:w="20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(140,826)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893,197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ind w:left="860"/>
              <w:spacing w:after="0" w:line="149" w:lineRule="exact"/>
              <w:rPr>
                <w:sz w:val="20"/>
                <w:szCs w:val="20"/>
                <w:color w:val="auto"/>
              </w:rPr>
            </w:pPr>
            <w:r>
              <w:rPr>
                <w:rFonts w:ascii="Arial" w:cs="Arial" w:eastAsia="Arial" w:hAnsi="Arial"/>
                <w:sz w:val="14"/>
                <w:szCs w:val="14"/>
                <w:color w:val="auto"/>
              </w:rPr>
              <w:t>Loss on disposal of assets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2,026</w:t>
            </w:r>
          </w:p>
        </w:tc>
        <w:tc>
          <w:tcPr>
            <w:tcW w:w="2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14,023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Impairment of sublease</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ind w:left="86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Prepaid expenses and other assets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(277,550)</w:t>
            </w:r>
          </w:p>
        </w:tc>
        <w:tc>
          <w:tcPr>
            <w:tcW w:w="20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(338,065)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(1,110,250)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ind w:left="1280"/>
              <w:spacing w:after="0" w:line="149" w:lineRule="exact"/>
              <w:rPr>
                <w:sz w:val="20"/>
                <w:szCs w:val="20"/>
                <w:color w:val="auto"/>
              </w:rPr>
            </w:pPr>
            <w:r>
              <w:rPr>
                <w:rFonts w:ascii="Arial" w:cs="Arial" w:eastAsia="Arial" w:hAnsi="Arial"/>
                <w:sz w:val="14"/>
                <w:szCs w:val="14"/>
                <w:color w:val="auto"/>
              </w:rPr>
              <w:t>Accounts payable, accrued expenses, income taxes payable and deferred rent</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(875,528)</w:t>
            </w:r>
          </w:p>
        </w:tc>
        <w:tc>
          <w:tcPr>
            <w:tcW w:w="2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145,554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1,429,562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Accrued compensation and related expenses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(857,633)</w:t>
            </w:r>
          </w:p>
        </w:tc>
        <w:tc>
          <w:tcPr>
            <w:tcW w:w="20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(98,142)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193,186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ind w:left="1280"/>
              <w:spacing w:after="0" w:line="149" w:lineRule="exact"/>
              <w:rPr>
                <w:sz w:val="20"/>
                <w:szCs w:val="20"/>
                <w:color w:val="auto"/>
              </w:rPr>
            </w:pPr>
            <w:r>
              <w:rPr>
                <w:rFonts w:ascii="Arial" w:cs="Arial" w:eastAsia="Arial" w:hAnsi="Arial"/>
                <w:sz w:val="14"/>
                <w:szCs w:val="14"/>
                <w:color w:val="auto"/>
              </w:rPr>
              <w:t>Restricted assets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31,567</w:t>
            </w:r>
          </w:p>
        </w:tc>
        <w:tc>
          <w:tcPr>
            <w:tcW w:w="2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31,567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Escrow holdback liability</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279</w:t>
            </w:r>
          </w:p>
        </w:tc>
        <w:tc>
          <w:tcPr>
            <w:tcW w:w="20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ind w:left="1280"/>
              <w:spacing w:after="0" w:line="149" w:lineRule="exact"/>
              <w:rPr>
                <w:sz w:val="20"/>
                <w:szCs w:val="20"/>
                <w:color w:val="auto"/>
              </w:rPr>
            </w:pPr>
            <w:r>
              <w:rPr>
                <w:rFonts w:ascii="Arial" w:cs="Arial" w:eastAsia="Arial" w:hAnsi="Arial"/>
                <w:sz w:val="14"/>
                <w:szCs w:val="14"/>
                <w:color w:val="auto"/>
              </w:rPr>
              <w:t>Management transition plan liability</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(33,401)</w:t>
            </w:r>
          </w:p>
        </w:tc>
        <w:tc>
          <w:tcPr>
            <w:tcW w:w="2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(33,401)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operating activities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5"/>
              </w:rPr>
              <w:t>(10,261,416)</w:t>
            </w:r>
          </w:p>
        </w:tc>
        <w:tc>
          <w:tcPr>
            <w:tcW w:w="20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9"/>
              </w:rPr>
              <w:t>(8,627,704)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8"/>
              </w:rPr>
              <w:t>(177,102,718)</w:t>
            </w:r>
          </w:p>
        </w:tc>
        <w:tc>
          <w:tcPr>
            <w:tcW w:w="0" w:type="dxa"/>
            <w:vAlign w:val="bottom"/>
          </w:tcPr>
          <w:p>
            <w:pPr>
              <w:spacing w:after="0"/>
              <w:rPr>
                <w:sz w:val="1"/>
                <w:szCs w:val="1"/>
                <w:color w:val="auto"/>
              </w:rPr>
            </w:pPr>
          </w:p>
        </w:tc>
      </w:tr>
      <w:tr>
        <w:trPr>
          <w:trHeight w:val="156"/>
        </w:trPr>
        <w:tc>
          <w:tcPr>
            <w:tcW w:w="7760" w:type="dxa"/>
            <w:vAlign w:val="bottom"/>
            <w:gridSpan w:val="2"/>
          </w:tcPr>
          <w:p>
            <w:pPr>
              <w:spacing w:after="0" w:line="155" w:lineRule="exact"/>
              <w:rPr>
                <w:sz w:val="20"/>
                <w:szCs w:val="20"/>
                <w:color w:val="auto"/>
              </w:rPr>
            </w:pPr>
            <w:r>
              <w:rPr>
                <w:rFonts w:ascii="Arial" w:cs="Arial" w:eastAsia="Arial" w:hAnsi="Arial"/>
                <w:sz w:val="14"/>
                <w:szCs w:val="14"/>
                <w:color w:val="auto"/>
              </w:rPr>
              <w:t>Investing activities:</w:t>
            </w:r>
          </w:p>
        </w:tc>
        <w:tc>
          <w:tcPr>
            <w:tcW w:w="6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paid for acquired business, net of acquired cash</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(226,000)</w:t>
            </w:r>
          </w:p>
        </w:tc>
        <w:tc>
          <w:tcPr>
            <w:tcW w:w="20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(2,597,749)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ind w:left="420"/>
              <w:spacing w:after="0" w:line="149" w:lineRule="exact"/>
              <w:rPr>
                <w:sz w:val="20"/>
                <w:szCs w:val="20"/>
                <w:color w:val="auto"/>
              </w:rPr>
            </w:pPr>
            <w:r>
              <w:rPr>
                <w:rFonts w:ascii="Arial" w:cs="Arial" w:eastAsia="Arial" w:hAnsi="Arial"/>
                <w:sz w:val="14"/>
                <w:szCs w:val="14"/>
                <w:color w:val="auto"/>
              </w:rPr>
              <w:t>Purchases of investment securities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8"/>
              </w:rPr>
              <w:t>(377,205,766)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Maturities or sales of investment securities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15,694,194</w:t>
            </w:r>
          </w:p>
        </w:tc>
        <w:tc>
          <w:tcPr>
            <w:tcW w:w="20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365,500,491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ind w:left="420"/>
              <w:spacing w:after="0" w:line="149" w:lineRule="exact"/>
              <w:rPr>
                <w:sz w:val="20"/>
                <w:szCs w:val="20"/>
                <w:color w:val="auto"/>
              </w:rPr>
            </w:pPr>
            <w:r>
              <w:rPr>
                <w:rFonts w:ascii="Arial" w:cs="Arial" w:eastAsia="Arial" w:hAnsi="Arial"/>
                <w:sz w:val="14"/>
                <w:szCs w:val="14"/>
                <w:color w:val="auto"/>
              </w:rPr>
              <w:t>Acquisition of property and equipment</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(7,099)</w:t>
            </w:r>
          </w:p>
        </w:tc>
        <w:tc>
          <w:tcPr>
            <w:tcW w:w="2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(13,449)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(2,260,045)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sales of property and equipment</w:t>
            </w:r>
          </w:p>
        </w:tc>
        <w:tc>
          <w:tcPr>
            <w:tcW w:w="6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256,845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776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91"/>
              </w:rPr>
              <w:t>15,461,095</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86,551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(16,306,224)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Financing activities:</w:t>
            </w:r>
          </w:p>
        </w:tc>
        <w:tc>
          <w:tcPr>
            <w:tcW w:w="6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ind w:left="200"/>
              <w:spacing w:after="0" w:line="149" w:lineRule="exact"/>
              <w:rPr>
                <w:sz w:val="20"/>
                <w:szCs w:val="20"/>
                <w:color w:val="auto"/>
              </w:rPr>
            </w:pPr>
            <w:r>
              <w:rPr>
                <w:rFonts w:ascii="Arial" w:cs="Arial" w:eastAsia="Arial" w:hAnsi="Arial"/>
                <w:sz w:val="14"/>
                <w:szCs w:val="14"/>
                <w:color w:val="auto"/>
              </w:rPr>
              <w:t>Net proceeds from debt</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14,670,000</w:t>
            </w:r>
          </w:p>
        </w:tc>
        <w:tc>
          <w:tcPr>
            <w:tcW w:w="2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14,670,000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proceeds from the sale of common stock</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74,045</w:t>
            </w:r>
          </w:p>
        </w:tc>
        <w:tc>
          <w:tcPr>
            <w:tcW w:w="20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121,370,968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ind w:left="200"/>
              <w:spacing w:after="0" w:line="149" w:lineRule="exact"/>
              <w:rPr>
                <w:sz w:val="20"/>
                <w:szCs w:val="20"/>
                <w:color w:val="auto"/>
              </w:rPr>
            </w:pPr>
            <w:r>
              <w:rPr>
                <w:rFonts w:ascii="Arial" w:cs="Arial" w:eastAsia="Arial" w:hAnsi="Arial"/>
                <w:sz w:val="14"/>
                <w:szCs w:val="14"/>
                <w:color w:val="auto"/>
              </w:rPr>
              <w:t>Proceeds from conversion of convertible notes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1,751,499</w:t>
            </w:r>
          </w:p>
        </w:tc>
        <w:tc>
          <w:tcPr>
            <w:tcW w:w="2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1,751,499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Sale of preferred stock, net of issuance costs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80,216,971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ind w:left="200"/>
              <w:spacing w:after="0" w:line="149" w:lineRule="exact"/>
              <w:rPr>
                <w:sz w:val="20"/>
                <w:szCs w:val="20"/>
                <w:color w:val="auto"/>
              </w:rPr>
            </w:pPr>
            <w:r>
              <w:rPr>
                <w:rFonts w:ascii="Arial" w:cs="Arial" w:eastAsia="Arial" w:hAnsi="Arial"/>
                <w:sz w:val="14"/>
                <w:szCs w:val="14"/>
                <w:color w:val="auto"/>
              </w:rPr>
              <w:t>(Repayments of) proceeds from ARS loan, net</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5"/>
              </w:rPr>
              <w:t>(15,602,861)</w:t>
            </w:r>
          </w:p>
        </w:tc>
        <w:tc>
          <w:tcPr>
            <w:tcW w:w="2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5"/>
              </w:rPr>
              <w:t>17,859,881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2,002,624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Purchase of treasury stock, net of employee stock purchases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23,107</w:t>
            </w: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41,315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(1,246,070)</w:t>
            </w: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4"/>
                <w:szCs w:val="14"/>
                <w:color w:val="auto"/>
              </w:rPr>
              <w:t>Net cash provided by financing activities</w:t>
            </w: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6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915,790</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85"/>
              </w:rPr>
              <w:t>17,901,196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218,765,992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cash and cash equivalents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6,115,469</w:t>
            </w: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9,360,043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25,357,050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19,241,581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5"/>
              </w:rPr>
              <w:t>19,297,284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end of period</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25,357,050</w:t>
            </w: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5"/>
              </w:rPr>
              <w:t>28,657,327</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25,357,050</w:t>
            </w: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4"/>
                <w:szCs w:val="14"/>
                <w:color w:val="auto"/>
              </w:rPr>
              <w:t>Supplemental disclosure of non-cash financing and operating activities:</w:t>
            </w: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760" w:type="dxa"/>
            <w:vAlign w:val="bottom"/>
            <w:gridSpan w:val="2"/>
            <w:vMerge w:val="continue"/>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convertible preferred stock into common stock upon IPO</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43,515,677</w:t>
            </w: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4"/>
                <w:szCs w:val="14"/>
                <w:color w:val="auto"/>
              </w:rPr>
              <w:t>Restricted assets</w:t>
            </w: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60" w:type="dxa"/>
            <w:vAlign w:val="bottom"/>
            <w:gridSpan w:val="2"/>
            <w:vMerge w:val="continue"/>
          </w:tcPr>
          <w:p>
            <w:pPr>
              <w:spacing w:after="0"/>
              <w:rPr>
                <w:sz w:val="12"/>
                <w:szCs w:val="12"/>
                <w:color w:val="auto"/>
              </w:rPr>
            </w:pPr>
          </w:p>
        </w:tc>
        <w:tc>
          <w:tcPr>
            <w:tcW w:w="7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1,750,783</w:t>
            </w:r>
          </w:p>
        </w:tc>
        <w:tc>
          <w:tcPr>
            <w:tcW w:w="2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20"/>
              <w:spacing w:after="0" w:line="143"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1,750,783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disclosures of cash flow information:</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spacing w:after="0" w:line="149" w:lineRule="exact"/>
              <w:rPr>
                <w:sz w:val="20"/>
                <w:szCs w:val="20"/>
                <w:color w:val="auto"/>
              </w:rPr>
            </w:pPr>
            <w:r>
              <w:rPr>
                <w:rFonts w:ascii="Arial" w:cs="Arial" w:eastAsia="Arial" w:hAnsi="Arial"/>
                <w:sz w:val="14"/>
                <w:szCs w:val="14"/>
                <w:color w:val="auto"/>
              </w:rPr>
              <w:t>Income taxes paid</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8,795</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42,757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7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Interest paid</w:t>
            </w:r>
          </w:p>
        </w:tc>
        <w:tc>
          <w:tcPr>
            <w:tcW w:w="7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358,025</w:t>
            </w:r>
          </w:p>
        </w:tc>
        <w:tc>
          <w:tcPr>
            <w:tcW w:w="200" w:type="dxa"/>
            <w:vAlign w:val="bottom"/>
            <w:tcBorders>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107,595</w:t>
            </w:r>
          </w:p>
        </w:tc>
        <w:tc>
          <w:tcPr>
            <w:tcW w:w="220" w:type="dxa"/>
            <w:vAlign w:val="bottom"/>
            <w:gridSpan w:val="2"/>
            <w:shd w:val="clear" w:color="auto" w:fill="CCEEFF"/>
          </w:tcPr>
          <w:p>
            <w:pPr>
              <w:ind w:left="120"/>
              <w:spacing w:after="0" w:line="143"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593,389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ind w:right="894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Interim Financial Information </w:t>
      </w:r>
      <w:r>
        <w:rPr>
          <w:rFonts w:ascii="Arial" w:cs="Arial" w:eastAsia="Arial" w:hAnsi="Arial"/>
          <w:sz w:val="18"/>
          <w:szCs w:val="18"/>
          <w:b w:val="1"/>
          <w:bCs w:val="1"/>
          <w:i w:val="1"/>
          <w:iCs w:val="1"/>
          <w:color w:val="auto"/>
        </w:rPr>
        <w:t>The Company</w:t>
      </w:r>
    </w:p>
    <w:p>
      <w:pPr>
        <w:spacing w:after="0" w:line="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were incorporated in the state of Delaware in September 2000. We are a development stage biopharmaceutical company focused on acquiring and developing novel, small molecule therapeutics for the treatment of diseases with unmet need with a specific focus on the U.S. market. Through strategic alliances primarily with Japanese pharmaceutical companies, we hold rights to a diversified portfolio of clinical and preclinical product candidates, each of which we believe has a well-characterized and differentiated therapeutic profile, attractive commercial potential and patent assets having claims of commercially adequate scope.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prepared the accompanying unaudited consolidated financial statements in accordance with accounting principles generally accepted in the United States of America for interim financial information. Accordingly, they do not include all of the information and disclosures required by generally accepted accounting principles for complete financial statements. In the opinion of management, all adjustments (consisting of normal recurring adjustments) considered necessary for a fair presentation of the financial position, results of operations and cash flow for the interim period presented have been included. Operating results for the three and six months ended June 30, 2010 are not necessarily indicative of the results that may be expected for the year ending December 31, 2010 or for any other period. For further information, see the financial statements and disclosures thereto for the year ended December 31, 2009 in our Annual Report on Form 10-K as filed with the Securities and Exchange Commission on March 24, 2010.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MediciNova, Inc. and its wholly-owned subsidiaries. MediciNova, Inc. and its subsidiaries are collectively referred to herein as “we,” “our” or “us.”</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On December 13, 2006, MediciNova (Europe) Limited, a wholly-owned subsidiary of MediciNova, Inc., was incorporated under the laws of England and Wales and established for the purpose of facilitating the clinical development of the Company’s compounds for the European marketplace. MediciNova (Europe) Limited’s functional currency is the U.S. dollar, the reporting currency of its parent.</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On January 4, 2007, MediciNova Japan, Inc., a wholly-owned subsidiary of MediciNova, Inc., was incorporated under the laws of Japan and established to strengthen business development and investor and public relations activities in Japan and other Asian countries. MediciNova Japan, Inc.’s functional currency is the Japanese yen.</w:t>
      </w:r>
    </w:p>
    <w:p>
      <w:pPr>
        <w:spacing w:after="0" w:line="14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On August 17, 2009, Absolute Merger, Inc., a wholly-owned subsidiary of MediciNova, Inc. was incorporated under the General Corporation Law of the State of Delaware for the purpose of facilitating the Merger (the “Merger”) with Avigen, Inc. (“Avigen”). On December 18, 2009, Absolute Merger, Inc. merged with and into Avigen, with Avigen continuing as the surviving entity and wholly-owned subsidiary of ours.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intercompany transactions and investments in our subsidiaries have been eliminated in consolidation.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prepared the accompanying unaudited consolidated financial statements in conformity with accounting principles generally accepted in the United States of America, which requires management to make estimates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assumptions that affect the reported amounts of assets and liabilities and the disclosure of contingent liabilities at the date of the financial statements and the reported amounts of revenue and expenses during the reporting period. Actual results may differ from those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and Uncertainties</w:t>
      </w:r>
    </w:p>
    <w:p>
      <w:pPr>
        <w:spacing w:after="0" w:line="90" w:lineRule="exact"/>
        <w:rPr>
          <w:sz w:val="20"/>
          <w:szCs w:val="20"/>
          <w:color w:val="auto"/>
        </w:rPr>
      </w:pPr>
    </w:p>
    <w:p>
      <w:pPr>
        <w:jc w:val="both"/>
        <w:ind w:right="440" w:firstLine="456"/>
        <w:spacing w:after="0" w:line="335" w:lineRule="auto"/>
        <w:rPr>
          <w:sz w:val="20"/>
          <w:szCs w:val="20"/>
          <w:color w:val="auto"/>
        </w:rPr>
      </w:pPr>
      <w:r>
        <w:rPr>
          <w:rFonts w:ascii="Arial" w:cs="Arial" w:eastAsia="Arial" w:hAnsi="Arial"/>
          <w:sz w:val="15"/>
          <w:szCs w:val="15"/>
          <w:color w:val="auto"/>
        </w:rPr>
        <w:t>We maintain cash balances at various financial institutions and such balances commonly exceed the $250,000 insured amount by the Federal Deposit Insurance Corporation. We also maintain money market funds at various financial institutions which are not federally insured. We have not experienced any losses in such accounts and management believes that we are not exposed to any significant credit risk with respect to such cash and cash equivalents.</w:t>
      </w:r>
    </w:p>
    <w:p>
      <w:pPr>
        <w:spacing w:after="0" w:line="8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May 10, 2010, we entered into a loan and security agreement, or Loan Agreement, with Oxford Finance Corporation or, the Lender, under which we borrowed $15.0 million. We are required to pay interest on borrowings on a monthly basis through and including February 1, 2011. Beginning March 1, 2011 through maturity of the loan on August 1, 2013, we will be required to make payments of outstanding principal and interest in 30 equal monthly installments. The stated interest rate on the loan is 12.87 percent. See Note 4, Long-term Debt, for further information on the loan.</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sustained operating losses since inception and expect such losses to continue over the next several years. Management plans to continue financing the operations with equity issuances, debt arrangements or a combination thereof. We expect current working capital to be sufficient to fund our operations, inclusive of debt repayment in the event of default, through at least June 30, 2011. If adequate funds are not available, we may be required to delay, reduce the scope of or eliminate one or more of our research or development programs or implement a reduction in workforce.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Certain amounts in the consolidated statements of operations for the three and six month periods ended June 30, 2009, the three months ended March 31, 2010, and the consolidated statement of cash flows for the six months ended June 30, 2009 and the period from September 26, 2000 (inception) to March 31, 2010 have been reclassified to conform to the June 30, 2010 presentation of interest expense, other expense and other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Not Yet Adopted</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In April 2010, the FASB issued ASU No. 2010-12, which indicates that the Securities and Exchange Commission (“SEC”) staff would not object to incorporating the effects of the Health Care and Education Reconciliation Act of 2010 (which was enacted on March 30, 2010) when accounting for the Patient Protection and Affordable Care Act (which was enacted on March 23, 2010). This view is based partly on the SEC’s understanding that the two aforementioned acts, when taken together, represent the current health care reforms as passed by Congress and signed by the President. As of June 30, 2010, we have performed an initial review of the two acts, and we do not believe that either will have a material impact on our consolidated results of operations or financial condition. Our belief is based on the fact that: we are a development stage biopharmaceutical whose lead drug candidates are in Phase II of development and we have no other revenue generating products; therefore the pharmaceutical industry fee should not be applicable to us, nor would we be impacted by the drug subsidy changes; we have less than 25 employees so the fee for health plans will have minimal impact to our operating expenses; we do not have “high-cost” coverage health plans, nor do we offer retiree medical benefits; thus, the fees and the changes related to these would not impact our operating expenses, and, with regard to the limit on tax-deductible employee compensation this should not impact our tax position as we are currently a net loss company and will continue to be a net loss company in the foreseeable future. The health care reforms also provide for a “new investment tax credit for qualified therapeutic discovery,” for which we submitted an application on July 16, 2010. Because we cannot be assured that our product candidate will be selected to receive a cash grant in lieu of a research and development tax credit, we are uncertain if our application will have a material impact on our consolidated results of operations or financial condition.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April 2010, the FASB issued ASU No. 2010-17, which codifies the consensus reached in EITF No. 08-9, which provides guidance on defining a milestone and determining when it may be appropriate to apply the milestone method of revenue recognition for research or development transactions. Consideration that is contingent on achievement of a milestone in its entirety may be recognized as revenue in the period in which the milestone is achieved only if the milestone is judged to meet certain criteria to be considered substantive. Milestones should be considered substantive in their entirety and may not be bifurcated. An arrangement may contain both substantive and nonsubstantive milestones, and each milestone should be evaluated individually to determine if it is substantive. The amendments in this ASU are effective on a prospective basis for milestones achieved in fiscal years, and interim periods within those years, beginning on or after June 15, 2010. Early adoption is permitted. We have not early adopted this accounting standard; however, we do not believe adoption of this standard will have a material effect on our consolidated results of operations or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Avigen Transaction</w:t>
      </w:r>
    </w:p>
    <w:p>
      <w:pPr>
        <w:spacing w:after="0" w:line="96"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On December 18, 2009 we acquired 100% of the outstanding shares of Avigen, a biopharmaceutical company that had focused on identifying and developing differentiated products to treat patients with serious disorders, whose potential product candidate is AV411, a glial attenuator and ibudilast small molecule therapeutic, for CNS disorders. Under the terms of the Merger, Avigen shareholders, at their election, received an amount per share either in cash, convertible notes issued by us or a combination thereof, upon closing. Of the 29,852,115 shares of Avigen common stock outstanding, approximately 17% of Avigen shareholders elected to receive cash at closing in the amount of approximately $1.19 per share with an additional $0.04 per share expected to be paid in two increments on or about June 30, 2010 and after November 30, 2010 subject to certain adjustments, and rights under contingent payment rights issued as part of the merger consideration, while the remaining 83% elected to receive convertible notes issued by us. The amount to be paid in the two installments was adjusted to approximately $0.044 per share at June 30, 2010, based on a reconciliation of expenses. The primary reasons for the Avigen acquisition were to combine the ibudilast development programs each company was respectively pursuing, to utilize the preclinical and clinical data for AV411 as support for the development pathway of MN-166 resulting in cost savings for us, and to capture a potential financing opportunity given Avigen’s cash balance prior to the Merger.</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the December 31, 2009 acquisition related balances with their respective balances at June 30,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Value of Notes</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 Expense</w:t>
            </w:r>
          </w:p>
        </w:tc>
        <w:tc>
          <w:tcPr>
            <w:tcW w:w="120" w:type="dxa"/>
            <w:vAlign w:val="bottom"/>
          </w:tcPr>
          <w:p>
            <w:pPr>
              <w:spacing w:after="0"/>
              <w:rPr>
                <w:sz w:val="14"/>
                <w:szCs w:val="14"/>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Carrying</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Value at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2"/>
              </w:rPr>
              <w:t>Converted</w:t>
            </w:r>
          </w:p>
        </w:tc>
        <w:tc>
          <w:tcPr>
            <w:tcW w:w="240" w:type="dxa"/>
            <w:vAlign w:val="bottom"/>
          </w:tcPr>
          <w:p>
            <w:pPr>
              <w:spacing w:after="0"/>
              <w:rPr>
                <w:sz w:val="12"/>
                <w:szCs w:val="12"/>
                <w:color w:val="auto"/>
              </w:rPr>
            </w:pPr>
          </w:p>
        </w:tc>
        <w:tc>
          <w:tcPr>
            <w:tcW w:w="154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92"/>
              </w:rPr>
              <w:t>Interest Earned</w:t>
            </w:r>
          </w:p>
        </w:tc>
        <w:tc>
          <w:tcPr>
            <w:tcW w:w="140" w:type="dxa"/>
            <w:vAlign w:val="bottom"/>
          </w:tcPr>
          <w:p>
            <w:pPr>
              <w:spacing w:after="0"/>
              <w:rPr>
                <w:sz w:val="12"/>
                <w:szCs w:val="12"/>
                <w:color w:val="auto"/>
              </w:rPr>
            </w:pPr>
          </w:p>
        </w:tc>
        <w:tc>
          <w:tcPr>
            <w:tcW w:w="14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(Accretion)</w:t>
            </w:r>
          </w:p>
        </w:tc>
        <w:tc>
          <w:tcPr>
            <w:tcW w:w="120" w:type="dxa"/>
            <w:vAlign w:val="bottom"/>
          </w:tcPr>
          <w:p>
            <w:pPr>
              <w:spacing w:after="0"/>
              <w:rPr>
                <w:sz w:val="12"/>
                <w:szCs w:val="12"/>
                <w:color w:val="auto"/>
              </w:rPr>
            </w:pPr>
          </w:p>
        </w:tc>
        <w:tc>
          <w:tcPr>
            <w:tcW w:w="1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Value at</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37"/>
              <w:spacing w:after="0"/>
              <w:rPr>
                <w:sz w:val="20"/>
                <w:szCs w:val="20"/>
                <w:color w:val="auto"/>
              </w:rPr>
            </w:pPr>
            <w:r>
              <w:rPr>
                <w:rFonts w:ascii="Arial" w:cs="Arial" w:eastAsia="Arial" w:hAnsi="Arial"/>
                <w:sz w:val="14"/>
                <w:szCs w:val="14"/>
                <w:b w:val="1"/>
                <w:bCs w:val="1"/>
                <w:color w:val="auto"/>
              </w:rPr>
              <w:t>12/31/09</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1/1/10-6/30/10(9)</w:t>
            </w:r>
          </w:p>
        </w:tc>
        <w:tc>
          <w:tcPr>
            <w:tcW w:w="280" w:type="dxa"/>
            <w:vAlign w:val="bottom"/>
          </w:tcPr>
          <w:p>
            <w:pPr>
              <w:spacing w:after="0"/>
              <w:rPr>
                <w:sz w:val="14"/>
                <w:szCs w:val="14"/>
                <w:color w:val="auto"/>
              </w:rPr>
            </w:pPr>
          </w:p>
        </w:tc>
        <w:tc>
          <w:tcPr>
            <w:tcW w:w="1280" w:type="dxa"/>
            <w:vAlign w:val="bottom"/>
            <w:gridSpan w:val="3"/>
          </w:tcPr>
          <w:p>
            <w:pPr>
              <w:ind w:left="240"/>
              <w:spacing w:after="0"/>
              <w:rPr>
                <w:sz w:val="20"/>
                <w:szCs w:val="20"/>
                <w:color w:val="auto"/>
              </w:rPr>
            </w:pPr>
            <w:r>
              <w:rPr>
                <w:rFonts w:ascii="Arial" w:cs="Arial" w:eastAsia="Arial" w:hAnsi="Arial"/>
                <w:sz w:val="14"/>
                <w:szCs w:val="14"/>
                <w:b w:val="1"/>
                <w:bCs w:val="1"/>
                <w:color w:val="auto"/>
                <w:w w:val="88"/>
              </w:rPr>
              <w:t>1/1/10-6/30/10(10)</w:t>
            </w:r>
          </w:p>
        </w:tc>
        <w:tc>
          <w:tcPr>
            <w:tcW w:w="5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88"/>
              </w:rPr>
              <w:t>1/1/10-6/30/10(11)</w:t>
            </w:r>
          </w:p>
        </w:tc>
        <w:tc>
          <w:tcPr>
            <w:tcW w:w="5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8"/>
              </w:rPr>
              <w:t>1/1/10-6/30/10</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7"/>
              <w:spacing w:after="0"/>
              <w:rPr>
                <w:sz w:val="20"/>
                <w:szCs w:val="20"/>
                <w:color w:val="auto"/>
              </w:rPr>
            </w:pPr>
            <w:r>
              <w:rPr>
                <w:rFonts w:ascii="Arial" w:cs="Arial" w:eastAsia="Arial" w:hAnsi="Arial"/>
                <w:sz w:val="14"/>
                <w:szCs w:val="14"/>
                <w:b w:val="1"/>
                <w:bCs w:val="1"/>
                <w:color w:val="auto"/>
                <w:w w:val="85"/>
              </w:rPr>
              <w:t>6/30/10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30,045,965</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(1,750,783)</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1,584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28,296,766</w:t>
            </w:r>
          </w:p>
        </w:tc>
        <w:tc>
          <w:tcPr>
            <w:tcW w:w="0" w:type="dxa"/>
            <w:vAlign w:val="bottom"/>
          </w:tcPr>
          <w:p>
            <w:pPr>
              <w:spacing w:after="0"/>
              <w:rPr>
                <w:sz w:val="1"/>
                <w:szCs w:val="1"/>
                <w:color w:val="auto"/>
              </w:rPr>
            </w:pPr>
          </w:p>
        </w:tc>
      </w:tr>
      <w:tr>
        <w:trPr>
          <w:trHeight w:val="20"/>
        </w:trPr>
        <w:tc>
          <w:tcPr>
            <w:tcW w:w="2720" w:type="dxa"/>
            <w:vAlign w:val="bottom"/>
            <w:gridSpan w:val="2"/>
            <w:vMerge w:val="restart"/>
          </w:tcPr>
          <w:p>
            <w:pPr>
              <w:spacing w:after="0"/>
              <w:rPr>
                <w:sz w:val="20"/>
                <w:szCs w:val="20"/>
                <w:color w:val="auto"/>
              </w:rPr>
            </w:pPr>
            <w:r>
              <w:rPr>
                <w:rFonts w:ascii="Arial" w:cs="Arial" w:eastAsia="Arial" w:hAnsi="Arial"/>
                <w:sz w:val="18"/>
                <w:szCs w:val="18"/>
                <w:color w:val="auto"/>
              </w:rPr>
              <w:t>Restricted investment-MTP(2)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676,499</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(33,416)(12)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643,098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letter of credit(3)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500,042</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500,292</w:t>
            </w:r>
          </w:p>
        </w:tc>
        <w:tc>
          <w:tcPr>
            <w:tcW w:w="0" w:type="dxa"/>
            <w:vAlign w:val="bottom"/>
          </w:tcPr>
          <w:p>
            <w:pPr>
              <w:spacing w:after="0"/>
              <w:rPr>
                <w:sz w:val="1"/>
                <w:szCs w:val="1"/>
                <w:color w:val="auto"/>
              </w:rPr>
            </w:pPr>
          </w:p>
        </w:tc>
      </w:tr>
      <w:tr>
        <w:trPr>
          <w:trHeight w:val="20"/>
        </w:trPr>
        <w:tc>
          <w:tcPr>
            <w:tcW w:w="2720" w:type="dxa"/>
            <w:vAlign w:val="bottom"/>
            <w:gridSpan w:val="2"/>
            <w:vMerge w:val="restart"/>
          </w:tcPr>
          <w:p>
            <w:pPr>
              <w:spacing w:after="0"/>
              <w:rPr>
                <w:sz w:val="20"/>
                <w:szCs w:val="20"/>
                <w:color w:val="auto"/>
              </w:rPr>
            </w:pPr>
            <w:r>
              <w:rPr>
                <w:rFonts w:ascii="Arial" w:cs="Arial" w:eastAsia="Arial" w:hAnsi="Arial"/>
                <w:sz w:val="18"/>
                <w:szCs w:val="18"/>
                <w:color w:val="auto"/>
              </w:rPr>
              <w:t>IPR&amp;D(4)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4,800,000</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4,800,000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9,142,205</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226,000 (6)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9,368,205</w:t>
            </w:r>
          </w:p>
        </w:tc>
        <w:tc>
          <w:tcPr>
            <w:tcW w:w="0" w:type="dxa"/>
            <w:vAlign w:val="bottom"/>
          </w:tcPr>
          <w:p>
            <w:pPr>
              <w:spacing w:after="0"/>
              <w:rPr>
                <w:sz w:val="1"/>
                <w:szCs w:val="1"/>
                <w:color w:val="auto"/>
              </w:rPr>
            </w:pPr>
          </w:p>
        </w:tc>
      </w:tr>
      <w:tr>
        <w:trPr>
          <w:trHeight w:val="20"/>
        </w:trPr>
        <w:tc>
          <w:tcPr>
            <w:tcW w:w="2720" w:type="dxa"/>
            <w:vAlign w:val="bottom"/>
            <w:gridSpan w:val="2"/>
            <w:vMerge w:val="restart"/>
          </w:tcPr>
          <w:p>
            <w:pPr>
              <w:spacing w:after="0"/>
              <w:rPr>
                <w:sz w:val="20"/>
                <w:szCs w:val="20"/>
                <w:color w:val="auto"/>
              </w:rPr>
            </w:pPr>
            <w:r>
              <w:rPr>
                <w:rFonts w:ascii="Arial" w:cs="Arial" w:eastAsia="Arial" w:hAnsi="Arial"/>
                <w:sz w:val="18"/>
                <w:szCs w:val="18"/>
                <w:color w:val="auto"/>
              </w:rPr>
              <w:t>Escrow holdback(6)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(1,094,045)</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(279)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ind w:left="440"/>
              <w:spacing w:after="0"/>
              <w:rPr>
                <w:sz w:val="20"/>
                <w:szCs w:val="20"/>
                <w:color w:val="auto"/>
              </w:rPr>
            </w:pPr>
            <w:r>
              <w:rPr>
                <w:rFonts w:ascii="Arial" w:cs="Arial" w:eastAsia="Arial" w:hAnsi="Arial"/>
                <w:sz w:val="18"/>
                <w:szCs w:val="18"/>
                <w:color w:val="auto"/>
              </w:rPr>
              <w:t>— (13)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(1,094,324)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MTP liability(2)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(676,499)</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33,416(12)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(643,098)</w:t>
            </w:r>
          </w:p>
        </w:tc>
        <w:tc>
          <w:tcPr>
            <w:tcW w:w="0" w:type="dxa"/>
            <w:vAlign w:val="bottom"/>
          </w:tcPr>
          <w:p>
            <w:pPr>
              <w:spacing w:after="0"/>
              <w:rPr>
                <w:sz w:val="1"/>
                <w:szCs w:val="1"/>
                <w:color w:val="auto"/>
              </w:rPr>
            </w:pPr>
          </w:p>
        </w:tc>
      </w:tr>
      <w:tr>
        <w:trPr>
          <w:trHeight w:val="20"/>
        </w:trPr>
        <w:tc>
          <w:tcPr>
            <w:tcW w:w="2720" w:type="dxa"/>
            <w:vAlign w:val="bottom"/>
            <w:gridSpan w:val="2"/>
            <w:vMerge w:val="restart"/>
          </w:tcPr>
          <w:p>
            <w:pPr>
              <w:spacing w:after="0"/>
              <w:rPr>
                <w:sz w:val="20"/>
                <w:szCs w:val="20"/>
                <w:color w:val="auto"/>
              </w:rPr>
            </w:pPr>
            <w:r>
              <w:rPr>
                <w:rFonts w:ascii="Arial" w:cs="Arial" w:eastAsia="Arial" w:hAnsi="Arial"/>
                <w:sz w:val="18"/>
                <w:szCs w:val="18"/>
                <w:color w:val="auto"/>
              </w:rPr>
              <w:t>Deferred tax liability(7)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(1,956,000)</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(1,956,000)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notes(8)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(29,258,137)</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1,750,605</w:t>
            </w: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(1,377)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(62,614)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(27,571,523)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Restricted cash consists of cash held in a separate trust account, managed by a third-party, in connection with the $32.4 million of cash funded by Avigen and the $3.0 million of cash paid by us, or the First Payment Consideration, less the $6.0 million paid out to Avigen shareholders who elected a cash payout at the merger closing date and the Second Payment Consideration described in (6) below.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hanging="452"/>
        <w:spacing w:after="0" w:line="252"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Restricted investment consists of cash held in an irrevocable grantor trust, or rabbi trust, which is intended to fund benefit obligations under the Avigen, Inc. Management Transition Plan, or MTP. These funds represent reserves for benefits eligible to terminated employees as defined by the MTP. Accordingly, we booked the associated MTP liability. Upon termination of the trust, these funds are to be paid to the former Avigen stockholders on a pro rata basis.</w:t>
      </w:r>
    </w:p>
    <w:p>
      <w:pPr>
        <w:spacing w:after="0" w:line="1" w:lineRule="exact"/>
        <w:rPr>
          <w:rFonts w:ascii="Arial" w:cs="Arial" w:eastAsia="Arial" w:hAnsi="Arial"/>
          <w:sz w:val="18"/>
          <w:szCs w:val="18"/>
          <w:color w:val="auto"/>
        </w:rPr>
      </w:pPr>
    </w:p>
    <w:p>
      <w:pPr>
        <w:jc w:val="both"/>
        <w:ind w:left="460" w:right="1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Restricted letter of credit consists of cash provided as a credit guarantee and security for an irrevocable letter of credit related to Avigen’s original lease of office space which expires November 30, 2010. Any funds remaining after the letter of credit expires will revert to the escrow holdback account described below.</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In-process research and development (“IPR&amp;D”) represents an estimate of fair value of in-process technology related to Avigen’s AV411 program, which at the merger closing date, had not received U.S. Food and Drug Administration (“FDA”) approval for any indication. As such, pursuant to ASC 805, amortization of the IPR&amp;D will not occur until it reaches market feasibility. The annual test date for IPR&amp;D impairment is December 31. During the six months ended June 30, 2010 and through the date of this report, there were no triggering events, market conditions or other factors that would indicate possible or actual impairment of IPR&amp;D.</w:t>
      </w:r>
    </w:p>
    <w:p>
      <w:pPr>
        <w:spacing w:after="0" w:line="2"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included in the purchase price of Avigen the fair value of the aggregate merger consideration, which included both the convertible notes associated with the First Payment Consideration described in (1) above and the Second Payment Consideration described in (6) below, the $3.0 million cash paid by us and the conversion feature on the convertible notes. As such, we originally recorded $9.1 million of goodwill related to the excess purchase price over the assigned values of the net assets acquired. See Second Payment Consideration reconciliation performed as of June 30, 2010, described in (6) below, for the increase in goodwill to $9.4 million. The goodwill was primarily a direct result of the fair value of the conversion feature of the convertible notes. The annual test date for goodwill impairment is December 31. During the six months ended June 30, 2010 and through the date of this report, there were no triggering events, market conditions or other factors that would indicate possible or actual impairment of goodwill.</w:t>
      </w:r>
    </w:p>
    <w:p>
      <w:pPr>
        <w:spacing w:after="0" w:line="4" w:lineRule="exact"/>
        <w:rPr>
          <w:rFonts w:ascii="Arial" w:cs="Arial" w:eastAsia="Arial" w:hAnsi="Arial"/>
          <w:sz w:val="16"/>
          <w:szCs w:val="16"/>
          <w:color w:val="auto"/>
        </w:rPr>
      </w:pPr>
    </w:p>
    <w:p>
      <w:pPr>
        <w:ind w:left="460" w:right="2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At the closing of the merger, we and Avigen funded $1,500,000 in a combination of cash and a letter of credit in a separate escrow account, or Second Payment Consideration, pursuant to an escrow agreement. The Second Payment Consideration is considered the “escrow holdback.” We and Avigen identified certain additional liabilities of approximately $400,000 prior to closing of the Merger. As such, in accordance with the procedures set forth in the escrow agreement, $400,000 was released from the escrow account in satisfaction of these additional liabilities. At acquisition date, we recorded the escrow holdback in our consolidated balance sheet at fair value. As of June 30, 2010, the actual payments made against the $400,000 that was released from the escrow account were reconciled and it was determined that only $174,000 of additional liabilities had been paid; thus, $226,000 is owed by us to the escrow account, which we recorded as a liability at June 30, 2010, with an offset entry to increase goodwill. As this amount was deemed inconsequential to the overall financial statements, we accounted for this change prospectively.</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deferred tax liability represents the book to tax basis difference related to IPR&amp;D acquired through the acquisition of Avigen.</w:t>
      </w:r>
    </w:p>
    <w:p>
      <w:pPr>
        <w:spacing w:after="0" w:line="9" w:lineRule="exact"/>
        <w:rPr>
          <w:rFonts w:ascii="Arial" w:cs="Arial" w:eastAsia="Arial" w:hAnsi="Arial"/>
          <w:sz w:val="18"/>
          <w:szCs w:val="18"/>
          <w:color w:val="auto"/>
        </w:rPr>
      </w:pPr>
    </w:p>
    <w:p>
      <w:pPr>
        <w:ind w:left="460" w:right="30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At the closing of the merger, we and American Stock Transfer &amp; Trust Company, LLC, as trustee, entered into an indenture governing the terms of the convertible notes. Under the terms of a separate trust agreement, $29.4 million, which represents the initial principal amount of the convertible notes, or 83% of the First Payment Consideration, was deposited with a trust agent for the benefit of the holders and us (the amount of such deposit together with interest accrued and capitalized thereon, the Property). See (11) below which discusses the discount on the convertible notes. At the election of the respective convertible note holders, the convertible notes can be converted into our common stock at the conversion price of $6.80 per share. Upon maturity of the convertible notes on June 18, 2011, the 18-month anniversary of the closing of the merger, we will use the Property to pay the principal amount of, and accrued interest on, the remaining convertible notes. For the three months and six months ended June 30, 2010, $691 and $1,377, respectively, was the amount of interest capitalized on the convertible notes.</w:t>
      </w:r>
    </w:p>
    <w:p>
      <w:pPr>
        <w:spacing w:after="0" w:line="5" w:lineRule="exact"/>
        <w:rPr>
          <w:rFonts w:ascii="Arial" w:cs="Arial" w:eastAsia="Arial" w:hAnsi="Arial"/>
          <w:sz w:val="16"/>
          <w:szCs w:val="16"/>
          <w:color w:val="auto"/>
        </w:rPr>
      </w:pPr>
    </w:p>
    <w:p>
      <w:pPr>
        <w:ind w:left="460" w:right="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three months and six months ended June 30, 2010, 8,090 and 257,381, respectively, shares of our common stock were issued in connection with the conversion of convertible notes to our common stock at a conversion price of $6.80, with any fractional shares being paid out of restricted cash. The approximately $55,000 and $1.8 million of proceeds received during the three and six months ended June 30, 2010, respectively, as a result of the convertible notes conversions into our common stock were deposited into a money market account and recorded as cash and cash equivalents in our consolidated balance sheet at June 30, 2010.</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earned on the restricted cash, investment and letter of credit balances is added to the principal of the respective liability accounts.</w:t>
      </w:r>
    </w:p>
    <w:p>
      <w:pPr>
        <w:spacing w:after="0" w:line="9" w:lineRule="exact"/>
        <w:rPr>
          <w:rFonts w:ascii="Arial" w:cs="Arial" w:eastAsia="Arial" w:hAnsi="Arial"/>
          <w:sz w:val="18"/>
          <w:szCs w:val="18"/>
          <w:color w:val="auto"/>
        </w:rPr>
      </w:pPr>
    </w:p>
    <w:p>
      <w:pPr>
        <w:ind w:left="460" w:right="10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December 31, 2009, the fair value of the convertible notes was less than their face value. As a result, over the term of the convertible notes (18 months) we will accrete the discount on the convertible notes with the offset being charged to interest expense.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reduction in restricted investments and MTP liability relate to the payout of eligible benefits to terminated employees.</w:t>
      </w:r>
    </w:p>
    <w:p>
      <w:pPr>
        <w:spacing w:after="0" w:line="15" w:lineRule="exact"/>
        <w:rPr>
          <w:rFonts w:ascii="Arial" w:cs="Arial" w:eastAsia="Arial" w:hAnsi="Arial"/>
          <w:sz w:val="18"/>
          <w:szCs w:val="18"/>
          <w:color w:val="auto"/>
        </w:rPr>
      </w:pPr>
    </w:p>
    <w:p>
      <w:pPr>
        <w:ind w:left="460" w:right="140" w:hanging="452"/>
        <w:spacing w:after="0" w:line="288"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Under the terms of the escrow agreement, on or prior to June 30, 2010, we are entitled to submit one demand certificate to claim all or a portion of the funds in the escrow account with respect to certain liabilities, including liabilities in excess of specified amounts agreed upon by the parties. At March 31, 2010 we believed the settlement of The Pennsylvania Avenue Fund litigation would qualify as a claimable liability; therefore, we reduced the escrow holdback by the amount specified in the April 2010 preliminary settlement. During June 2010, the final settlement amount was approved by the court and payment was made by Avigen’s insurance carrier in July 2010; therefore, at June 30, 2010, we reversed the entry to reduce the escrow holdback by the $142,500 for the preliminary settlement and we recorded a $140,000 liability to The Pennsylvania Avenue Funds for the final settlement. (See Note 8, Commitments and Contingencies, for further information regarding this lawsuit.)</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Statements—Note 2, Avigen Transaction, in our Annual Report on Form 10-K for further information on the Merger.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Measurements—Other Than Intangibles and Goodwill</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defined in the authoritative guidance for fair value measurements and disclosures under ASC 820 (formerly SFAS No. 157), fair value is based on the price that would be received to sell an asset or would be paid to transfer a liability in an orderly transaction between market participants at the measurement date. To increase the comparability and consistency of fair value measurements, ASC 820 prescribes a fair value hierarchy that prioritizes observable and unobservable inputs used to measure fair value into three broad levels which are described below:</w:t>
      </w:r>
    </w:p>
    <w:p>
      <w:pPr>
        <w:spacing w:after="0" w:line="153"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are quoted prices (unadjusted) in active markets for identical assets or liabilities at the measurement date.</w:t>
      </w:r>
    </w:p>
    <w:p>
      <w:pPr>
        <w:spacing w:after="0" w:line="117" w:lineRule="exact"/>
        <w:rPr>
          <w:sz w:val="20"/>
          <w:szCs w:val="20"/>
          <w:color w:val="auto"/>
        </w:rPr>
      </w:pPr>
    </w:p>
    <w:p>
      <w:pPr>
        <w:ind w:left="1620" w:right="620" w:hanging="1160"/>
        <w:spacing w:after="0" w:line="268" w:lineRule="auto"/>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quoted prices for similar items in active markets or inputs are quoted prices for identical or similar items in markets that are not active.</w:t>
      </w:r>
    </w:p>
    <w:p>
      <w:pPr>
        <w:spacing w:after="0" w:line="78" w:lineRule="exact"/>
        <w:rPr>
          <w:sz w:val="20"/>
          <w:szCs w:val="20"/>
          <w:color w:val="auto"/>
        </w:rPr>
      </w:pPr>
    </w:p>
    <w:p>
      <w:pPr>
        <w:ind w:left="1620" w:right="540" w:hanging="1160"/>
        <w:spacing w:after="0" w:line="370" w:lineRule="auto"/>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Inputs are unobservable due to little or no market data availability and inputs are usually developed by management or a third-party which reflect those inputs that a market participant would use. The fair value hierarchy gives the lowest priority to Level 3 inputs.</w:t>
      </w:r>
    </w:p>
    <w:p>
      <w:pPr>
        <w:spacing w:after="0" w:line="6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At June 30, 2010, cash and cash equivalents (instruments with maturities of three months or less at the date of purchase) were $25.4 million and primarily invested in money market accounts. At June 30, 2010, restricted cash, restricted investments and restricted letter of credit were $29.4 million and primarily invested in money market funds. We measure our cash equivalents and restricted letter of credit (each current assets) and restricted cash and restricted investments (each non-current assets) on a recurring basis and the fair value of these assets is based on Level 1 criteria in which their carrying amount is a reasonable estimate of their fair value based on daily quoted market prices.</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June 30, 2010, we held investment securities-current of $9.9 million consisting of Auction Rate Securities (“ARS”), all of which had AAA ratings at the time of purchase, that principally represent interests in government-guaranteed student loans and we held an ARS Put (as defined below) in the amount of $1.6 million. In August 2008, UBS AG and its affiliates (“UBS”), the brokerage firm through which we purchased the majority of our ARS, entered into a settlement with the SEC, the New York Attorney General and other state agencies. Pursuant to the settlement, UBS issued to us Auction Rate Security Rights, which would allow us to sell to UBS our ARS held in accounts with UBS (“ARS Rights Offer”). As part of the ARS Rights Offer, we received the right to sell to UBS our ARS held in accounts with UBS at par value any time during the period beginning June 30, 2010 and ending July 2, 2012 (“ARS Put”). As part of the settlement, UBS also offered to us a no net cost loan program, whereby we would be able to borrow up to 75 percent of the market value, as determined by UBS at its sole discretion, of our ARS that have been pledged as collateral at an interest cost that would not exceed the interest being paid on the underlying ARS investments (“ARS Loan”). Under the terms of</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ARS Loan, UBS may demand full or partial payment of the ARS Loan, at its sole option and without cause, at any time. If at any time UBS exercises its right to terminate the credit line agreement governing the ARS Loan, then UBS is required to provide, as soon as reasonably possible, alternative financing on substantially the same terms and conditions as those under the credit line agreement and the agreement will remain in full force and effect until such time as such alternative financing has been established. In January 2009, we were approved for the ARS Loan in the amount of $15.9 million and drew down the entire preapproved amount. In addition, in February 2009, we borrowed an additional $2.2 million under the ARS Loan, bringing the total amount outstanding under the ARS Loan to $18.1 million, following UBS’ decision to increase our availability under the ARS Loan. All cash received under the ARS Loan was invested in money market accounts. At June 30, 2009, the ARS associated with the ARS Rights Offer and the ARS Put were reclassified out of long-term assets to current assets due to the time frame in which they can be readily converted to cash.</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At June 30, 2010, the carrying cost of the ARS Loan, which approximates its fair value due to its short-term nature, was $2.0 million. For the three months and six months ended June 30, 2010, $12.3 million and $15.4 million, respectively, of our current investment securities were redeemed at par value, with the proceeds being used to pay down the outstanding balance of the ARS Loan. Although the ARS Loan is a “no net cost loan”, for the three and six months ended June 30, 2010, approximately $40,000 and $85,000, respectively, of interest (or 1.4%) was charged on the ARS Loan and approximately $181,000 and $287,000 of interest earned on the associated ARS for the three and six months ended June 30, 2010, respectively, was applied to the ARS Loan.</w:t>
      </w:r>
    </w:p>
    <w:p>
      <w:pPr>
        <w:spacing w:after="0" w:line="1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At June 30, 2010, we held long-term investments of $1.8 million which consisted of ARS that principally represent interests in insurance notes and portfolios of securities (primarily commercial paper). For the three months and six months ended June 30, 2010, $0.0 and $0.3 million, respectively, of our long-term investment securities, were redeemed at less than par value, with the proceeds being invested in money market funds.</w:t>
      </w:r>
    </w:p>
    <w:p>
      <w:pPr>
        <w:spacing w:after="0" w:line="10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At June 30, 2010, our total ARS portfolio (both current and long-term) totaled $11.7 million at fair value ($13.8 million at par value), of which $1.8 million at fair value ($2.2 million at par value) consisted of private placement securities. None of the underlying collateral of our ARS portfolio consisted of subprime mortgages or collateralized debt obligations. Our ARS were designated as trading investment securities at December 31, 2008. We measure all of our ARS and the ARS Put on a recurring basis based on Level 3 criteria because neither an active primary nor active secondary market exists for these securities. The table below reconciles fair value of our ARS trading investment securities and the ARS Put at December 31, 2009 with fair value at June 30, 2010, as determined by Level 3 (unobservable) inputs: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86"/>
              </w:rPr>
              <w:t>Transfers in/(out)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Transfers in/(out)</w:t>
            </w:r>
          </w:p>
        </w:tc>
        <w:tc>
          <w:tcPr>
            <w:tcW w:w="2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of Long-term to</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Sales/</w:t>
            </w:r>
          </w:p>
        </w:tc>
        <w:tc>
          <w:tcPr>
            <w:tcW w:w="160" w:type="dxa"/>
            <w:vAlign w:val="bottom"/>
          </w:tcPr>
          <w:p>
            <w:pPr>
              <w:spacing w:after="0"/>
              <w:rPr>
                <w:sz w:val="12"/>
                <w:szCs w:val="12"/>
                <w:color w:val="auto"/>
              </w:rPr>
            </w:pPr>
          </w:p>
        </w:tc>
        <w:tc>
          <w:tcPr>
            <w:tcW w:w="12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Impairment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Fair Value at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of Level 3</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Current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Redemptions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Charge</w:t>
            </w:r>
          </w:p>
        </w:tc>
        <w:tc>
          <w:tcPr>
            <w:tcW w:w="100" w:type="dxa"/>
            <w:vAlign w:val="bottom"/>
          </w:tcPr>
          <w:p>
            <w:pPr>
              <w:spacing w:after="0"/>
              <w:rPr>
                <w:sz w:val="12"/>
                <w:szCs w:val="12"/>
                <w:color w:val="auto"/>
              </w:rPr>
            </w:pPr>
          </w:p>
        </w:tc>
        <w:tc>
          <w:tcPr>
            <w:tcW w:w="720" w:type="dxa"/>
            <w:vAlign w:val="bottom"/>
          </w:tcPr>
          <w:p>
            <w:pPr>
              <w:jc w:val="right"/>
              <w:ind w:right="197"/>
              <w:spacing w:after="0" w:line="149" w:lineRule="exact"/>
              <w:rPr>
                <w:sz w:val="20"/>
                <w:szCs w:val="20"/>
                <w:color w:val="auto"/>
              </w:rPr>
            </w:pPr>
            <w:r>
              <w:rPr>
                <w:rFonts w:ascii="Arial" w:cs="Arial" w:eastAsia="Arial" w:hAnsi="Arial"/>
                <w:sz w:val="14"/>
                <w:szCs w:val="14"/>
                <w:b w:val="1"/>
                <w:bCs w:val="1"/>
                <w:color w:val="auto"/>
              </w:rPr>
              <w:t>Gain</w:t>
            </w:r>
          </w:p>
        </w:tc>
        <w:tc>
          <w:tcPr>
            <w:tcW w:w="26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Fair Value at</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12/31/09</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88"/>
              </w:rPr>
              <w:t>1/1/10-6/30/10</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1/1/10-6/30/10</w:t>
            </w:r>
          </w:p>
        </w:tc>
        <w:tc>
          <w:tcPr>
            <w:tcW w:w="280" w:type="dxa"/>
            <w:vAlign w:val="bottom"/>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1/1/10-6/30/10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1/1/10-6/30/10</w:t>
            </w:r>
          </w:p>
        </w:tc>
        <w:tc>
          <w:tcPr>
            <w:tcW w:w="380" w:type="dxa"/>
            <w:vAlign w:val="bottom"/>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1/1/10-6/30/10</w:t>
            </w:r>
          </w:p>
        </w:tc>
        <w:tc>
          <w:tcPr>
            <w:tcW w:w="2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6/30/10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Investment securities-current asset(1)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24,254,987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(15,400,000)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(542,255)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1,589,683</w:t>
            </w:r>
          </w:p>
        </w:tc>
        <w:tc>
          <w:tcPr>
            <w:tcW w:w="106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9,902,415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gridSpan w:val="2"/>
            <w:vMerge w:val="restart"/>
          </w:tcPr>
          <w:p>
            <w:pPr>
              <w:spacing w:after="0"/>
              <w:rPr>
                <w:sz w:val="20"/>
                <w:szCs w:val="20"/>
                <w:color w:val="auto"/>
              </w:rPr>
            </w:pPr>
            <w:r>
              <w:rPr>
                <w:rFonts w:ascii="Arial" w:cs="Arial" w:eastAsia="Arial" w:hAnsi="Arial"/>
                <w:sz w:val="18"/>
                <w:szCs w:val="18"/>
                <w:color w:val="auto"/>
                <w:w w:val="93"/>
              </w:rPr>
              <w:t>Investment securities-long-term asset(2)</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20" w:type="dxa"/>
            <w:vAlign w:val="bottom"/>
            <w:gridSpan w:val="2"/>
            <w:vMerge w:val="continue"/>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2,085,425</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(294,194)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(26,643)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4,880</w:t>
            </w:r>
          </w:p>
        </w:tc>
        <w:tc>
          <w:tcPr>
            <w:tcW w:w="1080" w:type="dxa"/>
            <w:vAlign w:val="bottom"/>
            <w:gridSpan w:val="3"/>
          </w:tcPr>
          <w:p>
            <w:pPr>
              <w:jc w:val="center"/>
              <w:ind w:left="15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1,769,468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ARS Put-current asset(3)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2,557,007</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(1,198,097)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228,971</w:t>
            </w:r>
          </w:p>
        </w:tc>
        <w:tc>
          <w:tcPr>
            <w:tcW w:w="106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1,587,881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right="180" w:hanging="332"/>
        <w:spacing w:after="0" w:line="288"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Aggregated fair value reported at June 30, 2010 reflects fair value as determined by our discounted cash flow model with liquidity discounts, pursuant to which we took into consideration the brokerage firm’s pricing model, the tax status (taxable vs. tax exempt) of the security, credit quality of the issuer, assumed maturity (five years), insurance wraps and the portfolio composition. We also made assumptions regarding future cash flows and the likelihood of the ARS being redeemed or refinanced. In addition, we performed a sensitivity analysis by calculating fair value with a maturity of one year through ten years. The annual coupon rate utilized was set at the U.S. Treasury Department published average of the bond equivalent rates of the 91-day Treasury bills auctioned during the quarter ending June 30, 2010 (which was the Federal Family Education Loan Program special allowance rate for the quarter ending June 30, 2010) plus 120 basis points. We believe that using this interest rate is reasonable given that a majority of our ARS portfolio is collateralized by student loans guaranteed by the U.S. government under the Federal Family Education Loan Program. Using our discounted cash flow model with liquidity discounts ranging from 3% to 26%, we calculated aggregate fair value for these securities,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right="60"/>
        <w:spacing w:after="0" w:line="282" w:lineRule="auto"/>
        <w:rPr>
          <w:sz w:val="20"/>
          <w:szCs w:val="20"/>
          <w:color w:val="auto"/>
        </w:rPr>
      </w:pPr>
      <w:r>
        <w:rPr>
          <w:rFonts w:ascii="Arial" w:cs="Arial" w:eastAsia="Arial" w:hAnsi="Arial"/>
          <w:sz w:val="16"/>
          <w:szCs w:val="16"/>
          <w:color w:val="auto"/>
        </w:rPr>
        <w:t>which ranged between $10.9 million with a two-year maturity, $9.3 million with a seven-year maturity and $8.5 million with a ten-year maturity. As of June 30, 2010, these ARS continued to pay interest according to their stated interest terms, and during the three months and six months ended June 30, 2010, we received redemptions at par value of $12.3 million and $15.4 million, respectively. As these investment securities are trading securities, the decrease in fair value of approximately $301,000 during the three months ended June 30, 2010 was recorded in our consolidated statement of operations as an offset to the loss recapture of approximately $1.6 million on the UBS ARS redeemed at par value during the quarter ended June 30, 2010, which we recorded as a gain in our consolidated statement of operations. For the six months ended June 30, 2010, we recorded a net loss recapture (gain) of approximately $1.0 million which we recorded in our consolidated statement of operations. Pursuant to the ARS Rights Offer, the earliest date that we can redeem these investment securities at par is June 30, 2010; therefore, we believe these investment securities are appropriately classified as current assets. We initiated the redemption of these ARS on June 30, 2010, with settlement occurring on July 1, 2010.</w:t>
      </w:r>
    </w:p>
    <w:p>
      <w:pPr>
        <w:spacing w:after="0" w:line="5" w:lineRule="exact"/>
        <w:rPr>
          <w:sz w:val="20"/>
          <w:szCs w:val="20"/>
          <w:color w:val="auto"/>
        </w:rPr>
      </w:pPr>
    </w:p>
    <w:p>
      <w:pPr>
        <w:ind w:left="340" w:right="60" w:hanging="332"/>
        <w:spacing w:after="0" w:line="281"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Aggregated fair value reported at June 30, 2010 reflects fair value as determined by our discounted cash flow model, which employed liquidity discounts ranging from 3% to 27% depending on the security type and included assumptions regarding future cash flows and the likelihood of the redemption or refinancing of such ARS. We believe the assumed maturities (seven years) we utilized to be reasonable after discussing with certain financial advisors the outlook of the ARS market. We also performed a sensitivity analysis by calculating fair value with a maturity of one year through ten years. The interest rate utilized in the model was the London Interbank Offered Rate (“LIBOR”) plus the spread, as indicated in the respective security prospectus which was generally 200 basis points. The LIBOR rate was per bankrate.com, which we deemed as a reasonable source given it is a widely utilized third-party rate source. Using these inputs, we calculated aggregate fair value for these securities, which ranged between $2.1 million with a two-year maturity for all securities, $1.9 million with a five-year maturity for all securities and $1.6 million with a ten-year maturity. As of June 30, 2010, the ARS continue to pay interest according to their stated interest terms. Because these investment securities are trading securities, the approximately $27,000 decrease in fair value for the three months ended June 30, 2010, was recorded as a loss in our consolidated statement of operations. For the six months ended June 30, 2010, we recorded a net impairment charge of approximately $22,000 in our consolidated statement of operations. In addition, because of our expectation as to when we may be required to liquidate these ARS for operating purposes, we believe these securities are appropriately classified as long-term investments in our consolidated balance sheets.</w:t>
      </w:r>
    </w:p>
    <w:p>
      <w:pPr>
        <w:spacing w:after="0" w:line="8" w:lineRule="exact"/>
        <w:rPr>
          <w:rFonts w:ascii="Arial" w:cs="Arial" w:eastAsia="Arial" w:hAnsi="Arial"/>
          <w:sz w:val="16"/>
          <w:szCs w:val="16"/>
          <w:color w:val="auto"/>
        </w:rPr>
      </w:pPr>
    </w:p>
    <w:p>
      <w:pPr>
        <w:ind w:left="340" w:hanging="332"/>
        <w:spacing w:after="0" w:line="287"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elected to measure the ARS Put under the fair value option of ASC 825, authoritative guidance on financial instruments (formerly SFAS No. 159), to mitigate the volatility in reported earnings due to the linkage of certain of our ARS and the ARS Put. Fair value of the ARS Put, which equaled $1.6 million at June 30, 2010, was also determined through the use of a discounted cash flow valuation model with assumptions being made related to interest rate, maturity and liquidity. We used a liquidity discount of approximately 4%, an interest rate of approximately 4% which took into consideration the brokerage firm’s weighted average cost of capital and a maturity of 12 months. Based on our discounted cash flow valuation, for the three months and six months ended June 30, 2010, we recorded a loss of approximately $1.2 million and $1.0 million, respectively, in our consolidated statement of operations, which minimized the gain we recognized on the linked ARS. In addition, as the ARS Put can be exercised within 12 months, we believe the put’s classification as a current asset is appropriate. The ARS Put was exercised on June 30, 2010, with settlement on July 1, 2010.</w:t>
      </w:r>
    </w:p>
    <w:p>
      <w:pPr>
        <w:spacing w:after="0" w:line="12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portion of trading gains and losses for the six months ended June 30, 2010 related to our investment securities classified as trading securities which were still held at June 30, 2010 is as follows: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loss recognized on trading securities</w:t>
            </w:r>
          </w:p>
        </w:tc>
        <w:tc>
          <w:tcPr>
            <w:tcW w:w="6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(335,047)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Net loss recognized on trading securities sold</w:t>
            </w:r>
          </w:p>
        </w:tc>
        <w:tc>
          <w:tcPr>
            <w:tcW w:w="5320" w:type="dxa"/>
            <w:vAlign w:val="bottom"/>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 on trading securities still held</w:t>
            </w:r>
          </w:p>
        </w:tc>
        <w:tc>
          <w:tcPr>
            <w:tcW w:w="6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(335,047)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320" w:type="dxa"/>
            <w:vAlign w:val="bottom"/>
            <w:vMerge w:val="restart"/>
          </w:tcPr>
          <w:p>
            <w:pPr>
              <w:jc w:val="right"/>
              <w:ind w:right="4212"/>
              <w:spacing w:after="0"/>
              <w:rPr>
                <w:sz w:val="20"/>
                <w:szCs w:val="20"/>
                <w:color w:val="auto"/>
              </w:rPr>
            </w:pPr>
            <w:r>
              <w:rPr>
                <w:rFonts w:ascii="Arial" w:cs="Arial" w:eastAsia="Arial" w:hAnsi="Arial"/>
                <w:sz w:val="18"/>
                <w:szCs w:val="18"/>
                <w:color w:val="auto"/>
              </w:rPr>
              <w:t>12</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following table presents our financial instruments measured at fair value on a non-recurring basis classified by the fair value measurements and disclosures valuation hierarchy: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84"/>
              </w:rPr>
              <w:t>As of June 30, 2010</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2520" w:type="dxa"/>
            <w:vAlign w:val="bottom"/>
            <w:tcBorders>
              <w:bottom w:val="single" w:sz="8" w:color="auto"/>
            </w:tcBorders>
            <w:gridSpan w:val="6"/>
          </w:tcPr>
          <w:p>
            <w:pPr>
              <w:ind w:left="340"/>
              <w:spacing w:after="0" w:line="142" w:lineRule="exact"/>
              <w:rPr>
                <w:sz w:val="20"/>
                <w:szCs w:val="20"/>
                <w:color w:val="auto"/>
              </w:rPr>
            </w:pPr>
            <w:r>
              <w:rPr>
                <w:rFonts w:ascii="Arial" w:cs="Arial" w:eastAsia="Arial" w:hAnsi="Arial"/>
                <w:sz w:val="14"/>
                <w:szCs w:val="14"/>
                <w:b w:val="1"/>
                <w:bCs w:val="1"/>
                <w:color w:val="auto"/>
              </w:rPr>
              <w:t>Fair Value Measurements Using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4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4"/>
              </w:rPr>
              <w:t>Level 1</w:t>
            </w:r>
          </w:p>
        </w:tc>
        <w:tc>
          <w:tcPr>
            <w:tcW w:w="340" w:type="dxa"/>
            <w:vAlign w:val="bottom"/>
          </w:tcPr>
          <w:p>
            <w:pPr>
              <w:spacing w:after="0"/>
              <w:rPr>
                <w:sz w:val="12"/>
                <w:szCs w:val="12"/>
                <w:color w:val="auto"/>
              </w:rPr>
            </w:pPr>
          </w:p>
        </w:tc>
        <w:tc>
          <w:tcPr>
            <w:tcW w:w="420" w:type="dxa"/>
            <w:vAlign w:val="bottom"/>
          </w:tcPr>
          <w:p>
            <w:pPr>
              <w:spacing w:after="0" w:line="142" w:lineRule="exact"/>
              <w:rPr>
                <w:sz w:val="20"/>
                <w:szCs w:val="20"/>
                <w:color w:val="auto"/>
              </w:rPr>
            </w:pPr>
            <w:r>
              <w:rPr>
                <w:rFonts w:ascii="Arial" w:cs="Arial" w:eastAsia="Arial" w:hAnsi="Arial"/>
                <w:sz w:val="14"/>
                <w:szCs w:val="14"/>
                <w:b w:val="1"/>
                <w:bCs w:val="1"/>
                <w:color w:val="auto"/>
                <w:w w:val="84"/>
              </w:rPr>
              <w:t>Level 2</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Escrow holdback (1, 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1,094,324</w:t>
            </w:r>
          </w:p>
        </w:tc>
        <w:tc>
          <w:tcPr>
            <w:tcW w:w="3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1,094,324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Current portion of long-term debt (4)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2,178,849</w:t>
            </w:r>
          </w:p>
        </w:tc>
        <w:tc>
          <w:tcPr>
            <w:tcW w:w="3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40" w:type="dxa"/>
            <w:vAlign w:val="bottom"/>
            <w:gridSpan w:val="2"/>
          </w:tcPr>
          <w:p>
            <w:pPr>
              <w:spacing w:after="0"/>
              <w:rPr>
                <w:sz w:val="20"/>
                <w:szCs w:val="20"/>
                <w:color w:val="auto"/>
              </w:rPr>
            </w:pPr>
            <w:r>
              <w:rPr>
                <w:rFonts w:ascii="Arial" w:cs="Arial" w:eastAsia="Arial" w:hAnsi="Arial"/>
                <w:sz w:val="18"/>
                <w:szCs w:val="18"/>
                <w:color w:val="auto"/>
              </w:rPr>
              <w:t>Total current liability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3,273,173</w:t>
            </w:r>
          </w:p>
        </w:tc>
        <w:tc>
          <w:tcPr>
            <w:tcW w:w="32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3,273,173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Convertible notes (1, 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27,571,523</w:t>
            </w:r>
          </w:p>
        </w:tc>
        <w:tc>
          <w:tcPr>
            <w:tcW w:w="3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27,571,523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Long-term debt, less current portion (4)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11,904,359</w:t>
            </w:r>
          </w:p>
        </w:tc>
        <w:tc>
          <w:tcPr>
            <w:tcW w:w="3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11,904,359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40" w:type="dxa"/>
            <w:vAlign w:val="bottom"/>
            <w:gridSpan w:val="2"/>
          </w:tcPr>
          <w:p>
            <w:pPr>
              <w:spacing w:after="0"/>
              <w:rPr>
                <w:sz w:val="20"/>
                <w:szCs w:val="20"/>
                <w:color w:val="auto"/>
              </w:rPr>
            </w:pPr>
            <w:r>
              <w:rPr>
                <w:rFonts w:ascii="Arial" w:cs="Arial" w:eastAsia="Arial" w:hAnsi="Arial"/>
                <w:sz w:val="18"/>
                <w:szCs w:val="18"/>
                <w:color w:val="auto"/>
              </w:rPr>
              <w:t>Total non-current liability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39,475,882</w:t>
            </w:r>
          </w:p>
        </w:tc>
        <w:tc>
          <w:tcPr>
            <w:tcW w:w="32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39,475,882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83"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fair value of the convertible notes and escrow holdback and their related conversion feature was based on a binomial option pricing model (“BOPM”). Assumptions used in the BOPM included the maturity date of the convertible notes and the escrow holdback, the time between nodes, volatility, face value of the convertible notes and the escrow holdback at the merger closing date and the risk-free rate. The maturity date utilized was 1.5 year based on the maturity of the notes in June 2011. As our projected period was 1.5 years we used the average of the one and two year U.S. Treasury bonds as of the closing date and we based volatility on the historical volatility of publicly-traded comparable companies to Avigen and our stock price volatility. See Notes to Consolidated Financial Statements- Note 2, Avigen Transaction in our Annual Report on Form 10-K for further information on the BOPM.</w:t>
      </w:r>
    </w:p>
    <w:p>
      <w:pPr>
        <w:spacing w:after="0" w:line="1" w:lineRule="exact"/>
        <w:rPr>
          <w:rFonts w:ascii="Arial" w:cs="Arial" w:eastAsia="Arial" w:hAnsi="Arial"/>
          <w:sz w:val="16"/>
          <w:szCs w:val="16"/>
          <w:color w:val="auto"/>
        </w:rPr>
      </w:pPr>
    </w:p>
    <w:p>
      <w:pPr>
        <w:ind w:left="460" w:right="12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Although we recorded the convertible notes as a liability upon merger closing on December 18, 2009, following ASC 805, the fair value of the conversion feature was accounted for within equity and will not be re-measured during interim periods and subsequent settlements (conversions to our stock) will be accounted for in equity. See Note 2, Avigen Transaction, above for information on the activity impacting the convertible notes liability during the six months ended June 30, 2010.</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Although we recorded the escrow holdback as a liability upon merger closing on December 18, 2009, following ASC 805, the fair value of the conversion feature was accounted for within equity and will not be re-measured during interim periods and subsequent settlements (conversions to our stock) for those who elected convertible notes will be accounted for in equity. See Note 2, Avigen Transaction, above for information on the activity impacting the escrow holdback liability during the six months ended June 30, 2010.</w:t>
      </w:r>
    </w:p>
    <w:p>
      <w:pPr>
        <w:spacing w:after="0" w:line="1" w:lineRule="exact"/>
        <w:rPr>
          <w:rFonts w:ascii="Arial" w:cs="Arial" w:eastAsia="Arial" w:hAnsi="Arial"/>
          <w:sz w:val="18"/>
          <w:szCs w:val="18"/>
          <w:color w:val="auto"/>
        </w:rPr>
      </w:pPr>
    </w:p>
    <w:p>
      <w:pPr>
        <w:ind w:left="460" w:right="4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carrying value of the long-term debt- current portion and non-current portion- approximates fair value. See Notes 4, Long-term Debt, below for further information regarding the valuation of the long-term debt.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May 10, 2010, we entered the Loan Agreement with Oxford Finance Corporation or, the “Lender”, under which we borrowed $15.0 million.</w:t>
      </w:r>
    </w:p>
    <w:p>
      <w:pPr>
        <w:spacing w:after="0" w:line="19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obligations under the Loan Agreement are secured by a first priority security interest in substantially all of our assets, other than our intellectual property. We also have agreed not to pledge or otherwise encumber our intellectual property assets. Our obligations under the Loan Agreement are guaranteed on a senior secured basis by Avigen.</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are required to pay interest on borrowings on a monthly basis through and including February 1, 2011. Beginning March 1, 2011 through maturity of the loan on August 1, 2013, we will be required to make payments of outstanding principal and interest in 30 equal monthly installments. The stated interest rate on the loan is 12.87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percent. The effective interest rate on the debt financing is calculated to be 18.14 percent and for the three and six month period ended June 30, 2010, we recorded total interest expense on this loan of approximately $366,000.</w:t>
      </w:r>
    </w:p>
    <w:p>
      <w:pPr>
        <w:spacing w:after="0" w:line="132"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have paid the Lender a facility fee of $150,000 and we have paid outside third parties approximately $180,000 in connection with procuring the loan. We also will pay the Lender a deferred interest payment equal to $450,000, payable on June 30, 2011, provided that a pro rata portion of such deferred interest payment shall be paid upon any prepayment of the loan. In addition, if we prepay all or a portion of the loan prior to maturity, we will pay the Lender a prepayment penalty of three percent of the total amount prepaid if the prepayment occurs prior to May 10, 2011, two percent of the total amount prepaid if the prepayment occurs between May 11, 2011 and May 10, 2012 and one percent of the total amount prepaid if the prepayment occurs on or after May 10, 2012.</w:t>
      </w:r>
    </w:p>
    <w:p>
      <w:pPr>
        <w:spacing w:after="0" w:line="1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connection with the Loan Agreement, we issued to the Lender a warrant to purchase up to 198,020 shares of our common stock. This warrant is exercisable, in whole or in part, immediately, has a per share exercise price of $6.06 and may be exercised on a cashless basis. The warrant will terminate on the earlier of May 10, 2017 or the closing date of a merger or consolidation transaction in which we are not the surviving entity. In addition, the warrant and debt instrument are immediately separable and were issued separately; thus, we accounted for the warrant as a component of stockholders’ equity as the agreement requires settlement in shares and under no provision of the agreement are we required to settle the warrant in cash.</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accounted for the interest on the long-term debt using the effective interest method wherein we treated the debt issuance costs paid directly to the lender (financing fees) and the relative fair value of the warrants issued to the lender as a discount on the debt (or a contra liability) and we treated the debt issuance costs paid to third parties (primarily legal fees) as an other asset in our consolidated balance sheet. The amortization of the debt discount is recorded as interest expense and the amortization of the debt issuance costs paid to third parties is recorded as other expense in our consolidated statement of operations. The table below summarizes the long-term debt activity recorded during the six months ended June 30, 2010:</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78"/>
              </w:rPr>
              <w:t>Gross</w:t>
            </w:r>
          </w:p>
        </w:tc>
        <w:tc>
          <w:tcPr>
            <w:tcW w:w="80" w:type="dxa"/>
            <w:vAlign w:val="bottom"/>
          </w:tcPr>
          <w:p>
            <w:pPr>
              <w:spacing w:after="0"/>
              <w:rPr>
                <w:sz w:val="14"/>
                <w:szCs w:val="1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Amortization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8"/>
              </w:rPr>
              <w:t>Amortization</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Amount</w:t>
            </w: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(Interest Expense)</w:t>
            </w:r>
          </w:p>
        </w:tc>
        <w:tc>
          <w:tcPr>
            <w:tcW w:w="280" w:type="dxa"/>
            <w:vAlign w:val="bottom"/>
          </w:tcPr>
          <w:p>
            <w:pPr>
              <w:spacing w:after="0"/>
              <w:rPr>
                <w:sz w:val="12"/>
                <w:szCs w:val="12"/>
                <w:color w:val="auto"/>
              </w:rPr>
            </w:pPr>
          </w:p>
        </w:tc>
        <w:tc>
          <w:tcPr>
            <w:tcW w:w="15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(Other Expense)</w:t>
            </w:r>
          </w:p>
        </w:tc>
        <w:tc>
          <w:tcPr>
            <w:tcW w:w="106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1"/>
              </w:rPr>
              <w:t>Carrying Value</w:t>
            </w:r>
          </w:p>
        </w:tc>
      </w:tr>
      <w:tr>
        <w:trPr>
          <w:trHeight w:val="161"/>
        </w:trPr>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8"/>
              <w:spacing w:after="0"/>
              <w:rPr>
                <w:sz w:val="20"/>
                <w:szCs w:val="20"/>
                <w:color w:val="auto"/>
              </w:rPr>
            </w:pPr>
            <w:r>
              <w:rPr>
                <w:rFonts w:ascii="Arial" w:cs="Arial" w:eastAsia="Arial" w:hAnsi="Arial"/>
                <w:sz w:val="14"/>
                <w:szCs w:val="14"/>
                <w:b w:val="1"/>
                <w:bCs w:val="1"/>
                <w:color w:val="auto"/>
                <w:w w:val="85"/>
              </w:rPr>
              <w:t>5/10/10</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87"/>
              </w:rPr>
              <w:t>5/10/10-6/30/10</w:t>
            </w:r>
          </w:p>
        </w:tc>
        <w:tc>
          <w:tcPr>
            <w:tcW w:w="34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5/10/10-6/30/10</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115"/>
              <w:spacing w:after="0"/>
              <w:rPr>
                <w:sz w:val="20"/>
                <w:szCs w:val="20"/>
                <w:color w:val="auto"/>
              </w:rPr>
            </w:pPr>
            <w:r>
              <w:rPr>
                <w:rFonts w:ascii="Arial" w:cs="Arial" w:eastAsia="Arial" w:hAnsi="Arial"/>
                <w:sz w:val="14"/>
                <w:szCs w:val="14"/>
                <w:b w:val="1"/>
                <w:bCs w:val="1"/>
                <w:color w:val="auto"/>
              </w:rPr>
              <w:t>6/30/2010</w:t>
            </w:r>
          </w:p>
        </w:tc>
        <w:tc>
          <w:tcPr>
            <w:tcW w:w="100" w:type="dxa"/>
            <w:vAlign w:val="bottom"/>
          </w:tcPr>
          <w:p>
            <w:pPr>
              <w:spacing w:after="0"/>
              <w:rPr>
                <w:sz w:val="14"/>
                <w:szCs w:val="14"/>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Debt issuance costs paid to third parties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180,000</w:t>
            </w:r>
          </w:p>
        </w:tc>
        <w:tc>
          <w:tcPr>
            <w:tcW w:w="6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(12,014)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167,986</w:t>
            </w:r>
          </w:p>
        </w:tc>
      </w:tr>
      <w:tr>
        <w:trPr>
          <w:trHeight w:val="20"/>
        </w:trPr>
        <w:tc>
          <w:tcPr>
            <w:tcW w:w="5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Liability:</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Loan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(15,000,000)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(15,000,000)</w:t>
            </w: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interest charge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(25,040)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(25,040)</w:t>
            </w:r>
          </w:p>
        </w:tc>
      </w:tr>
      <w:tr>
        <w:trPr>
          <w:trHeight w:val="20"/>
        </w:trPr>
        <w:tc>
          <w:tcPr>
            <w:tcW w:w="5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5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(15,000,000)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(25,040)</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(15,025,040)</w:t>
            </w:r>
          </w:p>
        </w:tc>
      </w:tr>
      <w:tr>
        <w:trPr>
          <w:trHeight w:val="20"/>
        </w:trPr>
        <w:tc>
          <w:tcPr>
            <w:tcW w:w="5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Contra Liability:</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540" w:type="dxa"/>
            <w:vAlign w:val="bottom"/>
          </w:tcPr>
          <w:p>
            <w:pPr>
              <w:ind w:left="440"/>
              <w:spacing w:after="0"/>
              <w:rPr>
                <w:sz w:val="20"/>
                <w:szCs w:val="20"/>
                <w:color w:val="auto"/>
              </w:rPr>
            </w:pPr>
            <w:r>
              <w:rPr>
                <w:rFonts w:ascii="Arial" w:cs="Arial" w:eastAsia="Arial" w:hAnsi="Arial"/>
                <w:sz w:val="18"/>
                <w:szCs w:val="18"/>
                <w:color w:val="auto"/>
              </w:rPr>
              <w:t>Relative fair value of warrants issued to</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540" w:type="dxa"/>
            <w:vAlign w:val="bottom"/>
          </w:tcPr>
          <w:p>
            <w:pPr>
              <w:ind w:left="660"/>
              <w:spacing w:after="0"/>
              <w:rPr>
                <w:sz w:val="20"/>
                <w:szCs w:val="20"/>
                <w:color w:val="auto"/>
              </w:rPr>
            </w:pPr>
            <w:r>
              <w:rPr>
                <w:rFonts w:ascii="Arial" w:cs="Arial" w:eastAsia="Arial" w:hAnsi="Arial"/>
                <w:sz w:val="18"/>
                <w:szCs w:val="18"/>
                <w:color w:val="auto"/>
              </w:rPr>
              <w:t>lender (1)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859,209</w:t>
            </w:r>
          </w:p>
        </w:tc>
        <w:tc>
          <w:tcPr>
            <w:tcW w:w="6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(57,363)</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801,846</w:t>
            </w:r>
          </w:p>
        </w:tc>
      </w:tr>
      <w:tr>
        <w:trPr>
          <w:trHeight w:val="217"/>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issuance costs paid to lender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(10,014)</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139,986</w:t>
            </w:r>
          </w:p>
        </w:tc>
      </w:tr>
      <w:tr>
        <w:trPr>
          <w:trHeight w:val="20"/>
        </w:trPr>
        <w:tc>
          <w:tcPr>
            <w:tcW w:w="5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5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1,009,209</w:t>
            </w:r>
          </w:p>
        </w:tc>
        <w:tc>
          <w:tcPr>
            <w:tcW w:w="6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(67,377)</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941,832</w:t>
            </w:r>
          </w:p>
        </w:tc>
      </w:tr>
      <w:tr>
        <w:trPr>
          <w:trHeight w:val="20"/>
        </w:trPr>
        <w:tc>
          <w:tcPr>
            <w:tcW w:w="5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20" w:hanging="452"/>
        <w:spacing w:after="0" w:line="29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relative fair value of the warrants issued to the lender was calculated using a Black-Scholes valuation model. The risk-free interest rate assumption used is 2.86 percent and is based upon observed risk-free interest rates appropriate for the expected term of the warrants. The expected volatility assumption used is 76 percent and is consistent with the volatility of our common stock based on the historical volatility of our stock since listing on the Nasdaq Global Market in December 2006. We have not paid any dividends on our common stock since our inception, and we do not anticipate paying any dividends on our common stock in the foreseeable future. Therefore, the dividend yield assumption used is zero. The expected term assumption used is seven years, which is the contractual life of the warrants. The fair value of the warrants using Black-Scholes is calculated to be $4.34 per share.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Loss Per Share</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Net loss per share is presented as basic and diluted net loss per share. Basic net loss per share is calculated by dividing the net loss by the weighted average number of common shares outstanding for the period, without consideration for common stock equivalents. Diluted net loss per share is computed by dividing the net loss attributable to common stockholders by the weighted average number of common stock equivalents outstanding for the period determined using the treasury-stock method. For purposes of this calculation, convertible preferred stock, stock options and warrants are considered to be common stock equivalents and are only included in the calculation of diluted net loss per share when their effect is dilutive. For the six months ended June 30, 2010 and June 30, 2009, respectively, 236,064 and 217,800 of potentially dilutive securities, were excluded from determining diluted earnings per share because of their anti-dilutive effect.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Comprehensive Income (Loss)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authoritative guidance for comprehensive income under ASC 820 (formerly SFAS No. 130) requires that all components of comprehensive income (loss), including net income (loss), be reported in the financial statements in the period in which they are recognized. Comprehensive income (loss) is defined as the change in equity (net assets) during a period from transactions and other events and circumstances from non-owner sources. Net income (loss) and other comprehensive income (loss), including foreign currency translation adjustments and unrealized gains and losses on investments, are reported, net of their related tax effect, to arrive at comprehensive income (loss). Our comprehensive loss includes unrealized losses on marketable securities and currency translation. The table below sets forth the components of our accumulated other comprehensive loss at:</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June 30,</w:t>
            </w:r>
          </w:p>
        </w:tc>
        <w:tc>
          <w:tcPr>
            <w:tcW w:w="2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June 30,</w:t>
            </w:r>
          </w:p>
        </w:tc>
      </w:tr>
      <w:tr>
        <w:trPr>
          <w:trHeight w:val="161"/>
        </w:trPr>
        <w:tc>
          <w:tcPr>
            <w:tcW w:w="8480" w:type="dxa"/>
            <w:vAlign w:val="bottom"/>
          </w:tcPr>
          <w:p>
            <w:pPr>
              <w:spacing w:after="0"/>
              <w:rPr>
                <w:sz w:val="14"/>
                <w:szCs w:val="14"/>
                <w:color w:val="auto"/>
              </w:rPr>
            </w:pP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2"/>
              </w:rPr>
              <w:t>$ (64,914)</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(29,744)</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Currency translation</w:t>
            </w:r>
          </w:p>
        </w:tc>
        <w:tc>
          <w:tcPr>
            <w:tcW w:w="640" w:type="dxa"/>
            <w:vAlign w:val="bottom"/>
          </w:tcPr>
          <w:p>
            <w:pPr>
              <w:jc w:val="right"/>
              <w:spacing w:after="0"/>
              <w:rPr>
                <w:sz w:val="20"/>
                <w:szCs w:val="20"/>
                <w:color w:val="auto"/>
              </w:rPr>
            </w:pPr>
            <w:r>
              <w:rPr>
                <w:rFonts w:ascii="Arial" w:cs="Arial" w:eastAsia="Arial" w:hAnsi="Arial"/>
                <w:sz w:val="18"/>
                <w:szCs w:val="18"/>
                <w:color w:val="auto"/>
              </w:rPr>
              <w:t>1,539</w:t>
            </w:r>
          </w:p>
        </w:tc>
        <w:tc>
          <w:tcPr>
            <w:tcW w:w="34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(38,163)</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marketable securities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8480" w:type="dxa"/>
            <w:vAlign w:val="bottom"/>
          </w:tcPr>
          <w:p>
            <w:pPr>
              <w:spacing w:after="0"/>
              <w:rPr>
                <w:sz w:val="20"/>
                <w:szCs w:val="20"/>
                <w:color w:val="auto"/>
              </w:rPr>
            </w:pPr>
            <w:r>
              <w:rPr>
                <w:rFonts w:ascii="Arial" w:cs="Arial" w:eastAsia="Arial" w:hAnsi="Arial"/>
                <w:sz w:val="18"/>
                <w:szCs w:val="18"/>
                <w:color w:val="auto"/>
              </w:rPr>
              <w:t>Ending balance</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(63,375)</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(67,907)</w:t>
            </w:r>
          </w:p>
        </w:tc>
      </w:tr>
      <w:tr>
        <w:trPr>
          <w:trHeight w:val="20"/>
        </w:trPr>
        <w:tc>
          <w:tcPr>
            <w:tcW w:w="8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six months ended of June 30, 2010 and 2009, our comprehensive loss was $9,493,771 and $9,696,390,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Share-Based Payments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For the three months ended June 30, 2010 and 2009, share-based compensation expense related to stock options of approximately $0.4 million and $0.5 million, respectively, was recorded as a component of general and administrative expense, and approximately $0.1 million and $0.2 million, respectively, was recorded as research and development expense. For the six months ended June 30, 2010 and 2009, share-based compensation expense related to stock options of approximately $0.9 million and $0.9 million, respectively, was recorded as a component of general and administrative expense, and approximately $0.2 million and $0.4 million, respectively, was recorded as research and development expense.</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During the three months and six months ended June 30, 2010, stock options to purchase 18,629 shares of common stock were exercised for approximately $74,000. As of June 30, 2010, there was $3.1 million of unamortized compensation cost related to unvested stock option awards, which is expected to be recognized over a remaining weighted-average vesting period of 1.4 years.</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exercise price of stock options to purchase 125,000 shares of common stock and 525,000 shares of common stock granted during the three months and six months ended June 30, 2010, was equal to market value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on the date of grant and the share-based compensation expense for such stock options is reflected in operating results for the three months and six months ended June 30, 2010. The estimated fair value of each stock option award was determined on the date of grant using the Black-Scholes option valuation model with the following weighted-average assumptions for stock option grants: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224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88"/>
              </w:rPr>
              <w:t>Three Months Ended</w:t>
            </w:r>
          </w:p>
        </w:tc>
        <w:tc>
          <w:tcPr>
            <w:tcW w:w="222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86"/>
              </w:rPr>
              <w:t>Three Months Ended</w:t>
            </w:r>
          </w:p>
        </w:tc>
        <w:tc>
          <w:tcPr>
            <w:tcW w:w="208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87"/>
              </w:rPr>
              <w:t>Six Months Ended</w:t>
            </w:r>
          </w:p>
        </w:tc>
        <w:tc>
          <w:tcPr>
            <w:tcW w:w="12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Six Months Ended</w:t>
            </w:r>
          </w:p>
        </w:tc>
      </w:tr>
      <w:tr>
        <w:trPr>
          <w:trHeight w:val="161"/>
        </w:trPr>
        <w:tc>
          <w:tcPr>
            <w:tcW w:w="2700" w:type="dxa"/>
            <w:vAlign w:val="bottom"/>
          </w:tcPr>
          <w:p>
            <w:pPr>
              <w:spacing w:after="0"/>
              <w:rPr>
                <w:sz w:val="14"/>
                <w:szCs w:val="14"/>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June 30, 2010</w:t>
            </w:r>
          </w:p>
        </w:tc>
        <w:tc>
          <w:tcPr>
            <w:tcW w:w="1000" w:type="dxa"/>
            <w:vAlign w:val="bottom"/>
          </w:tcPr>
          <w:p>
            <w:pPr>
              <w:spacing w:after="0"/>
              <w:rPr>
                <w:sz w:val="14"/>
                <w:szCs w:val="14"/>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June 30, 2009</w:t>
            </w:r>
          </w:p>
        </w:tc>
        <w:tc>
          <w:tcPr>
            <w:tcW w:w="1000" w:type="dxa"/>
            <w:vAlign w:val="bottom"/>
          </w:tcPr>
          <w:p>
            <w:pPr>
              <w:spacing w:after="0"/>
              <w:rPr>
                <w:sz w:val="14"/>
                <w:szCs w:val="14"/>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June 30, 2010</w:t>
            </w:r>
          </w:p>
        </w:tc>
        <w:tc>
          <w:tcPr>
            <w:tcW w:w="1000" w:type="dxa"/>
            <w:vAlign w:val="bottom"/>
          </w:tcPr>
          <w:p>
            <w:pPr>
              <w:spacing w:after="0"/>
              <w:rPr>
                <w:sz w:val="14"/>
                <w:szCs w:val="14"/>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8"/>
              </w:rPr>
              <w:t>June 30, 2009</w:t>
            </w:r>
          </w:p>
        </w:tc>
        <w:tc>
          <w:tcPr>
            <w:tcW w:w="200" w:type="dxa"/>
            <w:vAlign w:val="bottom"/>
          </w:tcPr>
          <w:p>
            <w:pPr>
              <w:spacing w:after="0"/>
              <w:rPr>
                <w:sz w:val="14"/>
                <w:szCs w:val="14"/>
                <w:color w:val="auto"/>
              </w:rPr>
            </w:pPr>
          </w:p>
        </w:tc>
      </w:tr>
      <w:tr>
        <w:trPr>
          <w:trHeight w:val="210"/>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1.32%</w:t>
            </w:r>
          </w:p>
        </w:tc>
        <w:tc>
          <w:tcPr>
            <w:tcW w:w="22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2.13%</w:t>
            </w:r>
          </w:p>
        </w:tc>
        <w:tc>
          <w:tcPr>
            <w:tcW w:w="20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1.37%</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r>
      <w:tr>
        <w:trPr>
          <w:trHeight w:val="208"/>
        </w:trPr>
        <w:tc>
          <w:tcPr>
            <w:tcW w:w="2700" w:type="dxa"/>
            <w:vAlign w:val="bottom"/>
          </w:tcPr>
          <w:p>
            <w:pPr>
              <w:spacing w:after="0"/>
              <w:rPr>
                <w:sz w:val="20"/>
                <w:szCs w:val="20"/>
                <w:color w:val="auto"/>
              </w:rPr>
            </w:pPr>
            <w:r>
              <w:rPr>
                <w:rFonts w:ascii="Arial" w:cs="Arial" w:eastAsia="Arial" w:hAnsi="Arial"/>
                <w:sz w:val="18"/>
                <w:szCs w:val="18"/>
                <w:color w:val="auto"/>
              </w:rPr>
              <w:t>Expected volatility of</w:t>
            </w: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270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2240" w:type="dxa"/>
            <w:vAlign w:val="bottom"/>
            <w:gridSpan w:val="2"/>
          </w:tcPr>
          <w:p>
            <w:pPr>
              <w:jc w:val="right"/>
              <w:ind w:right="860"/>
              <w:spacing w:after="0"/>
              <w:rPr>
                <w:sz w:val="20"/>
                <w:szCs w:val="20"/>
                <w:color w:val="auto"/>
              </w:rPr>
            </w:pPr>
            <w:r>
              <w:rPr>
                <w:rFonts w:ascii="Arial" w:cs="Arial" w:eastAsia="Arial" w:hAnsi="Arial"/>
                <w:sz w:val="18"/>
                <w:szCs w:val="18"/>
                <w:color w:val="auto"/>
              </w:rPr>
              <w:t>76.07%</w:t>
            </w:r>
          </w:p>
        </w:tc>
        <w:tc>
          <w:tcPr>
            <w:tcW w:w="2220" w:type="dxa"/>
            <w:vAlign w:val="bottom"/>
            <w:gridSpan w:val="2"/>
          </w:tcPr>
          <w:p>
            <w:pPr>
              <w:jc w:val="right"/>
              <w:ind w:right="840"/>
              <w:spacing w:after="0"/>
              <w:rPr>
                <w:sz w:val="20"/>
                <w:szCs w:val="20"/>
                <w:color w:val="auto"/>
              </w:rPr>
            </w:pPr>
            <w:r>
              <w:rPr>
                <w:rFonts w:ascii="Arial" w:cs="Arial" w:eastAsia="Arial" w:hAnsi="Arial"/>
                <w:sz w:val="18"/>
                <w:szCs w:val="18"/>
                <w:color w:val="auto"/>
              </w:rPr>
              <w:t>73.00%</w:t>
            </w:r>
          </w:p>
        </w:tc>
        <w:tc>
          <w:tcPr>
            <w:tcW w:w="2080" w:type="dxa"/>
            <w:vAlign w:val="bottom"/>
            <w:gridSpan w:val="2"/>
          </w:tcPr>
          <w:p>
            <w:pPr>
              <w:jc w:val="right"/>
              <w:ind w:right="860"/>
              <w:spacing w:after="0"/>
              <w:rPr>
                <w:sz w:val="20"/>
                <w:szCs w:val="20"/>
                <w:color w:val="auto"/>
              </w:rPr>
            </w:pPr>
            <w:r>
              <w:rPr>
                <w:rFonts w:ascii="Arial" w:cs="Arial" w:eastAsia="Arial" w:hAnsi="Arial"/>
                <w:sz w:val="18"/>
                <w:szCs w:val="18"/>
                <w:color w:val="auto"/>
              </w:rPr>
              <w:t>76.50%</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69.00%</w:t>
            </w:r>
          </w:p>
        </w:tc>
      </w:tr>
      <w:tr>
        <w:trPr>
          <w:trHeight w:val="218"/>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2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0.00%</w:t>
            </w:r>
          </w:p>
        </w:tc>
        <w:tc>
          <w:tcPr>
            <w:tcW w:w="22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0.00%</w:t>
            </w:r>
          </w:p>
        </w:tc>
        <w:tc>
          <w:tcPr>
            <w:tcW w:w="20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0.00%</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08"/>
        </w:trPr>
        <w:tc>
          <w:tcPr>
            <w:tcW w:w="2700" w:type="dxa"/>
            <w:vAlign w:val="bottom"/>
          </w:tcPr>
          <w:p>
            <w:pPr>
              <w:spacing w:after="0"/>
              <w:rPr>
                <w:sz w:val="20"/>
                <w:szCs w:val="20"/>
                <w:color w:val="auto"/>
              </w:rPr>
            </w:pPr>
            <w:r>
              <w:rPr>
                <w:rFonts w:ascii="Arial" w:cs="Arial" w:eastAsia="Arial" w:hAnsi="Arial"/>
                <w:sz w:val="18"/>
                <w:szCs w:val="18"/>
                <w:color w:val="auto"/>
              </w:rPr>
              <w:t>Expected option term (in</w:t>
            </w: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2700" w:type="dxa"/>
            <w:vAlign w:val="bottom"/>
          </w:tcPr>
          <w:p>
            <w:pPr>
              <w:ind w:left="220"/>
              <w:spacing w:after="0"/>
              <w:rPr>
                <w:sz w:val="20"/>
                <w:szCs w:val="20"/>
                <w:color w:val="auto"/>
              </w:rPr>
            </w:pPr>
            <w:r>
              <w:rPr>
                <w:rFonts w:ascii="Arial" w:cs="Arial" w:eastAsia="Arial" w:hAnsi="Arial"/>
                <w:sz w:val="18"/>
                <w:szCs w:val="18"/>
                <w:color w:val="auto"/>
              </w:rPr>
              <w:t>years)</w:t>
            </w:r>
          </w:p>
        </w:tc>
        <w:tc>
          <w:tcPr>
            <w:tcW w:w="1240" w:type="dxa"/>
            <w:vAlign w:val="bottom"/>
          </w:tcPr>
          <w:p>
            <w:pPr>
              <w:jc w:val="right"/>
              <w:spacing w:after="0"/>
              <w:rPr>
                <w:sz w:val="20"/>
                <w:szCs w:val="20"/>
                <w:color w:val="auto"/>
              </w:rPr>
            </w:pPr>
            <w:r>
              <w:rPr>
                <w:rFonts w:ascii="Arial" w:cs="Arial" w:eastAsia="Arial" w:hAnsi="Arial"/>
                <w:sz w:val="18"/>
                <w:szCs w:val="18"/>
                <w:color w:val="auto"/>
              </w:rPr>
              <w:t>4.42</w:t>
            </w:r>
          </w:p>
        </w:tc>
        <w:tc>
          <w:tcPr>
            <w:tcW w:w="10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4.86</w:t>
            </w:r>
          </w:p>
        </w:tc>
        <w:tc>
          <w:tcPr>
            <w:tcW w:w="1000" w:type="dxa"/>
            <w:vAlign w:val="bottom"/>
          </w:tcPr>
          <w:p>
            <w:pPr>
              <w:spacing w:after="0"/>
              <w:rPr>
                <w:sz w:val="19"/>
                <w:szCs w:val="19"/>
                <w:color w:val="auto"/>
              </w:rPr>
            </w:pPr>
          </w:p>
        </w:tc>
        <w:tc>
          <w:tcPr>
            <w:tcW w:w="2080" w:type="dxa"/>
            <w:vAlign w:val="bottom"/>
            <w:gridSpan w:val="2"/>
          </w:tcPr>
          <w:p>
            <w:pPr>
              <w:jc w:val="right"/>
              <w:ind w:right="1000"/>
              <w:spacing w:after="0"/>
              <w:rPr>
                <w:sz w:val="20"/>
                <w:szCs w:val="20"/>
                <w:color w:val="auto"/>
              </w:rPr>
            </w:pPr>
            <w:r>
              <w:rPr>
                <w:rFonts w:ascii="Arial" w:cs="Arial" w:eastAsia="Arial" w:hAnsi="Arial"/>
                <w:sz w:val="18"/>
                <w:szCs w:val="18"/>
                <w:color w:val="auto"/>
              </w:rPr>
              <w:t>4.40</w:t>
            </w:r>
          </w:p>
        </w:tc>
        <w:tc>
          <w:tcPr>
            <w:tcW w:w="1060" w:type="dxa"/>
            <w:vAlign w:val="bottom"/>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Pr>
          <w:p>
            <w:pPr>
              <w:spacing w:after="0"/>
              <w:rPr>
                <w:sz w:val="19"/>
                <w:szCs w:val="19"/>
                <w:color w:val="auto"/>
              </w:rPr>
            </w:pPr>
          </w:p>
        </w:tc>
      </w:tr>
    </w:tbl>
    <w:p>
      <w:pPr>
        <w:spacing w:after="0" w:line="15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risk-free interest rate assumption is based upon observed interest rates appropriate for the expected term of our outstanding stock options. The expected volatility of our common stock is based on the historical volatility of our stock since listing on the Nasdaq Global Market in December 2006. We have not paid any dividends on our common stock since our inception, and we do not anticipate paying any dividends on our common stock in the foreseeable future. The expected term of employee stock options is based on the simplified method for “plain vanilla options” as provided by the authoritative guidance on stock compensation, as we concluded that our historical stock option exercise experience does not provide a reasonable basis for us to estimate the expected term.</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share-based compensation expense recognized in the accompanying consolidated statement of operations for the three and six month periods ended June 30, 2010 was based on stock option awards ultimately expected to vest, such expense should be reduced for estimated forfeitures. The authoritative guidance for compensation under ASC 718 (formerly SFAS No. 123R) requires forfeitures to be estimated at the time of grant and revised, if necessary, in subsequent periods if actual forfeitures differ from those estimates. We have very few employees and our stock options vest monthly; therefore, we did not estimate any forfeitures during the first or second quarter of 2010, and we will adjust our stock-based compensation expense should any forfeitures occur. The weighted-average fair value of each stock option granted during the three and six month periods ended June 30, 2010, estimated as of the grant date using the Black-Scholes option valuation model, was $3.01 and $4.02, respectively per stock option, whereas the weighted-average fair value of each stock option granted during the three and six month periods ended June 30, 2009 was $1.66 and $1.17, respectively, per stock option.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 accordance with the authoritative guidance for income taxes under ASC 740 (formerly SFAS No. 109), a deferred liability is determined based on the difference between the financial statement and the tax basis of assets and liabilities as measured by the enacted tax rates, which will be in effect when these differences reverse. We provide a valuation allowance against net deferred assets unless, based upon the available evidence, it is more likely than not that the deferred tax assets will be realized.</w:t>
      </w:r>
    </w:p>
    <w:p>
      <w:pPr>
        <w:spacing w:after="0" w:line="14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Our practice is to recognize interest and/or penalties related to income tax matters in income tax expense. We had no accrued interest or penalties at June 30, 2010 and we have not recorded any uncertain income tax benefits at June 30, 2010.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700" w:firstLine="8"/>
        <w:spacing w:after="0" w:line="391" w:lineRule="auto"/>
        <w:tabs>
          <w:tab w:leader="none" w:pos="176"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Legal Proceedings</w:t>
      </w:r>
    </w:p>
    <w:p>
      <w:pPr>
        <w:spacing w:after="0" w:line="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August 24, 2009, The Pennsylvania Avenue Funds, an Avigen stockholder, filed a complaint in Alameda County Superior Court alleging that Avigen’s directors breached their fiduciary duties in connection with the proposed transaction with us. On October 15, 2009, The Pennsylvania Avenue Funds filed an amended complaint adding us as a defendant. In the amended complaint, The Pennsylvania Avenue funds alleged, among other things, that we aided and abetted the alleged breach of fiduciary duties by the Avigen directors. Avigen and Pennsylvania Avenue Funds have signed a stipulation of settlement agreement and moved the court for preliminary approval. The Court heard oral arguments on the Motion for Preliminary Approval of Settlement and held a case management conference on March 8, 2010, during which it raised a few issues regarding the settlement provisions. On April 6, 2010, the Superior Court for the State of California for the County of Alameda approved the preliminary settlement and set a final settlement hearing for June 24, 2010. Under the terms of the Stipulation of Settlement, Avigen has agreed not to oppose a fee motion by counsel to The Pennsylvania Avenue Funds for fees and expenses in the amount not to exceed $140,000 and a petition by The Pennsylvania Avenue Funds for an incentive award of up to $2,500. On June 24, 2010, the final order and judgment approving final settlement of $140,000 was received. As the final settlement is to be paid by Avigen’s insurance carrier, at June 30, 2010 we recorded the $140,000 liability and corresponding receivable in our consolidated balance sheet.</w:t>
      </w:r>
    </w:p>
    <w:p>
      <w:pPr>
        <w:spacing w:after="0" w:line="202" w:lineRule="exact"/>
        <w:rPr>
          <w:sz w:val="20"/>
          <w:szCs w:val="20"/>
          <w:color w:val="auto"/>
        </w:rPr>
      </w:pPr>
    </w:p>
    <w:p>
      <w:pPr>
        <w:ind w:right="9520" w:firstLine="8"/>
        <w:spacing w:after="0" w:line="347" w:lineRule="auto"/>
        <w:tabs>
          <w:tab w:leader="none" w:pos="263"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Stock Options</w:t>
      </w:r>
    </w:p>
    <w:p>
      <w:pPr>
        <w:spacing w:after="0" w:line="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currently grant stock options to our employees, officers, directors and consultants under the 2004 Plan, the successor to the 2000 Plan. No additional stock options have been or will be issued under the 2000 Plan subsequent to our initial public offering. However, the stock options previously granted under the 2000 Plan will remain outstanding until the earlier of expiration or exercise.</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 summary of the changes in stock options outstanding under the 2000 Plan and 2004 Plan during the six months ended June 30, 2010 is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14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720" w:type="dxa"/>
            <w:vAlign w:val="bottom"/>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Exercise Price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4"/>
              </w:rPr>
              <w:t>2,055,576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Granted</w:t>
            </w: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525,000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(18,629)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Cancelled</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w w:val="95"/>
              </w:rPr>
              <w:t>(136,714)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2010</w:t>
            </w: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4"/>
              </w:rPr>
              <w:t>2,425,233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aggregate intrinsic value of stock options exercised during the six months ended June 30, 2010 was approximately $23,000. The aggregate intrinsic value of stock options outstanding at June 30, 2010 and exercisable at June 30, 2010 was approximately $809,000 and approximately $312,000, respectively. Of the total stock options outstanding as of June 30, 2010, options to purchase 1,502,353 shares of common stock are exercisable, with a weighted average exercise price of $9.97 per share and a weighted average contractual life of 6.6 years.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assumptions were used to value the March 31, 2010 employee stock purchases: a risk-free interest rate of 2.37%, expected volatility of 73%, expected term of six months and a dividend rate of 0%. There were no ESPP stock purchases for the three months ended June 30, 2010. For the six months ended June 30,</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2010, 4,486 shares of common stock were issued under the ESPP and 261,199 shares of common stock were available for future issuance.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Holders of the convertible notes may submit conversion notices, which are irrevocable, instructing the trustee to convert such convertible notes into shares of our common stock at an initial conversion price of $6.80 per share. Following each conversion date, which date generally is the final business day of each calendar month, we will issue the number of whole shares of common stock issuable upon conversion as promptly as practicable (and in any event within 10 business days). The trustee will in turn release to us the respective amount of restricted cash to cover the stock issuance. We will then invest the unrestricted cash into either a money market fund or a money market account. Any fractional shares (after aggregating all convertible notes being converted by a holder on such date) will be rounded down and we will deliver cash for the current market value of the fractional share. For the three months and six months ended June 30, 2010, approximately $55,000 and $1.8 million, respectively, of convertible notes were converted into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July 1, 2010, we completed the sale of all of our Auction Rate Securities (“ARS”) held by UBS AG at par value and we recorded a gain of approximately $77,000. After repaying our ARS loan, we netted proceeds of $9.5 million, all of which was invested in money market funds. In addition, our ARS line of credit was cancelled upon our repayment of the ARS loan.</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July 2, 2010, the liability related to the approved $140,000 final settlement of The Pennsylvania Avenue Funds lawsuit was paid by Avigen’s insurance carrier directly to The Pennsylvania Avenue Funds.</w:t>
      </w:r>
    </w:p>
    <w:p>
      <w:pPr>
        <w:spacing w:after="0" w:line="132"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On July 22, 2010, under the terms of the Merger, former Avigen stockholders were paid on a pro-rata basis $0.0277 per share of Avigen common stock outstanding at the time of the Merger, or a total of approximately $140,000, as part of the first release of the Second Payment Consideration. An aggregate of $500,000 from the Second Payment Consideration amount is deferred and will be paid to the former Avigen stockholders on a pro rata basis upon expiry of a letter of credit issued by Wells Fargo Bank, N.A. in connection with expenses under Avigen’s building lease, expected to expire November 30, 2010. The distributable amount will be offset by any amounts drawn by the beneficiary under the letter of credit and will be paid to former Avigen stockholders on the earlier of December 31, 2010 and the date on which the entire amount of restricted cash becomes unrestricted.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7"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2009 included in our Annual Report on Form 10-K filed with the Securities and Exchange Commission, or SEC, on March 24, 2010. Past operating results are not necessarily indicative of results that may occur in future periods.</w:t>
      </w:r>
    </w:p>
    <w:p>
      <w:pPr>
        <w:spacing w:after="0" w:line="11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and the differences may be material. Forward-looking statements discuss matters that are not historical facts. Forward-looking statements include statements regarding our plans, strategies, objectives,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96" w:lineRule="exact"/>
        <w:rPr>
          <w:sz w:val="20"/>
          <w:szCs w:val="20"/>
          <w:color w:val="auto"/>
        </w:rPr>
      </w:pPr>
    </w:p>
    <w:p>
      <w:pPr>
        <w:ind w:right="320" w:firstLine="456"/>
        <w:spacing w:after="0" w:line="323" w:lineRule="auto"/>
        <w:rPr>
          <w:sz w:val="20"/>
          <w:szCs w:val="20"/>
          <w:color w:val="auto"/>
        </w:rPr>
      </w:pPr>
      <w:r>
        <w:rPr>
          <w:rFonts w:ascii="Arial" w:cs="Arial" w:eastAsia="Arial" w:hAnsi="Arial"/>
          <w:sz w:val="15"/>
          <w:szCs w:val="15"/>
          <w:color w:val="auto"/>
        </w:rPr>
        <w:t>We are a biopharmaceutical company focused on acquiring and developing novel, small molecule therapeutics for the treatment of diseases with unmet medical need with a specific focus on the U.S. market. Through strategic alliances, primarily with Japanese pharmaceutical companies, we hold rights to a diversified portfolio of clinical and preclinical product candidates, each of which we believe has a well-characterized and differentiated therapeutic profile, attractive commercial potential and patent assets having claims of commercially adequate scope. We were incorporated in Delaware in September 2000.</w:t>
      </w:r>
    </w:p>
    <w:p>
      <w:pPr>
        <w:spacing w:after="0" w:line="98"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are a development stage company. We have incurred significant net losses since our inception. At June 30, 2010, from inception, our accumulated deficit was approximately $256.8 million, including $47.4 million of non-cash stock-based compensation charges related to employee stock-based compensation and founders’ warrants. We expect to incur substantial net losses for at least the next several years as we continue to develop certain of our existing product development programs, primarily MN-221 for the treatment of acute exacerbations of asthma and Chronic Obstructive Pulmonary Disease, or COPD, exacerbations, and over the long-term if we are successful in expanding our research and development programs and acquiring or in-licensing products, technologies or businesses that are complementary to our own.</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acquired licenses to eight compounds for the development of ten product candidates. Our development pipeline consists of eight product development programs which have been in clinical development for the treatment of acute exacerbations of asthma, MS, bronchial asthma, IC, solid tumor cancers, Generalized Anxiety Disorders/insomnia, preterm labor and urinary incontinence, and two product development programs which have been in preclinical development for the treatment of thrombotic disorders. In addition, we have expanded our development program for MN-221 for the treatment of COPD exacerbations.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December 2009 we acquired Avigen Inc., or Avigen, a biopharmaceutical company that focused on identifying and developing differentiated products to treat patients with serious disorders, whose potential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product candidate was AV411, a glial attenuator, for CNS disorders, such as neuropathic pain, opioid withdrawal and methamphetamine addiction. Avigen’s AV411 and our MN-166 are both ibudilast, an orally available, small molecule therapeutic. With the acquisition of AV411, we are in the process of integrating the two ibudilast-based product development programs and we are pursuing discussions with potential partners to secure a strategic collaboration to advance clinical development of the combined development programs.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present, we are focusing our resources on the following prioritized product development programs:</w:t>
      </w:r>
    </w:p>
    <w:p>
      <w:pPr>
        <w:spacing w:after="0" w:line="90" w:lineRule="exact"/>
        <w:rPr>
          <w:sz w:val="20"/>
          <w:szCs w:val="20"/>
          <w:color w:val="auto"/>
        </w:rPr>
      </w:pPr>
    </w:p>
    <w:p>
      <w:pPr>
        <w:ind w:left="900" w:right="60" w:hanging="446"/>
        <w:spacing w:after="0" w:line="255"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MN-221 for the treatment of acute exacerbations of asthma and COPD exacerbations, for which we initiated a Phase II clinical trial in the first quarter of 2009 to evaluate the safety and efficacy of MN-221 in patients with severe, acute exacerbations of asthma treated in the emergency room, which is on-going and has been experiencing slow enrollment, and initiated a Phase 1b clinical trial in the fourth quarter of 2009 to evaluate the safety of MN-221 at planned escalating doses in patients with stable, moderate to severe COPD, in which we announced preliminary positive results in the first quarter of 2010.</w:t>
      </w:r>
    </w:p>
    <w:p>
      <w:pPr>
        <w:spacing w:after="0" w:line="61" w:lineRule="exact"/>
        <w:rPr>
          <w:rFonts w:ascii="Arial" w:cs="Arial" w:eastAsia="Arial" w:hAnsi="Arial"/>
          <w:sz w:val="18"/>
          <w:szCs w:val="18"/>
          <w:color w:val="auto"/>
        </w:rPr>
      </w:pPr>
    </w:p>
    <w:p>
      <w:pPr>
        <w:ind w:left="900" w:hanging="446"/>
        <w:spacing w:after="0" w:line="25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MN-166/AV411 for which we are in the process of integrating the two programs into a combined ibudilast-based product development program to pursue discussions with potential partners to secure a strategic collaboration. For MN-166 for the treatment of MS, we completed a Phase II clinical trial in Eastern Europe in the second quarter of 2008 and we completed a monkey toxicity preclinical study in second quarter of 2010. For AV411 for other CNS disorders, we have an on-going Phase 1b/2a opioid withdrawal clinical trial being funded by the National Institute on Drug Abuse, or NIDA, which is expected to be completed by fourth quarter of 2010 and we have on-going collaborative studies with NIDA for methamphetamine addiction.</w:t>
      </w:r>
    </w:p>
    <w:p>
      <w:pPr>
        <w:spacing w:after="0" w:line="14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Upon completion of proof-of-concept Phase II clinical trials, we intend to make a determination as to whether we will continue to pursue development independently in select markets, or establish a strategic collaboration to support further clinical development, as we currently intend with MN-221 and MN-166/AV411. In addition, we continue to limit development activities for the balance of our existing product candidates. For each of these remaining product candidates, we plan to conduct development activities only to the extent deemed necessary to maintain our license rights or maximize its value while pursuing a variety of initiatives to monetize such product candidate on appropriate terms. See “Research and Development” below.</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eight non-prioritized product development programs consist of the following:</w:t>
      </w:r>
    </w:p>
    <w:p>
      <w:pPr>
        <w:spacing w:after="0" w:line="90" w:lineRule="exact"/>
        <w:rPr>
          <w:sz w:val="20"/>
          <w:szCs w:val="20"/>
          <w:color w:val="auto"/>
        </w:rPr>
      </w:pPr>
    </w:p>
    <w:p>
      <w:pPr>
        <w:ind w:left="900" w:right="40" w:hanging="446"/>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MN-001 for the treatment of bronchial asthma, for which we initiated a Phase III clinical program in the fourth quarter of 2006 that we subsequently terminated in the second quarter of 2007 and for which we developed prototypes of once-per-day oral dosing formulations;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MN-001 for the treatment of interstitial cystitis, for which we completed a Phase II/III clinical trial in the first quarter of 2007;</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MN-029 for the treatment of solid tumors, for which we completed one Phase I clinical trial in the second quarter of 2006 and one Phase I clinical trial in the fourth quarter of 2007;</w:t>
      </w:r>
    </w:p>
    <w:p>
      <w:pPr>
        <w:spacing w:after="0" w:line="50" w:lineRule="exact"/>
        <w:rPr>
          <w:rFonts w:ascii="Arial" w:cs="Arial" w:eastAsia="Arial" w:hAnsi="Arial"/>
          <w:sz w:val="18"/>
          <w:szCs w:val="18"/>
          <w:color w:val="auto"/>
        </w:rPr>
      </w:pPr>
    </w:p>
    <w:p>
      <w:pPr>
        <w:ind w:left="900" w:right="160" w:hanging="446"/>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MN-305 for the treatment of Generalized Anxiety Disorder/insomnia, for which we completed a Phase II/III clinical trial for the treatment of Generalized Anxiety Disorder in the second quarter of 2006 and a Phase II clinical trial for the treatment of insomnia in the fourth quarter of 2007;</w:t>
      </w:r>
    </w:p>
    <w:p>
      <w:pPr>
        <w:spacing w:after="0" w:line="4"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MN-221 for the treatment of preterm labor, for which we completed a Phase I clinical trial to investigate the pharmacokinetic profile of MN-221 in healthy pregnant women not in labor in the second quarter of 2007;</w:t>
      </w:r>
    </w:p>
    <w:p>
      <w:pPr>
        <w:spacing w:after="0" w:line="5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MN-246 for the treatment of urinary incontinence, for which we completed a Phase I clinical trial in the fourth quarter of 2006 and a Phase I food effects study in the first quarter of 2007;</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MN-447 for the treatment of thrombotic disorders, which remains in preclinical development;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MN-462 for the treatment of thrombotic disorders, which remains in preclinical development.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Avigen Transaction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December 18, 2009, Absolute Merger, Inc., a wholly-owned subsidiary of ours, merged with and into Avigen, with Avigen continuing as the surviving entity and wholly-owned subsidiary of ours. Under the terms of the merger, we issued $29.4 million in secured convertible notes that mature on June 18, 2011, the 18-month anniversary of the closing of the merger. Holders of these convertible notes may convert their notes into our common stock at an initial conversion price of $6.80 per share. At the maturity of the convertible notes, the remaining holders would be paid out the same per share amount as the Avigen shareholders that elected to receive cash at the merger closing, plus accrued interest. As part of the merger consideration, the former Avigen shareholders also are entitled to receive approximately $0.04 per share expected to be paid in two increments on or about June 30, 2010 and after November 30, 2010, subject to certain adjustments, and rights under contingent payment rights issued as part of the merger consideration. The amount to be paid in the two installments was adjusted to approximately $0.044 per share at June 30, 2010, based on a reconciliation of expenses.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a result of the Avigen transaction, our consolidated financial statements include Avigen’s operations after the completion of the acquisition. We accounted for the Avigen merger using the acquisition method of accounting. The acquisition method of accounting for acquired businesses requires, among other things, that most assets acquired and liabilities assumed be recognized at their fair values as of the acquisition date and that the fair value of acquired in-process research and development (IPR&amp;D) be recorded on the balance sheet. Also, transaction costs are expensed as incurred. As a result of the Avigen transaction we recorded $4.8 million of IPR&amp;D related to Avigen’s AV411 asset and we originally recorded $9.1 million of goodwill related to the excess purchase price over the assigned values of the net assets acquired. At June 30, 2010, with the reconciliation of expenses performed with regard to the two payments discussed above, goodwill was adjusted by $0.2 million to $9.4 million to reflect the increase in liabilities assumed. The goodwill was primarily a result of the conversion feature related to the convertible notes issued pursuant to the merger agreement. Our annual test date for IPR&amp;D and goodwill impairment is December 31. We operate as one reporting segment and during the six months ended June 30, 2010 through the date of this report, there were no triggering events, market conditions (such as a drop in our stock price by more than 50%) or other factors (such as adverse clinical trial results) that would indicate possible or actual impairment of IPR&amp;D or goodwill.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9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On May 10, 2010, we entered into a loan and security agreement, or the Loan Agreement, with Oxford Finance Corporation, or Oxford, under which we borrowed $15.0 million. The financing will be used to satisfy working capital needs, including the continued clinical development of MN-221.</w:t>
      </w:r>
    </w:p>
    <w:p>
      <w:pPr>
        <w:spacing w:after="0" w:line="85"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We are required to pay interest on borrowings on a monthly basis through and including February 1, 2011. Beginning March 1, 2011 through maturity of the loan on August 1, 2013, we will be required to make payments of outstanding principal and interest in 30 equal monthly installments. The stated interest rate on the loan is 12.87 percent. The effective interest rate on the loan was 18.14% when taking into consideration the deferred interest payment, the relative fair value of the warrants issued in connection with the loan and the fees associated with procuring the loan. Pursuant to the Loan Agreement, we also issued to Oxford a warrant to acquire up to 198,020 shares of our common stock, par value $0.001 per share, at an exercise price of $6.06 per share. Based on a Black Scholes model, the relative fair value of the warrant was approximately $859,000. In addition, the warrant and debt instrument are immediately separable and were issued separately; thus, we accounted for the warrant as a component of stockholders’ equity as the agreement requires settlement in shares and under no provision of the agreement are we required to settle the warrant in cash.</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paid Oxford a facility fee of $150,000 and we paid associated legal fees of approximately $180,000. We also will pay Oxford a deferred interest payment equal to $450,000, payable on June 30, 2011, provided that a pro rata portion of such deferred interest payment shall be paid upon any prepayment of the loan. In addition, if we prepay all or a portion of the loan prior to maturity, we will pay Oxford a prepayment penalty of three percent of the total amount prepaid if the prepayment occurs prior to May 10, 2011, two percent of the total amount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prepaid if the prepayment occurs between May 11, 2011 and May 10, 2012 and one percent of the total amount prepaid if the prepayment occurs on or after May 10, 2012.</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accounted for the interest on the long-term debt under the effective interest method wherein we treated the debt issuance costs paid directly to the lender and the fair value of the warrants issued to the lender as a discount on the debt (or a contra liability) and we treated the debt issuance costs paid to third parties as an asset. The related amortization of the debt discount is recorded as interest expense and the amortization of the debt issuance costs paid to third parties is recorded as other expense in our consolidated statement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July 1, 2010, we completed the sale of all of our Auction Rate Securities, or ARS, held by UBS AG at par value and we recorded a gain of approximately $77,000. After repaying our ARS loan, we netted proceeds of $9.5 million, all of which was invested in money market funds. In addition, our ARS line of credit was cancelled upon our repayment of the ARS loan.</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July 2, 2010, the liability related to the approved $140,000 final settlement of The Pennsylvania Avenue Funds lawsuit was paid by Avigen’s insurance carrier directly to The Pennsylvania Avenue Funds.</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July 22, 2010, under the terms of the Merger, former Avigen stockholders were paid on a pro-rata basis $0.0277 per share of Avigen common stock outstanding at the Merger, or a total of approximately $140,000, as part of the first release of the Second Payment Consideration. An aggregate of $500,000 from the Second Payment Consideration amount is deferred and will be paid to the former Avigen stockholders on a pro rata basis upon expiry of a letter of credit issued by Wells Fargo Bank, N.A. in connection with expenses under Avigen’s building lease, expected to expire November 30, 2010. The distributable amount will be offset by any amounts drawn by the beneficiary under the letter of credit and will be paid to former Avigen stockholders on the earlier of December 31, 2010 and the date on which the entire amount of restricted cash becomes unrestricted.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Not Yet Adopted</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color w:val="auto"/>
        </w:rPr>
        <w:t>In April 2010, the FASB issued ASU No. 2010-12, which indicates that the Securities and Exchange Commission (“SEC”) staff would not object to incorporating the effects of the Health Care and Education Reconciliation Act of 2010 (which was enacted on March 30, 2010) when accounting for the Patient Protection and Affordable Care Act (which was enacted on March 23, 2010). This view is based partly on the SEC’s understanding that the two aforementioned acts, when taken together, represent the current health care reforms as passed by Congress and signed by the President. As of June 30, 2010, we have performed an initial review of the two acts, and we do not believe that either will have a material impact on our consolidated results of operations or financial condition. Our belief is based on the fact that: we are a development stage biopharmaceutical whose lead drug candidates are in Phase II of development and we have no other revenue generating products; therefore the pharmaceutical industry fee should not be applicable to us, nor would we be impacted by the drug subsidy changes; we have less than 25 employees so the fee for health plans will have minimal impact to our operating expenses; we do not have “high-cost” coverage health plans, nor do we offer retiree medical benefits; thus, the fees and the changes related to these would not impact our operating expenses, and, with regard to the limit on tax-deductible employee compensation this should not impact our tax position as we are currently a net loss company and will continue to be a net loss company in the foreseeable future. The health care reforms also provide for a “new investment tax credit for qualified therapeutic discovery,” for which we submitted an application on July 16, 2010. Because we cannot be assured that our product candidate will be selected to receive a cash grant in lieu of a research and development tax credit, we are uncertain if our application will have a material impact on our consolidated results of operations or financial condition.</w:t>
      </w:r>
    </w:p>
    <w:p>
      <w:pPr>
        <w:spacing w:after="0" w:line="11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April 2010, the FASB issued ASU No. 2010-17, which codifies the consensus reached in EITF No. 08-9, which provides guidance on defining a milestone and determining when it may be appropriate to apply the milestone method of revenue recognition for research or development transactions. Consideration that is contingent on achievement of a milestone in its entirety may be recognized as revenue in the period in which the milestone is achieved only if the milestone is judged to meet certain criteria to be considered substantive.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Milestones should be considered substantive in their entirety and may not be bifurcated. An arrangement may contain both substantive and nonsubstantive milestones, and each milestone should be evaluated individually to determine if it is substantive. The amendments in this ASU are effective on a prospective basis for milestones achieved in fiscal years, and interim periods within those years, beginning on or after June 15, 2010. Early adoption is permitted. We have not early adopted this accounting standard; however, we do not believe adoption of this standard will have a material effect on our consolidated results of operations or financial condition.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have not generated any revenues from licensing, milestones or product sales to date, and we do not expect to generate any revenues from the commercialization of our product candidates within the next several years, if at all. Our revenues to date have been generated from providing development management services under master service agreements with Asahi Kasei Pharma Corporation and Argenes, Inc., pursuant to which we billed consulting fees and our pass-through clinical contract costs. The primary costs associated with our revenue were the clinical contract costs we incurred and passed-through to our customer. Our agreement with Asahi Kasei Pharma Corporation has been completed, and we terminated our agreement with Argenes, Inc. Therefore, we will not generate any further revenue from these agreements.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research and development expenses consist primarily of the license fees related to our product candidates, salaries and related employee benefits, costs associated with the preclinical and clinical development of our product candidates, costs associated with non-clinical activities, such as regulatory expenses, and pre-commercialization manufacturing development activities. We use external service providers to manufacture our product candidates to be used in clinical trials and for the majority of the services performed in connection with the preclinical and clinical development of our product candidates; therefore, these research and development expenses consist substantially of external costs, such as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consist of costs of compensation and other expenses for research and development personnel, supplies, materials, facility costs and depreciation. Research and development costs are expensed as incurred or accrued based on certain contractual factors such as for estimates of work performed, milestones achieved, patient enrollment and experience with similar contracts. As actual costs become known, accruals are adjusted. To date, our estimates have not differed significantly from the actual costs incurred.</w:t>
      </w:r>
    </w:p>
    <w:p>
      <w:pPr>
        <w:spacing w:after="0" w:line="123"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The following table summarizes our research and development expenses for the periods indicated for each of our product candidates. To the extent that costs, including personnel costs, are not tracked to a specific product development program, such costs are included in the “Unallocated” category (in thousands):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7"/>
              </w:rPr>
              <w:t>Three months ended</w:t>
            </w:r>
          </w:p>
        </w:tc>
        <w:tc>
          <w:tcPr>
            <w:tcW w:w="220" w:type="dxa"/>
            <w:vAlign w:val="bottom"/>
          </w:tcPr>
          <w:p>
            <w:pPr>
              <w:spacing w:after="0"/>
              <w:rPr>
                <w:sz w:val="14"/>
                <w:szCs w:val="14"/>
                <w:color w:val="auto"/>
              </w:rPr>
            </w:pPr>
          </w:p>
        </w:tc>
        <w:tc>
          <w:tcPr>
            <w:tcW w:w="1520" w:type="dxa"/>
            <w:vAlign w:val="bottom"/>
            <w:gridSpan w:val="4"/>
          </w:tcPr>
          <w:p>
            <w:pPr>
              <w:ind w:left="2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Product</w:t>
            </w:r>
          </w:p>
        </w:tc>
        <w:tc>
          <w:tcPr>
            <w:tcW w:w="220" w:type="dxa"/>
            <w:vAlign w:val="bottom"/>
          </w:tcPr>
          <w:p>
            <w:pPr>
              <w:spacing w:after="0"/>
              <w:rPr>
                <w:sz w:val="14"/>
                <w:szCs w:val="14"/>
                <w:color w:val="auto"/>
              </w:rPr>
            </w:pPr>
          </w:p>
        </w:tc>
        <w:tc>
          <w:tcPr>
            <w:tcW w:w="3500" w:type="dxa"/>
            <w:vAlign w:val="bottom"/>
            <w:vMerge w:val="restart"/>
          </w:tcPr>
          <w:p>
            <w:pPr>
              <w:ind w:left="2060"/>
              <w:spacing w:after="0"/>
              <w:rPr>
                <w:sz w:val="20"/>
                <w:szCs w:val="20"/>
                <w:color w:val="auto"/>
              </w:rPr>
            </w:pPr>
            <w:r>
              <w:rPr>
                <w:rFonts w:ascii="Arial" w:cs="Arial" w:eastAsia="Arial" w:hAnsi="Arial"/>
                <w:sz w:val="14"/>
                <w:szCs w:val="14"/>
                <w:b w:val="1"/>
                <w:bCs w:val="1"/>
                <w:color w:val="auto"/>
              </w:rPr>
              <w:t>Disease/Indication</w:t>
            </w:r>
          </w:p>
        </w:tc>
        <w:tc>
          <w:tcPr>
            <w:tcW w:w="1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4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Candidate</w:t>
            </w:r>
          </w:p>
        </w:tc>
        <w:tc>
          <w:tcPr>
            <w:tcW w:w="22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3"/>
          </w:tcPr>
          <w:p>
            <w:pPr>
              <w:jc w:val="right"/>
              <w:ind w:right="39"/>
              <w:spacing w:after="0" w:line="155"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3"/>
                <w:szCs w:val="13"/>
                <w:color w:val="auto"/>
              </w:rPr>
            </w:pPr>
          </w:p>
        </w:tc>
        <w:tc>
          <w:tcPr>
            <w:tcW w:w="760" w:type="dxa"/>
            <w:vAlign w:val="bottom"/>
            <w:gridSpan w:val="2"/>
          </w:tcPr>
          <w:p>
            <w:pPr>
              <w:jc w:val="right"/>
              <w:ind w:right="52"/>
              <w:spacing w:after="0" w:line="155"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3"/>
                <w:szCs w:val="13"/>
                <w:color w:val="auto"/>
              </w:rPr>
            </w:pPr>
          </w:p>
        </w:tc>
        <w:tc>
          <w:tcPr>
            <w:tcW w:w="720" w:type="dxa"/>
            <w:vAlign w:val="bottom"/>
            <w:gridSpan w:val="2"/>
          </w:tcPr>
          <w:p>
            <w:pPr>
              <w:jc w:val="right"/>
              <w:ind w:right="39"/>
              <w:spacing w:after="0" w:line="155" w:lineRule="exact"/>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3"/>
                <w:szCs w:val="13"/>
                <w:color w:val="auto"/>
              </w:rPr>
            </w:pPr>
          </w:p>
        </w:tc>
        <w:tc>
          <w:tcPr>
            <w:tcW w:w="500" w:type="dxa"/>
            <w:vAlign w:val="bottom"/>
          </w:tcPr>
          <w:p>
            <w:pPr>
              <w:jc w:val="right"/>
              <w:ind w:right="34"/>
              <w:spacing w:after="0" w:line="155"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93"/>
              </w:rPr>
              <w:t>MN-221</w:t>
            </w:r>
          </w:p>
        </w:tc>
        <w:tc>
          <w:tcPr>
            <w:tcW w:w="44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Acute exacerbations of asthma/ COPD</w:t>
            </w:r>
          </w:p>
        </w:tc>
        <w:tc>
          <w:tcPr>
            <w:tcW w:w="29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$ 1,710</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$ 2,376</w:t>
            </w:r>
          </w:p>
        </w:tc>
        <w:tc>
          <w:tcPr>
            <w:tcW w:w="122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$4,044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MN-166</w:t>
            </w:r>
          </w:p>
        </w:tc>
        <w:tc>
          <w:tcPr>
            <w:tcW w:w="3720" w:type="dxa"/>
            <w:vAlign w:val="bottom"/>
            <w:gridSpan w:val="2"/>
          </w:tcPr>
          <w:p>
            <w:pPr>
              <w:ind w:left="220"/>
              <w:spacing w:after="0"/>
              <w:rPr>
                <w:sz w:val="20"/>
                <w:szCs w:val="20"/>
                <w:color w:val="auto"/>
              </w:rPr>
            </w:pPr>
            <w:r>
              <w:rPr>
                <w:rFonts w:ascii="Arial" w:cs="Arial" w:eastAsia="Arial" w:hAnsi="Arial"/>
                <w:sz w:val="18"/>
                <w:szCs w:val="18"/>
                <w:color w:val="auto"/>
              </w:rPr>
              <w:t>Multiple sclerosis/other CNS disorders</w:t>
            </w:r>
          </w:p>
        </w:tc>
        <w:tc>
          <w:tcPr>
            <w:tcW w:w="2960" w:type="dxa"/>
            <w:vAlign w:val="bottom"/>
            <w:gridSpan w:val="4"/>
          </w:tcPr>
          <w:p>
            <w:pPr>
              <w:jc w:val="right"/>
              <w:ind w:right="280"/>
              <w:spacing w:after="0"/>
              <w:rPr>
                <w:sz w:val="20"/>
                <w:szCs w:val="20"/>
                <w:color w:val="auto"/>
              </w:rPr>
            </w:pPr>
            <w:r>
              <w:rPr>
                <w:rFonts w:ascii="Arial" w:cs="Arial" w:eastAsia="Arial" w:hAnsi="Arial"/>
                <w:sz w:val="18"/>
                <w:szCs w:val="18"/>
                <w:color w:val="auto"/>
              </w:rPr>
              <w:t>210</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(81)</w:t>
            </w:r>
          </w:p>
        </w:tc>
        <w:tc>
          <w:tcPr>
            <w:tcW w:w="1220" w:type="dxa"/>
            <w:vAlign w:val="bottom"/>
            <w:gridSpan w:val="3"/>
          </w:tcPr>
          <w:p>
            <w:pPr>
              <w:jc w:val="right"/>
              <w:ind w:right="432"/>
              <w:spacing w:after="0"/>
              <w:rPr>
                <w:sz w:val="20"/>
                <w:szCs w:val="20"/>
                <w:color w:val="auto"/>
              </w:rPr>
            </w:pPr>
            <w:r>
              <w:rPr>
                <w:rFonts w:ascii="Arial" w:cs="Arial" w:eastAsia="Arial" w:hAnsi="Arial"/>
                <w:sz w:val="18"/>
                <w:szCs w:val="18"/>
                <w:color w:val="auto"/>
              </w:rPr>
              <w:t>472</w:t>
            </w:r>
          </w:p>
        </w:tc>
        <w:tc>
          <w:tcPr>
            <w:tcW w:w="500" w:type="dxa"/>
            <w:vAlign w:val="bottom"/>
          </w:tcPr>
          <w:p>
            <w:pPr>
              <w:jc w:val="right"/>
              <w:spacing w:after="0"/>
              <w:rPr>
                <w:sz w:val="20"/>
                <w:szCs w:val="20"/>
                <w:color w:val="auto"/>
              </w:rPr>
            </w:pPr>
            <w:r>
              <w:rPr>
                <w:rFonts w:ascii="Arial" w:cs="Arial" w:eastAsia="Arial" w:hAnsi="Arial"/>
                <w:sz w:val="18"/>
                <w:szCs w:val="18"/>
                <w:color w:val="auto"/>
              </w:rPr>
              <w:t>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MN-001</w:t>
            </w:r>
          </w:p>
        </w:tc>
        <w:tc>
          <w:tcPr>
            <w:tcW w:w="3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Bronchial asthma</w:t>
            </w:r>
          </w:p>
        </w:tc>
        <w:tc>
          <w:tcPr>
            <w:tcW w:w="29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122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36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MN-001</w:t>
            </w:r>
          </w:p>
        </w:tc>
        <w:tc>
          <w:tcPr>
            <w:tcW w:w="3720" w:type="dxa"/>
            <w:vAlign w:val="bottom"/>
            <w:gridSpan w:val="2"/>
          </w:tcPr>
          <w:p>
            <w:pPr>
              <w:ind w:left="220"/>
              <w:spacing w:after="0"/>
              <w:rPr>
                <w:sz w:val="20"/>
                <w:szCs w:val="20"/>
                <w:color w:val="auto"/>
              </w:rPr>
            </w:pPr>
            <w:r>
              <w:rPr>
                <w:rFonts w:ascii="Arial" w:cs="Arial" w:eastAsia="Arial" w:hAnsi="Arial"/>
                <w:sz w:val="18"/>
                <w:szCs w:val="18"/>
                <w:color w:val="auto"/>
              </w:rPr>
              <w:t>Interstitial cystitis</w:t>
            </w:r>
          </w:p>
        </w:tc>
        <w:tc>
          <w:tcPr>
            <w:tcW w:w="2960" w:type="dxa"/>
            <w:vAlign w:val="bottom"/>
            <w:gridSpan w:val="4"/>
          </w:tcPr>
          <w:p>
            <w:pPr>
              <w:jc w:val="right"/>
              <w:ind w:right="280"/>
              <w:spacing w:after="0"/>
              <w:rPr>
                <w:sz w:val="20"/>
                <w:szCs w:val="20"/>
                <w:color w:val="auto"/>
              </w:rPr>
            </w:pPr>
            <w:r>
              <w:rPr>
                <w:rFonts w:ascii="Arial" w:cs="Arial" w:eastAsia="Arial" w:hAnsi="Arial"/>
                <w:sz w:val="18"/>
                <w:szCs w:val="18"/>
                <w:color w:val="auto"/>
              </w:rPr>
              <w:t>21</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10</w:t>
            </w:r>
          </w:p>
        </w:tc>
        <w:tc>
          <w:tcPr>
            <w:tcW w:w="1220" w:type="dxa"/>
            <w:vAlign w:val="bottom"/>
            <w:gridSpan w:val="3"/>
          </w:tcPr>
          <w:p>
            <w:pPr>
              <w:jc w:val="right"/>
              <w:ind w:right="432"/>
              <w:spacing w:after="0"/>
              <w:rPr>
                <w:sz w:val="20"/>
                <w:szCs w:val="20"/>
                <w:color w:val="auto"/>
              </w:rPr>
            </w:pPr>
            <w:r>
              <w:rPr>
                <w:rFonts w:ascii="Arial" w:cs="Arial" w:eastAsia="Arial" w:hAnsi="Arial"/>
                <w:sz w:val="18"/>
                <w:szCs w:val="18"/>
                <w:color w:val="auto"/>
              </w:rPr>
              <w:t>28</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MN-029</w:t>
            </w:r>
          </w:p>
        </w:tc>
        <w:tc>
          <w:tcPr>
            <w:tcW w:w="3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Solid tumors</w:t>
            </w:r>
          </w:p>
        </w:tc>
        <w:tc>
          <w:tcPr>
            <w:tcW w:w="29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122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34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MN-305</w:t>
            </w:r>
          </w:p>
        </w:tc>
        <w:tc>
          <w:tcPr>
            <w:tcW w:w="3720" w:type="dxa"/>
            <w:vAlign w:val="bottom"/>
            <w:gridSpan w:val="2"/>
          </w:tcPr>
          <w:p>
            <w:pPr>
              <w:ind w:left="220"/>
              <w:spacing w:after="0"/>
              <w:rPr>
                <w:sz w:val="20"/>
                <w:szCs w:val="20"/>
                <w:color w:val="auto"/>
              </w:rPr>
            </w:pPr>
            <w:r>
              <w:rPr>
                <w:rFonts w:ascii="Arial" w:cs="Arial" w:eastAsia="Arial" w:hAnsi="Arial"/>
                <w:sz w:val="18"/>
                <w:szCs w:val="18"/>
                <w:color w:val="auto"/>
              </w:rPr>
              <w:t>Generalized Anxiety Disorder/insomnia</w:t>
            </w:r>
          </w:p>
        </w:tc>
        <w:tc>
          <w:tcPr>
            <w:tcW w:w="2960" w:type="dxa"/>
            <w:vAlign w:val="bottom"/>
            <w:gridSpan w:val="4"/>
          </w:tcPr>
          <w:p>
            <w:pPr>
              <w:jc w:val="right"/>
              <w:ind w:right="280"/>
              <w:spacing w:after="0"/>
              <w:rPr>
                <w:sz w:val="20"/>
                <w:szCs w:val="20"/>
                <w:color w:val="auto"/>
              </w:rPr>
            </w:pPr>
            <w:r>
              <w:rPr>
                <w:rFonts w:ascii="Arial" w:cs="Arial" w:eastAsia="Arial" w:hAnsi="Arial"/>
                <w:sz w:val="18"/>
                <w:szCs w:val="18"/>
                <w:color w:val="auto"/>
              </w:rPr>
              <w:t>3</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2</w:t>
            </w:r>
          </w:p>
        </w:tc>
        <w:tc>
          <w:tcPr>
            <w:tcW w:w="1220" w:type="dxa"/>
            <w:vAlign w:val="bottom"/>
            <w:gridSpan w:val="3"/>
          </w:tcPr>
          <w:p>
            <w:pPr>
              <w:jc w:val="right"/>
              <w:ind w:right="432"/>
              <w:spacing w:after="0"/>
              <w:rPr>
                <w:sz w:val="20"/>
                <w:szCs w:val="20"/>
                <w:color w:val="auto"/>
              </w:rPr>
            </w:pPr>
            <w:r>
              <w:rPr>
                <w:rFonts w:ascii="Arial" w:cs="Arial" w:eastAsia="Arial" w:hAnsi="Arial"/>
                <w:sz w:val="18"/>
                <w:szCs w:val="18"/>
                <w:color w:val="auto"/>
              </w:rPr>
              <w:t>5</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MN-221</w:t>
            </w:r>
          </w:p>
        </w:tc>
        <w:tc>
          <w:tcPr>
            <w:tcW w:w="3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Preterm labor</w:t>
            </w:r>
          </w:p>
        </w:tc>
        <w:tc>
          <w:tcPr>
            <w:tcW w:w="1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MN-246</w:t>
            </w:r>
          </w:p>
        </w:tc>
        <w:tc>
          <w:tcPr>
            <w:tcW w:w="3720" w:type="dxa"/>
            <w:vAlign w:val="bottom"/>
            <w:gridSpan w:val="2"/>
          </w:tcPr>
          <w:p>
            <w:pPr>
              <w:ind w:left="220"/>
              <w:spacing w:after="0"/>
              <w:rPr>
                <w:sz w:val="20"/>
                <w:szCs w:val="20"/>
                <w:color w:val="auto"/>
              </w:rPr>
            </w:pPr>
            <w:r>
              <w:rPr>
                <w:rFonts w:ascii="Arial" w:cs="Arial" w:eastAsia="Arial" w:hAnsi="Arial"/>
                <w:sz w:val="18"/>
                <w:szCs w:val="18"/>
                <w:color w:val="auto"/>
              </w:rPr>
              <w:t>Urinary incontinence</w:t>
            </w:r>
          </w:p>
        </w:tc>
        <w:tc>
          <w:tcPr>
            <w:tcW w:w="2960" w:type="dxa"/>
            <w:vAlign w:val="bottom"/>
            <w:gridSpan w:val="4"/>
          </w:tcPr>
          <w:p>
            <w:pPr>
              <w:jc w:val="right"/>
              <w:ind w:right="220"/>
              <w:spacing w:after="0"/>
              <w:rPr>
                <w:sz w:val="20"/>
                <w:szCs w:val="20"/>
                <w:color w:val="auto"/>
              </w:rPr>
            </w:pPr>
            <w:r>
              <w:rPr>
                <w:rFonts w:ascii="Arial" w:cs="Arial" w:eastAsia="Arial" w:hAnsi="Arial"/>
                <w:sz w:val="18"/>
                <w:szCs w:val="18"/>
                <w:color w:val="auto"/>
              </w:rPr>
              <w:t>(18)</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2</w:t>
            </w:r>
          </w:p>
        </w:tc>
        <w:tc>
          <w:tcPr>
            <w:tcW w:w="1220" w:type="dxa"/>
            <w:vAlign w:val="bottom"/>
            <w:gridSpan w:val="3"/>
          </w:tcPr>
          <w:p>
            <w:pPr>
              <w:jc w:val="right"/>
              <w:ind w:right="372"/>
              <w:spacing w:after="0"/>
              <w:rPr>
                <w:sz w:val="20"/>
                <w:szCs w:val="20"/>
                <w:color w:val="auto"/>
              </w:rPr>
            </w:pPr>
            <w:r>
              <w:rPr>
                <w:rFonts w:ascii="Arial" w:cs="Arial" w:eastAsia="Arial" w:hAnsi="Arial"/>
                <w:sz w:val="18"/>
                <w:szCs w:val="18"/>
                <w:color w:val="auto"/>
              </w:rPr>
              <w:t>(17)</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MN-447</w:t>
            </w:r>
          </w:p>
        </w:tc>
        <w:tc>
          <w:tcPr>
            <w:tcW w:w="3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Thrombotic disorders</w:t>
            </w:r>
          </w:p>
        </w:tc>
        <w:tc>
          <w:tcPr>
            <w:tcW w:w="1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MN-462</w:t>
            </w:r>
          </w:p>
        </w:tc>
        <w:tc>
          <w:tcPr>
            <w:tcW w:w="3720" w:type="dxa"/>
            <w:vAlign w:val="bottom"/>
            <w:gridSpan w:val="2"/>
          </w:tcPr>
          <w:p>
            <w:pPr>
              <w:ind w:left="220"/>
              <w:spacing w:after="0"/>
              <w:rPr>
                <w:sz w:val="20"/>
                <w:szCs w:val="20"/>
                <w:color w:val="auto"/>
              </w:rPr>
            </w:pPr>
            <w:r>
              <w:rPr>
                <w:rFonts w:ascii="Arial" w:cs="Arial" w:eastAsia="Arial" w:hAnsi="Arial"/>
                <w:sz w:val="18"/>
                <w:szCs w:val="18"/>
                <w:color w:val="auto"/>
              </w:rPr>
              <w:t>Thrombotic disorders</w:t>
            </w:r>
          </w:p>
        </w:tc>
        <w:tc>
          <w:tcPr>
            <w:tcW w:w="1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w:t>
            </w:r>
          </w:p>
        </w:tc>
        <w:tc>
          <w:tcPr>
            <w:tcW w:w="22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344</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404</w:t>
            </w:r>
          </w:p>
        </w:tc>
        <w:tc>
          <w:tcPr>
            <w:tcW w:w="122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650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5"/>
            <w:vMerge w:val="restart"/>
          </w:tcPr>
          <w:p>
            <w:pPr>
              <w:spacing w:after="0"/>
              <w:rPr>
                <w:sz w:val="20"/>
                <w:szCs w:val="20"/>
                <w:color w:val="auto"/>
              </w:rPr>
            </w:pPr>
            <w:r>
              <w:rPr>
                <w:rFonts w:ascii="Arial" w:cs="Arial" w:eastAsia="Arial" w:hAnsi="Arial"/>
                <w:sz w:val="18"/>
                <w:szCs w:val="18"/>
                <w:color w:val="auto"/>
              </w:rPr>
              <w:t>Total research and development</w:t>
            </w:r>
          </w:p>
        </w:tc>
        <w:tc>
          <w:tcPr>
            <w:tcW w:w="218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00" w:type="dxa"/>
            <w:vAlign w:val="bottom"/>
            <w:gridSpan w:val="5"/>
            <w:vMerge w:val="continue"/>
          </w:tcPr>
          <w:p>
            <w:pPr>
              <w:spacing w:after="0"/>
              <w:rPr>
                <w:sz w:val="19"/>
                <w:szCs w:val="19"/>
                <w:color w:val="auto"/>
              </w:rPr>
            </w:pPr>
          </w:p>
        </w:tc>
        <w:tc>
          <w:tcPr>
            <w:tcW w:w="2960" w:type="dxa"/>
            <w:vAlign w:val="bottom"/>
            <w:gridSpan w:val="4"/>
          </w:tcPr>
          <w:p>
            <w:pPr>
              <w:jc w:val="right"/>
              <w:ind w:right="280"/>
              <w:spacing w:after="0"/>
              <w:rPr>
                <w:sz w:val="20"/>
                <w:szCs w:val="20"/>
                <w:color w:val="auto"/>
              </w:rPr>
            </w:pPr>
            <w:r>
              <w:rPr>
                <w:rFonts w:ascii="Arial" w:cs="Arial" w:eastAsia="Arial" w:hAnsi="Arial"/>
                <w:sz w:val="18"/>
                <w:szCs w:val="18"/>
                <w:color w:val="auto"/>
              </w:rPr>
              <w:t>$ 2,305</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$ 2,746</w:t>
            </w:r>
          </w:p>
        </w:tc>
        <w:tc>
          <w:tcPr>
            <w:tcW w:w="1220" w:type="dxa"/>
            <w:vAlign w:val="bottom"/>
            <w:gridSpan w:val="3"/>
          </w:tcPr>
          <w:p>
            <w:pPr>
              <w:jc w:val="right"/>
              <w:ind w:right="43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5,254</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680" w:type="dxa"/>
            <w:vAlign w:val="bottom"/>
            <w:vMerge w:val="restart"/>
          </w:tcPr>
          <w:p>
            <w:pPr>
              <w:jc w:val="right"/>
              <w:ind w:right="1054"/>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As of the end of the second quarter of 2007, we determined to focus our resources on the development of our two prioritized product candidates, MN-221 for the treatment of acute exacerbations of asthma and MN-166 for the treatment of MS. However, following completion of the Phase II clinical trial of MN-166 ibudilast for the treatment of MS in the second quarter of 2008 and the December 2009 acquisition of AV411 ibudilast for the treatment of other CNS disorders, we are in the process of combining the two ibudilast-based development programs and we are pursuing discussions with potential partners to secure a strategic collaboration. As such, we do not plan to undertake any further significant clinical development of MN-166/AV411 until such time that we secure a strategic collaboration to advance the combined ibudilast-based development program. In addition, as of the third quarter of 2009, we determined to expand the product development program for MN-221 to evaluate MN-221 for the treatment of COPD exacerbations. We anticipate that our research and development expenses will increase with respect to MN-221 in future periods as we continue development and launch clinical trials in support of potential commercialization of this product candidate for the treatment of acute exacerbations of asthma and COPD exacerbations and decrease with respect to MN-166/AV411 in future periods as we will limit expenditures on this product candidate to those development activities deemed necessary, if any, to maximize its value for purposes of securing a partner for clinical development. However, at this time, due to the risks inherent in the clinical development process and given the early stage of our MN-221 product development programs, we are unable to estimate with any certainty the costs that we will incur in the continued development of such product candidate for potential commercialization.</w:t>
      </w:r>
    </w:p>
    <w:p>
      <w:pPr>
        <w:spacing w:after="0" w:line="12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current ongoing Phase II trial for MN-221 treating patients with acute exacerbations of asthma experienced slower than expected enrollment in the first half of 2010. We recently received approval for an amendment to the protocol that should facilitate enrollment in the emergency room, or ER, setting as it shortens the length of time the patient needs to stay in the ER, as well as gives the ER physician control over the standard-of-care that is given to the patient during the treatment period.</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will continue to limit our expenditures on the remainder of our existing product candidates to only those activities deemed necessary to maintain our license rights or maximize the value of such product candidates, if any, while pursuing a variety of initiatives to monetize such product candidates on appropriate terms. As a result, we expect that research and development expenses will decrease or otherwise remain low for the remainder of our existing product candidates in future periods.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general and administrative expenses primarily consist of salaries, benefits and consulting and professional fees related to our administrative, finance, human resources, business development, legal and information systems support functions. In addition, general and administrative expenses include facilities and insurance costs. General and administrative costs are expensed as incurred or accrued based on monitoring the status of the specified project, contractual factors such as milestones or retainer fees, services provided and invoices received. As actual costs become known to us, we adjust our accruals. To date, general and administrative accruals have not differed significantly from the actual costs incurred.</w:t>
      </w:r>
    </w:p>
    <w:p>
      <w:pPr>
        <w:spacing w:after="0" w:line="116"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We anticipate that our general and administrative expenses may increase in future periods if we are required to expand our infrastructure based on the success of our current prioritized product development programs and in raising capital to support those and other development programs or otherwise in connection with increased business development activities related to partnering, out-licensing or disposition of our product candidates.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and ARS Put</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As of June 30, 2010, our investment securities consisted of ARS, all of which had AAA ratings at the time of original purchase. ARS are generally long-term debt instruments that historically have provided liquidity through a “Dutch” auction process that resets the applicable interest rate at predetermined calendar intervals, typically seven, 28, 35 or 49 days. All of our ARS principally represent interests in government-guaranteed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student loans, insurance notes and portfolios of securities (primarily commercial paper). When our ARS were originally purchased, there was an active market for purchasing and selling ARS; therefore, we considered these investment securities to be available-for-sale.</w:t>
      </w:r>
    </w:p>
    <w:p>
      <w:pPr>
        <w:spacing w:after="0" w:line="132"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Due to continued negative conditions in the global credit markets, our ARS have continued to fail at auction with few to no trades in either the primary or the secondary markets. As such, with the adoption of Accounting Standards Codification, or ASC, 820, authoritative guidance for fair value measurements and disclosures (formerly Statement of Financial Accounting Standards, or SFAS, No. 157), we determine the fair value of our ARS portfolio primarily on Level 3 criteria, which results in our reliance on a discounted cash flow valuation model with assumptions related to interest rates, maturities and liquidity determined by us based on the credit quality of the security, the credit quality of the associated insurer, if applicable, the respective prospectus and the credit market outlook. Given the lack of a primary and secondary market for our ARS investment securities, we designated all of our ARS investment securities as trading securities at December 31, 2008. As a result, any additional increase or decrease in the fair value of our ARS investment securities is recorded as either a gain or an impairment charge, respectively, in our consolidated statement of operations. For the six months ended June 30, 2010, we recorded a net impairment charge on our investment securities portfolio of approximately $564,000 to decrease the overall carrying value of our investment securities. In addition, for the six months ended June 30, 2010, we recorded a loss recapture (a gain in our consolidated statement of operations) of approximately $1.6 million on the UBS ARS that had previously been marked down due to a decline in fair value, but, were redeemed at par value during the quarter. We have classified our investment securities covered by the ARS Rights Offer (as described below) as current assets given that they can be converted into cash starting June 30, 2010. Our remaining investment securities are considered long-term assets, as they cannot be readily converted to cash within 12 months from June 30, 2010.</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August 2008, UBS, the brokerage firm through which we purchased the majority of our ARS, entered into a settlement with the SEC, the New York Attorney General and other state agencies. Under the settlement, UBS issued to us ARS, which would allow us to sell to UBS our ARS held in accounts with UBS, or the ARS Rights Offer. Pursuant to the ARS Rights Offer, we received the right to sell to UBS the ARS held in accounts with UBS at par value at any time during the period beginning June 30, 2010 and ending July 2, 2012, or the ARS Put. As part of the settlement, UBS also offered to us a no net cost loan program, or ARS Loan, whereby we would be able to borrow up to 75 percent of the market value, as determined by UBS at its sole discretion, of our ARS that have been pledged as collateral at an interest cost that would not exceed the interest being paid on the underlying ARS investments. Under the terms of the ARS Loan, UBS may demand full or partial payment of the ARS Loan, at its sole option and without cause, at any time. If at any time UBS exercises its right to terminate the credit line agreement governing the ARS Loan, then UBS is required to provide, as soon as reasonably possible, alternative financing on substantially the same terms and conditions as those under the credit line agreement and the agreement will remain in full force and effect until such time as such alternative financing has been established. In January 2009, we were approved for the ARS Loan in the amount of $15.9 million and drew down the entire preapproved amount. In addition, in February 2009, we borrowed an additional $2.2 million under the ARS Loan, bringing the total amount outstanding under the ARS Loan to $18.1 million, following UBS’ decision to increase our availability under the ARS Loan. All cash received under the ARS Loan was invested in money market accounts. At June 30, 2010, the outstanding balance of the ARS Loan was $2.0 million. For the three and six month periods ended June 30, 2010, $12.3 million and $15.4 million, respectively, of our current investment securities were redeemed at par value, with the proceeds used to pay down the outstanding loan balance.</w:t>
      </w:r>
    </w:p>
    <w:p>
      <w:pPr>
        <w:spacing w:after="0" w:line="12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determined the fair market value of the ARS without consideration of the ARS Put because they are deemed separate contractual agreements under ASC 820.</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elected to measure the ARS Put under the fair value option of ASC 825, authoritative guidance on financial instruments (formerly SFAS No. 159), to mitigate the volatility in reported earnings due to the linkage of certain of our ARS and the ARS Put. Under ASC 825, any subsequent increase or decrease in the fair value of the ARS Put would be recorded as either a gain or an impairment charge, respectively, in our consolidated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statement of operations. The fair value of the ARS Put was also determined by a discounted cash flow valuation model with assumptions being made related to interest rate, maturity and liquidity. For the three and six month periods ended June 30, 2010, based on our discounted cash flow valuation, we recorded in our consolidated statement of operations an impairment charge of approximately $1.2 million and $1.0 million, respectively, due to the decrease in the carrying value of the ARS Put, which offset the net loss recapture (gain) we recorded of $1.3 million and $1.0 million for the three and six month periods ended June 30, 2010, respectively, in the consolidated statement of operations on the UBS ARS which were redeemed at par value and are linked with the ARS Put.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Loss/(Gain)</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To date, we have conducted most of our clinical trials in the United States. However, the Phase II clinical trial for MN-166 for the treatment of MS that completed in 2008 was conducted in Eastern Europe and the on-going Phase II clinical trial in MN-221 for the treatment of acute exacerbations of asthma, has a small number of clinical sites located in Canada, Australia and New Zealand in which certain of the invoices are denominated in the Canadian dollar, the Australian dollar and the New Zealand dollar, respectively. In addition, we have certain investor relation invoices denominated in Japanese Yen and we have certain manufacturing invoices denominated in British Pounds. At this time, we have not established a hedging program to mitigate our foreign exchange exposure. Foreign exchange gain/loss is based on the difference between the exchange rate at the settlement date and the exchange rate at the balance sheet date for the respective foreign currency invoice.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 consists of accretion related to the convertible notes and the amortization of debt issuance costs paid to third parties.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Interest expense consists of interest charged on our ARS Loan, interest charged on our long-term debt based on the effective interest method and amortization of debt discount.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income consists of interest earned on our cash, cash equivalents and ARS.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Our discussion and analysis of our financial condition and results of operations are based on our consolidated financial statements, which have been prepared in accordance with accounting principles generally accepted in the United States. The preparation of the consolidated financial statements requires us to make estimates and judgments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to be reasonable under the circumstances, the results of which form the basis for making judgments about the carrying values of assets and liabilities. Actual results may differ from these estimates under different assumptions or conditions. Our critical accounting policies and estimates are the same as those noted in our Annual Report on Form 10-K for the year ended December 31, 2009, as filed with the SEC on March 24, 2010.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2010 and 2009</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revenues for the three months ended June 30, 2010 or June 30, 2009.</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459" w:right="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Research and development expenses for the three months ended June 30, 2010 were $2.3 million, a decrease of $0.4 million when compared to $2.7 million for the three months ended June 30, 2009. This decrease in research and development expenses was primarily due to a decrease of $0.7 million in spending on our prioritized asset MN-221 for the treatment of acute exacerbations of asthma due to slowed enrollment in our on-going MN-221-CL-007 clinical trial set in the emergency department. This decrease was offset by $0.3 million on increased spending on the MN-166 monkey toxicity preclinical study completed in the quarter and as well as expenditures related to the AV411 opioid withdrawal clinical trial.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General and administrative expenses were $1.8 million for the three months ended June 30, 2010, a decrease of $0.4 million when compared to $2.2 million for the three months ended June 30, 2009. This decrease in general and administrative expenses was due primarily to a decrease in fees paid for legal and accounting services due to the completion of the Avigen transaction in 2009.</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Charge/Gain, net, on Investment Securities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Net gain on investment securities for the three months ended June 30, 2010 was $64,000, as compared to a net gain on investment securities of $114,000 for the three months ended June 30, 2009. The net gain in the current quarter was a result of the recapture of loss related to UBS ARS previously written down to fair market value, but, redeemed in the quarter at par value, offset by the corresponding impairment charge on the linked ARS Put, whereas the net gain in the prior year quarter was a result of an increase in fair market value of our ARS based on our discounted cash flow model.</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Exchange Loss/Gain</w:t>
      </w:r>
    </w:p>
    <w:p>
      <w:pPr>
        <w:spacing w:after="0" w:line="90"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Foreign exchange gain for the three months ended June 30, 2010 was $2,000, as compared to a foreign exchange loss of $18,000 for the three months ended June 30, 2009. The foreign exchange gain in the current quarter was a result of the revaluation of Japanese yen-denominated liabilities, whereas in the second quarter of 2009, the revaluation of the euro-denominated liability resulted in a foreign exchange loss.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Expense</w:t>
      </w:r>
    </w:p>
    <w:p>
      <w:pPr>
        <w:spacing w:after="0" w:line="90"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Other expense for the three months ended June 30, 2010 was $43,000, as compared to $0 for the three months ended June 30, 2009. Other expense relates to accretion on the convertible notes and amortization of debt issuance costs paid to third parties. We did not have the convertible notes or long-term debt in 2009.</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Interest expense for the three months ended June 30, 2010 was $406,000, as compared to $65,000 for the three months ended June 30, 2009. The increase in interest expense was due to the interest charged on the long-term debt using the effective interest method, offset by a slight decrease in the amount of interest charged on the ARS Loan. In 2009 interest expense was only comprised of interest charged on the ARS Loan.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Other income for the three months ended June 30, 2010 was $201,000, as compared to $249,000 for the three months ended June 30, 2009. The decrease is due to a decrease in interest income due to less yield earned on invested balances.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2010 and 2009</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revenues for the six months ended June 30, 2010 or June 30, 2009.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Research and development expenses for the six months ended June 30, 2010 were $5.3 million, a decrease of $0.5 million when compared to $5.8 million for the six months ended June 30, 2009. This decrease in research and development expenses was due to a decrease of $0.2 million in spending on our prioritized asset MN-221 for the treatment of acute exacerbations of asthma due to slowed enrollment in our on-going MN-221-CL-007 clinical trial set in the emergency department and a decrease of $0.3 million primarily in unallocated research and development expenses due to a reduction in headcount.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General and administrative expenses were $4.1 million for the six months ended June 30, 2010, a decrease of $0.3 million when compared to $4.4 million for the six months ended June 30, 2009. This decrease in general and administrative expenses was due primarily to a decrease in fees paid for legal and accounting services due to the completion of the Avigen transaction in 2009.</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Charge/Gain, net, on Investment Securities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Net gain on investment securities for the six months ended June 30, 2010 was $57,000, as compared to a net gain on investment securities of $141,000 for the six months ended June 30, 2009. The net gain for the six months ended June 30, 2010, was a result of the recapture of loss related to UBS ARS previously written down to fair market value, but, redeemed at par value, offset by the corresponding impairment charge on the linked ARS Put, whereas the net gain in the prior year quarter was a result of an increase in fair market value of our ARS based on our discounted cash flow model.</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Exchange Loss/Gain</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Foreign exchange loss for the six months ended June 30, 2010 was $2,000, as compared to a foreign exchange gain of $9,000 for the six months ended June 30, 2009. The foreign exchange loss was a result of the revaluation of Japanese yen-denominated liabilities in which the U.S. dollar continued to weaken against the Japanese yen over the first six months of 2010, whereas in the first six months of 2009, the revaluation of the outstanding euro-denominated invoice resulted in the foreign exchange gain due to the strengthening of the U.S. dollar against the euro at March 31, 2009 being greater than the weakening of the U.S dollar against the euro at June 30, 2009.</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Expense</w:t>
      </w:r>
    </w:p>
    <w:p>
      <w:pPr>
        <w:spacing w:after="0" w:line="90" w:lineRule="exact"/>
        <w:rPr>
          <w:sz w:val="20"/>
          <w:szCs w:val="20"/>
          <w:color w:val="auto"/>
        </w:rPr>
      </w:pPr>
    </w:p>
    <w:p>
      <w:pPr>
        <w:jc w:val="both"/>
        <w:ind w:right="160" w:firstLine="456"/>
        <w:spacing w:after="0" w:line="370" w:lineRule="auto"/>
        <w:rPr>
          <w:sz w:val="20"/>
          <w:szCs w:val="20"/>
          <w:color w:val="auto"/>
        </w:rPr>
      </w:pPr>
      <w:r>
        <w:rPr>
          <w:rFonts w:ascii="Arial" w:cs="Arial" w:eastAsia="Arial" w:hAnsi="Arial"/>
          <w:sz w:val="15"/>
          <w:szCs w:val="15"/>
          <w:color w:val="auto"/>
        </w:rPr>
        <w:t>Other expense for the six months ended June 30, 2010 was $75,000, as compared to $0 for the six months ended June 30, 2009. Other expense relates to accretion on the convertible notes and amortization of debt issuance costs paid to third parties. We did not have the convertible notes or long-term debt in 2009.</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Interest expense for the six months ended June 30, 2010 was $450,000, as compared to $108,000 for the six months ended June 30, 2009. The increase in interest expense was due to the interest charged on the long-term debt using the effective interest method, offset by a slight decrease in the amount of interest charged on the ARS Loan. In 2009 interest expense was only comprised of interest charged on the ARS Loan.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Other income for the six months ended June 30, 2010 was $362,000, as compared to $509,000 for the six months ended June 30, 2009. The decrease is due to a decrease in interest income due to less yield earned on invested balances.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Since our inception, we have primarily financed our operations through the private placement of our equity securities, the public sale of our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long-term debt, the conversion of convertible notes to our common stock and the exercise of founders’ warrants, net of treasury stock repurchases. Through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June 30, 2010, we received estimated proceeds of $201.6 million from the sale of equity securities, the exercise of warrants and stock options and employee stock</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purchases and proceeds of $1.8 million from the conversion of convertible notes into our common stock. In addition through June 30, 2010 we procured long-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 debt of $15.0 million in gross proceeds.</w:t>
      </w:r>
    </w:p>
    <w:p>
      <w:pPr>
        <w:spacing w:after="0" w:line="165"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At June 30, 2010, we had $34.8 million in cash, cash equivalents, investment securities—current and an ARS put, net of ARS loan, as compared to $28.4 million as of December 31, 2009, which increase of $6.4 million was primarily a result of the long-term debt, offset by our net loss. At June 30, 2010, $9.9 million of our ARS consisted primarily of government-guaranteed student loan securities and $1.8 million of our ARS consisted of private placement securities. None of the underlying collateral for our ARS consisted of subprime mortgages or collateralized debt obligations. Based on our discounted cash flow model, our current investment securities consisting of ARS, which were designated as trading securities, decreased in fair value by $301,000, for the three months ended June 30, 2010, which net the recapture of loss (gain) of $1.6 million which we recorded in our consolidated statement of operations to account for previously written down UBS ARS redeemed at par value during the quarter. In addition, we also recorded a loss of $1.2 million, for the three months ended June 30, 2010, on the linked ARS Put to decrease its carrying value.</w:t>
      </w:r>
    </w:p>
    <w:p>
      <w:pPr>
        <w:spacing w:after="0" w:line="11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fair value of our ARS and the ARS Put are based in part on management’s estimates and assumptions. In the event of actual market exchanges, if any, these assumptions may prove materially different from those assumed in our valuation models and amounts may be materially different than our estimates. For example, a reduction of the expected term to redemption by two years for our ARS portfolio yielded in our models an increase in valuation of our ARS of $0.7 million and an increase in expected term to redemption by two years for our ARS portfolio yielded in our models a decrease in valuation of our ARS of $0.7 million. Other factors that may impact the valuation of our ARS and the ARS Put include changes to the credit quality of the underlying assets, discount rates, counterparty risk and the condition of the overall credit market.</w:t>
      </w:r>
    </w:p>
    <w:p>
      <w:pPr>
        <w:spacing w:after="0" w:line="12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Based on our discounted cash flow model, our long-term investment securities, which were designated as trading securities, decreased in fair value and resulted in the recording of an impairment charge of approximately $27,000, for the three months ended June 30, 2010, in our consolidated statement of operations to decrease their carrying value.</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August 2008, UBS, the brokerage firm through which we purchased the majority of our ARS investments, entered into a settlement with the SEC, the New York Attorney General and other state agencies. Under the settlement, UBS issued to us the ARS Rights Offer. Pursuant to the ARS Rights Offer, we received the ARS Put. As part of the settlement, UBS also offered to us the ARS Loan, whereby we would be able to borrow up to 75 percent of the market value, as determined by UBS at its sole discretion, of our ARS that have been pledged as collateral at an interest cost that would not exceed the interest being paid on the underlying ARS investments. Under the ARS Loan program, UBS may demand full or partial payment of the ARS Loan, at its sole option and without cause, at any time. In January 2009, we were approved for the ARS Loan in the amount of $15.9 million and drew down the entire preapproved amount. In addition, in February 2009, we borrowed an additional $2.2 million under the ARS Loan, bringing the total amount outstanding under the ARS Loan to $18.1 million, following UBS’ decision to increase our availability under the ARS Loan. All cash received under the ARS Loan was invested in money market accounts.</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ARS Loan balance was $2.0 million at June 30, 2010. For the three months ended June 30, 2010, $12.3 million of our current investment securities were redeemed at par value, with the proceeds used to pay down the outstanding ARS Loan balance. On June 30, 2010, we exercised our ARS Put. The ARS Put was settled 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July 1, 2010, in which we received net proceeds of $9.5 million after paying off our ARS Loan and we recorded a gain of approximately $77,000. We invested the net proceeds received in money market funds. The line of credit associated with the ARS Loan was cancelled on July 2, 2010.</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cash used in operating activities increased to $10.3 million for the six months ended June 30, 2010 from $8.6 million for the six months ended June 30,</w:t>
      </w:r>
    </w:p>
    <w:p>
      <w:pPr>
        <w:spacing w:after="0" w:line="38" w:lineRule="exact"/>
        <w:rPr>
          <w:sz w:val="20"/>
          <w:szCs w:val="20"/>
          <w:color w:val="auto"/>
        </w:rPr>
      </w:pPr>
    </w:p>
    <w:p>
      <w:pPr>
        <w:ind w:right="280"/>
        <w:spacing w:after="0" w:line="312" w:lineRule="auto"/>
        <w:rPr>
          <w:sz w:val="20"/>
          <w:szCs w:val="20"/>
          <w:color w:val="auto"/>
        </w:rPr>
      </w:pPr>
      <w:r>
        <w:rPr>
          <w:rFonts w:ascii="Arial" w:cs="Arial" w:eastAsia="Arial" w:hAnsi="Arial"/>
          <w:sz w:val="15"/>
          <w:szCs w:val="15"/>
          <w:color w:val="auto"/>
        </w:rPr>
        <w:t>2009. The increase was primarily a result of the payment of legal and CRO invoices and accrued compensation expenses. Net cash provided by investing activities increased to $15.5 million for the six months ended June 30, 2010, as compared to $87,000 of net cash provided by investing activities for the six months ended June 30, 2009. The increase was primarily due to the par redemptions of current investment securities and the sale of one of our long-term investment securities at less than par. Net cash provided by financing activities was $0.9 million for the six months ended June 30, 2010, compared to net cash provided by financing activities of $17.9 million for the six months ended June 30, 2009. The decrease was primarily due to the partial repayment of the ARS Loan which was put into service in the first quarter of 2009, offset by proceeds received from the long-term debt and the conversation of convertible notes.</w:t>
      </w:r>
    </w:p>
    <w:p>
      <w:pPr>
        <w:spacing w:after="0" w:line="10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have consumed substantial amounts of capital since our inception. We do not have any material commitments for capital expenditures and our current cash, cash equivalents and the ARS Loan are our principal sources of liquidity as we cannot be assured of future conversion of the convertible notes into our common stock. We believe that our existing cash, cash equivalents and current investment securities, net of the ARS Loan, as of June 30, 2010, will be sufficient to fund our anticipated operating requirements, including our currently on-going research and development activities, and debt repayment in the event of default, at a minimum, through June 30, 2011. We anticipate that we will require additional funding in the future to fund our operations and intended research and development activities.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uses and capital requirements will depend on many factors, including following:</w:t>
      </w:r>
    </w:p>
    <w:p>
      <w:pPr>
        <w:spacing w:after="0" w:line="90" w:lineRule="exact"/>
        <w:rPr>
          <w:sz w:val="20"/>
          <w:szCs w:val="20"/>
          <w:color w:val="auto"/>
        </w:rPr>
      </w:pPr>
    </w:p>
    <w:p>
      <w:pPr>
        <w:ind w:left="900" w:right="14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progress of our clinical trials and other research and development activities, including expenses to support the clinical development of MN-221 for the treatment of acute exacerbations of asthma and milestone payments that may become payable to Kissei Pharmaceutical based on the progress of such product development program;</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and commercial production of our product candidates;</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establishing sales and marketing capabilities and commercialization activities if we obtain regulatory clearances to market our product candidates;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may in-license, acquire or invest in other indications, products, technologies and businesses.</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Until we can generate significant continuing revenues, we expect to satisfy our future cash needs through strategic collaborations, private or public sales of our securities, debt financings or licensing transactions, involving all or a portion of our product candidates, to the extent we are able to do so. We may not be successful in obtaining strategic collaboration agreements or in receiving milestone or royalty payments under such agreements. We cannot be certain that additional sources of capital will be available to us on acceptable terms, or at all. If sources of capital are not available, we may not be in a position to pursue present or future business opportunities that require financial commitments, and we may be required to delay, reduce the scope of or terminate one or more of our product development programs, curtail our efforts to acquire new product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candidates or relinquish some or even all rights to product candidates. Failure to obtain adequate financing also may adversely affect our ability to operate as a going concern.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primary exposure to market risk due to changes in interest rates relates primarily to the increase or decrease in the amount of interest income we can earn on our investment portfolio. The primary objective of our investment activities is to preserve principal while at the same time maximizing the income we receive without significantly increasing risk. Our risk associated with fluctuating interest rates is limited to our investments in interest rate sensitive financial instruments. Under our current policies,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 sensitive financial instruments due to their relatively short term nature. Declines in interest rates over time, however, will reduce our interest income, while increases in interest rates over time will increase our interest income.</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investment securities are trading securities and consist solely of ARS, which are debt instruments with long-term maturities in which the interest rates reset in short intervals through “Dutch” auctions by matching buyers and sellers. All of our ARS had AAA ratings at the time of purchase and principally represent interests in government-guaranteed student loans, insurance notes and portfolios of securities (primarily commercial paper). None of the underlying collateral for our ARS consisted of subprime mortgages or collateralized debt obligations. At June 30, 2010, $9.9 million of our ARS consisted primarily of government-guaranteed student loan securities and $1.8 million of our ARS consisted of private placement securities.</w:t>
      </w:r>
    </w:p>
    <w:p>
      <w:pPr>
        <w:spacing w:after="0" w:line="11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continued negative conditions in the global credit markets have prevented most investors, including ourselves, from liquidating certain holdings of ARS because the amount of securities submitted for sale has exceeded the amount of purchase orders for the securities. If there is insufficient demand for the securities at the time of the “Dutch” auction, the auction may not be completed and the interest rates may be reset to the maximum interest rate applicable to the specific securities being auctioned as per the official statement issued at the initial bond sale. When auctions for these securities fail, as they continue to in 2010, the investments may not be readily convertible to cash until a future auction of these investments is successful or they are redeemed or repurchased, sold through a secondary market or mature. For the three months ended June 30, 2010, $12.3 million of ARS were redeemed, all of which was utilized to pay down our ARS Loan.</w:t>
      </w:r>
    </w:p>
    <w:p>
      <w:pPr>
        <w:spacing w:after="0" w:line="147"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In the fourth quarter of 2008, we received and accepted the ARS Rights Offer from UBS. Pursuant to the ARS Rights Offer, we received the ARS Put. In January 2009, we were approved by UBS for the ARS Loan in the amount of $15.9 million and drew down the entire preapproved amount. In addition, in February 2009, we borrowed an additional $2.2 million under the ARS Loan, bringing the total amount outstanding under the ARS Loan to $18.1 million, following UBS’ decision to increase our availability under the ARS Loan. Under the ARS Loan program, UBS may demand full or partial payment of the ARS Loan, at its sole option and without cause, at any time. All cash received under the UBS Loan was invested in money market accounts. At June 30, 2010, our outstanding ARS Loan balance was $2.0 million. Because the interest that we pay on the ARS Loan will not exceed the interest that we receive on the ARS pledged as security for the ARS Loan and which are held in the collateral account, we do not believe that this arrangement subjects us to additional interest rate risk. In addition, we repaid the ARS Loan and the associated line of credit was cancelled on July 2, 2010.</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pursuant to the Securities Exchange Act of 1934, as amended, or the Exchange Act, is recorded, processed, summarized and reported within the time periods specified in the SEC’s rules and forms and that such information is accumulated and communicated to our management, including our Chief Executive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August 24, 2009, The Pennsylvania Avenue Funds, an Avigen stockholder, filed a complaint in Alameda County Superior Court alleging that Avigen’s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directors breached their fiduciary duties in connection with the proposed transaction with us. On October 15, 2009, The Pennsylvania Avenue Funds filed an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amended complaint adding us as a defendant. In the amended complaint, The Pennsylvania Avenue funds alleged, among other things, that we aided and abetted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the alleged breach of fiduciary duties by the Avigen directors. Avigen and The Pennsylvania Avenue Funds have signed a stipulation of settlement agreement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moved the court for preliminary approval. The Court heard oral arguments on the Motion for Preliminary Approval of Settlement and held a case management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conference on March 8, 2010, during which it raised a few issues regarding the settlement provisions. On April 6, 2010, the Superior Court for the State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California for the County of Alameda approved the preliminary settlement and set a final settlement hearing for June 24, 2010. Under the terms of the Stipulation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Settlement, Avigen agreed not to oppose a fee motion by counsel to The Pennsylvania Avenue Funds for fees and expenses in the amount not to exceed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$140,000 and a petition by The Pennsylvania Avenue Funds for an incentive award of up to $2,500. On June 24, 2010, the final order and judgment approving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final settlement of $140,000 for fees and expenses was received. The petition for the $2,500 incentive award was denied. Avigen’s insurance carrier paid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$140,000 balance due to The Pennsylvania Avenue Funds on July 2, 2010.</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Quarterly Report on Form 10-Q and our other public filings with the SEC. Other events that we do not currently anticipate or that we currently deem immaterial may also affect our results of operations and financial condition.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operating losses since our inception and expect that we will incur continued losses for the foreseeable future.</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are a development stage biopharmaceutical company with a limited operating history. We have incurred significant net losses since our inception. For the three months and six months ended June 30, 2010, we had a net loss of $4.3 million and $9.5 million, respectively, and our accumulated deficit was approximately $256.8 million. If we are successful in raising additional capital to support the expansion of our business, our annual net losses may increase over the next several years as we expand our infrastructure and incur significant costs related to the development of our product candidates.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expect our research and development expenses to increase in connection with ongoing and planned clinical trials for our prioritized product candidates, primarily related to MN-221 for the treatment of acute exacerbations of asthma and COPD exacerbations, and any other development activities that it may initiate. In addition, our general and administrative expenses may increase in future periods as a result of several factors, including our research and development activities, our business development activities and any expansions in our infrastructure related to such activities. Consequently, we expect to continue to incur significant and increasing operating losses for the foreseeable future. Because of the numerous risks and uncertainties associated with developing drug products, we are unable to predict the extent of any future losses or when we will become profitable, if at all.</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do not expect to generate any revenues from product sales in the foreseeable future, if ever.</w:t>
      </w:r>
    </w:p>
    <w:p>
      <w:pPr>
        <w:spacing w:after="0" w:line="5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To date, we have funded our operations primarily from sales of our securities and, to a lesser extent, debt financing. We have not received, and do not expect to receive for at least the next several years, if at all, any revenues from the commercialization of our product candidates. Our only source of revenues since inception has been from development management services rendered to Asahi Kasei Pharma Corporation and Argenes, Inc., both Japanese pharmaceutical companies, in connection with their clinical development of pharmaceutical product candidates. We completed our agreement with Asahi Kasei Pharma Corporation and terminated our agreement with Argenes, Inc.; therefore, we will not generate any further revenues from these agreements. We anticipate that, prior to our commercialization of a product candidate, out-licensing upfront and milestone payments will be our primary source of revenue. To obtain revenues from sales of our product candidates, we must succeed, either alone or with third parties, in developing, obtaining regulatory approval for, manufacturing and marketing drugs with commercial potential. We may never succeed in these activities, and we may not generate sufficient revenues to continue our business operations or achieve profitability.</w:t>
      </w:r>
    </w:p>
    <w:p>
      <w:pPr>
        <w:spacing w:after="0" w:line="20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are largely dependent on the success of our two prioritized product candidates, MN-221 and MN-166/AV411, and we cannot be certain that either of these product candidates will receive regulatory approval or be successfully commercialized.</w:t>
      </w:r>
    </w:p>
    <w:p>
      <w:pPr>
        <w:spacing w:after="0" w:line="5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We currently have no products for sale, and we cannot guarantee that we will ever have any drug products approved for sale. The research, testing, manufacturing, labeling, approval, selling, marketing and distribution of drug products are subject to extensive regulation by the U.S. Food and Drug Administration, or FDA, and comparable regulatory authorities in other countries. We are not permitted to market any of our product candidates in the United States until we submit and receive approval of a New Drug Application, or NDA, for a product candidate from the FDA or its foreign equivalent from a foreign regulatory authority. Obtaining FDA approval is a lengthy, expensive and uncertain process. We currently have two prioritized product candidates, MN-221 for the treatment of acute exacerbations of asthma and COPD exacerbations and MN-166/AV411, a combined ibudilast product development program covering MS and other CNS disorders and the success of our business currently depends on their successful development and commercialization. Neither of these product candidates has completed the clinical development process; therefore, we have not submitted an NDA or foreign equivalent or received marketing approval for either of these two prioritized product candidates. In addition, we are not currently planning to pursue any further significant clinical development of MN-166/AV411 until such time that we are able to secure a strategic collaboration to advance the combined development programs, which may delay or impede the process of completing clinical trials and seeking regulatory approval for this product candidate. We also cannot assure you that we will be able to secure such a strategic collaboration on attractive financial and other terms, or at all.</w:t>
      </w:r>
    </w:p>
    <w:p>
      <w:pPr>
        <w:spacing w:after="0" w:line="12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clinical development programs for MN-221 and MN-166/AV411 may not lead to commercial products for a number of reasons, including if we fail to obtain necessary approvals from the FDA or similar foreign regulatory authorities because our clinical trials fail to demonstrate to their satisfaction that these product candidates are safe and effective. We may also fail to obtain the necessary approvals if we have inadequate financial or other resources to advance our product candidates through the clinical trial process or are unable to secure a strategic collaboration or partnership with a third party. Any failure or delay in completing clinical trials or obtaining regulatory approval for either MN-221 or MN-166/AV411 in a timely manner would have a material and adverse impact on our business and our stock price.</w:t>
      </w:r>
    </w:p>
    <w:p>
      <w:pPr>
        <w:spacing w:after="0" w:line="225"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b w:val="1"/>
          <w:bCs w:val="1"/>
          <w:i w:val="1"/>
          <w:iCs w:val="1"/>
          <w:color w:val="auto"/>
        </w:rPr>
        <w:t>In order to commercialize a therapeutic drug successfully, a product candidate must receive regulatory approval after the successful completion of clinical trials, which are long, complex and costly, have a high risk of failure and can be delayed or terminated at any time.</w:t>
      </w:r>
    </w:p>
    <w:p>
      <w:pPr>
        <w:spacing w:after="0" w:line="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product candidates are subject to extensive government regulations related to development, clinical trials, manufacturing and commercialization. The process of obtaining FDA and other regulatory approvals is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costly, time-consuming, uncertain and subject to unanticipated delays. To receive regulatory approval for the commercial sale of any of our product candidates, we must conduct, at our own expense, adequate and well-controlled clinical trials in human patients to demonstrate the efficacy and safety of the product candidate. Clinical testing is expensive, takes many years and has an uncertain outcome. To date, we have obtained regulatory authorization to conduct clinical trials for eight of our product development programs. Investigational New Drug Applications, or INDs, were approved by the FDA and are active for seven of our product candidates. We also have obtained Clinical Trial Authorizations, or CTAs, for the ongoing Phase II clinical trial for MN-221 in Canada, Australia and New Zealand. Furthermore, through the acquisition of Avigen, we have assumed responsibility for AV411 clinical trials including one active IND for neuropathic pain and cross-reference and drug product support of the National Institute on Drug Abuse-funded opioid withdrawal investigator-initiated IND with Columbia University drug addiction clinical researchers.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It may take years to complete the clinical development necessary to commercialize a drug, and delays or failure can occur at any stage, which may result in our inability to market and sell any products derived from any of our product candidates that are ultimately approved by the FDA or foreign regulatory authorities. Our clinical trials may produce negative or inconclusive results, and we may decide, or regulators may require us, to conduct additional clinical and/or non-clinical testing. For example, in October 2007, we announced that our Phase II clinical trial of MN-305 for the treatment of insomnia failed to achieve statistical significance in its primary endpoint, and, as a result, we terminated development of MN-305 for the treatment of insomnia. Of the large number of drugs in development, only a small percentage result in the submission of an NDA to the FDA and even fewer are approved for commercialization.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promising results in earlier clinical trials. In addition, any delays in completing clinical trials or the rejection of data from a clinical trial by a regulatory authority will result in increased development costs and could have a material adverse effect on the development of the impacted product candidate.</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conduct of clinical trials for each of our product candidates, we face many risks, including the risks that:</w:t>
      </w:r>
    </w:p>
    <w:p>
      <w:pPr>
        <w:spacing w:after="0" w:line="90"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product candidate may not prove to be effective in treating the targeted indication;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patients may die or suffer other adverse effects for reasons that may or may not be related to the product candidate being tested;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trials;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FDA or other regulatory authorities may not agree with our proposed development plans or accept the results of completed clinical trials; and</w:t>
      </w:r>
    </w:p>
    <w:p>
      <w:pPr>
        <w:spacing w:after="0" w:line="113"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planned clinical trials and the data collected from such clinical trials may be deemed by the FDA or other regulatory authorities not to be sufficient, which would require additional development for the product candidate before it can be evaluated in late stage clinical trials or before the FDA will consider an application for marketing approval.</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do not complete clinical development of our product candidates successfully, we will be unable to obtain regulatory approval to market products and generate revenues from such product candidates. We may also fail to obtain the necessary regulatory approvals if we have inadequate financial or other resources to advance our product candidates through the clinical trial process. In addition, even if we believe that the preclinical and clinical data are sufficient to support regulatory approval for a product candidate, the FDA and foreign regulatory authorities may not ultimately approve such product candidate for commercial sale in any jurisdiction, which would limit our ability to generate revenues and adversely affect our business. In addition, even if our product candidates receive regulatory approval, they remain subject to ongoing FDA regulations, including obligations to conduct additional clinical trials, changes to the product label, new or revised regulatory requirements for manufacturing practices, written advisements to physicians, and/or a product recall or withdrawal.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Delays in the commencement or completion of clinical trials, or suspension or termination of our clinical trials, could result in increased costs to us and delay or limit our ability to obtain regulatory approval for our product candidates.</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we experience delays in the commencement or completion of our clinical trials, we could incur significantly higher product development costs and our ability to obtain regulatory approvals for our product candidates could be delayed or limited. The commencement and completion of clinical trials requires us to identify and maintain a sufficient number of study sites and enroll a sufficient number of patients at such sites. We do not know whether enrollment in our ongoing and planned clinical trials for our product candidates will be completed on time, or whether our additional planned and ongoing clinical trials for our product candidates will be completed on schedule, if at all. For example, in the first half of 2010 we experienced slower than anticipated enrollment of patients for our ongoing Phase II clinical trial evaluating the safety and efficacy of MN-221 in patients with severe, acute exacerbations of asthma for various reasons such as the length of time required to stay in the emergency room, or ER, during the treatment period. We have received approval on a protocol amendment which lessens the patient’s length of stay in the ER and gives the ER physician more control over standard-of-care during the patient’s treatment period. We anticipate with the protocol change and with asthma season upcoming that enrollment will accelerate and complete by early next year.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commencement and completion of clinical trials can be delayed for a variety of other reasons, including delays in:</w:t>
      </w:r>
    </w:p>
    <w:p>
      <w:pPr>
        <w:spacing w:after="0" w:line="90"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regulatory approval to commence or amend a clinical trial;</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reaching agreements on acceptable terms with prospective clinical research organizations, or CROs, and trial sites, the terms of which can be subject to extensive negotiation and may vary significantly among different CROs and trial sites;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recruiting and enrolling patients to participate in clinical trials;</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who may be prone to withdraw due to the treatment protocol, lack of efficacy, personal issues, or side effects from the therapy or who are lost to further follow-up;</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IRB approval or approval from foreign counterparts to conduct or amend a clinical trial at a prospective site.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a clinical trial may be delayed, suspended or terminated by us, the FDA or other regulatory authorities due to a number of factors, including:</w:t>
      </w:r>
    </w:p>
    <w:p>
      <w:pPr>
        <w:spacing w:after="0" w:line="113" w:lineRule="exact"/>
        <w:rPr>
          <w:sz w:val="20"/>
          <w:szCs w:val="20"/>
          <w:color w:val="auto"/>
        </w:rPr>
      </w:pPr>
    </w:p>
    <w:p>
      <w:pPr>
        <w:jc w:val="both"/>
        <w:ind w:left="900" w:right="140" w:hanging="446"/>
        <w:spacing w:after="0" w:line="306"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ongoing discussions with regulatory authorities regarding the scope or design of our clinical trials or requests by them for supplemental information with respect to our clinical trial results, which may result in the imposition of a clinical hold on the IND for any clinical trial, as well as the inability to resolve any outstanding concerns with the FDA so that a clinical hold already placed on the IND may be lifted and the clinical trial may begin;</w:t>
      </w:r>
    </w:p>
    <w:p>
      <w:pPr>
        <w:spacing w:after="0" w:line="25" w:lineRule="exact"/>
        <w:rPr>
          <w:rFonts w:ascii="Arial" w:cs="Arial" w:eastAsia="Arial" w:hAnsi="Arial"/>
          <w:sz w:val="16"/>
          <w:szCs w:val="16"/>
          <w:color w:val="auto"/>
        </w:rPr>
      </w:pPr>
    </w:p>
    <w:p>
      <w:pPr>
        <w:ind w:left="900" w:right="46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inspections of our own clinical trial operations, the operations of our CROs or our clinical trial sites by the FDA or other regulatory authorities, which may result in the imposition of a clinical hold or potentially prevent us from using some of the data generated from our clinical trials to support requests for regulatory approval of our product candidates;</w:t>
      </w:r>
    </w:p>
    <w:p>
      <w:pPr>
        <w:spacing w:after="0" w:line="59"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failure or inability, or the failure or inability of our CROs, clinical trial site staff or other third party service providers involved in the clinical trial, to conduct clinical trials in accordance with regulatory requirements or our clinical protocols;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than anticipated enrollment or retention rates of patients in clinical trials;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4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information suggesting unacceptable risk to subjects or unforeseen safety issues or any determination that a trial presents unacceptable health risks;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 and</w:t>
      </w:r>
    </w:p>
    <w:p>
      <w:pPr>
        <w:spacing w:after="0" w:line="90" w:lineRule="exact"/>
        <w:rPr>
          <w:rFonts w:ascii="Arial" w:cs="Arial" w:eastAsia="Arial" w:hAnsi="Arial"/>
          <w:sz w:val="18"/>
          <w:szCs w:val="18"/>
          <w:color w:val="auto"/>
        </w:rPr>
      </w:pPr>
    </w:p>
    <w:p>
      <w:pPr>
        <w:ind w:left="900" w:right="40" w:hanging="446"/>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lack of adequate funding to continue the clinical trial, including the incurrence of unforeseen costs due to enrollment delays, requirements to conduct additional trials and studies and increased expenses associated with the services of our CROs and other third parties.</w:t>
      </w:r>
    </w:p>
    <w:p>
      <w:pPr>
        <w:spacing w:after="0" w:line="8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If we experience delays in the completion of our clinical trials for a product candidate, the commercial prospects for such product candidate may be harmed, we may incur increased costs for development of such product candidate, and our ability to obtain regulatory approval for such product candidate could be delayed or limited. Many of the factors that cause or lead to delays in the commencement or completion of clinical trials may also ultimately lead to the denial of regulatory approval for a product candidate. In addition, any amendment to a clinical trial protocol may require us to resubmit our clinical trial protocols to IRBs or their foreign counterparts for reexamination, which may delay or otherwise impact the costs, timing or successful completion of a clinical trial.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could significantly harm our business.</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With the exception of AV411, we license the rights to develop and market our product candidates. Currently, we have licensed rights relating to eight compounds for the development of ten product candidates.</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are obligated to develop and commercialize these product candidates in accordance with mutually agreed upon terms and conditions. Our ability to satisfy some or all of the terms and conditions of our license agreements is dependent on numerous factors, including some factors that are outside of our control. Any of our license agreements may be terminated if we breach our obligations under the agreement materially and fail to cure any such breach within a specified period of time.</w:t>
      </w:r>
    </w:p>
    <w:p>
      <w:pPr>
        <w:spacing w:after="0" w:line="14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If any of our license agreements is terminated, we would have no further rights to develop and commercialize the product candidate that is the subject of the license. The termination of the license agreements related to either of our two prioritized product candidates would significantly and adversely affect our business. The termination of any of the remainder of our license agreements could materially and adversely affect our business.</w:t>
      </w:r>
    </w:p>
    <w:p>
      <w:pPr>
        <w:spacing w:after="0" w:line="188"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biotechnology and pharmaceutical industries are subject to rapid and intense technological change. We face, and will continue to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We cannot assure you that developments by others will not render our product candidates obsolete or noncompetitive. Many of our competitors have products that have been approved or are in advanced development and may succeed in developing drugs that are more effective, safer and more affordable or more easily administered than ours, or that achieve patent protection or commercialization sooner than our products. Our competitors may also develop alternative therapies that could further limit the market for any products that we are able to obtain approval for, if at all. In addition, new developments, including the development of other drug technologies and methods of preventing the incidence of disease, occur in the pharmaceutical industry at a rapid pace. These developments may render our product candidates obsolete or noncompetitive.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competitors may obtain regulatory approval of their products more rapidly than we are able to or may obtain patent protection or other intellectual property rights that limit our ability to develop or commercialize our product candidates. Our competitors may also develop drugs that are more effective and less costly than ours and may also be more successful than us in manufacturing and marketing their products. We also expect to face similar competition in our efforts to identify appropriate collaborators or partners to help develop or commercialize our product candidates.</w:t>
      </w:r>
    </w:p>
    <w:p>
      <w:pPr>
        <w:spacing w:after="0" w:line="194"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 if we are able to achieve such third-party arrangements.</w:t>
      </w:r>
    </w:p>
    <w:p>
      <w:pPr>
        <w:spacing w:after="0" w:line="5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 key aspect of our strategy is to seek collaborations with partners, such as large pharmaceutical companies, that are willing to conduct later-stage clinical trials and further develop and commercialize selected product candidates. Following completion of the Phase II clinical trial for MN-166 for the treatment of MS in the second quarter of 2008 and the acquisition of AV411 in December 2009, we do not plan to undertake any further significant clinical development activities for any of our product candidates other than MN-221 for the treatment of acute exacerbations of asthma and COPD exacerbations, other than those activities deemed necessary to maximize each product candidate’s value, until such time that we are successful in entering into a partnership or collaboration to further development of such product candidates. To date, we have not entered into any such collaborative arrangements, and we may not be able to enter into any collaborations or otherwise monetize these product candidates on acceptable terms, if at all.</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By entering into a strategic collaboration with a partner, we may rely on the partner for financial resources and for development, regulatory and commercialization expertise. Even if we are successful in entering into a strategic collaboration for one of our product candidates, our partner may fail to develop or effectively commercialize the product candidate because such partner:</w:t>
      </w:r>
    </w:p>
    <w:p>
      <w:pPr>
        <w:spacing w:after="0" w:line="59" w:lineRule="exact"/>
        <w:rPr>
          <w:sz w:val="20"/>
          <w:szCs w:val="20"/>
          <w:color w:val="auto"/>
        </w:rPr>
      </w:pPr>
    </w:p>
    <w:p>
      <w:pPr>
        <w:ind w:left="900" w:right="66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does not have sufficient resources or decides not to devote the necessary resources due to internal constraints such as limited cash or human resources;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decides to pursue a competitive potential product developed outside of the collaboration;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determines that the market opportunity is not attractive;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cannot manufacture the necessary materials in sufficient quantities from multiple sources or at a reasonable cost.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also face competition in our search for partners from other biotechnology and pharmaceutical companies worldwide, many of whom are larger and able to offer more attractive deals in terms of financial commitments, contribution of human resources, or development, manufacturing, regulatory or commercial expertise and support.</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If we are not successful in attracting partners and entering into collaborations on acceptable terms for these product candidates or otherwise monetizing these product candidates, we may not be able to complete development of or obtain regulatory approval for such product candidates. In such event, our ability to generate revenues from such products and achieve or sustain profitability would be significantly hindered.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obtain the capital necessary to fund our operations, we will be unable to develop and commercialize our product candidates.</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have consumed substantial amounts of capital since our inception. From our inception to June 30, 2010, we had an accumulated deficit of $256.8 million. Our cash, cash equivalents, investment securities- current and ARS put, net of the ARS Loan, totaled approximately $34.8 million at June 30, 2010. We intend to manage our product development programs such that our existing cash, cash equivalents and investment securities as of June 30, 2010 will be sufficient to meet our operating requirements and debt repayment, in the event of default, through at least June 30, 2011. We have based this estimate on assumptions that may prove to be wrong, and we could spend our available financial resources faster than we currently anticipate. Our future capital requirements will depend on many factors including:</w:t>
      </w:r>
    </w:p>
    <w:p>
      <w:pPr>
        <w:spacing w:after="0" w:line="63"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progress in, and the costs of, our ongoing and planned clinical trials and other research and development activities;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5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 and to complete acquisitions of additional product candidates;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associated with expanding our management, personnel, systems and facilities;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associated with the operations or wind-down of any business it may acquire;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90"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Until we can generate significant continuing revenues, we expect to satisfy our future cash needs through strategic collaborations, private or public sales of our securities, debt financings or licensing transactions, involving all or a portion of our product candidates, to the extent we are able to do so. We may not be successful in obtaining strategic collaboration agreements or in receiving milestone or royalty payments under such agreements. We cannot assure you that additional sources of capital will be available to us on acceptable terms, or at all. If sources of capital are not available, we may not be in a position to pursue present or future business opportunities that require financial commitments, and we may be required to terminate, delay or reduce the scope of one or more of our product development programs; delay establishing sales and marketing capabilities or other activities to commercialize a product candidate; curtail our efforts to acquire new product candidates; or relinquish some or even all rights to our product candidates.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terms under which we raise additional capital or debt financing may harm our business and may significantly dilute stockholders’ ownership interests.</w:t>
      </w:r>
    </w:p>
    <w:p>
      <w:pPr>
        <w:spacing w:after="0" w:line="1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raise additional funds through collaborations or licensing arrangements with third parties, we may need to relinquish some rights to our product candidates, including commercialization rights, which may hinder our ability to generate revenues and achieve or sustain profitability. If we raise additional funds by issuing equity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securities, including as part of a debt financing, stockholders may experience substantial dilution. Debt financing, if available, may involve significant cash payment obligations and restrictive covenants and other financial terms that may impede our ability to operate our business. Any debt financing or additional equity that we raise may contain terms that are not favorable to us or our stockholders.</w:t>
      </w:r>
    </w:p>
    <w:p>
      <w:pPr>
        <w:spacing w:after="0" w:line="22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Our loan and security agreement with Oxford requires interest payments and, beginning in March 2011, principal repayments, and the agreement contains various covenants that may restrict our business and financing activities.</w:t>
      </w:r>
    </w:p>
    <w:p>
      <w:pPr>
        <w:spacing w:after="0" w:line="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May 10, 2010, we entered into the Loan Agreement with Oxford governing the terms of our $15.0 million senior secured credit facility. We are required to pay interest on borrowings on a monthly basis through and including February 1, 2011. Beginning March 1, 2011 through maturity of the loan on August 1, 2013, we will be required to make payments of outstanding principal and interest in 30 equal monthly installments.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Loan Agreement contains covenants that restrict our ability to:</w:t>
      </w:r>
    </w:p>
    <w:p>
      <w:pPr>
        <w:spacing w:after="0" w:line="90"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certain merger and licensing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dispose of certain of our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certain fundamental corporate changes;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certain types of investments;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certain payments and distributions.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Loan Agreement also requires that on or before March 31, 2011 we must have either (i) entered into a collaboration, joint venture or partnership with a non-affiliate providing for up-front cash proceeds to us (with such proceeds received on or before March 31, 2011) of not less than $15.0 million from either or a combination of an upfront payment(s) or proceeds from the sale or conversion of our securities issued in connection therewith or (ii) received positive Phase IIB data on MN-221, as defined in a completed partnership or joint venture agreement relating to MN-221, or had a positive end-of-phase II meeting with the FDA and obtained the approval of the board of directors to proceed to Phase III with MN-221. These restrictions may limit our operational flexibility and our financing activities. Based on our current business plan, we may need to raise additional equity or other financing to fund our future cash requirements. However, due to the restrictive nature of these covenants, we may find it difficult to obtain additional financing on acceptable terms, if at all.</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Any failure to comply with the covenants contained in the Loan Agreement or failure to make interest and principal payments could result in an event of default. Such default would increase the rate of interest payable under the Loan Agreement and the lenders would be able to accelerate the maturity of our outstanding obligations. If our obligations were accelerated, we cannot assure you that we would be able to repay the amounts then outstanding, in which case the lenders could begin foreclosure proceedings against our pledged assets. Any such acceleration or resulting foreclosure proceedings would have a material adverse effect on our business,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stringent regulation of our product candidates, which could delay the development and commercialization of our product candidates.</w:t>
      </w:r>
    </w:p>
    <w:p>
      <w:pPr>
        <w:spacing w:after="0" w:line="1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our third-party manufacturers, service providers, suppliers and partners, and our product candidates are subject to stringent regulation by the FDA and other regulatory agencies in the United States and by comparable authorities in other countries. None of our product candidates can be marketed in the United States until it has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been approved by the FDA. None of our product candidates has been approved by the FDA to date, and we may never receive FDA approval for any of our product candidates. Obtaining FDA approval for a product takes many years of clinical development and requires substantial resources. Additionally, changes in regulatory requirements and guidance may occur or new information regarding the product candidate or the target indication may emerge, and we may need to perform additional, unanticipated non-clinical or clinical testing of our product candidates or amend clinical trial protocols to reflect these changes. Any additional unanticipated testing would add costs and could delay or result in the denial of regulatory approval for a product candidate. These regulatory requirements may limit the size of the market for the product or result in the incurrence of additional costs. Any delay or failure in obtaining required approvals could substantially reduce or negate our ability to generate revenues from the particular product candidate.</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both before and after regulatory approval, we, our partners and our product candidates are subject to numerous FDA requirements, including requirements related to testing, manufacturing, quality control, labeling, advertising, promotion, distribution and export. The FDA’s requirements may change and additional government regulations may be promulgated that could affect us, our partners and our product candidates. Given the number of recent high profile adverse safety events with certain drug products, the FDA may require, as a condition of approval, costly risk management programs, which may include safety surveillance, restricted distribution and use, patient education, enhanced labeling, special packaging or labeling, expedited reporting of certain adverse events, preapproval of promotional materials and restrictions on direct-to-consumer advertising. Furthermore, heightened Congressional scrutiny on the adequacy of the FDA’s drug approval process and the agency’s efforts to assure the safety of marketed drugs has resulted in the enactment of new legislation addressing drug safety issues, the Food and Drug Administration Amendments Act of 2007. This legislation provides the FDA with expanded authority over drug products after approval and the FDA’s exercise of this authority could result in delays or increased costs during the period of product development, clinical trials and regulatory review and approval, and increased costs to assure compliance with new post-approval regulatory requirements. Furthermore, we cannot predict the likelihood, nature or extent of government regulation that may arise from this or future legislation or administrative action, either in the United States or abroad.</w:t>
      </w:r>
    </w:p>
    <w:p>
      <w:pPr>
        <w:spacing w:after="0" w:line="12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order to market any of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beyond the requirements of the FDA and the time required to obtain approval in other countries might differ from that required to obtain FDA approval. The regulatory approval process in other countries may include all of the risks detailed above regarding FDA approval in the United States. Regulatory approval in one country, including FDA approval in the United States, does not ensure regulatory approval in another. In addition, a failure or delay in obtaining regulatory approval in one country may negatively impact the regulatory process in others. A product candidate may not be approved for all indications that we request, which would limit the uses of our product and adversely impact our potential royalties and product sales, and any approval that we receive may be subject to limitations on the indicated uses for which the product may be marketed or require costly, post-marketing follow-up studies.</w:t>
      </w:r>
    </w:p>
    <w:p>
      <w:pPr>
        <w:spacing w:after="0" w:line="12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If we fail to comply with applicable regulatory requirements in the United States or other countries, we may be subject to regulatory and other consequences, including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b w:val="1"/>
          <w:bCs w:val="1"/>
          <w:i w:val="1"/>
          <w:iCs w:val="1"/>
          <w:color w:val="auto"/>
        </w:rPr>
        <w:t>We rely on third parties to conduct our clinical trials, and we may incur additional development costs, experience delays in the commencement and completion of clinical trials, and be unable to obtain regulatory approval for or commercialize our product candidates on our anticipated timeline if these third parties do not successfully carry out their contractual duties or meet expected deadlines.</w:t>
      </w:r>
    </w:p>
    <w:p>
      <w:pPr>
        <w:spacing w:after="0" w:line="26"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rely extensively on CROs, medical institutions, clinical investigators, contract laboratories and other service providers to perform important functions related to the conduct of its clinical trials, the collection and analysis of data and the preparation of regulatory submissions. Although we design and manage our current clinical trials to ensure that each clinical trial is conducted in accordance with its investigational plan and protocol, we do not have the ability to conduct all aspects of our clinical trials directly for our product candidates.</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FDA requires us and our CROs to comply with regulations and standards, commonly referred to as good clinical practices, or GCPs, for conducting, monitoring, recording and reporting the results of clinical trials to ensure that the data and results are scientifically credible and accurate and that the trial subjects are adequately informed of the potential risks of participating in clinical trials. Our reliance on CROs does not relieve us of these responsibilities and requirements. The CROs, medical institutions, clinical investigators, contract laboratories and other service providers that we employ in the conduct of our clinical trials are not our employees, and we cannot control the amount or timing of resources that they devote to our product development programs. If any of these third parties fails to devote sufficient care, time and resources to our product development programs, if its performance is substandard, or if any third party is inspected by the FDA and found not to be in compliance with GCPs, it will delay the completion of the clinical trial in which they are involved and the progress of the affected development program. The CROs with which we contract for execution of our clinical trials play a significant role in the conduct of the clinical trials and the subsequent collection and analysis of data. Any failure of the CROs to meet their obligations could adversely affect clinical development of our product candidates. Moreover, the CROs, clinical investigators and other service providers may have relationships with other commercial entities, some of which may have competitive products under development or currently marketed, and our competitive position could be harmed if they assist our competitors. If any of these third parties does not successfully carry out their contractual duties or obligations or meet expected deadlines, or if the quality or accuracy of the clinical data is compromised for any reason, our clinical trials may be extended, delayed or terminated, and we may not be able to obtain regulatory approval for our product candidates. In addition, while we believe that there are numerous alternative sources to provide these services, we might not be able to enter into replacement arrangements without delays or additional expenditures if we were to seek such alternative sources.</w:t>
      </w:r>
    </w:p>
    <w:p>
      <w:pPr>
        <w:spacing w:after="0" w:line="20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We rely on third-party manufacturers to produce our product candidates, which may result in delays in our clinical trials and the commercialization of products, as well as increased costs.</w:t>
      </w:r>
    </w:p>
    <w:p>
      <w:pPr>
        <w:spacing w:after="0" w:line="5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no manufacturing facilities, and we do not intend to develop facilities for the manufacture of our product candidates for clinical trials or commercial purposes in the foreseeable future. We contract with third-party manufacturers to produce, in collaboration with us, sufficient quantities of our product candidates for clinical trials, and we plan to contract with third-party manufacturers to produce sufficient quantities of any product candidates approved by the FDA or other regulatory authorities for commercial sale. While we believe that there are competitive sources available to manufacture our product candidates, we may not be able to enter into arrangements without delays or additional expenditures. We cannot estimate these delays or costs with certainty.</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Reliance on third-party manufacturers limits our ability to control certain aspects of the manufacturing process and therefore exposes us to a variety of significant risks, including risks related to our ability to commercialize any products approved by regulatory authorities or conduct clinical trials, reliance on such third parties for regulatory compliance and quality assurance, and the refusal or inability of a third-party manufacturer to supply our requirements on a long-term basis. In addition, manufacturers of pharmaceutical products often encounter difficulties in production, particularly in scaling up initial production. These problems include difficulties with production costs and yields, quality control, including stability of the product candidate and</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quality assurance testing, shortages of qualified personnel and compliance with federal, state and foreign regulations. Also, our manufacturers may not perform as agreed. If our manufacturers were to encounter any of these difficulties, our ability to timely produce our product candidates for clinical trials and commercial sale may be interrupted, which could result in delayed clinical trials or receipt of regulatory approval and lost or delayed revenues.</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date, we have entered into an agreement with Hospira Worldwide, Inc. for the development and supply of finished product of MN-221 for the treatment of acute exacerbations of asthma utilizing Hospira’s proprietary ADD-Vantage drug delivery system that we intend to use in clinical trials and the commercial market. In addition to Hospira’s proprietary drug delivery system, we anticipate entering into a commercial supply agreement for finished product of MN-221 in standard vials. However, other than Hospira, we do not have agreements established regarding commercial supply of finished product of MN-221 in standard vials or for the active pharmaceutical ingredient, or API, or finished product for any of our product candidates. In particular, pursuant to our license agreement with Kissei Pharmaceutical Co. Ltd., Kissei Pharmaceutical has the exclusive right to manufacture the commercial supply of the API for MN-221. Therefore, we will need to successfully negotiate a commercial supply agreement with Kissei Pharmaceutical on commercially reasonable terms, or another third-party manufacturer in the event that we are unable to reach agreement with Kissei Pharmaceutical, in order to manufacture the API for MN-221 on a commercial scale if MN-221 is approved by the FDA or other regulatory authorities for commercial sale. We will also need to successfully negotiate a supply agreement with a third-party manufacturer on commercially reasonable terms in order to manufacture the finished product of MN-221 in standard vials. We may not be able to establish or maintain any commercial manufacturing and supply arrangements on commercially reasonable terms that we require for purposes of commercializing a product. Any failure by us to secure or maintain any such required commercial supply agreements could result in interruption of supply and lost or delayed revenues, which would adversely affect our business.</w:t>
      </w:r>
    </w:p>
    <w:p>
      <w:pPr>
        <w:spacing w:after="0" w:line="121"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Any problems or delays we experience in preparing for commercial-scale manufacturing of a product candidate may result in a delay in FDA or other regulatory approval of the product candidate or may impair our ability to manufacture commercial quantities, which would adversely affect our business. For example, our manufacturers will need to produce specific batches of a product candidate to demonstrate acceptable stability under various conditions and for commercially viable lengths of time. We and our third-party manufacturers will need to demonstrate to the FDA and other regulatory authorities this acceptable stability data for the product candidate, as well as validate methods and manufacturing processes, in order to receive regulatory approval to commercialize such product candidate.</w:t>
      </w:r>
    </w:p>
    <w:p>
      <w:pPr>
        <w:spacing w:after="0" w:line="144"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Our manufacturers are obligated to operate in accordance with FDA-mandated current good manufacturing practices, or cGMPs and, in some cases, International Convention on Harmonization, or ICH, standards. A failure of any of our third-party manufacturers to establish and follow cGMPs and/or ICH standards and to document their adherence to such practices may lead to significant delays in our ability to timely conduct and complete clinical trials, obtain regulatory approval of product candidates or launch of our products into the market. In addition, changing third-party manufacturers is difficult. For example, a change in third-party manufacturer for a particular product candidate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 candidates to new manufacturers or may possess intellectual property rights covering parts of these processes or procedures for which we may need to obtain a license. Failure by our third-party manufacturers or us to comply with applicable regulations could result in sanctions being imposed on us, including fines, injunctions, civil penalties, delays, suspension or withdrawal of regulatory approvals, seizures or recalls of products, operating restrictions and criminal prosecutions.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manufacture our product candidates in commercial quantities, which would prevent us from commercializing our product candidates.</w:t>
      </w:r>
    </w:p>
    <w:p>
      <w:pPr>
        <w:spacing w:after="0" w:line="12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To date, our product candidates have been manufactured in small quantities for preclinical studies and clinical trials. If any of our product candidates is approved by the FDA or comparable regulatory authorities in other countries for commercial sale, we will need to manufacture such product candidate in larger quantities. We may not be able to increase successfully the manufacturing capacity for any of our product candidates in a timely or economic manner, or at all. Significant scale-up of manufacturing may require additional validation studies, which the FDA must review and approve. If we are unable to increase successfully the manufacturing capacity for a product candidate, the regulatory approval or commercial launch of that product candidate may be delayed or there may be a shortage in supply. Our product candidates require precise, high quality manufacturing. Our failure to achieve and maintain these high manufacturing standards in collaboration with our third-party manufacturers,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201"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b w:val="1"/>
          <w:bCs w:val="1"/>
          <w:i w:val="1"/>
          <w:iCs w:val="1"/>
          <w:color w:val="auto"/>
        </w:rPr>
        <w:t>Materials necessary to manufacture our product candidates may not be available on commercially reasonable terms, or at all, which may delay the development and commercialization of our product candidates.</w:t>
      </w:r>
    </w:p>
    <w:p>
      <w:pPr>
        <w:spacing w:after="0" w:line="5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rely on the third-party manufacturers of our product candidates to purchase from third-party suppliers the materials necessary to produce the API and product candidates for our clinical trials, and we will rely on such manufacturers to purchase such materials to produce the API and finished product for any commercial distribution of our products if we obtain marketing approval. Suppliers may not sell these materials to our manufacturers at the time they need them in order to meet our required delivery schedule or on commercially reasonable terms, if at all.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testing of the affected product candidate would be delayed, which may significantly impact our ability to develop the product candidate. If we or our manufacturers are unable to purchase these materials after regulatory approval has been obtained for one of our products, the commercial launch of such product would be delayed or there would be a shortage in supply of such product, which would harm our ability to generate revenues from such product and achieve or sustain profitability.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Even if U.S. regulatory approval is obtained, the FDA may still impose significant restrictions on a product’s indicated uses or marketing or impose ongoing requirements for potentially costly post-approval studies, including additional research and development and clinical trials. Any of these restrictions or requirements could adversely affect our potential product revenues. For example, the label ultimately approved for MN-221 or MN-166/AV411, our other product candidates or any other product candidates that we may in-license or acquire, if any, may include a restriction on the terms of its use, or it may not include one or more of our intended indications.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product candidates will also be subject to ongoing FDA requirements for the labeling, packaging, storage, advertising, promotion, record-keeping and submission of safety and other post-market information on the drug. In addition, approved products, manufacturers and manufacturers’ facilities are subject to continual review and periodic inspections. If a regulatory agency discovers previously unknown problems with a product, such as adverse events of unanticipated severity or frequency or problems with the facility where the product is manufactured, a regulatory agency may impose restrictions on that product or us, including requiring withdrawal of the product from the market. If our product candidates fail to comply with applicable regulatory requirements, such as commercial good manufacturing practices, or cGMPs, a regulatory agency may:</w:t>
      </w:r>
    </w:p>
    <w:p>
      <w:pPr>
        <w:spacing w:after="0" w:line="39"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2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impose other civil or criminal penalties;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5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If one of our product candidates is approved for commercial sale by the FDA or other regulatory authorities, the degree of market acceptance of any approved product by physicians, healthcare professionals and third-party payors and our profitability and growth will depend on a number of factors, including:</w:t>
      </w:r>
    </w:p>
    <w:p>
      <w:pPr>
        <w:spacing w:after="0" w:line="4"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demonstration of efficacy;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cost and potential advantages of alternative treatments, including less expensive generic drugs;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product labeling or product insert required by the FDA or regulatory authority in other countries;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adequate third-party insurance coverage or reimbursement.</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any product candidate that we develop does not provide a treatment regimen that is as beneficial as, or is perceived as being as beneficial as, the current standard of care or otherwise does not provide patient benefit, that product candidate, if approved for commercial sale by the FDA or other regulatory authorities, likely will not achieve market acceptance. Our ability to effectively promote and sell any approved products will also depend on pricing and cost-effectiveness, including our ability to produce a product at a competitive price and our ability to obtain sufficient third-party coverage or reimbursement. If any product candidate is approved but does not achieve an adequate level of acceptance by physicians, patients and third-party payors, our ability to generate revenues from that product would be substantially reduced. In addition, our efforts to educate the medical community and third-party payors on the benefits of our product candidates may require significant resources and may never be successful.</w:t>
      </w:r>
    </w:p>
    <w:p>
      <w:pPr>
        <w:spacing w:after="0" w:line="19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If our products are not accepted by the market or if users of our products are unable to obtain adequate coverage of and reimbursement for our products from government and other third-party payors, our revenues and profitability will suffer.</w:t>
      </w:r>
    </w:p>
    <w:p>
      <w:pPr>
        <w:spacing w:after="0" w:line="5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ability to commercialize our products successfully will depend in significant part on pricing and cost effectiveness, including our ability to produce a product at a competitive price and our ability to obtain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appropriate coverage of and reimbursement for our products and related treatments are obtained from governmental authorities, private health insurers and other organizations, such as health maintenance organizations, or HMOs. Third-party payors are increasingly challenging the prices charged for medical products and services. We cannot provide any assurances that third-party payors will consider our products cost-effective or provide coverage of and reimbursement for our products, in whole or in part.</w:t>
      </w:r>
    </w:p>
    <w:p>
      <w:pPr>
        <w:spacing w:after="0" w:line="14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Uncertainty exists as to the coverage and reimbursement status of newly approved medical products and services and newly approved indications for existing products. Third-party payors may conclude that our products are less safe, less clinically effective or less cost-effective than existing products, and third-party payors may not approve our products for coverage and reimbursement. If we are unable to obtain adequate coverage of and reimbursement for our products from third-party payors, physicians may limit how much or under what circumstances they will prescribe or administer them. Such reduction or limitation in the use of our products could cause our sales to suffer. Even if third-party payors make reimbursement available, payment levels may not be sufficient to make the sale of our products profitable.</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Also, the trend towards managed health care in the United States and the concurrent growth of organizations such as HMOs, which could control or significantly influence the purchase of medical services and products, may result in inadequate coverage of and reimbursement for our products. Many third-party payors, including HMOs, are pursuing various ways to reduce pharmaceutical costs, including the use of formularies. The market for our products depends on access to such formularies, which are lists of medications for which third-party payors provide reimbursement. These formularies are increasingly restricted, and pharmaceutical companies face significant competition in their efforts to place their products on formularies of HMOs and other third-party payors. This increased competition has led to a downward pricing pressure in the industry. The cost containment measures that third-party payors are instituting could have a material adverse effect on our ability to operate profitably.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identify and license or acquire other product candidates, we will not be able to expand our business over the long term.</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Because we do not have internal discovery capabilities, our business over the long term is substantially dependent on our ability to license or acquire product candidates and further develop them for commercialization. The success of this strategy depends upon our ability to identify, select and acquire the right product candidates. We have limited experience identifying, negotiating and implementing economically viable product candidate acquisitions or licenses, which is a lengthy and complex process. Also, the market for licensing and acquiring product candidates is intensely competitive, and many of our competitors have greater resources than we do. We may not have the requisite capital resources to consummate product candidate acquisitions or licenses that we identify to fulfill our strategy.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product candidate acquisitions that we do complete involve numerous risks, including:</w:t>
      </w:r>
    </w:p>
    <w:p>
      <w:pPr>
        <w:spacing w:after="0" w:line="90"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integrating the development program for the acquired product candidate into our existing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of entering new markets or technologies and of receiving regulatory approval;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generate sufficient revenues to offset acquisition costs;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that may result from our having to perform unanticipated preclinical trials or other tests on the product candidate.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are not successful in identifying and licensing or acquiring other product candidates over the long term, we will not be able to grow our revenues with sales from new products beyond those revenues, if any, from any approved products derived from our existing product candidates, and we may fail to achieve or sustain profitability.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b w:val="1"/>
          <w:bCs w:val="1"/>
          <w:i w:val="1"/>
          <w:iCs w:val="1"/>
          <w:color w:val="auto"/>
        </w:rPr>
        <w:t>We are dependent on our management team, particularly Yuichi Iwaki, M.D., Ph.D., and if we are unable to attract, retain and motivate Dr. Iwaki and other key management and scientific staff, our product development programs may be delayed and we may be unable to develop successfully or commercialize our product candidates.</w:t>
      </w:r>
    </w:p>
    <w:p>
      <w:pPr>
        <w:spacing w:after="0" w:line="5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are dependent upon the continued services of our executive officers and other key personnel, particularly Yuichi Iwaki, M.D., Ph.D., a founder of the company and our President and Chief Executive Officer, who has been instrumental in our ability to in-license product candidates from Japanese pharmaceutical companies and secure financing from Japanese institutions. The relationships that certain of our key managers have cultivated with pharmaceutical companies from whom we license product candidates and to whom we expect to out-license product candidates make us particularly dependent upon their continued employment with us. We are also substantially dependent on the continued services of our existing clinical development personnel because of the highly technical nature of our product development programs. We are not presently aware of any plans of our executive officers or key personnel to retire or leave employment with the company. Each of our executive officers is party to an employment agreement that continues in effect until the earliest of termination of employment upon (i) consent of the parties, (ii) cause or other material breach of the agreement, (iii) death or permanent disability and (iv) three months’ written notice. Following termination of employment, these individuals may engage in other businesses that may compete with us.</w:t>
      </w:r>
    </w:p>
    <w:p>
      <w:pPr>
        <w:spacing w:after="0" w:line="12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If we acquire or license new product candidates, our success will depend on our ability to attract, retain and motivate highly qualified management and scientific personnel to manage the development of these new product candidates. In particular, our product development programs depend on our ability to attract and retain highly experienced clinical development and regulatory personnel. However, we face competition for experienced scientists and other technical and professional personnel from numerous companies and academic and other research institutions. Competition for qualified personnel is particularly intense in the San Diego, California area, where our corporate headquarters is located. Our short operating history and the uncertainties attendant to being a development-stage biopharmaceutical company could impair our ability to attract and retain personnel and impede the achievement of our development and commercialization objectives. In addition, we have scientific and clinical advisors who assist us in our product development and clinical strategies. These third parties are not our employees and may have commitments to, or contracts with, other entities that may limit their availability to us, or may have arrangements with other companies to assist in the development of products that may compete with our product candidates.</w:t>
      </w:r>
    </w:p>
    <w:p>
      <w:pPr>
        <w:spacing w:after="0" w:line="12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which would adversely affect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our sales and distribution capabilities, we will be unable to successfully commercialize our product candidates.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 date, we have not sold, marketed or distributed any pharmaceutical products. If we are successful in obtaining regulatory approvals for any of our product candidates or acquiring other approved products, we will need to establish sales, marketing and distribution capabilities on our own or with partners in order to commercialize an approved product. The acquisition or development of an effective sales and marketing infrastructure will require a significant amount of our financial resources and time and could negatively impact our commercialization efforts, including delay of a product launch. We may be unable to establish and manage a sufficient or effective sales force in a timely or cost-effective manner, if at all, and any sales force we do establish may not be capable of generating demand for our products, therefore hindering our ability to generate revenues and achieve or sustain profitability. In addition, if we are unable to develop internal sales capabilities, we will need to contract with third parties or establish a partnership to market and sell the product. If we are unable to establish adequate sales and marketing capabilities, whether independently or with third parties, we may not be able to generate any product revenues, may generate increased expenses and may never become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profitable. In addition, although we intend to establish strategic collaborations to market any products approved for sale by regulatory authorities outside of</w:t>
      </w:r>
    </w:p>
    <w:p>
      <w:pPr>
        <w:spacing w:after="0" w:line="3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United States, we may be required to market our product candidates outside of the United States directly if we are unable to establish such collaborations. In that event, we may need to build a corresponding international sales and marketing capability with technical expertise and with supporting distribution capabilities.</w:t>
      </w:r>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may need to change our business practices to comply with health care fraud and abuse regulations, and our failure to comply with such laws could adversely affect our business, financial condition and results of operations.</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market one or more of our product candidates, our operations will be directly, or indirectly through our customers, subject to various state and federal fraud and abuse laws, including the Anti-Kickback Statute and the False Claims Act, as amended. These laws may impact any proposed sales, marketing and education programs as well as other aspects of our operations.</w:t>
      </w:r>
    </w:p>
    <w:p>
      <w:pPr>
        <w:spacing w:after="0" w:line="14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Anti-Kickback Statute prohibits persons from knowingly and willfully soliciting, offering, receiving or providing remuneration, directly or indirectly, in exchange for or to induce either the referral of an individual, or the furnishing or arranging for a good or service, for which payment may be made under a federal healthcare program such as the Medicare and Medicaid programs. Several courts have interpreted the statute’s intent requirement to mean that if any one purpose of an arrangement involving remuneration is to induce referrals of federal healthcare covered business, the statute has been violated. The Anti-Kickback Statute is broad and prohibits many arrangements and practices that are lawful in businesses outside of the healthcare industry. Recognizing that the Anti-Kickback Statute is broad and may technically prohibit many innocuous or beneficial arrangements, Congress authorized the U.S. Department of Health and Human Services, Office of Inspector General, or OIG, to issue a series of regulations, known as the “safe harbors in certain instances” to shield healthcare providers and other parties from prosecution under the Anti-Kickback Statute in certain instances. However, conduct and business arrangements that do not fully satisfy each applicable safe harbor may result in increased scrutiny by government enforcement authorities such as the OIG. Many states have also adopted laws similar to the federal Anti-Kickback Statute, some of which apply to the referral of patients for healthcare items or services reimbursed by any source, not only the Medicare and Medicaid programs.</w:t>
      </w:r>
    </w:p>
    <w:p>
      <w:pPr>
        <w:spacing w:after="0" w:line="12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federal False Claims Act prohibits persons from knowingly filing or causing to be filed a false claim to, or the knowing use of false statements to obtain payment from, the federal government. Suits filed under the False Claims Act can be brought by any individual on behalf of the government and such individuals may share in any amounts paid by the entity to the government in fines or settlement. The frequency of filing of such actions has increased significantly in recent years, causing greater numbers of healthcare companies to have to defend a False Claims Act action. Various states have also enacted laws modeled after the federal False Claims Act.</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addition to the laws described above, the Health Insurance Portability and Accountability Act of 1996, as amended, created two new federal crimes: healthcare fraud and false statements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and other applicable state and federal fraud and abuse laws, we may be subject to penalties, including civil and criminal penalties, damages, fines, exclusion from government healthcare programs, imprisonment and the curtailment or restructuring of our operations.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business and financial condition of pharmaceutical and biotechnology companies are affected by the efforts of governmental and third-party payers to contain or reduce the costs of health care. In the United States and in foreign jurisdictions, there have been, and we expect that there will continue to be, a number of legislative and regulatory proposals aimed at changing the health care system. For example, in some countries, pricing of prescription drugs is subject to government control, and we expect proposals to implement similar controls in the United States to continue. Another example of proposed reform that could affect our business is the current discussion of drug reimportation into the United States. In 2000, Congress directed the FDA to adopt regulations allowing the reimportation of approved drugs originally manufactured in the United States back into the United States from other countries where the drugs were sold at lower prices. Although the Secretary of Health and Human Services has refused to implement this directive, the House of Representatives passed a similar bill that does not require the Secretary of Health and Human Services to act in July 2003. The reimportation bills have not yet resulted in any new laws or regulations; however, these and other initiatives could decrease the price we or any potential collaborators receive for our product candidates if and when they are approved for sale, adversely affecting our future revenue growth and potential profitability. Moreover, the pendency or approval of such proposals could result in a decrease in our stock price or our ability to raise capital or to obtain strategic partnerships or licenses.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sued for product liability, which could result in substantial liabilities that exceed our available resources and damage our reputation.</w:t>
      </w:r>
    </w:p>
    <w:p>
      <w:pPr>
        <w:spacing w:after="0" w:line="113"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development and commercialization of drug products entails significant product liability risks. Product liability claims may arise from use of any of our product candidates in clinical trials and the commercial sale of any approved products. If we cannot successfully defend ourselves against these claims, we will incur substantial liabilities. Regardless of merit or eventual outcome, product liability claims may result in:</w:t>
      </w:r>
    </w:p>
    <w:p>
      <w:pPr>
        <w:spacing w:after="0" w:line="26"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termination of clinical trial sites or entire clinical trial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currently have insurance that covers our clinical trials. We believe our current insurance coverage is reasonably adequate at this time; however, our insurance coverage may not reimburse us or may not be sufficient to reimburse us for all expenses or losses we may suffer. In addition, we will need to increase and expand this coverage as we commence additional clinical trials, as well as larger scale clinical trials, and in the event that any of our product candidates is approved for commercial sale. This insurance may be prohibitively expensive or may not fully cover our potential liabilities. In addition, our inability to obtain sufficient insurance coverage at an acceptable cost or otherwise to protect against potential product liability claims could prevent or inhibit the regulatory approval or commercialization of products that we or one of our collaborators develop. Successful product liability claims could have a material adverse effect on our business and results of operations. Liability from such claims could exceed our total assets if we do not prevail in any lawsuit brought by a third party alleging that an injury was caused by one of our product candidates.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may need to increase the size of our organization, and we may encounter difficulties managing our growth, which could adversely affect our results of operations.</w:t>
      </w:r>
    </w:p>
    <w:p>
      <w:pPr>
        <w:spacing w:after="0" w:line="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of August 13, 2010, we had 22 full-time employees. We may need to continue to expand our managerial, operational, financial and other resources in order to manage and fund our operations and clinical trials, continue our development activities and commercialize our product candidates. Our management, personnel, systems and facilities currently in place may not be adequate to support this future growth. For example, we may hire additional personnel in clinical development, regulatory affairs and business development to further strengthen our core competencies or choose to develop sales, marketing and distribution capabilities for certain of our product candidates. Our need to effectively manage our operations, growth and product development programs requires that we:</w:t>
      </w:r>
    </w:p>
    <w:p>
      <w:pPr>
        <w:spacing w:after="0" w:line="35"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manage our internal development efforts effectively while carrying out our contractual obligations to licensors and other third parties;</w:t>
      </w:r>
    </w:p>
    <w:p>
      <w:pPr>
        <w:spacing w:after="0" w:line="113"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ensures that its consultants, CROs and other service providers successfully carry out their contractual obligations, provide high quality results and meet expected deadlines;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reporting systems and procedures.</w:t>
      </w:r>
    </w:p>
    <w:p>
      <w:pPr>
        <w:spacing w:after="0" w:line="17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We may be unable to successfully implement these tasks on a larger scale, which may impact our ability to timely achieve our development and commercialization goals, if at all.</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that our results of operations will fluctuate, which may make it difficult to predict our future performance from period to period.</w:t>
      </w:r>
    </w:p>
    <w:p>
      <w:pPr>
        <w:spacing w:after="0" w:line="11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51" w:lineRule="exact"/>
        <w:rPr>
          <w:sz w:val="20"/>
          <w:szCs w:val="20"/>
          <w:color w:val="auto"/>
        </w:rPr>
      </w:pPr>
    </w:p>
    <w:p>
      <w:pPr>
        <w:ind w:left="900" w:right="760" w:hanging="446"/>
        <w:spacing w:after="0" w:line="33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status of development of our product candidates and, in particular, the advancement or termination of activities related to our product development programs and the timing of any milestone payments payable under our licensing agreements;</w:t>
      </w:r>
    </w:p>
    <w:p>
      <w:pPr>
        <w:spacing w:after="0" w:line="4" w:lineRule="exact"/>
        <w:rPr>
          <w:rFonts w:ascii="Arial" w:cs="Arial" w:eastAsia="Arial" w:hAnsi="Arial"/>
          <w:sz w:val="16"/>
          <w:szCs w:val="16"/>
          <w:color w:val="auto"/>
        </w:rPr>
      </w:pPr>
    </w:p>
    <w:p>
      <w:pPr>
        <w:ind w:left="900" w:right="74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execution of other collaboration, licensing and similar arrangements and the timing of payments we may make or receive under these arrangements;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product development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 if at all;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research and development efforts;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of any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believe that quarterly or yearly comparisons of our financial results are not necessarily meaningful and should not be relied upon as indications of our future performance.</w:t>
      </w:r>
    </w:p>
    <w:p>
      <w:pPr>
        <w:spacing w:after="0" w:line="213"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Our management has broad discretion over the use of our cash, and we may not use our cash effectively, which could adversely affect our results of operations.</w:t>
      </w:r>
    </w:p>
    <w:p>
      <w:pPr>
        <w:spacing w:after="0" w:line="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management has significant flexibility in applying our cash resources and could use these resources for corporate purposes that do not increase our market value or in ways with which our stockholders may not agree.</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60"/>
          </w:cols>
          <w:pgMar w:left="240" w:top="459" w:right="3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may use our cash resources for corporate purposes that do not yield a significant return or any return at all for our stockholders, which may cause our stock price to decline.</w:t>
      </w:r>
    </w:p>
    <w:p>
      <w:pPr>
        <w:spacing w:after="0" w:line="21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5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a public company, we are required to comply with the Sarbanes-Oxley Act of 2002, as well as rules and regulations implemented by the SEC, The Nasdaq Stock Market, or Nasdaq, and the Osaka Securities Exchange, or OSE, and incur significant legal, accounting and other expenses as a result. These rules impose various requirements on public companies, including requiring the establishment and maintenance of effective disclosure and financial controls and appropriate corporate governance practices. Our management and other personnel have devoted and will continue to devote a substantial amount of time to these compliance initiatives. Moreover, these rules and regulations increase our legal and financial compliance costs and may make it more difficult and expensive for us to renew our director and officer liability insurance, and result in imposition of reduced policy limits and coverage.</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Sarbanes-Oxley Act requires that we maintain effective internal controls for financial reporting and disclosure controls and procedures. As a result, we are required to perform an evaluation of our internal control over financial reporting to allow management to report on the effectiveness of those controls, as required by Section 404 of the Sarbanes-Oxley Act. Our efforts to comply with Section 404 and related regulations have required, and continue to require, the commitment of significant financial and managerial resources. While we anticipate maintaining the integrity of our internal control over financial reporting and all other aspects of Section 404 applicable to us, we cannot be certain that a material weakness will not be identified when we test the effectiveness of our control systems in the future. If a material weakness is identified, we could be subject to sanctions or investigations by Nasdaq, the SEC, the OSE or other regulatory authorities, which would require additional financial and management resources, costly litigation or a loss of public confidence in our internal controls, which could have an adverse effect on the market price of our stock. As a smaller reporting company, our report regarding internal control over financial reporting for the year ended December 31, 2009 was not subject to attestation by our registered public accounting firm pursuant to temporary SEC rules. We are not subject to attestation on our report regarding internal control over financial reporting for the year ended December 31, 2010 for SEC reporting; however, it is required for OSE reporting.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Despite the implementation of security measures, our internal computer systems are vulnerable to damage from computer viruses, unauthorized access, natural disasters, terrorism, war and telecommunication and electrical failures. Any system failure, accident or security breach that causes interruptions in our operations could result in a material disruption of our drug development programs, including delays in our regulatory approval efforts and significantly increase our costs to recover or reproduce the data. To the extent that any disruption or security breach results in a loss or damage to our data or applications, or inappropriate disclosure of confidential or proprietary information, we may incur liability and the further development of our product candidates may be delayed.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all of the anticipated benefits of the combined clinical development programs based on ibudilast.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able to successfully secure a strategic collaboration to advance the combined ibudilast development programs. Following completion of the Phase II clinical trial of MN-166 for the treatment of MS in the second quarter of 2008 and the acquisition of AV411 in December 2009, we have not undertaken, nor do we plan to undertake, any further significant clinical development of MN-166/AV411 until such time that we secure a strategic collaboration to advance the combined clinical development of MN-166/AV411 ibudilast-based development program. We cannot assure you that we will be able to secure such a strategic collaboration or otherwise further advance, or recognize value from, a combined MN-166/AV411 clinical development program.</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There is the risk that our patents (both those owned by us and those in-licensed) may not provide a competitive advantage, including the risk that our patents expire before we obtain regulatory and marketing approval for one or more of our product candidates, particularly our in-licensed patents. Also, our competitors may develop products similar to ours using methods and technologies that are beyond the scope of our intellectual property rights. Composition of matter patents on APIs may provide protection for pharmaceutical products without regard to formulation, method of use, or other type of limitation. We do not have compound patent protection for the API in our MN-166/AV411 and MN-001 product candidates, although we do have patent protection for a particular crystalline polymorph of MN-001. As a result, competitors that obtain the requisite regulatory approval will be able to offer products with the same API as found in our MN-166/AV411 and MN-001 product candidates so long as such competitors do not infringe any methods of use, methods of manufacture, formulation or, in the case of MN-001, specific polymorph patents that we hold or have exclusive rights to through our licensors. For example, we currently rely on a method of use patent for MN-166, which covers the use of the API found in our MN-166 product candidate for the treatment of MS. We also have a method of use patent for AV411 for the treatment of neuropathic pain syndromes.</w:t>
      </w:r>
    </w:p>
    <w:p>
      <w:pPr>
        <w:spacing w:after="0" w:line="12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and prosecution of the applications. We have limited control, if any, over the amount or timing of resources that each licensor devotes on our behalf, and a licensor may not assign as great a priority to prosecution of these patent applications as we would if we were undertaking such prosecution ourselves. As a result of this lack of control and general uncertainties in the patent prosecution process, we cannot be sure that our licensed patents will be maintained and that any additional patents will ever mature from our licensed applications. Issued U.S. patents require the payment of maintenance fees to continue to be in force. We typically rely on our licensors to do this and their failure to do so could result in the forfeiture of patents not timely maintained. Many foreign patent offices also require the payment of periodic annuities to keep patents and patent applications in good standing. As we generally do not maintain control over the payment of annuities, we cannot be certain that our licensors will timely pay such annuities and that the granted patents and pending patent applications will not become abandoned. For example, certain annuities were not paid in a timely manner with respect to foreign patents licensed under MN-002 (the active metabolite of MN-001). In addition, our licensors may have selected a limited amount of foreign patent protection, and therefore applications have not been filed in, and foreign patents may not have been perfected in, all commercially significant countries.</w:t>
      </w:r>
    </w:p>
    <w:p>
      <w:pPr>
        <w:spacing w:after="0" w:line="12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patent protection of our product candidates and technology involves complex legal and factual questions. Most of our license agreements give us a right, but not an obligation, to enforce our patent rights. To the extent it is necessary or advantageous for any of our licensors’ cooperation in the enforcement of our patent rights, we cannot control the amount or timing of resources our licensors devote on our behalf or the priority they place on enforcing our patent rights. We may not be able to protect our intellectual property rights against third 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12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4"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obtain and maintain any required or desirable licenses to use certain technologies of third parties, which may be protected by patents;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90"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or our licensor might not have been the first to make the inventions covered by each of our pending patent applications or issued patents;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licensor might not have been the first to file patent applications for these inventions;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patents under which we hold rights may not provide us with a basis for maintaining market exclusivity for commercially viable products, may not provide us with any competitive advantages or may be challenged by third parties as invalid, not infringed or unenforceable under U.S. or foreign laws; or</w:t>
      </w:r>
    </w:p>
    <w:p>
      <w:pPr>
        <w:spacing w:after="0" w:line="59"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 in light of the continuing evolution of domestic and foreign patent laws.</w:t>
      </w:r>
    </w:p>
    <w:p>
      <w:pPr>
        <w:spacing w:after="0" w:line="21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we operate in the highly technical field of research and development of small molecule drugs,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our employees, consultants, outside scientific collaborators, sponsored researchers and other advisors,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Further, we have limited control, if any, over the protection of trade secrets developed by our licensors.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20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There is significant litigation in our industry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 candidates, their methods of use, manufacturing or other technologies or activities infringe the intellectual property rights of such third parties. There are many patents relating to chemical compounds and methods of use. If our compounds or their methods of use or manufacture are found to infringe any such patents, we may have to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pay significant damages or seek licenses under such patents. We have not conducted comprehensive searches for unexpired patents issued to third parties relating to our product candidates. Consequently, no assurance can be given that unexpired, third-party patents containing claims covering our product candidates, their methods of use or manufacture do not exist. Moreover, because some patent applications in the United States may be maintained in secrecy until the patents are issued, and because patent applications in the United States and many foreign jurisdictions are typically not published until 18 months after filing, we cannot be certain that others have not filed patent applications that will mature into issued patents that relate to our current or future product candidates and which could have a material effect in developing and commercializing one or more of our product candidates. The owner of a patent that is arguably infringed can bring a civil action seeking to enjoin an accused infringer from importing, making, marketing, distributing, using or selling an infringing product. We may need to resort to litigation to enforce our intellectual property rights or to seek a declaratory judgment concerning the scope, validity or enforceability of third-party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43" w:lineRule="exact"/>
        <w:rPr>
          <w:sz w:val="20"/>
          <w:szCs w:val="20"/>
          <w:color w:val="auto"/>
        </w:rPr>
      </w:pPr>
    </w:p>
    <w:p>
      <w:pPr>
        <w:ind w:left="900" w:right="4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payment of actual damages, royalties, lost profits, potential enhanced damages and attorneys’ fees, if a case against us is determined by a judge to be exceptional;</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our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having to enter into license arrangements that may not be available on reasonable or commercially acceptable terms;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cost and expense, as well as distraction of our management from our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we could lose our ability to develop and commercialize current or future product candidates.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Investment in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our shares at a profit or at all.</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Despite the listing of our common stock on the Nasdaq Global Market and the Hercules Market of the Osaka Securities Exchange in Japan, trading volume in our securities has been light and an active trading market may not develop for our common stock. In June 2010, our average trading volume was approximately 2,400 shares per day on the Nasdaq and approximately 10,600 shares per day on the Hercules Market of the Osaka Stock Exchange.</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market prices for securities of biopharmaceutical and biotechnology companies, and early-stage drug discovery and development companies like us in particular, have historically been highly volatile and may continue to be highly volatile in the future. For example, since the date of our initial public offering in Japan 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February 4, 2005 through June 30, 2010, our common stock has traded as high as approximately $42.00 and as low as approximately $1.40. The following factors, in addition to other risk factors described in this section, may have a significant impact on the market price of our common stock:</w:t>
      </w:r>
    </w:p>
    <w:p>
      <w:pPr>
        <w:spacing w:after="0" w:line="4" w:lineRule="exact"/>
        <w:rPr>
          <w:sz w:val="20"/>
          <w:szCs w:val="20"/>
          <w:color w:val="auto"/>
        </w:rPr>
      </w:pPr>
    </w:p>
    <w:p>
      <w:pPr>
        <w:ind w:left="900" w:right="42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development status of our product candidates, including clinical trial results and determinations by regulatory authorities with respect to our product candidates, and particularly our prioritized product candidates;</w:t>
      </w:r>
    </w:p>
    <w:p>
      <w:pPr>
        <w:spacing w:after="0" w:line="50" w:lineRule="exact"/>
        <w:rPr>
          <w:rFonts w:ascii="Arial" w:cs="Arial" w:eastAsia="Arial" w:hAnsi="Arial"/>
          <w:sz w:val="18"/>
          <w:szCs w:val="18"/>
          <w:color w:val="auto"/>
        </w:rPr>
      </w:pPr>
    </w:p>
    <w:p>
      <w:pPr>
        <w:ind w:left="900" w:right="106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initiation, termination, or reduction in the scope of any collaboration arrangements or any disputes or developments regarding such collaborations;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FDA or foreign regulatory actions, including failure to receive regulatory approval for any of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or other material events by us or our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potential delisting of our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or failure to meet, securities analysts’ or investors’ expectations of our financial performance;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discussions of our business, management, products, financial performance, prospects or stock price by the financial and scientific press and online investor communities;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public concern as to, and legislative action with respect to, the pricing and availability of prescription drugs or the safety of drugs and drug delivery techniques;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in foreign countries.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Broad market and industry factors, as well as economic and political factors, also may materially adversely affect the market price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securities class action litigation that could divert management’s attention and harm our business.</w:t>
      </w:r>
    </w:p>
    <w:p>
      <w:pPr>
        <w:spacing w:after="0" w:line="90"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The stock markets have from time to time experienced significant price and volume fluctuations that have affected the market prices for the common stock of biotechnology and biopharmaceutical companies. These broad market fluctuations may cause the market price of our common stock to decline. 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We may become involved in this type of litigation in the future. Litigation often is expensive and diverts management’s attention and resources, which could adversely affect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 and may make it difficult to sell your shares.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Sales of substantial amounts of our common stock, or the availability of such common stock for sale, could adversely affect the prevailing market prices for our common stock. If this occurs and continues, it could impair our ability to raise additional capital through the sale of securities should we desire to do so. In addition, it may be difficult, or even impossible, to find a buyer for shares of our common stock.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have also registered all common stock that we may issue under our current employee benefits plans. As a result, these shares can be freely sold in the public market upon issuance, subject to the terms of the underlying agreements governing the grants and the restrictions of the securities laws. In addition, our directors and officers may in the future establish programmed selling plans under Rule 10b5-1 of the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22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stockholder rights plan and anti-takeover provisions in our charter documents and under Delaware law may make an acquisition of us more complicated and the removal and replacement of our directors and management more difficult.</w:t>
      </w:r>
    </w:p>
    <w:p>
      <w:pPr>
        <w:spacing w:after="0" w:line="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62" w:lineRule="exact"/>
        <w:rPr>
          <w:sz w:val="20"/>
          <w:szCs w:val="20"/>
          <w:color w:val="auto"/>
        </w:rPr>
      </w:pPr>
    </w:p>
    <w:p>
      <w:pPr>
        <w:ind w:left="900" w:right="10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90" w:lineRule="exact"/>
        <w:rPr>
          <w:rFonts w:ascii="Arial" w:cs="Arial" w:eastAsia="Arial" w:hAnsi="Arial"/>
          <w:sz w:val="18"/>
          <w:szCs w:val="18"/>
          <w:color w:val="auto"/>
        </w:rPr>
      </w:pPr>
    </w:p>
    <w:p>
      <w:pPr>
        <w:ind w:left="900" w:right="58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prohibit our stockholders from making certain changes to our Restated Certificate of Incorporation or Amended and Restated Bylaws except with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xml:space="preserve"> percent stockholder approval;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Effective November 24, 2006, our board of directors adopted our stockholder rights plan. On March 30, 2007, our stockholders ratified the plan at our annual meeting of stockholders. Under the plan, we declared a dividend distribution of one “right” for each outstanding share of our common stock to stockholders of record at the close of business on December 11, 2006. Since that time, we have issued one right with each newly issued share of common stock. Each right, when exercisable, entitles the holder to purchase from us one one-thousandth (1/1,000) of a share of our Series A Preferred Stock at a purchase price of $77.00, subject to adjustment. In general, under the plan, if a person or affiliated group acquires beneficial ownership of 20 percent or more of our shares of common stock, then each right (other than those held by such acquiring person or affiliated group) will entitle the holder to receive, upon exercise, shares of common stock (or, under certain circumstances, a combination of securities or other assets) having a value of twice the underlying purchase price of the right. In addition, if following the announcement of the existence of an acquiring person or affiliated group we are involved in a business combination or sale of 50 percent or more of our assets or earning power, each right (other than those held by the acquiring person or affiliated group) will entitle the holder to receive, upon exercise, shares of common stock of the acquiring entity having a value of twice the underlying purchase price of the right. The board of directors also has the right, after an acquiring person or affiliated group is identified, to cause each right to be exchanged for common stock or substitute consideration. We may redeem the rights at a price of $0.001 per right prior to the identification of an acquiring person or affiliated group. These rights expired on the date of our 2010 annual meeting.</w:t>
      </w:r>
    </w:p>
    <w:p>
      <w:pPr>
        <w:spacing w:after="0" w:line="12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also may be subject to provisions of the Delaware corporation law that, in general, prohibit any business combination with a beneficial owner of 15 percent or more of our common stock for three years unless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holder’s acquisition of our stock was approved in advance by our board of directors. Although we believe these provisions collectively provide for an opportunity to receive higher bids by requiring potential acquirers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any cash dividends in the foreseeable future.</w:t>
      </w:r>
    </w:p>
    <w:p>
      <w:pPr>
        <w:spacing w:after="0" w:line="90"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We have paid no cash dividends on any of our classes of capital stock to date, and we currently intend to retain our future earnings, if any, to fund the development and growth of our business. We do not anticipate paying any cash dividends on our common stock in the foreseeable future. As a result, capital appreciation, if any, of our common stock will be your sole source of gain for the foreseeable future.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ITEM 2.</w:t>
            </w:r>
          </w:p>
        </w:tc>
        <w:tc>
          <w:tcPr>
            <w:tcW w:w="10000" w:type="dxa"/>
            <w:vAlign w:val="bottom"/>
            <w:gridSpan w:val="3"/>
          </w:tcPr>
          <w:p>
            <w:pPr>
              <w:ind w:left="80"/>
              <w:spacing w:after="0"/>
              <w:rPr>
                <w:sz w:val="20"/>
                <w:szCs w:val="20"/>
                <w:color w:val="auto"/>
              </w:rPr>
            </w:pPr>
            <w:r>
              <w:rPr>
                <w:rFonts w:ascii="Arial" w:cs="Arial" w:eastAsia="Arial" w:hAnsi="Arial"/>
                <w:sz w:val="18"/>
                <w:szCs w:val="18"/>
                <w:b w:val="1"/>
                <w:bCs w:val="1"/>
                <w:color w:val="auto"/>
              </w:rPr>
              <w:t>UNREGISTERED SALES OF EQUITY SECURITIES AND USE OF PROCEEDS.</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None.</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ITEM 3.</w:t>
            </w:r>
          </w:p>
        </w:tc>
        <w:tc>
          <w:tcPr>
            <w:tcW w:w="10000" w:type="dxa"/>
            <w:vAlign w:val="bottom"/>
            <w:gridSpan w:val="3"/>
          </w:tcPr>
          <w:p>
            <w:pPr>
              <w:ind w:left="80"/>
              <w:spacing w:after="0"/>
              <w:rPr>
                <w:sz w:val="20"/>
                <w:szCs w:val="20"/>
                <w:color w:val="auto"/>
              </w:rPr>
            </w:pPr>
            <w:r>
              <w:rPr>
                <w:rFonts w:ascii="Arial" w:cs="Arial" w:eastAsia="Arial" w:hAnsi="Arial"/>
                <w:sz w:val="18"/>
                <w:szCs w:val="18"/>
                <w:b w:val="1"/>
                <w:bCs w:val="1"/>
                <w:color w:val="auto"/>
              </w:rPr>
              <w:t>DEFAULTS UPON SENIOR SECURITIES.</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None.</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ITEM 4.</w:t>
            </w:r>
          </w:p>
        </w:tc>
        <w:tc>
          <w:tcPr>
            <w:tcW w:w="10000" w:type="dxa"/>
            <w:vAlign w:val="bottom"/>
            <w:gridSpan w:val="3"/>
          </w:tcPr>
          <w:p>
            <w:pPr>
              <w:ind w:left="80"/>
              <w:spacing w:after="0"/>
              <w:rPr>
                <w:sz w:val="20"/>
                <w:szCs w:val="20"/>
                <w:color w:val="auto"/>
              </w:rPr>
            </w:pPr>
            <w:r>
              <w:rPr>
                <w:rFonts w:ascii="Arial" w:cs="Arial" w:eastAsia="Arial" w:hAnsi="Arial"/>
                <w:sz w:val="18"/>
                <w:szCs w:val="18"/>
                <w:b w:val="1"/>
                <w:bCs w:val="1"/>
                <w:color w:val="auto"/>
              </w:rPr>
              <w:t>(REMOVED AND RESERVED).</w:t>
            </w:r>
          </w:p>
        </w:tc>
        <w:tc>
          <w:tcPr>
            <w:tcW w:w="0" w:type="dxa"/>
            <w:vAlign w:val="bottom"/>
          </w:tcPr>
          <w:p>
            <w:pPr>
              <w:spacing w:after="0"/>
              <w:rPr>
                <w:sz w:val="1"/>
                <w:szCs w:val="1"/>
                <w:color w:val="auto"/>
              </w:rPr>
            </w:pPr>
          </w:p>
        </w:tc>
      </w:tr>
      <w:tr>
        <w:trPr>
          <w:trHeight w:val="500"/>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10000" w:type="dxa"/>
            <w:vAlign w:val="bottom"/>
            <w:gridSpan w:val="3"/>
          </w:tcPr>
          <w:p>
            <w:pPr>
              <w:ind w:left="80"/>
              <w:spacing w:after="0"/>
              <w:rPr>
                <w:sz w:val="20"/>
                <w:szCs w:val="20"/>
                <w:color w:val="auto"/>
              </w:rPr>
            </w:pPr>
            <w:r>
              <w:rPr>
                <w:rFonts w:ascii="Arial" w:cs="Arial" w:eastAsia="Arial" w:hAnsi="Arial"/>
                <w:sz w:val="18"/>
                <w:szCs w:val="18"/>
                <w:b w:val="1"/>
                <w:bCs w:val="1"/>
                <w:color w:val="auto"/>
              </w:rPr>
              <w:t>OTHER INFORMATION.</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None.</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000" w:type="dxa"/>
            <w:vAlign w:val="bottom"/>
            <w:gridSpan w:val="3"/>
          </w:tcPr>
          <w:p>
            <w:pPr>
              <w:ind w:left="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0"/>
        </w:trPr>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98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4.1(1)</w:t>
            </w:r>
          </w:p>
        </w:tc>
        <w:tc>
          <w:tcPr>
            <w:tcW w:w="46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Warrant dated May 10, 2010 issued to Oxford Finance Corporation</w:t>
            </w:r>
          </w:p>
        </w:tc>
        <w:tc>
          <w:tcPr>
            <w:tcW w:w="0" w:type="dxa"/>
            <w:vAlign w:val="bottom"/>
          </w:tcPr>
          <w:p>
            <w:pPr>
              <w:spacing w:after="0"/>
              <w:rPr>
                <w:sz w:val="1"/>
                <w:szCs w:val="1"/>
                <w:color w:val="auto"/>
              </w:rPr>
            </w:pPr>
          </w:p>
        </w:tc>
      </w:tr>
      <w:tr>
        <w:trPr>
          <w:trHeight w:val="316"/>
        </w:trPr>
        <w:tc>
          <w:tcPr>
            <w:tcW w:w="960" w:type="dxa"/>
            <w:vAlign w:val="bottom"/>
            <w:gridSpan w:val="3"/>
          </w:tcPr>
          <w:p>
            <w:pPr>
              <w:jc w:val="right"/>
              <w:ind w:right="440"/>
              <w:spacing w:after="0"/>
              <w:rPr>
                <w:sz w:val="20"/>
                <w:szCs w:val="20"/>
                <w:color w:val="auto"/>
              </w:rPr>
            </w:pPr>
            <w:r>
              <w:rPr>
                <w:rFonts w:ascii="Arial" w:cs="Arial" w:eastAsia="Arial" w:hAnsi="Arial"/>
                <w:sz w:val="18"/>
                <w:szCs w:val="18"/>
                <w:color w:val="auto"/>
                <w:w w:val="87"/>
              </w:rPr>
              <w:t>10.1(1)</w:t>
            </w:r>
          </w:p>
        </w:tc>
        <w:tc>
          <w:tcPr>
            <w:tcW w:w="20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Loan and Security Agreement dated May 10, 2010 by and among Registrant, Avigen, Inc. and Oxford Finance Corporation</w:t>
            </w:r>
          </w:p>
        </w:tc>
        <w:tc>
          <w:tcPr>
            <w:tcW w:w="0" w:type="dxa"/>
            <w:vAlign w:val="bottom"/>
          </w:tcPr>
          <w:p>
            <w:pPr>
              <w:spacing w:after="0"/>
              <w:rPr>
                <w:sz w:val="1"/>
                <w:szCs w:val="1"/>
                <w:color w:val="auto"/>
              </w:rPr>
            </w:pPr>
          </w:p>
        </w:tc>
      </w:tr>
      <w:tr>
        <w:trPr>
          <w:trHeight w:val="324"/>
        </w:trPr>
        <w:tc>
          <w:tcPr>
            <w:tcW w:w="960" w:type="dxa"/>
            <w:vAlign w:val="bottom"/>
            <w:gridSpan w:val="3"/>
          </w:tcPr>
          <w:p>
            <w:pPr>
              <w:jc w:val="right"/>
              <w:ind w:right="440"/>
              <w:spacing w:after="0"/>
              <w:rPr>
                <w:sz w:val="20"/>
                <w:szCs w:val="20"/>
                <w:color w:val="auto"/>
              </w:rPr>
            </w:pPr>
            <w:r>
              <w:rPr>
                <w:rFonts w:ascii="Arial" w:cs="Arial" w:eastAsia="Arial" w:hAnsi="Arial"/>
                <w:sz w:val="18"/>
                <w:szCs w:val="18"/>
                <w:color w:val="auto"/>
                <w:w w:val="87"/>
              </w:rPr>
              <w:t>10.1(2)</w:t>
            </w:r>
          </w:p>
        </w:tc>
        <w:tc>
          <w:tcPr>
            <w:tcW w:w="20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Executive Employment Agreement between Registrant and Michael Coffee, dated June 14, 2010.</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31.1</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Executive Officer pursuant to Section 302 of the Sarbanes-Oxley Act of 2002 for the period ended June 30, 2010.</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31.2</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Financial Officer pursuant to Section 302 of the Sarbanes-Oxley Act of 2002 for the period ended June 30, 2010.</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32.1</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8"/>
              </w:rPr>
              <w:t>Certification of Chief Executive Officer pursuant to 18 U.S.C. Section 1350 (Section 906 of the Sarbanes-Oxley Act of 2002).</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32.2</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9"/>
              </w:rPr>
              <w:t>Certification of Chief Financial Officer pursuant to 18 U.S.C. Section 1350 (Section 906 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May 14, 2010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June 16, 2010 and incorporated herein by reference.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MEDICINOVA, INC.</w:t>
      </w:r>
    </w:p>
    <w:p>
      <w:pPr>
        <w:spacing w:after="0" w:line="123" w:lineRule="exact"/>
        <w:rPr>
          <w:sz w:val="20"/>
          <w:szCs w:val="20"/>
          <w:color w:val="auto"/>
        </w:rPr>
      </w:pPr>
    </w:p>
    <w:p>
      <w:pPr>
        <w:spacing w:after="0"/>
        <w:tabs>
          <w:tab w:leader="none" w:pos="5480" w:val="left"/>
          <w:tab w:leader="none" w:pos="7840" w:val="left"/>
          <w:tab w:leader="none" w:pos="8180" w:val="left"/>
        </w:tabs>
        <w:rPr>
          <w:sz w:val="20"/>
          <w:szCs w:val="20"/>
          <w:color w:val="auto"/>
        </w:rPr>
      </w:pPr>
      <w:r>
        <w:rPr>
          <w:rFonts w:ascii="Arial" w:cs="Arial" w:eastAsia="Arial" w:hAnsi="Arial"/>
          <w:sz w:val="18"/>
          <w:szCs w:val="18"/>
          <w:color w:val="auto"/>
        </w:rPr>
        <w:t>Date: August 16,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Yuichi Iwaki, M.D., Ph.D.</w:t>
      </w:r>
    </w:p>
    <w:p>
      <w:pPr>
        <w:jc w:val="center"/>
        <w:ind w:left="59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5940"/>
        <w:spacing w:after="0" w:line="222" w:lineRule="auto"/>
        <w:rPr>
          <w:sz w:val="20"/>
          <w:szCs w:val="20"/>
          <w:color w:val="auto"/>
        </w:rPr>
      </w:pPr>
      <w:r>
        <w:rPr>
          <w:rFonts w:ascii="Arial" w:cs="Arial" w:eastAsia="Arial" w:hAnsi="Arial"/>
          <w:sz w:val="14"/>
          <w:szCs w:val="14"/>
          <w:b w:val="1"/>
          <w:bCs w:val="1"/>
          <w:color w:val="auto"/>
        </w:rPr>
        <w:t>(on behalf of the registrant and</w:t>
      </w:r>
    </w:p>
    <w:p>
      <w:pPr>
        <w:jc w:val="center"/>
        <w:ind w:left="594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100" w:lineRule="exact"/>
        <w:rPr>
          <w:sz w:val="20"/>
          <w:szCs w:val="20"/>
          <w:color w:val="auto"/>
        </w:rPr>
      </w:pPr>
    </w:p>
    <w:p>
      <w:pPr>
        <w:ind w:left="5500"/>
        <w:spacing w:after="0"/>
        <w:tabs>
          <w:tab w:leader="none" w:pos="7700" w:val="left"/>
          <w:tab w:leader="none" w:pos="8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Shintaro Asako</w:t>
      </w:r>
    </w:p>
    <w:p>
      <w:pPr>
        <w:jc w:val="center"/>
        <w:ind w:left="594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5940"/>
        <w:spacing w:after="0" w:line="222" w:lineRule="auto"/>
        <w:rPr>
          <w:sz w:val="20"/>
          <w:szCs w:val="20"/>
          <w:color w:val="auto"/>
        </w:rPr>
      </w:pPr>
      <w:r>
        <w:rPr>
          <w:rFonts w:ascii="Arial" w:cs="Arial" w:eastAsia="Arial" w:hAnsi="Arial"/>
          <w:sz w:val="14"/>
          <w:szCs w:val="14"/>
          <w:b w:val="1"/>
          <w:bCs w:val="1"/>
          <w:color w:val="auto"/>
        </w:rPr>
        <w:t>(on behalf of the registrant and</w:t>
      </w:r>
    </w:p>
    <w:p>
      <w:pPr>
        <w:jc w:val="center"/>
        <w:ind w:left="594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780"/>
          </w:cols>
          <w:pgMar w:left="240" w:top="459" w:right="8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100" w:type="dxa"/>
            <w:vAlign w:val="bottom"/>
          </w:tcPr>
          <w:p>
            <w:pPr>
              <w:ind w:left="298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0"/>
        </w:trPr>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70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98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4.1(1)</w:t>
            </w:r>
          </w:p>
        </w:tc>
        <w:tc>
          <w:tcPr>
            <w:tcW w:w="660" w:type="dxa"/>
            <w:vAlign w:val="bottom"/>
            <w:vMerge w:val="continue"/>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Warrant dated May 10, 2010 issued to Oxford Finance Corporation</w:t>
            </w:r>
          </w:p>
        </w:tc>
        <w:tc>
          <w:tcPr>
            <w:tcW w:w="0" w:type="dxa"/>
            <w:vAlign w:val="bottom"/>
          </w:tcPr>
          <w:p>
            <w:pPr>
              <w:spacing w:after="0"/>
              <w:rPr>
                <w:sz w:val="1"/>
                <w:szCs w:val="1"/>
                <w:color w:val="auto"/>
              </w:rPr>
            </w:pPr>
          </w:p>
        </w:tc>
      </w:tr>
      <w:tr>
        <w:trPr>
          <w:trHeight w:val="316"/>
        </w:trPr>
        <w:tc>
          <w:tcPr>
            <w:tcW w:w="1160" w:type="dxa"/>
            <w:vAlign w:val="bottom"/>
            <w:gridSpan w:val="3"/>
          </w:tcPr>
          <w:p>
            <w:pPr>
              <w:jc w:val="right"/>
              <w:ind w:right="640"/>
              <w:spacing w:after="0"/>
              <w:rPr>
                <w:sz w:val="20"/>
                <w:szCs w:val="20"/>
                <w:color w:val="auto"/>
              </w:rPr>
            </w:pPr>
            <w:r>
              <w:rPr>
                <w:rFonts w:ascii="Arial" w:cs="Arial" w:eastAsia="Arial" w:hAnsi="Arial"/>
                <w:sz w:val="18"/>
                <w:szCs w:val="18"/>
                <w:color w:val="auto"/>
                <w:w w:val="87"/>
              </w:rPr>
              <w:t>10.1(1)</w:t>
            </w:r>
          </w:p>
        </w:tc>
        <w:tc>
          <w:tcPr>
            <w:tcW w:w="9800" w:type="dxa"/>
            <w:vAlign w:val="bottom"/>
            <w:gridSpan w:val="2"/>
          </w:tcPr>
          <w:p>
            <w:pPr>
              <w:spacing w:after="0"/>
              <w:rPr>
                <w:sz w:val="20"/>
                <w:szCs w:val="20"/>
                <w:color w:val="auto"/>
              </w:rPr>
            </w:pPr>
            <w:r>
              <w:rPr>
                <w:rFonts w:ascii="Arial" w:cs="Arial" w:eastAsia="Arial" w:hAnsi="Arial"/>
                <w:sz w:val="18"/>
                <w:szCs w:val="18"/>
                <w:color w:val="auto"/>
                <w:w w:val="99"/>
              </w:rPr>
              <w:t>Loan and Security Agreement dated May 10, 2010, by and among Registrant, Avigen, Inc. and Oxford Finance Corporation</w:t>
            </w:r>
          </w:p>
        </w:tc>
        <w:tc>
          <w:tcPr>
            <w:tcW w:w="0" w:type="dxa"/>
            <w:vAlign w:val="bottom"/>
          </w:tcPr>
          <w:p>
            <w:pPr>
              <w:spacing w:after="0"/>
              <w:rPr>
                <w:sz w:val="1"/>
                <w:szCs w:val="1"/>
                <w:color w:val="auto"/>
              </w:rPr>
            </w:pPr>
          </w:p>
        </w:tc>
      </w:tr>
      <w:tr>
        <w:trPr>
          <w:trHeight w:val="324"/>
        </w:trPr>
        <w:tc>
          <w:tcPr>
            <w:tcW w:w="1160" w:type="dxa"/>
            <w:vAlign w:val="bottom"/>
            <w:gridSpan w:val="3"/>
          </w:tcPr>
          <w:p>
            <w:pPr>
              <w:jc w:val="right"/>
              <w:ind w:right="640"/>
              <w:spacing w:after="0"/>
              <w:rPr>
                <w:sz w:val="20"/>
                <w:szCs w:val="20"/>
                <w:color w:val="auto"/>
              </w:rPr>
            </w:pPr>
            <w:r>
              <w:rPr>
                <w:rFonts w:ascii="Arial" w:cs="Arial" w:eastAsia="Arial" w:hAnsi="Arial"/>
                <w:sz w:val="18"/>
                <w:szCs w:val="18"/>
                <w:color w:val="auto"/>
                <w:w w:val="87"/>
              </w:rPr>
              <w:t>10.1(2)</w:t>
            </w:r>
          </w:p>
        </w:tc>
        <w:tc>
          <w:tcPr>
            <w:tcW w:w="9800" w:type="dxa"/>
            <w:vAlign w:val="bottom"/>
            <w:gridSpan w:val="2"/>
          </w:tcPr>
          <w:p>
            <w:pPr>
              <w:spacing w:after="0"/>
              <w:rPr>
                <w:sz w:val="20"/>
                <w:szCs w:val="20"/>
                <w:color w:val="auto"/>
              </w:rPr>
            </w:pPr>
            <w:r>
              <w:rPr>
                <w:rFonts w:ascii="Arial" w:cs="Arial" w:eastAsia="Arial" w:hAnsi="Arial"/>
                <w:sz w:val="18"/>
                <w:szCs w:val="18"/>
                <w:color w:val="auto"/>
              </w:rPr>
              <w:t>Executive Employment Agreement between Registrant and Michael Coffee, dated June 14, 2010.</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31.1</w:t>
            </w:r>
          </w:p>
        </w:tc>
        <w:tc>
          <w:tcPr>
            <w:tcW w:w="66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Executive Officer pursuant to Section 302 of the Sarbanes-Oxley Act of 2002 for the period ended June 30, 2010.</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31.2</w:t>
            </w:r>
          </w:p>
        </w:tc>
        <w:tc>
          <w:tcPr>
            <w:tcW w:w="66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Financial Officer pursuant to Section 302 of the Sarbanes-Oxley Act of 2002 for the period ended June 30, 2010.</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32.1</w:t>
            </w:r>
          </w:p>
        </w:tc>
        <w:tc>
          <w:tcPr>
            <w:tcW w:w="66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8"/>
              </w:rPr>
              <w:t>Certification of Chief Executive Officer pursuant to 18 U.S.C. Section 1350 (Section 906 of the Sarbanes-Oxley Act of 2002).</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32.2</w:t>
            </w:r>
          </w:p>
        </w:tc>
        <w:tc>
          <w:tcPr>
            <w:tcW w:w="66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9"/>
              </w:rPr>
              <w:t>Certification of Chief Financial Officer pursuant to 18 U.S.C. Section 1350 (Section 906 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May 14, 2010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June 16, 2010 and incorporated herein by reference.</w:t>
      </w:r>
    </w:p>
    <w:p>
      <w:pPr>
        <w:spacing w:after="0" w:line="15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60"/>
          </w:cols>
          <w:pgMar w:left="240" w:top="459" w:right="69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2010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90" w:lineRule="exact"/>
        <w:rPr>
          <w:sz w:val="20"/>
          <w:szCs w:val="20"/>
          <w:color w:val="auto"/>
        </w:rPr>
      </w:pPr>
    </w:p>
    <w:p>
      <w:pPr>
        <w:ind w:left="640" w:hanging="17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2010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16, 2010</w:t>
      </w:r>
    </w:p>
    <w:p>
      <w:pPr>
        <w:spacing w:after="0" w:line="225" w:lineRule="exact"/>
        <w:rPr>
          <w:sz w:val="20"/>
          <w:szCs w:val="20"/>
          <w:color w:val="auto"/>
        </w:rPr>
      </w:pPr>
    </w:p>
    <w:p>
      <w:pPr>
        <w:ind w:left="6860"/>
        <w:spacing w:after="0"/>
        <w:tabs>
          <w:tab w:leader="none" w:pos="848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Yuichi Iwaki, M.D., Ph.D.</w:t>
      </w:r>
    </w:p>
    <w:p>
      <w:pPr>
        <w:jc w:val="center"/>
        <w:ind w:left="686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2010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Shintaro Asako, certify that:</w:t>
      </w:r>
    </w:p>
    <w:p>
      <w:pPr>
        <w:spacing w:after="0" w:line="90" w:lineRule="exact"/>
        <w:rPr>
          <w:sz w:val="20"/>
          <w:szCs w:val="20"/>
          <w:color w:val="auto"/>
        </w:rPr>
      </w:pPr>
    </w:p>
    <w:p>
      <w:pPr>
        <w:ind w:left="640" w:hanging="17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2010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16, 2010</w:t>
      </w:r>
    </w:p>
    <w:p>
      <w:pPr>
        <w:spacing w:after="0" w:line="225" w:lineRule="exact"/>
        <w:rPr>
          <w:sz w:val="20"/>
          <w:szCs w:val="20"/>
          <w:color w:val="auto"/>
        </w:rPr>
      </w:pPr>
    </w:p>
    <w:p>
      <w:pPr>
        <w:ind w:left="68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Shintaro Asako</w:t>
      </w:r>
    </w:p>
    <w:p>
      <w:pPr>
        <w:jc w:val="center"/>
        <w:ind w:left="686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June 30, 2010,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16, 2010</w:t>
      </w:r>
    </w:p>
    <w:p>
      <w:pPr>
        <w:spacing w:after="0" w:line="225" w:lineRule="exact"/>
        <w:rPr>
          <w:sz w:val="20"/>
          <w:szCs w:val="20"/>
          <w:color w:val="auto"/>
        </w:rPr>
      </w:pPr>
    </w:p>
    <w:p>
      <w:pPr>
        <w:ind w:left="6860"/>
        <w:spacing w:after="0"/>
        <w:tabs>
          <w:tab w:leader="none" w:pos="848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Yuichi Iwaki, M.D., Ph.D.</w:t>
      </w:r>
    </w:p>
    <w:p>
      <w:pPr>
        <w:jc w:val="center"/>
        <w:ind w:left="686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June 30, 2010, as filed with the Securities and Exchange Commission on the date hereof (the “Report”), I, Shintaro Asako, as Vice President and Chief Financial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16, 2010</w:t>
      </w:r>
    </w:p>
    <w:p>
      <w:pPr>
        <w:spacing w:after="0" w:line="225" w:lineRule="exact"/>
        <w:rPr>
          <w:sz w:val="20"/>
          <w:szCs w:val="20"/>
          <w:color w:val="auto"/>
        </w:rPr>
      </w:pPr>
    </w:p>
    <w:p>
      <w:pPr>
        <w:ind w:left="68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Shintaro Asako</w:t>
      </w:r>
    </w:p>
    <w:p>
      <w:pPr>
        <w:jc w:val="center"/>
        <w:ind w:left="686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2"/>
    </w:lvl>
  </w:abstractNum>
  <w:abstractNum w:abstractNumId="5">
    <w:nsid w:val="6763845E"/>
    <w:multiLevelType w:val="hybridMultilevel"/>
    <w:lvl w:ilvl="0">
      <w:lvlJc w:val="left"/>
      <w:lvlText w:val="(%1)"/>
      <w:numFmt w:val="decimal"/>
      <w:start w:val="12"/>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2"/>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9"/>
    </w:lvl>
  </w:abstractNum>
  <w:abstractNum w:abstractNumId="11">
    <w:nsid w:val="189A769B"/>
    <w:multiLevelType w:val="hybridMultilevel"/>
    <w:lvl w:ilvl="0">
      <w:lvlJc w:val="left"/>
      <w:lvlText w:val="%1."/>
      <w:numFmt w:val="decimal"/>
      <w:start w:val="10"/>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2019-12-10T22:45:17Z</dcterms:created>
  <dcterms:modified xsi:type="dcterms:W3CDTF">2019-12-10T22:45:17Z</dcterms:modified>
</cp:coreProperties>
</file>