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7050d8k.htm"/>
      <w:bookmarkStart w:id="1" w:name="ksd40705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MEDICINOVA,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001-33185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33-0927979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4275 EXECUTIVE SQUARE,</w:t>
            </w:r>
          </w:p>
          <w:p>
            <w:pPr>
              <w:pStyle w:val="TableContents"/>
              <w:bidi w:val="0"/>
              <w:spacing w:before="0" w:after="20"/>
              <w:jc w:val="center"/>
              <w:rPr>
                <w:rFonts w:ascii="Times New Roman" w:hAnsi="Times New Roman"/>
                <w:b/>
                <w:sz w:val="20"/>
              </w:rPr>
            </w:pPr>
            <w:r>
              <w:rPr>
                <w:rFonts w:ascii="Times New Roman" w:hAnsi="Times New Roman"/>
                <w:b/>
                <w:sz w:val="20"/>
              </w:rPr>
              <w:t>SUITE 300, LA JOLLA,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373-1500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000" w:type="dxa"/>
        <w:jc w:val="left"/>
        <w:tblInd w:w="0" w:type="dxa"/>
        <w:tblLayout w:type="fixed"/>
        <w:tblCellMar>
          <w:top w:w="0" w:type="dxa"/>
          <w:left w:w="0" w:type="dxa"/>
          <w:bottom w:w="0" w:type="dxa"/>
          <w:right w:w="0" w:type="dxa"/>
        </w:tblCellMar>
      </w:tblPr>
      <w:tblGrid>
        <w:gridCol w:w="2465"/>
        <w:gridCol w:w="60"/>
        <w:gridCol w:w="1025"/>
        <w:gridCol w:w="60"/>
        <w:gridCol w:w="2390"/>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24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Common Stock, $0.001 par value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MNOV</w:t>
            </w:r>
          </w:p>
        </w:tc>
        <w:tc>
          <w:tcPr>
            <w:tcW w:w="6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 Nasdaq Stock Market LLC</w:t>
            </w:r>
          </w:p>
        </w:tc>
      </w:tr>
      <w:tr>
        <w:trPr/>
        <w:tc>
          <w:tcPr>
            <w:tcW w:w="2465" w:type="dxa"/>
            <w:tcBorders/>
            <w:vAlign w:val="center"/>
          </w:tcPr>
          <w:p>
            <w:pPr>
              <w:pStyle w:val="TableContents"/>
              <w:bidi w:val="0"/>
              <w:spacing w:before="0" w:after="283"/>
              <w:jc w:val="center"/>
              <w:rPr/>
            </w:pPr>
            <w:r>
              <w:rPr/>
              <w:t>(Title of each class)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(Trading</w:t>
              <w:br/>
              <w:t>symbol(s))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(Name of each exchange</w:t>
              <w:br/>
              <w:t>on which registered)</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MediciNova, Inc. (the “Company”) entered into new Executive Employment Agreements (collectively, the “Agreements”) with each of Yuichi Iwaki, M.D., Ph.D., the Company’s President and Chief Executive Officer, and Kazuko Matsuda, M.D., Ph.D., MPH, the Company’s Chief Medical Officer (each of Dr. Iwaki and Dr. Matsuda, the “Executive”). The Agreements supersede each Executive’s prior employment and severance protection arrangements with the Company. A summary of the material terms of each Agreement is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Iwaki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Dr. Iwaki’s Agreement, he will continue to serve as President and Chief Executive Officer, reporting to the Company’s Board of Directors (the “Board”). Dr. Iwaki’s annual base salary is $690,246, and he is eligible for an annual incentive bonus with a target amount equal to 55% of his base salary, payable at the discretion of the Board or its Compensation Committee. </w:t>
      </w:r>
    </w:p>
    <w:p>
      <w:pPr>
        <w:pStyle w:val="TextBody"/>
        <w:bidi w:val="0"/>
        <w:spacing w:before="240" w:after="0"/>
        <w:jc w:val="left"/>
        <w:rPr>
          <w:rFonts w:ascii="Times New Roman" w:hAnsi="Times New Roman"/>
          <w:sz w:val="20"/>
        </w:rPr>
      </w:pPr>
      <w:r>
        <w:rPr>
          <w:rFonts w:ascii="Times New Roman" w:hAnsi="Times New Roman"/>
          <w:i/>
          <w:sz w:val="20"/>
        </w:rPr>
        <w:t>Severance — Involuntary Termination (No Change in Control).</w:t>
      </w:r>
      <w:r>
        <w:rPr>
          <w:rFonts w:ascii="Times New Roman" w:hAnsi="Times New Roman"/>
          <w:sz w:val="20"/>
        </w:rPr>
        <w:t xml:space="preserve"> If Dr. Iwaki is subject to an Involuntary Termination that occurs more than three months before or more than twelve months after a Change in Control, he will be entitled to: (i) a lump-sum cash severance payment equal to 12 months of base salary, and (ii) Company-paid COBRA continuation coverage for up to 12 months. </w:t>
      </w:r>
    </w:p>
    <w:p>
      <w:pPr>
        <w:pStyle w:val="TextBody"/>
        <w:bidi w:val="0"/>
        <w:spacing w:before="240" w:after="0"/>
        <w:jc w:val="left"/>
        <w:rPr>
          <w:rFonts w:ascii="Times New Roman" w:hAnsi="Times New Roman"/>
          <w:sz w:val="20"/>
        </w:rPr>
      </w:pPr>
      <w:r>
        <w:rPr>
          <w:rFonts w:ascii="Times New Roman" w:hAnsi="Times New Roman"/>
          <w:i/>
          <w:sz w:val="20"/>
        </w:rPr>
        <w:t>Severance — Involuntary Termination in Connection with a Change in Control.</w:t>
      </w:r>
      <w:r>
        <w:rPr>
          <w:rFonts w:ascii="Times New Roman" w:hAnsi="Times New Roman"/>
          <w:sz w:val="20"/>
        </w:rPr>
        <w:t xml:space="preserve"> If Dr. Iwaki is subject to an Involuntary Termination that occurs within three months before or twelve months after a Change in Control, he will be entitled to: (i) a lump-sum cash payment equal to 24 months of base salary plus 24 months of his then-current target bonus, (ii) Company-paid COBRA continuation coverage for up to 18 months, and (iii) 100% accelerated vesting of all outstanding unvested equity awards (with performance-based awards vesting at 100% of target). If an Involuntary Termination occurs within three months prior to a Change in Control, equity awards will remain outstanding for three months (or until the Change in Control, if sooner) to preserve the executive’s eligibility for accelerated vesting. </w:t>
      </w:r>
    </w:p>
    <w:p>
      <w:pPr>
        <w:pStyle w:val="TextBody"/>
        <w:bidi w:val="0"/>
        <w:spacing w:before="360" w:after="0"/>
        <w:jc w:val="left"/>
        <w:rPr>
          <w:rFonts w:ascii="Times New Roman" w:hAnsi="Times New Roman"/>
          <w:b/>
          <w:sz w:val="20"/>
        </w:rPr>
      </w:pPr>
      <w:r>
        <w:rPr>
          <w:rFonts w:ascii="Times New Roman" w:hAnsi="Times New Roman"/>
          <w:b/>
          <w:sz w:val="20"/>
        </w:rPr>
        <w:t xml:space="preserve">Matsuda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Dr. Matsuda’s Agreement, she will continue to serve as Chief Medical Officer, reporting to the Company’s Chief Executive Officer. Dr. Matsuda’s annual base salary is $540,143, and she is eligible for an annual incentive bonus with a target amount equal to 40% of her base salary, payable at the discretion of the Board or its Compensation Committee. </w:t>
      </w:r>
    </w:p>
    <w:p>
      <w:pPr>
        <w:pStyle w:val="TextBody"/>
        <w:bidi w:val="0"/>
        <w:spacing w:before="240" w:after="0"/>
        <w:jc w:val="left"/>
        <w:rPr>
          <w:rFonts w:ascii="Times New Roman" w:hAnsi="Times New Roman"/>
          <w:sz w:val="20"/>
        </w:rPr>
      </w:pPr>
      <w:r>
        <w:rPr>
          <w:rFonts w:ascii="Times New Roman" w:hAnsi="Times New Roman"/>
          <w:i/>
          <w:sz w:val="20"/>
        </w:rPr>
        <w:t>Severance — Involuntary Termination (No Change in Control).</w:t>
      </w:r>
      <w:r>
        <w:rPr>
          <w:rFonts w:ascii="Times New Roman" w:hAnsi="Times New Roman"/>
          <w:sz w:val="20"/>
        </w:rPr>
        <w:t xml:space="preserve"> If Dr. Matsuda is subject to an Involuntary Termination that occurs more than three months before or more than twelve months after a Change in Control, she will be entitled to: (i) a lump-sum cash severance payment equal to 12 months of base salary, and (ii) Company-paid COBRA continuation coverage for up to 12 months.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Severance — Involuntary Termination in Connection with a Change in Control.</w:t>
      </w:r>
      <w:r>
        <w:rPr>
          <w:rFonts w:ascii="Times New Roman" w:hAnsi="Times New Roman"/>
          <w:sz w:val="20"/>
        </w:rPr>
        <w:t xml:space="preserve"> If Dr. Matsuda is subject to an Involuntary Termination that occurs within three months before or twelve months after a Change in Control, she will be entitled to: (i) a lump-sum cash payment equal to 18 months of base salary plus 18 months of her then-current target bonus, (ii) Company-paid COBRA continuation coverage for up to 18 months, and (iii) 100% accelerated vesting of all outstanding unvested equity awards (with performance-based awards vesting at 100% of target). If an Involuntary Termination occurs within three months prior to a Change in Control, equity awards will remain outstanding for three months (or until the Change in Control, if sooner) to preserve the executive’s eligibility for accelerated vesting.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Terms Applicable to Both Agreements </w:t>
      </w:r>
    </w:p>
    <w:p>
      <w:pPr>
        <w:pStyle w:val="TextBody"/>
        <w:bidi w:val="0"/>
        <w:spacing w:before="120" w:after="0"/>
        <w:jc w:val="left"/>
        <w:rPr>
          <w:rFonts w:ascii="Times New Roman" w:hAnsi="Times New Roman"/>
          <w:sz w:val="20"/>
        </w:rPr>
      </w:pPr>
      <w:r>
        <w:rPr>
          <w:rFonts w:ascii="Times New Roman" w:hAnsi="Times New Roman"/>
          <w:sz w:val="20"/>
        </w:rPr>
        <w:t xml:space="preserve">All severance benefits under the Agreements are conditioned upon the Executive’s execution and non-revocation of a general release of claims in a form provided by the Company within the timeframe specified in the applicable Agreement. Severance payments will be made within 60 days of the Involuntary Termination (or, if later, the date of a Change in Control). </w:t>
      </w:r>
    </w:p>
    <w:p>
      <w:pPr>
        <w:pStyle w:val="TextBody"/>
        <w:bidi w:val="0"/>
        <w:spacing w:before="240" w:after="0"/>
        <w:jc w:val="left"/>
        <w:rPr/>
      </w:pPr>
      <w:r>
        <w:rPr/>
        <w:t>“</w:t>
      </w:r>
      <w:r>
        <w:rPr>
          <w:rFonts w:ascii="Times New Roman" w:hAnsi="Times New Roman"/>
          <w:sz w:val="20"/>
        </w:rPr>
        <w:t xml:space="preserve">Involuntary Termination” means either (i) a Termination Without Cause or (ii) a Resignation for Good Reason. </w:t>
      </w:r>
    </w:p>
    <w:p>
      <w:pPr>
        <w:pStyle w:val="TextBody"/>
        <w:bidi w:val="0"/>
        <w:spacing w:before="240" w:after="0"/>
        <w:jc w:val="left"/>
        <w:rPr/>
      </w:pPr>
      <w:r>
        <w:rPr/>
        <w:t>“</w:t>
      </w:r>
      <w:r>
        <w:rPr>
          <w:rFonts w:ascii="Times New Roman" w:hAnsi="Times New Roman"/>
          <w:sz w:val="20"/>
        </w:rPr>
        <w:t xml:space="preserve">Cause” means (i) Executive’s unauthorized use or disclosure of the Company’s confidential information or trade secrets, which use or disclosure causes material harm to the Company; (ii) Executive’s material breach of any agreement between the Executive and the Company; (iii) Executive’s material failure to comply with the Company’s written policies or rules; (iv) Executive’s conviction of, or plea of “guilty” or “no contest” to, a felony under the laws of the United States or any state thereof; (v) Executive’s gross negligence or willful misconduct; (vi) Executive’s continuing failure to perform assigned duties after receiving written notification of such failure from the Company’s Board; or (vii) Executive’s failure to cooperate in good faith with a governmental or internal investigation of the Company or its directors, officers or employees, if the Company has requested such cooperation. </w:t>
      </w:r>
    </w:p>
    <w:p>
      <w:pPr>
        <w:pStyle w:val="TextBody"/>
        <w:bidi w:val="0"/>
        <w:spacing w:before="240" w:after="0"/>
        <w:jc w:val="left"/>
        <w:rPr/>
      </w:pPr>
      <w:r>
        <w:rPr/>
        <w:t>“</w:t>
      </w:r>
      <w:r>
        <w:rPr>
          <w:rFonts w:ascii="Times New Roman" w:hAnsi="Times New Roman"/>
          <w:sz w:val="20"/>
        </w:rPr>
        <w:t xml:space="preserve">Resignation for Good Reason” means a Separation as a result of Executive’s resignation from employment after one of the following conditions has come into existence without Executive’s consent: (i) a material diminution of Executive’s annual base salary, (ii) a material diminution of Executive’s authority, duties or responsibilities, or (iii) a material change in the geographic location at which Executive must perform services for the Company. In order to constitute a Resignation for Good Reason, Executive must give the Company written notice of the condition within 90 days after it comes into existence, the Company must fail to remedy the condition within 30 days after receiving Executive’s written notice and Executive must terminate his employment within 12 months after the condition came into existence. </w:t>
      </w:r>
    </w:p>
    <w:p>
      <w:pPr>
        <w:pStyle w:val="TextBody"/>
        <w:bidi w:val="0"/>
        <w:spacing w:before="240" w:after="0"/>
        <w:jc w:val="left"/>
        <w:rPr/>
      </w:pPr>
      <w:r>
        <w:rPr/>
        <w:t>“</w:t>
      </w:r>
      <w:r>
        <w:rPr>
          <w:rFonts w:ascii="Times New Roman" w:hAnsi="Times New Roman"/>
          <w:sz w:val="20"/>
        </w:rPr>
        <w:t xml:space="preserve">Separation” means a “separation from service,” as defined in the regulations under Code Section 409A. </w:t>
      </w:r>
    </w:p>
    <w:p>
      <w:pPr>
        <w:pStyle w:val="TextBody"/>
        <w:bidi w:val="0"/>
        <w:spacing w:before="240" w:after="0"/>
        <w:jc w:val="left"/>
        <w:rPr/>
      </w:pPr>
      <w:r>
        <w:rPr/>
        <w:t>“</w:t>
      </w:r>
      <w:r>
        <w:rPr>
          <w:rFonts w:ascii="Times New Roman" w:hAnsi="Times New Roman"/>
          <w:sz w:val="20"/>
        </w:rPr>
        <w:t xml:space="preserve">Termination Without Cause” means a Separation as a result of the termination of Executive’s employment by the Company without Cause, provided Executive was willing and able to continue performing services within the meaning of Treasury Regulation 1.409A-1(n)(1). </w:t>
      </w:r>
    </w:p>
    <w:p>
      <w:pPr>
        <w:pStyle w:val="TextBody"/>
        <w:bidi w:val="0"/>
        <w:spacing w:before="240" w:after="0"/>
        <w:jc w:val="left"/>
        <w:rPr>
          <w:rFonts w:ascii="Times New Roman" w:hAnsi="Times New Roman"/>
          <w:sz w:val="20"/>
        </w:rPr>
      </w:pPr>
      <w:r>
        <w:rPr>
          <w:rFonts w:ascii="Times New Roman" w:hAnsi="Times New Roman"/>
          <w:sz w:val="20"/>
        </w:rPr>
        <w:t xml:space="preserve">Each Agreement also includes a one-year post-termination non-solicitation covenant prohibiting the executive from soliciting Company employees or consultants, customary Section 280G cutback provisions (providing for a reduction in payments only if such reduction would result in a greater after-tax benefit to the Executive), and compliance with Section 409A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Each Agreement provides for at-will employment and is governed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Agreements does not purport to be complete and is qualified in its entirety by reference to the full text of the Executive Employment Agreement with Dr. Iwaki and the Executive Employment Agreement with Dr. Matsuda, which will be filed with the Company’s quarterly report on Form 10-Q for the quarter ended September 30,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8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12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50" w:type="dxa"/>
            <w:gridSpan w:val="3"/>
            <w:tcBorders/>
            <w:vAlign w:val="center"/>
          </w:tcPr>
          <w:p>
            <w:pPr>
              <w:pStyle w:val="TableContents"/>
              <w:bidi w:val="0"/>
              <w:spacing w:before="0" w:after="283"/>
              <w:jc w:val="left"/>
              <w:rPr>
                <w:b/>
              </w:rPr>
            </w:pPr>
            <w:r>
              <w:rPr>
                <w:b/>
              </w:rPr>
              <w:t>MEDICINOVA,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Yuichi Iwaki</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Yuichi Iwaki</w:t>
            </w:r>
          </w:p>
          <w:p>
            <w:pPr>
              <w:pStyle w:val="TableContents"/>
              <w:bidi w:val="0"/>
              <w:spacing w:before="0" w:after="20"/>
              <w:jc w:val="left"/>
              <w:rPr>
                <w:rFonts w:ascii="Times New Roman" w:hAnsi="Times New Roman"/>
                <w:i/>
                <w:sz w:val="20"/>
              </w:rPr>
            </w:pPr>
            <w:r>
              <w:rPr>
                <w:rFonts w:ascii="Times New Roman" w:hAnsi="Times New Roman"/>
                <w:i/>
                <w:sz w:val="20"/>
              </w:rPr>
              <w:t>President and Chief Executive Officer</w:t>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1463</Words>
  <Characters>8124</Characters>
  <CharactersWithSpaces>9583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