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3700" w:space="560"/>
            <w:col w:w="710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620"/>
            <w:col w:w="5520" w:space="720"/>
            <w:col w:w="204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700"/>
            <w:col w:w="160" w:space="140"/>
            <w:col w:w="5220" w:space="720"/>
            <w:col w:w="204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November 9, 2011, the registrant had 16,088,015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 </w:t>
            </w: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34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w:t>
            </w:r>
            <w:hyperlink w:anchor="page26">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34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LEGAL PROCEEDINGS</w:t>
              </w:r>
            </w:hyperlink>
          </w:p>
        </w:tc>
        <w:tc>
          <w:tcPr>
            <w:tcW w:w="74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REMOVED AND RESERVED</w:t>
              </w:r>
            </w:hyperlink>
          </w:p>
        </w:tc>
        <w:tc>
          <w:tcPr>
            <w:tcW w:w="702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5.</w:t>
            </w:r>
          </w:p>
        </w:tc>
        <w:tc>
          <w:tcPr>
            <w:tcW w:w="926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74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304"/>
        </w:trPr>
        <w:tc>
          <w:tcPr>
            <w:tcW w:w="134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83"/>
        </w:trPr>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10"/>
          </w:tcPr>
          <w:p>
            <w:pPr>
              <w:ind w:left="4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8,735,748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28,252,204</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28,688,892</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Restricted letter of credit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822,204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779,103</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9,557,952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58,343,997</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9,600,241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4,800,000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China JV (Note 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31,994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65,209</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124,722</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24,640,187</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72,934,169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1,076,803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1,099,625</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Management transition plan liability (Note 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623,751</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4,951,610</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28,626,296</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Escrow holdback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 (Note 7)</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1,889,770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1,133,273</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6,847</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3,431,546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36,790,204</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1,956,000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9,483,605</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5,387,546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48,229,809</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85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Preferred stock, $0.01 par value; 500,000 authorized (250,000 Series A designated; 220,000 Convertible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B designated and 30,000 undesignated) at September 30, 2011 and 500,000 authorized (250,000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Series A designated and 250,000 undesignated) at December 31, 2010; no shares outstanding at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 and December 31, 2010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$0.001 par value; 30,000,000 shares authorized at September 30, 2011 and December 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2010; 15,327,615 and 12,482,867 shares issued at September 30, 2011 and December 31, 2010,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respectively, and 15,288,015 and 12,439,132 shares outstanding at September 30, 2011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December 31, 2010, respectively</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15,327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12,484</w:t>
            </w: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302,251,946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293,483,920</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(55,700)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(55,702)</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Treasury stock, at cost; 39,600 shares at September 30, 2011 and 43,735 shares at December 31, 2010</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(1,189,705)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(1,197,935)</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(281,769,227)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(267,538,407)</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19,252,641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24,704,360</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24,640,187</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72,934,169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6"/>
          </w:tcPr>
          <w:p>
            <w:pPr>
              <w:jc w:val="right"/>
              <w:ind w:right="12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2600" w:type="dxa"/>
            <w:vAlign w:val="bottom"/>
            <w:gridSpan w:val="5"/>
          </w:tcPr>
          <w:p>
            <w:pPr>
              <w:jc w:val="right"/>
              <w:ind w:right="108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1,679,896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2,177,204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6,343,854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7,431,178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160,600,698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2,227,492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1,971,083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6,262,214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6,105,319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103,461,023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3,907,388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4,148,287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12,606,068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13,536,497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265,320,142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(3,907,388)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(4,148,287)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(12,606,068)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(13,536,497)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(263,761,915)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Debt related credit/(charge)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(492,707)</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on investment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(869,767)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(52,939)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(659,282)</w:t>
            </w: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(1,102,387)</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(1,109,725)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(3,113,111)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395,623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(6,581)</w:t>
            </w: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(3,893,743)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(5,700,619)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(14,230,821)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(15,195,929)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(250,406,105)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Accretion to redemption value of redeemable convertible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Deemed dividend resulting from beneficial conversion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feature on Series C redeemable convertible preferred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(3,893,743)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(5,700,619)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(14,230,821)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(15,195,929)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(281,769,227)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w w:val="97"/>
              </w:rPr>
              <w:t>Shares used to compute basic and diluted net loss per</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common share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15,327,275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12,453,569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14,408,284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12,387,979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tcPr>
          <w:p>
            <w:pPr>
              <w:jc w:val="right"/>
              <w:ind w:right="1160"/>
              <w:spacing w:after="0" w:line="14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gridSpan w:val="3"/>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8"/>
              </w:rPr>
              <w:t>(14,230,821)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0"/>
              </w:rPr>
              <w:t>(15,195,929)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(250,406,105)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931,250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1,600,960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49,239,783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33,215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89,643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1,936,770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860"/>
              <w:spacing w:after="0" w:line="149" w:lineRule="exact"/>
              <w:rPr>
                <w:sz w:val="20"/>
                <w:szCs w:val="20"/>
                <w:color w:val="auto"/>
              </w:rPr>
            </w:pPr>
            <w:r>
              <w:rPr>
                <w:rFonts w:ascii="Arial" w:cs="Arial" w:eastAsia="Arial" w:hAnsi="Arial"/>
                <w:sz w:val="14"/>
                <w:szCs w:val="14"/>
                <w:color w:val="auto"/>
                <w:w w:val="94"/>
              </w:rPr>
              <w:t>Amortization of premium/discount on investment securities, convertible notes and debt discount and issuance costs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259,418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395,993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(1,592,071)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Write-off of debt related costs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492,707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492,707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813,225</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(43,101)</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102,964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(785,255)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accrued expenses and income taxes payable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(775,889)</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2,054,563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116,218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(885,659)</w:t>
            </w: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368,832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(226,000)</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w w:val="88"/>
              </w:rPr>
              <w:t>(12,364,305)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w w:val="90"/>
              </w:rPr>
              <w:t>(14,078,666)</w:t>
            </w:r>
          </w:p>
        </w:tc>
        <w:tc>
          <w:tcPr>
            <w:tcW w:w="60" w:type="dxa"/>
            <w:vAlign w:val="bottom"/>
          </w:tcPr>
          <w:p>
            <w:pPr>
              <w:spacing w:after="0"/>
              <w:rPr>
                <w:sz w:val="14"/>
                <w:szCs w:val="14"/>
                <w:color w:val="auto"/>
              </w:rPr>
            </w:pPr>
          </w:p>
        </w:tc>
        <w:tc>
          <w:tcPr>
            <w:tcW w:w="11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(196,903,686)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(226,000)</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27,244,194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(14,299)</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(2,271,505)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27,003,895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(4,131,971)</w:t>
            </w:r>
          </w:p>
        </w:tc>
        <w:tc>
          <w:tcPr>
            <w:tcW w:w="0" w:type="dxa"/>
            <w:vAlign w:val="bottom"/>
          </w:tcPr>
          <w:p>
            <w:pPr>
              <w:spacing w:after="0"/>
              <w:rPr>
                <w:sz w:val="1"/>
                <w:szCs w:val="1"/>
                <w:color w:val="auto"/>
              </w:rPr>
            </w:pPr>
          </w:p>
        </w:tc>
      </w:tr>
      <w:tr>
        <w:trPr>
          <w:trHeight w:val="156"/>
        </w:trPr>
        <w:tc>
          <w:tcPr>
            <w:tcW w:w="764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4,880,888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135,395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126,344,410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the sale of warrants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2,882,258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2,882,258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80,216,971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17,605,485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0"/>
              </w:rPr>
              <w:t>(17,605,485)</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debt issuance, net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14,670,000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14,670,000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8"/>
              </w:rPr>
              <w:t>(15,000,000)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76,473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1,758,854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1,881,253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(1,223,487)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w w:val="97"/>
              </w:rPr>
              <w:t>(7,152,151)</w:t>
            </w:r>
          </w:p>
        </w:tc>
        <w:tc>
          <w:tcPr>
            <w:tcW w:w="100" w:type="dxa"/>
            <w:vAlign w:val="bottom"/>
          </w:tcPr>
          <w:p>
            <w:pPr>
              <w:spacing w:after="0"/>
              <w:rPr>
                <w:sz w:val="13"/>
                <w:szCs w:val="13"/>
                <w:color w:val="auto"/>
              </w:rPr>
            </w:pPr>
          </w:p>
        </w:tc>
        <w:tc>
          <w:tcPr>
            <w:tcW w:w="122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(1,003,776)</w:t>
            </w:r>
          </w:p>
        </w:tc>
        <w:tc>
          <w:tcPr>
            <w:tcW w:w="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209,771,405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8"/>
              </w:rPr>
              <w:t>(19,516,456)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11,921,453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8,735,748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28,252,204</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19,241,581</w:t>
            </w: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8,735,748</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31,163,034</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8,735,748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IPO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43,515,677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China JV investment</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650,000</w:t>
            </w:r>
          </w:p>
        </w:tc>
        <w:tc>
          <w:tcPr>
            <w:tcW w:w="5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76,473</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1,758,854</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1,881,815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12,010</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6,581</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Interest paid</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1,088,926</w:t>
            </w:r>
          </w:p>
        </w:tc>
        <w:tc>
          <w:tcPr>
            <w:tcW w:w="5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841,303</w:t>
            </w:r>
          </w:p>
        </w:tc>
        <w:tc>
          <w:tcPr>
            <w:tcW w:w="5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2,487,343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were incorporated in the state of Delaware in September 2000. We are a development stage biopharmaceutical company focused on acquiring and developing novel, small molecule therapeutics for the treatment of serious diseases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27, 2011, we received final approval for the formation of a joint venture company to develop and commercialize MN-221 in China, or China JV, from the Ministry of Commerce of the People’s Republic of China. Under the terms of the China JV agreement with Zhejiang Medicine Co., Ltd. and Beijing Make-Friend Medicine Technology Co. Ltd., within 90 days of receiving final approval, we are required to contribute approximately $650,000 in return for a 30 percent equity interest in the China JV. As of September 30, 2011, the China JV has not commenced any operations and there are no significant assets or liabilities. As of September 30, 2011, we have recorded a liability on our consolidated balance sheet which represents our required capital contribution payable to the China JV, and we have also recorded a corresponding asset to reflect our investment. The China JV is considered a variable interest entity; however, we will not have a majority of board seats, we will not have any power to direct or significantly influence the actions of the entity and any loss or income generated by the entity will be absorbed by the parties according to their percentage ownership of the entity.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for interim financial information. Accordingly, they do not include all of the information and disclosures required by generally accepted accounting principles for complete financial statements. In the opinion of management, all adjustments considered necessary for a fair presentation of the financial position, results of operations and cash flow for the interim period presented have been included. Operating results for the three and nine months ended September 30,</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2011 are not necessarily indicative of the results that may be expected for the year ending December 31, 2011 or for any other period. For further information, see the financial statements and disclosures thereto for the year ended December 31, 2010 in our Annual Report on Form 10-K as filed with the Securities and Exchange Commission on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August 17, 2009, Absolute Merger, Inc., a wholly-owned subsidiary of MediciNova, Inc. was incorporated under the General Corporation Law of the State of Delaware for the purpose of facilitating the Merger (the “Merger”) with Avigen, Inc. (“Avigen”). On December 18, 2009, Absolute Merger, Inc. merged with and into Avigen, with Avigen continuing as the surviving entity and wholly-owned subsidiary of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prepared the accompanying unaudited consolidated financial statements in accordance with accounting principles generally accepted in the United States, which requires us to make estimates and assumptions that affect the reported amounts of assets, liabilities, revenue and expenses and the related disclosure of contingent liabilities. Actual results may differ from these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90"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Management plans to continue financing operations with equity issuances, debt arrangements or a combination thereof. With the receipt of funds from the stock purchase agreement and the clinical development agreement executed in October, 2011 (see Footnote 12, Subsequent Events), we believe our working capital to be sufficient to fund our operations through at least September 30, 2012. If adequate funds are not available, we may be required to delay, reduce the scope of or terminate one or more of our research or product development programs, and/or implement other operating cost reductions, and/or it could result in the termination of license rights related to any of our product candidates, all of which could raise substantial doubt as to our ability to continue as a going concern. As of September 30, 2011, the accompanying consolidated financial statements have been prepared assuming that we will continue as a going concern.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matured on June 18, 2011, the 18-month anniversary of the closing of the merger. Holders of these convertible notes could convert their notes into our common stock at an initial conversion price of $6.80 per share through May 31, 2011. At the maturity of the convertible notes, the remaining holders were paid out the same per share amount as the Avigen shareholders that elected to receive cash at the merger closing, plus accrued interest, approximately $1.19 per share. As part of the merger consideration, the former Avigen shareholders received approximately $0.04 per share, which was paid in two increments in 2010, and rights under contingent payment rights, or CPR, issued as part of the merger consideration. The amount paid in the two installments was net of a reconciliation of Avigen expenses and a letter of credit after expiry. In fiscal year 2010, under the first and second installments, we paid $140,119 and $73,449, respectively, to Avigen shareholders who elected payment in cash and we issued an additional principal amount of $685,917 and $359,551, respectively, in convertible notes to Avigen shareholders who elected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payment in convertible notes in lieu of a cash payment. In March 2011 we paid $0.02 per share to former Avigen shareholders related to the management transition plan CPR. The rights related to the Genzyme and Parkinson CPRs expired on August 18, 2011 and no payment was made in 2011 related to these CPRs.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Notes to Consolidated Financial Statements—Note 2, Avigen Transaction, in our 2010 Annual Report on Form 10-K for further information on the Avigen 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58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0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September 30, 2011, cash and cash equivalents (instruments with maturities of three months or less at the date of purchase) were $8.7 million, which were invested in money market accounts and money market funds. At September 30, 2011, we no longer held any restricted cash. We measure our cash equivalents on a recurring basis and the fair value of these current assets is based on Level 1 criteria in which their carrying amount is a reasonable estimate of their fair value based on daily quoted market prices.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2011, we no longer held any financial instruments measured at fair value on a non-recurring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Oxford, under which we borrowed $15.0 million. The stated interest rate on the loan was 12.87 percent. The effective interest rate on the loan was 18.14 percent.</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under the Loan Agreement were secured by a first priority security interest in substantially all of our assets, other than our intellectual property. We also had agreed not to pledge or otherwise encumber our intellectual property assets. Our obligations under the Loan Agreement are guaranteed on a senior secured basis by Avigen.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Loan Agreement, we issued to Oxford a warrant to purchase up to 198,020 shares of our common stock. This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March 31, 2011, we executed a pay-off letter between us and Oxford, in which we negotiated the repayment of the loan in-full on April 1, 2011 and Oxford agreed to waive the early payment penalty of approximately $437,000.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accounted for the interest on the debt using the effective interest method wherein we treated the debt issuance costs paid directly to the lender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(financing fees) and the relative fair value of the warrants issued to the lender as a discount on the debt (or a contra liability) and we treated the debt issuance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costs paid to third parties (primarily legal fees) as another asset in our consolidated balance sheet. The amortization of the debt discount was recorded as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expense and the amortization of the debt issuance costs paid to third parties was recorded as other expense in our consolidated statement of operations.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 2011, pursuant to a payoff agreement between us and Oxford, we paid Oxford approximately $15.2 million and paid the loan in-full, which resulted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write-off of approximately $0.5 million, which was recorded in our consolidated statement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three and nine months ended September 30, 2011, 3,021,544 and 3,129,420, respectively, and for the three and nine months ended September 30, 2010, 520,627 and 501,492, respectively, of potentially dilutive securities were excluded from determining diluted earnings per share because of their anti-dilutive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authoritative guidance for comprehensive income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6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(55,702)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7"/>
              </w:rPr>
              <w:t>(64,914)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(55,700)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(56,404)</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and 2010, our comprehensive loss was $14,230,819 and $15,187,419, respectively.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70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 </w:t>
      </w:r>
      <w:r>
        <w:rPr>
          <w:rFonts w:ascii="Arial" w:cs="Arial" w:eastAsia="Arial" w:hAnsi="Arial"/>
          <w:sz w:val="15"/>
          <w:szCs w:val="15"/>
          <w:b w:val="1"/>
          <w:bCs w:val="1"/>
          <w:i w:val="1"/>
          <w:iCs w:val="1"/>
          <w:color w:val="auto"/>
        </w:rPr>
        <w:t>Accrued Expenses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rendered, contractual factors such as milestones or retainer fees and the invoices received from our external service providers. Accrued expenses consist of the following:</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584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708,703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766,886</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366,311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226,362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China JV capital contribution payable (See Note 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164,756</w:t>
            </w:r>
          </w:p>
        </w:tc>
        <w:tc>
          <w:tcPr>
            <w:tcW w:w="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140,025</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1,889,770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1,133,273</w:t>
            </w:r>
          </w:p>
        </w:tc>
      </w:tr>
      <w:tr>
        <w:trPr>
          <w:trHeight w:val="20"/>
        </w:trPr>
        <w:tc>
          <w:tcPr>
            <w:tcW w:w="5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Payments</w:t>
      </w:r>
    </w:p>
    <w:p>
      <w:pPr>
        <w:spacing w:after="0" w:line="9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For the three months ended September 30, 2011 and 2010, share-based compensation expense related to stock options of approximately $483,000 and $435,000, respectively, was recorded as a component of general and administrative expense, and approximately $115,000 and $101,000, respectively, was recorded as research and development expense. For the nine months ended September 30, 2011 and 2010, share-based compensation expense related to stock options of approximately $728,000 and $1,307,000, respectively, was recorded as a component of general and administrative expense, and approximately $203,000 and $295,000, respectively, was recorded as research and development expense.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three and nine months ended September 30, 2011, stock options to purchase 921 shares of common stock and 32,836 shares of common stock, respectively, were exercised for approximately $2,000 and $76,000, respectively. As of September 30, 2011, there was $3.0 million of unamortized compensation cost related to unvested stock option awards, which is expected to be recognized over a remaining weighted-average vesting period of 3.5 years.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three and nine months ended September 30, 2011, respectively, options to purchase 1,412,000 shares of common stock and 1,416,000 shares of common stock, were granted. No stock options were granted in the three months ended September 30, 2010. During the nine months ended September 30, 2010, options to purchase 525,000 shares of common stock were granted. The exercise price of all options granted was equal to market value on the date of grant and the share-based compensation expense for such stock options is reflected in operating results for the three and nine months ended September 30, 2011. The estimated fair value of each stock option award was determined on the date of grant using the Black-Scholes option valuation model with the following weighted-average assumptions for stock option grants: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Pr>
          <w:p>
            <w:pPr>
              <w:spacing w:after="0"/>
              <w:rPr>
                <w:sz w:val="14"/>
                <w:szCs w:val="14"/>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Three Months Ended</w:t>
            </w: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4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September 30, 2011</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September 30, 2010</w:t>
            </w:r>
          </w:p>
        </w:tc>
        <w:tc>
          <w:tcPr>
            <w:tcW w:w="7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2011</w:t>
            </w:r>
          </w:p>
        </w:tc>
        <w:tc>
          <w:tcPr>
            <w:tcW w:w="7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2010</w:t>
            </w:r>
          </w:p>
        </w:tc>
        <w:tc>
          <w:tcPr>
            <w:tcW w:w="200" w:type="dxa"/>
            <w:vAlign w:val="bottom"/>
            <w:tcBorders>
              <w:bottom w:val="single" w:sz="8" w:color="CCEEFF"/>
            </w:tcBorders>
          </w:tcPr>
          <w:p>
            <w:pPr>
              <w:spacing w:after="0"/>
              <w:rPr>
                <w:sz w:val="14"/>
                <w:szCs w:val="14"/>
                <w:color w:val="auto"/>
              </w:rPr>
            </w:pPr>
          </w:p>
        </w:tc>
      </w:tr>
      <w:tr>
        <w:trPr>
          <w:trHeight w:val="210"/>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- 0.71%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- 0.94%</w:t>
            </w: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77.71% - 79.07%</w:t>
            </w:r>
          </w:p>
        </w:tc>
        <w:tc>
          <w:tcPr>
            <w:tcW w:w="6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w w:val="91"/>
              </w:rPr>
              <w:t>76.84% - 79.07%</w:t>
            </w:r>
          </w:p>
        </w:tc>
        <w:tc>
          <w:tcPr>
            <w:tcW w:w="7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300" w:type="dxa"/>
            <w:vAlign w:val="bottom"/>
          </w:tcPr>
          <w:p>
            <w:pPr>
              <w:jc w:val="right"/>
              <w:ind w:right="59"/>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n/a</w:t>
            </w: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4.40</w:t>
            </w:r>
          </w:p>
        </w:tc>
        <w:tc>
          <w:tcPr>
            <w:tcW w:w="7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r>
      <w:tr>
        <w:trPr>
          <w:trHeight w:val="356"/>
        </w:trPr>
        <w:tc>
          <w:tcPr>
            <w:tcW w:w="4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and nine months ended September 30, 2011 was based on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We have very few employees and our stock options vest monthly; therefore, we did not estimate any forfeitures during 2011, and we will adjust our stock-based compensation expense should any forfeitures occur. The weighted-average fair value of each stock option granted during the three and nine months ended September 30, 2011, estimated as of the grant date using the Black-Scholes option valuation model, was $1.47 and $1.47, respectively, per stock option, whereas the weighted-average fair value of each stock option granted during the nine months ended September 30, 2010, estimated as of the grant date using the Black-Scholes option valuation model, was $4.02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accordance with the authoritative guidance for income taxes,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September 30, 2011 and we have not recorded any uncertain income tax benefits at September 30, 2011.</w:t>
      </w:r>
    </w:p>
    <w:p>
      <w:pPr>
        <w:spacing w:after="0" w:line="207" w:lineRule="exact"/>
        <w:rPr>
          <w:sz w:val="20"/>
          <w:szCs w:val="20"/>
          <w:color w:val="auto"/>
        </w:rPr>
      </w:pPr>
    </w:p>
    <w:p>
      <w:pPr>
        <w:ind w:right="8660" w:firstLine="8"/>
        <w:spacing w:after="0" w:line="391" w:lineRule="auto"/>
        <w:tabs>
          <w:tab w:leader="none" w:pos="26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March 3, 2011, we received a legal letter from a former employee who had been terminated in January 2011 pursuant to our planned reduction-in-force in which certain allegations were made. On July 8, 2011, the former employee filed a lawsuit in the Superior Court of the State of California, County of San Diego, asserting certain claims related to the Company’s work environment and the employee’s termination. We have engaged legal counsel in this matter. Given the inherent uncertainty and unpredictability of litigation, no range of loss or possible loss can be reasonably estimated. However, we do not expect the outcome of this matter to have a material adverse effect on our consolidated financial statements.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580" w:firstLine="8"/>
        <w:spacing w:after="0" w:line="391" w:lineRule="auto"/>
        <w:tabs>
          <w:tab w:leader="none" w:pos="25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changes in stock options outstanding under the 2000 Plan and 2004 Plan during the nine months ended September 30, 2011 is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2,280,931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1,416,000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(32,836)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(574,913)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3,089,182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aggregate intrinsic value of stock options exercised during the nine months ended September 30, 2011 was approximately $5,200.The aggregate intrinsic value of stock options outstanding at September 30, 2011 and exercisable at September 30, 2011 was approximately $2,400. Of the total stock options outstanding as of September 30, 2011, options to purchase 1,475,188 shares of common stock are exercisable, with a weighted average exercise price of $8.18 per share and a weighted average contractual life of 6.2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assumptions were used to value the September 30, 2011 employee stock purchases: a risk-free interest rate of 0.12 percent, expected volatility of 78 percent, expected term of six months and a dividend rate of 0 percent. For the three and nine months ended September 30, 2011, 2,309 and 4,135 shares of common stock, respectively, were issued under the ESPP and 269,992 shares of common stock were available for future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conversion notices, which were irrevocable, instructing the trustee to convert such convertible notes into shares of our common stock at an initial conversion price of $6.80 per share. Following each conversion date, which date generally was the final business day of each calendar month, we would issue the number of whole shares of common stock issuable upon conversion as promptly as practicable (and in any event within 10 business days). The trustee would in turn release to us the respective amount of restricted cash to cover the stock issuance. We would then invest the unrestricted cash into either a money market fund or a money market account. Any fractional shares (after aggregating all convertible notes being converted by a holder on such date) would be rounded down and we would deliver cash for the current market value of the fractional share. For the nine months ended September 30, 2011, approximately $76,000, of convertible notes was converted into 11,246 shares of our common stock. All remaining convertible notes expired on June 18,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have a five-year term and an exercise price of $3.56 per share. On March 24, 2011, the underwriter exercised 50,666 units of its 412,500 unit overallotment. On March 29, 2011, we received net proceeds of approximately $7.7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5, 2011, we entered into an at-the-market issuance sales agreement, or ATM, with McNicoll, Lewis &amp; Vlak LLC, or MLV, pursuant to which we may issue and sell shares of our common stock having an aggregate offering price of up to $15.0 million from time to time through MLV as our sales agent. The issuance and sale of these shares by us under the ATM, if any, would be subject to the effectiveness of our shelf registration statement on Form S-3 (File No. 333-163116), initially filed with the Securities and Exchange Commission on November 13, 2009.</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For the three and nine months ended September 30, 2011 we have not issued any shares of common stock under the ATM. On October 13, 2011, we terminated the ATM (see Footnote 12, Subsequent Events) and from October 1 through October 13, 2011, no shares of common stock were issued under the ATM.</w:t>
      </w:r>
    </w:p>
    <w:p>
      <w:pPr>
        <w:spacing w:after="0" w:line="215" w:lineRule="exact"/>
        <w:rPr>
          <w:sz w:val="20"/>
          <w:szCs w:val="20"/>
          <w:color w:val="auto"/>
        </w:rPr>
      </w:pPr>
    </w:p>
    <w:p>
      <w:pPr>
        <w:ind w:right="9720" w:firstLine="8"/>
        <w:spacing w:after="0" w:line="417" w:lineRule="auto"/>
        <w:tabs>
          <w:tab w:leader="none" w:pos="26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Kissei Stock Purchase</w:t>
      </w:r>
    </w:p>
    <w:p>
      <w:pPr>
        <w:spacing w:after="0" w:line="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 October 13,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at a price of $25.00 per share. The Purchase Agreement contained customary representations, warranties and covenants. In October we received gross proceeds of approximately $7.5 million related to this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Kissei Clinical Development Agreement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13, 2011, we entered into a clinical development agreement, by and between us and Kissei, in which Kissei will pay us a total of $2.5 million for conducting two studies as defined in the agreement. We will be responsible for any and all other costs incurred in relation to the performance of the studies. In October we received the $2.5 million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MLV ATM</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13, 2011, we terminated, effective as of October 23, 2011, the ATM between us and MLV. From October 1 through October 23, 2011, no shares of common stock were issued under the ATM.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2010 included in our Annual Report on Form 10-K filed with the Securities and Exchange Commission, or SEC, on March 31, 2011. Past operating results are not necessarily indicative of results that may occur in future periods.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a development stage company. We have sustained significant losses since our inception. At September 30, 2011, from inception, our accumulated deficit was approximately $281.8 million, including $49.2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product development programs and acquiring or in-licensing products, technologies or businesses that are complementary to our own. While there can be no assurances given, we believe with the receipt of funds upon the closing of the stock purchase agreement and the clinical development agreement (see subsequent events below), our working capital to be sufficient to fund our operations through at least September 30, 2012.</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acquired licenses to eight compounds for the development of ten product candidates. which include clinical development for the treatment of acute exacerbations of asthma, MS, bronchial asthma, IC, solid tumor cancers, Generalized Anxiety Disorders/insomnia, preterm labor and urinary incontinence, and two of which have been in preclinical development for the treatment of thrombotic disorders. In addition, we have expanded our development program for MN-221 for the treatment of COPD exacerbations.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27, 2011, we received final approval for the formation of a joint venture company to develop and commercialize MN-221 in China from the Ministry of Commerce of the People’s Republic of China. Under the terms of the China JV agreement with Zhejiang Medicine Co., Ltd. and Beijing Make-Friend Medicine Technology Co. Ltd., within 90 days of receiving final approval, we are required to contribute approximately $650,000 in return for a 30 percent equity interest in the China JV. As of September 30, 2011, the China JV has not commenced any operations and there are no significant assets or liabilities. As of September 30, 2011, we have recorded a liability on our consolidated balance sheet which represents our required capital contribution payable to the China JV, and we have also recorded a corresponding asset to reflect our investment. The China JV is considered a variable interest entity; however, we will not have a majority of board seats; we will not have any power to direct or significantly influence the actions of the entity; and, any loss or income generated by the entity will be absorbed by the parties according to their percentage ownership of the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60" w:hanging="446"/>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(MN-221-CL-007) in the first quarter of 2009 to evaluate the safety and efficacy of MN-221 in patients with acute exacerbations of asthma treated in the emergency room. The MN-221-CL-007 trial continues to enroll patients. COPD development, which included a Phase 1b clinical trial in patients with stable, moderate to severe COPD, was completed in 2010. Encouraging safety and efficacy data for the -007 trial was reported via press release in the first quarter of 2010 and at the CHEST Society meeting later in 2010. In the third quarter of 2011 we have begun planning an additional Phase 1b COPD clinical trial that is expected to commence enrollment in the fourth quarter of 2011.</w:t>
      </w:r>
    </w:p>
    <w:p>
      <w:pPr>
        <w:spacing w:after="0" w:line="39" w:lineRule="exact"/>
        <w:rPr>
          <w:rFonts w:ascii="Arial" w:cs="Arial" w:eastAsia="Arial" w:hAnsi="Arial"/>
          <w:sz w:val="16"/>
          <w:szCs w:val="16"/>
          <w:color w:val="auto"/>
        </w:rPr>
      </w:pPr>
    </w:p>
    <w:p>
      <w:pPr>
        <w:ind w:left="900" w:hanging="446"/>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MN-166/AV411, for which we continue to integrate the two product development programs into a combined ibudilast-based product development program to pursue discussions with potential partners or other strategic collaboration(s). MN-166 has completed a Phase 2 clinical trial in MS in Eastern Europe in 2008 wherein positive safety and neuroprotective efficacy indicators were obtained, thus, directing next stage development towards a Phase 2b progressive MS indication. Limited animal safety and product manufacturing and stability work has been completed or is ongoing. In the drug addiction area, a Phase 1b/2a opioid withdrawal clinical trial funded by the National Institute on Drug Abuse, or NIDA, was completed at the end of 2010 and reported last quarter at the College on Problems of Drug Dependence meeting in Florida. A Phase 1b NIDA-funded clinical trial in methamphetamine-dependent volunteers with expert investigators at UCLA initiated in the fourth quarter of 2010 and is currently enrolling patients. In addition, we announced in August an investigator initiated and funded Phase 2 clinical trial collaboration with a headache and pain specialist in Australia of ibudilast as a potential new pharmacotherapy for medication overuse headache.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to support further clinical development, and plan to keep certain commercialization rights in select markets. In addition, we continue to limit activities for the balance of our existing product development programs in order to focus on our prioritized product development programs. For each of these remaining product development programs, we plan to conduct development activities only to the extent deemed necessary to maintain our license rights or maximize its value while pursuing a variety of initiatives to monetize such programs.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2009, Absolute Merger, Inc., a wholly-owned subsidiary of ours, merged with and into Avigen, with Avigen continuing as the surviving entity and wholly-owned subsidiary of ours. Under the terms of the merger, we issued $29.4 million in secured convertible notes that matured on June 18, 2011, the 18-month anniversary of the closing of the merger. Holders of these convertible notes could convert their notes into our common stock at an initial conversion price of $6.80 per share through May 31, 2011. At the maturity of the convertible notes, the remaining holders were paid out the same per share amount as the Avigen shareholders that elected to receive cash at the merger closing, plus accrued interest, approximately $1.19 per share. As part of the merger consideration, the former Avigen shareholders received approximately $0.04 per share, which was paid in two increments in 2010, and rights under contingent payment rights, or CPR, issued as part of the merger consideration. In March 2011 we paid $0.02 per share to former Avigen shareholders related to the management transition plan CPR.</w:t>
      </w:r>
    </w:p>
    <w:p>
      <w:pPr>
        <w:spacing w:after="0" w:line="11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As a result,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merger agreement. Our annual test date for IPR&amp;D and goodwill impairment is December 31. We operate as one reporting segment and during the nine months ended September 30, 2011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10, 2010, we entered into the Loan Agreement with Oxford, under which we borrowed $15.0 million. The financing was used to satisfy working capital needs, including the continued clinical development of MN-221. The stated interest rate on the loan was 12.87 percent. The effective interest rate on the loan was 18.14 percent when taking into consideration the deferred interest payment, the relative fair value of the warrants issued in connection with the loan and the fees associated with procuring the loan. Pursuant to the Loan Agreement, we issued to Oxford a warrant to purchase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accounted for the interest on the debt under the effective interest method wherein we treated the debt issuance costs paid directly to Oxford and the fair value of the warrants issued to Oxford as a discount on the debt (or a contra liability) and we treated the debt issuance costs paid to third parties as an asset. The related amortization of the debt discount was recorded as interest expense and the amortization of the debt issuance costs paid to third parties was recorded as other expense in our consolidated statement of operations.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March 31, 2011, we executed a pay-off letter between us and Oxford, in which we negotiated the repayment of the loan in-full on April 1, 2011 and Oxford agreed to waive the early payment penalty of approximately $437,000.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January 2011, we had a reduction-in-force, or RIF, to reduce costs. We believe that we remain adequately staffed given our research and development focus and utilization of external resources, and that we are a development stage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Firm Commitment Public Offering</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$7.7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May 5, 2011, we entered into an at-the-market issuance sales agreement, or sales agreement, with McNicoll, Lewis &amp; Vlak LLC, or MLV, pursuant to which we may issue and sell shares of our common stock having an aggregate offering price of up to $15.0 million from time to time through MLV as our sales agent. The issuance and sale of these shares by us under the sales agreement, if any, would be subject to the effectiveness of our shelf registration statement on Form S-3 (File No. 333-163116), initially filed with the Securities and Exchange Commission on November 13, 2009.</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and nine months ended September 30, 2011 we have not issued any shares of common stock under the sales agreement. On October 13, 2011, we terminated the ATM.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6, 2011, we entered into a fifth amendment, the Lease Amendment, of our lease agreement, the Lease, with 4350 La Jolla Village LLC, the Landlord. The Lease Amendment amends the Lease of our headquarters located at 4350 La Jolla Village Drive, Suite 950, San Diego, California, 92122, and extends the Lease term for nine additional months with respect to 5,089 square feet, from August 31, 2011 to May 31, 2012. The Lease Amendment provides that we will pay the Landlord a monthly base rent of $12,468.00 for the premises during the nine-month extension period.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Kissei Stock Purchase</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 October 13,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at a price of $25.00 per share. The Purchase Agreement contained customary representations, warranties and covenants. In October we received gross proceeds of approximately $7.5 million related to this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Kissei Clinical Development Agreement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October 13, 2011, we entered into a clinical development agreement, by and between us and Kissei, in which Kissei will pay us, upfront, a total of $2.5 million for conducting two studies as defined in the agreement. We will be responsible for any and all other costs incurred in relation to the performance of the studies. In October we received the $2.5M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MLV ATM</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13, 2011, we terminated, effective as of October 23, 2011, the ATM between us and MLV. From October 1 through October 23, 2011, no shares of common stock were issued under the ATM.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not generated any revenues from licensing, milestones or product sales to date.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customers. Our agreement with Asahi Kasei Pharma Corporation has been completed, and we terminated our agreement with Argenes, Inc. Therefore, we will not generate any further revenue from these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9"/>
        </w:trPr>
        <w:tc>
          <w:tcPr>
            <w:tcW w:w="6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Candidate</w:t>
            </w:r>
          </w:p>
        </w:tc>
        <w:tc>
          <w:tcPr>
            <w:tcW w:w="540" w:type="dxa"/>
            <w:vAlign w:val="bottom"/>
          </w:tcPr>
          <w:p>
            <w:pPr>
              <w:spacing w:after="0"/>
              <w:rPr>
                <w:sz w:val="12"/>
                <w:szCs w:val="12"/>
                <w:color w:val="auto"/>
              </w:rPr>
            </w:pPr>
          </w:p>
        </w:tc>
        <w:tc>
          <w:tcPr>
            <w:tcW w:w="6460" w:type="dxa"/>
            <w:vAlign w:val="bottom"/>
            <w:gridSpan w:val="2"/>
          </w:tcPr>
          <w:p>
            <w:pPr>
              <w:ind w:left="2120"/>
              <w:spacing w:after="0" w:line="129" w:lineRule="exact"/>
              <w:rPr>
                <w:sz w:val="20"/>
                <w:szCs w:val="20"/>
                <w:color w:val="auto"/>
              </w:rPr>
            </w:pPr>
            <w:r>
              <w:rPr>
                <w:rFonts w:ascii="Arial" w:cs="Arial" w:eastAsia="Arial" w:hAnsi="Arial"/>
                <w:sz w:val="14"/>
                <w:szCs w:val="14"/>
                <w:b w:val="1"/>
                <w:bCs w:val="1"/>
                <w:color w:val="auto"/>
              </w:rPr>
              <w:t>Product Development Program</w:t>
            </w:r>
          </w:p>
        </w:tc>
        <w:tc>
          <w:tcPr>
            <w:tcW w:w="20" w:type="dxa"/>
            <w:vAlign w:val="bottom"/>
          </w:tcPr>
          <w:p>
            <w:pPr>
              <w:spacing w:after="0"/>
              <w:rPr>
                <w:sz w:val="12"/>
                <w:szCs w:val="12"/>
                <w:color w:val="auto"/>
              </w:rPr>
            </w:pPr>
          </w:p>
        </w:tc>
        <w:tc>
          <w:tcPr>
            <w:tcW w:w="52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03"/>
        </w:trPr>
        <w:tc>
          <w:tcPr>
            <w:tcW w:w="1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MN-221</w:t>
            </w:r>
          </w:p>
        </w:tc>
        <w:tc>
          <w:tcPr>
            <w:tcW w:w="6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Acute exacerbations of asthma/ COPD</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$ 1,219</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$ 1,629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$ 4,651</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$ 5,673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MN-166</w:t>
            </w:r>
          </w:p>
        </w:tc>
        <w:tc>
          <w:tcPr>
            <w:tcW w:w="6460" w:type="dxa"/>
            <w:vAlign w:val="bottom"/>
            <w:gridSpan w:val="2"/>
          </w:tcPr>
          <w:p>
            <w:pPr>
              <w:spacing w:after="0"/>
              <w:rPr>
                <w:sz w:val="20"/>
                <w:szCs w:val="20"/>
                <w:color w:val="auto"/>
              </w:rPr>
            </w:pPr>
            <w:r>
              <w:rPr>
                <w:rFonts w:ascii="Arial" w:cs="Arial" w:eastAsia="Arial" w:hAnsi="Arial"/>
                <w:sz w:val="18"/>
                <w:szCs w:val="18"/>
                <w:color w:val="auto"/>
              </w:rPr>
              <w:t>Multiple sclerosis/other CNS disorders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c>
          <w:tcPr>
            <w:tcW w:w="5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MN-001</w:t>
            </w:r>
          </w:p>
        </w:tc>
        <w:tc>
          <w:tcPr>
            <w:tcW w:w="646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MN-305</w:t>
            </w:r>
          </w:p>
        </w:tc>
        <w:tc>
          <w:tcPr>
            <w:tcW w:w="646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MN-246</w:t>
            </w:r>
          </w:p>
        </w:tc>
        <w:tc>
          <w:tcPr>
            <w:tcW w:w="646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MN-462</w:t>
            </w:r>
          </w:p>
        </w:tc>
        <w:tc>
          <w:tcPr>
            <w:tcW w:w="646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$ 1,680</w:t>
            </w:r>
          </w:p>
        </w:tc>
        <w:tc>
          <w:tcPr>
            <w:tcW w:w="5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$ 2,177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$ 6,344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$ 7,431</w:t>
            </w:r>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development programs, MN-221 for the treatment of acute exacerbations of asthma and MN-166 for the treatment of MS. In the third quarter of 2009, we determined to expand the development program for MN-221 to evaluate MN-221 for the treatment of COPD exacerbations. In the second quarter of 2008 we completed the Phase 2 clinical trial of MN-166 ibudilast for the treatment of MS and in December 2009, through the Avigen acquisition, we acquired AV411 ibudilast for the treatment of other CNS disorders. We continue to work on combing the two ibudilast-based development programs and we are pursuing discussions with potential partners, including government funding agencies, to secure a strategic collaboration. As such, we do not plan to undertake any further significant clinical development of MN-166/AV411 until such time that we secure a strategic collaboration to advance the combined ibudilast-based development program. We anticipate that our research and development expenses will increase with respect to MN-221 over the next two quarters as we strive to complete the current clinical trial, MN-221 CL-007, which is set in the emergency room, and commence enrollment of a Phase 1b clinical trial of MN-221 in patients with stable, moderate to severe COPD and other studies related to MN-221. In addition, with respect to MN-166/AV411, in future periods, we will limit expenditures on this development program to those development activities deemed necessary, if any, to maximize its value for purposes of securing a partner for clinical development.</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While we anticipate the enrollment rate for MN-221-CL-007 will be sufficient to allow us to complete this study in the first quarter of 2012, due to the risks inherent in the clinical development process and given that this study is set in the emergency room, we are unable to estimate with certainty when enrollment will be completed or the costs that we will incur in the continued development of this product candidate and that we will complete this study as expected.</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development. As a result, we expect that research and development expenses will remain low for the remainder of our existing product candidates in future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current prioritized product development programs and in raising capital to support those and other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 and ARS Put</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investment securities had consisted of auction rate securities, or ARS, which principally represent insurance notes and portfolios of securities (primarily commercial paper). All of our ARS had AAA ratings at the time of original purchase. As of December 31, 2010, we no longer held any investment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Related Charge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Oxford loan had an original maturity of July 31, 2013, assuming certain affirmative covenants were met as of March 31, 2011. To preserve cash by saving on future interest payments, we negotiated with Oxford early repayment of the loan in-full on April 1, 2011, wherein the prepayment penalty of $437,000 was waived. In recording the loan repayment, we wrote off the unamortized debt discount and debt issuance costs related to the loan, which resulted in a total write-off of approximately $0.5 million being recorded in our statement of operations during the nine months ended September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Loss/(Gain)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date, we have conducted most of our clinical trials in the United States. However, the Phase 2 clinical trial for MN-166 for the treatment of MS that completed in 2008 was conducted in Eastern Europe and the on-going Phase 2 clinical trial in MN-221 for the treatment of acute exacerbations of asthma, had a few clinical sites located in Australia and New Zealand in which certain of the invoices were denominated the Australian dollar and New Zealand dollar, respectively. In addition, we have certain investor relation invoices denominated in Japanese Yen and we have certain manufacturing invoices denominated in British Pound. We have no hedging program to mitigate our foreign exchange exposure. Foreign exchange gain/loss is based on the difference between the exchange rate at the transaction date and the exchange rate at the settlement date, or the balance sheet date if the transaction has not yet been settled.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consisted of accretion related to the convertible notes and the amortization of debt issuance costs paid to third parties.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Interest expense consisted of interest charged on our ARS Loan, interest charged on our long-term debt based on the effective interest method and amortization of debt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Our critical accounting policies and estimates are the same as those noted in our Annual Report on Form 10-K for the year ended December 31, 2010, as filed with the SEC on March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Effective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or FASB, issued updated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and early application is permitted. This updated guidance becomes effective for us in the first quarter of fiscal year 2012. We do not expect the adoption to have a material impact 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2011 and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September 30, 2011 or September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Research and development expenses for the three months ended September 30, 2011 were $1.7 million, a decrease of $0.5 million when compared to $2.2 million for the three months ended September 30, 2010. This decrease in research and development expenses was primarily due to a decrease of $0.4 million in spending on our prioritized asset MN-221 for the treatment of acute exacerbations of asthma and COPD due primarily to the completion of the bioavailability clinical trial and related drug manufacturing in 2010 and a decrease of $0.2 million in unallocated personnel costs primarily due to a reduction in headcount, offset by a $0.1 million increase in spending related to the ibudalist development program.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General and administrative expenses were $2.2 million for the three months ended September 30, 2011, an increase of $0.2 million when compared to $2.0 million for the three months ended September 30, 2010. This increase in general and administrative expenses was due primarily to $0.1 million increase in compensation expense related to employee bonuses and a $0.1 million increase in professional fees due primarily to the establishment of the Chinese JV.</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Related Credit</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debt related credit for the three months ended September 30, 2011 was $1,000, as compared to no credit or charge for the three months ended September 30, 2010. The credit in September 2011 related to a refund of fees received from Oxford.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was no impairment charge or gain on investment securities for the three months ended September 30, 2011, as compared to a net impairment charge on investment securities of $870,000 for the three months ended September 30, 2010. In 2011 we no longer held investment securities.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Foreign exchange gain for the three months ended September 30, 2011 was $9,000, as compared to a foreign exchange gain of $3,000 for the three months ended September 30, 2010. The foreign exchange gain in the current quarter was a result of the revaluation of Japanese yen-denominated liabilities.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expense for the three months ended September 30, 2011 was $0, as compared to $53,000 for the three months ended September 30, 2010. In the third quarter of 2010, other expense related to both accretion on the convertible notes and amortization of debt issuance costs paid to third parties related to the long-term debt. We held no debt or convertible notes in the third quarter of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expense for the three months ended September 30, 2011 was $0, as compared to $659,000 for the three months ended September 30, 2010. In the third quarter of 2011, we held no debt. In 2010, interest expense was comprised of interest charged on the debt using the effective interest method and interest charged on the ARS Loan which was repaid in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Other income for the three months ended September 30, 2011 was $8,000, as compared to $33,000 for the three months ended September 30, 2010. The decrease is due to lower yields earned on invested balances as we converted higher yielding investment securities into cash and cash equivalents during 2011. Our investment balances are currently held in money market accounts and funds to preserve liquidity and principal.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2011 and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nine months ended September 30, 2011 or September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Research and development expenses for the nine months ended September 30, 2011 were $6.3 million, a decrease of $1.1 million when compared to $7.4 million for the nine months ended September 30, 2010. This decrease in research and development expenses was primarily due to a net decrease of $1.0 million in spending on our prioritized asset MN-221 for the treatment of acute exacerbations of asthma and COPD due to the completion of the COPD and bioavailability clinical trials and less drug manufacturing costs, and a decrease of $0.1 million in unallocated personnel costs primarily due to a reduction in headcount.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General and administrative expenses were $6.3 million for the nine months ended September 30, 2011, an increase of $0.2 million when compared to $6.1 million for the nine months ended September 30, 2010. This increase in general and administrative expenses was due primarily to an increase of $0.7 million in compensation costs due to severance payments and bonus accruals and professional fees related to the establishment of the China JV, offset by a $0.5 million decrease in stock based compensation due to fully vested options and a reduction in headcount.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Related Charges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debt related charge for the nine months ended September 30, 2011 was $493,000, as compared to no debt related credits or charges for the nine months ended September 30, 2010. In April 2011, pursuant to the early repayment of our debt with Oxford, we wrote-off the unamortized debt discount and debt issuance costs related to the debt.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was no impairment charge or gain on investment securities for the nine months ended September 30, 2011, as compared to a net impairment charge on investment securities of $813,000 for the nine months ended September 30, 2010. In 2011 we no longer held any investment securities.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Foreign exchange gain for the nine months ended September 30, 2011 was $9,000, as compared to a foreign exchange gain of $1,000 for the nine months ended September 30, 2010. The foreign exchange gain for the nine months ended September 30, 2011 and 2010 relate to the remeasurement of foreign payables.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Other expense for the nine months ended September 30, 2011 was $84,000, as compared to $128,000 for the nine months ended September 30, 2010. Other expense relates to accretion on the convertible notes and amortization of debt issuance costs paid to third parties. The decrease is due to in the debt being paid-off in April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for the nine months ended September 30, 2011 was $1.1 million, as compared to $1.1 million for the nine months ended September 30, 2010. The interest expense in 2011 related to debt repaid in April 2011 and included a lump-sum payment of deferred interest, whereas in 2010 interest expense was related to interest expense on debt, derived under the effective interest method, and interest paid on our ARS Loan in which was repaid in the third quarter of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Other income for the nine months ended September 30, 2011 was $50,000, as compared to $396,000 for the nine months ended September 30, 2010. The decrease is due to a decrease in interest income due to a lower yield earned on invested balances as we converted higher yielding investment securities into cash and cash equivalents, which were invested in money market accounts and funds to preserve liquidity and principal.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incurred losses of $3.9 million and $14.2 million for the three and nine months ended September 30, 2011 and we have incurred losses of $20.2 million, $20.4 million and $21.9 million for the years ended December 31, 2010, 2009, and 2008 respectively. We have an accumulated deficit of $281.8 million as of September 30, 2011. Additionally, we have used net cash of $12.4 million, $17.7 million, $17.0 million and $21.1 million to fund our operating activities for the nine months ended September 30, 2011 and for the years ended December 31, 2010, 2009, and 2008,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To date these operating losses have been funded primarily through the private placement of our equity securities, the public sale of our common stock, debt, the conversion of convertible notes to our common stock and the exercise of founders’ warrants, net of treasury stock repurchases.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any material commitments for capital expenditures; however, we have an on-going 200 patient Phase 2 clinical trial (MN-221-CL-007) for which we expect to complete the study in the first quarter of 2012.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activity levels and the enrollment rate, this could potentially impact R&amp;D expense and cash payments in subsequent periods.</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March 2011 we raised approximately $7.7 million in net proceeds from a firm underwritten public offering in which we offered 2,750,000 units, with each unit consisting of one share of common stock and a warrant to purchase one share of common stock. The purchase price for each unit was $3.00 and each warrant has an exercise price of $3.56 per share. In addition, in March 2011, the underwriter exercised 50,666 units of its 412,500 unit overallotment.</w:t>
      </w:r>
    </w:p>
    <w:p>
      <w:pPr>
        <w:spacing w:after="0" w:line="10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On October 13,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approximately $7.5 million related to this Purchase Agreement.</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October 13, 2011, we entered into a clinical development agreement, by and between us and Kissei, in which Kissei will pay us upfront a total of $2.5 million for conducting two studies as defined in the agreement. We will be responsible for any and all other costs incurred in relation to the performance of these studies. In October we received the $2.5 million.</w:t>
      </w:r>
    </w:p>
    <w:p>
      <w:pPr>
        <w:spacing w:after="0" w:line="14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current cash and cash equivalents, along with the October 2011 proceeds from the Kissei stock purchase agreement and the Kissei clinical development agreement, are our principal sources of liquidity and it is our belief that we will have sufficient cash or other liquidity to fund our operations as currently conducted and staffed for the following 12 months. The accompanying consolidated financial statements have been prepared assuming that we will continue as a going concern.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had, and continue to have, an ongoing need to raise additional cash from outside sources to fund our operations. We have an established history of raising capital through equity and debt. Management plans to continue financing operations with equity issuances, debt arrangements or a combination thereof. If adequate funds are not available, we may be required to delay, reduce the scope of or terminate one or more of our product development programs and/or implement other operating cost reductions, and/or it could result in the termination of license rights related to any of our product candidates.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Cash and cash equivalents as of September 30, 2011 were $8.7 million and were primarily invested in money market interest bearing accounts and money market funds. A hypothetical 10% adverse change in the average interest rate on our money market cash investments and short-term investments would have had no material effect on net income for the year ended September 30,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3, 2011, we received a legal letter from a former employee who had been terminated in January 2011 pursuant to our planned reduction-in-force in which certain allegations were made. On July 8, 2011, the former employee filed a lawsuit in the Superior Court of the State of California, County of San Diego, asserting certain claims related to the Company’s work environment and the employee’s termination. We have engaged legal counsel in this matter. Given the inherent uncertainty and unpredictability of litigation, no range of loss or possible loss can be reasonably estimated. However, we do not expect the outcome of this matter to have a material adverse effect on our consolidated financial statements.</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a development stage biopharmaceutical company with a limited operating history. We have incurred significant net losses since our inception. For the three and nine months ended September 30, 2011, we had a net loss of $3.9 million and $14.2 million, respectively, and our accumulated deficit was approximately $281.8 million. If we are successful in securing a strategic collaboration or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14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our existing cash and cash equivalents at September 30, 2011 and the proceeds from the Kissei Purchase Agreement and Kissei Development Agreement will be sufficient to fund our operations as currently conducted over the next 12 months. However, we will need to successfully raise funds in the near-term either through a corporate partnership or financing transaction if we are to continue further development of our prioritized product development programs.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assumptions may prove to be wrong, and we could spend our available financial resources before we complete our on-going clinical trial. Our future capital requirements will also depend on many factors, including:</w:t>
      </w:r>
    </w:p>
    <w:p>
      <w:pPr>
        <w:spacing w:after="0" w:line="51" w:lineRule="exact"/>
        <w:rPr>
          <w:sz w:val="20"/>
          <w:szCs w:val="20"/>
          <w:color w:val="auto"/>
        </w:rPr>
      </w:pPr>
    </w:p>
    <w:p>
      <w:pPr>
        <w:ind w:left="5620" w:right="3140" w:hanging="5166"/>
        <w:spacing w:after="0" w:line="440" w:lineRule="auto"/>
        <w:tabs>
          <w:tab w:leader="none" w:pos="8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 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September 30, 2011, we had an accumulated deficit of $281.8 million. Our cash and cash equivalents were approximately $8.7 million at September 30, 2011.</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will continue to require us to incur substantial research and development expenses and we do not expect to be able to fund these expenses solely from upfront cash or milestones from collaborations or strategic alliances. As such we may be required to raise capital from one or more sources in the near term to continue our operations at or close to the levels currently conducted. We believe that without raising additional capital soon from accessible sources of financings, we will not otherwise have adequate funding to complete the development of MN-221 including pivotal clinical trials or the commercialization of any products we successfully develop. There is no guarantee that adequate funds will be available when needed from additional debt or equity financing, arrangements with partners, or from other sources, or on terms attractive to us. The inability to obtain sufficient additional funds when needed to fund our operations would require us to significantly delay, scale back, or eliminate some or all of our clinical or regulatory activities, further reduce general and administrative expenses and have a substantial negative effect on our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 successful development and commercialization of products from these product candidates.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MN-166/AV411 until such time that we are able to secure a strategic collaboration to advance the combined product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clinical development programs for MN-221 and MN-166/AV411 may not lead to commercial products for a number of reasons, including our clinical trials’ failure to demonstrate to the FDA’s satisfaction that these product candidates are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0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product candidates are, and will continue to be, subject to extensive government regulations related to development, clinical trials, manufacturing and commercialization. The process of obtaining FDA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Investigational New Drug Applications, or INDs, for seven of our product development programs. Through the acquisition of Avigen, we have assumed responsibility for AV411 clinical trials including one active IND for neuropathic pain and cross-reference and drug product support of the NIDA-funded opioid withdrawal investigator-initiated IND with Columbia University drug addiction clinical researchers. We also have FDA approval for a NIDA-funded investigator-initiated IND with University of California Los Angeles to proceed with an initial trial of our neurological drug candidate, ibudilast (MN-166/AV411), as a potential new pharmacotherapy for methamphetamine addiction. The study will be led by established clinical research investigators in the treatment of drug addiction.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Significant setbacks in advanced clinical trials can be suffered in the pharmaceutical industry even after promising results are obtained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Our enrollment rates have improved since September 30, 2010, we believe, due in part to changes to the protocol that shortened the length of time the patient needed to stay in the ER and that gave the ER physician control over the standard-of-care that was given to the patient during the treatment period. However, there is no assurance that we will complete the study by the end of the first quarter of 2012.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2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or resources to our product development programs, if their performance is substandard, or if any third party is inspected by the FDA and found not to be in compliance with GCPs, the completion of the clinical trial in which they are involved or the progress of the affected development program may be adversely affected.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entered into an agreement with Hospira Worldwide, Inc. for the development and supply of finished product of MN-221 for the treatment of acute exacerbations of asthma and COPD that we intend to use in clinical trials and the commercial market if MN-221 receives regulatory approval. We do not have agreements established regarding commercial supply of finished product of MN-221 in standard vials or for the active pharmaceutical ingredient, or API, or finished product for any of our product candidates. Pursuant to our license agreement with Kissei Pharmaceutical Co. Ltd., we will collaborate with them to successfully negotiate a commercial supply agreement on commercially reasonable terms,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26" w:lineRule="exact"/>
        <w:rPr>
          <w:sz w:val="20"/>
          <w:szCs w:val="20"/>
          <w:color w:val="auto"/>
        </w:rPr>
      </w:pPr>
    </w:p>
    <w:p>
      <w:pPr>
        <w:ind w:right="34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2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payor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continuing health care reform in the U.S. will control or significantly influence the purchase of medical services and products, and may result in inadequate coverage of and reimbursement for our products. Many third-party payors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Increased competition may also lead to a downward pricing pressure. These factors as well as cost containment measures by third-party payors, including government payors could have a material adverse effect on our ability to operate profitably.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the product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ind w:firstLine="456"/>
        <w:spacing w:after="0" w:line="255"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other key personnel to retire or leave employment with the company. Should executive officers or other key personnel leave the Company, these individuals may engage in other businesses that may compete with us.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there may continue to be, a number of legislative and regulatory proposals aimed at changing the health care system. For example, in some countries, pricing of prescription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drugs is subject to government control, and we expect efforts to implement similar controls in the United States to continue. Proposed reform in the way of drug importation into the United States could also adversely affect our business. Moreover, the possibility or the approval of such proposals could result in a decrease in our stock price or our ability to raise capital or obtain strategic partnerships or licenses. More recently, the President signed into law the Patient Protection and Affordable Care Act, which imposes numerous provisions over a four-year period. At this time the impact of this Act on our business is uncertain.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November 9, 2011, we had 14 full-time employees.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some of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Japanese securities laws and rules and regulations of the Jasdaq Market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Our listing obligations under the Jasdaq Market (formerly the Hercules 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2010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and any failure to effectively remediate the material weakness identified as of September 30, 2010 could result in material misstatements in our financial statements.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carrying out the required quarterly evaluation and preparing the financial statements as of September 30, 2010, management identified control overrides and policy deviations by one of our senior executive officers. The following deficiencies in internal control over financial reporting, which collectively represented a material weakness in our internal control over financial reporting, were reported by management to our Audit Committee:</w:t>
      </w:r>
    </w:p>
    <w:p>
      <w:pPr>
        <w:spacing w:after="0" w:line="35" w:lineRule="exact"/>
        <w:rPr>
          <w:sz w:val="20"/>
          <w:szCs w:val="20"/>
          <w:color w:val="auto"/>
        </w:rPr>
      </w:pPr>
    </w:p>
    <w:p>
      <w:pPr>
        <w:ind w:left="900" w:right="5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our Code of Conduct, contract review and approval policies, and certain human resources policies and procedures for employee terminations.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implemented the following remediation plan to address the material weakness and enhance our internal controls:</w:t>
      </w:r>
    </w:p>
    <w:p>
      <w:pPr>
        <w:spacing w:after="0" w:line="62"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assigned additional responsibility to the Compensation Committee, including requirements that the Compensation Committee approve</w:t>
      </w:r>
    </w:p>
    <w:p>
      <w:pPr>
        <w:spacing w:after="0" w:line="38" w:lineRule="exact"/>
        <w:rPr>
          <w:rFonts w:ascii="Arial" w:cs="Arial" w:eastAsia="Arial" w:hAnsi="Arial"/>
          <w:sz w:val="16"/>
          <w:szCs w:val="16"/>
          <w:color w:val="auto"/>
        </w:rPr>
      </w:pPr>
    </w:p>
    <w:p>
      <w:pPr>
        <w:ind w:left="900" w:right="60"/>
        <w:spacing w:after="0" w:line="255" w:lineRule="auto"/>
        <w:rPr>
          <w:rFonts w:ascii="Arial" w:cs="Arial" w:eastAsia="Arial" w:hAnsi="Arial"/>
          <w:sz w:val="16"/>
          <w:szCs w:val="16"/>
          <w:color w:val="auto"/>
        </w:rPr>
      </w:pPr>
      <w:r>
        <w:rPr>
          <w:rFonts w:ascii="Arial" w:cs="Arial" w:eastAsia="Arial" w:hAnsi="Arial"/>
          <w:sz w:val="18"/>
          <w:szCs w:val="18"/>
          <w:color w:val="auto"/>
        </w:rPr>
        <w:t>(1)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13"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In addition, subsequent to September 30, 2010, our Board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and identify any other enhancements to our internal controls that may help prevent future significant deficiencies and/or material weaknesses.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tested our remediation plan with the assistance of a third party and we have conducted an evaluation of the effectiveness of our internal control over financial reporting as of December 31, 2010. The framework on which such evaluation was based is contained in the report entitled “Internal Control – Integrated Framework” issued by the Committee of Sponsoring Organizations of the Treadway Commission (the “COSO Report”). Based on our evaluation under the criteria set forth in the COSO Report, our management concluded our internal control over financial reporting was effective as of December 31, 2010. Our registered public accounting firm issued an audit report on the effectiveness of our internal control over financial reporting as of December 31, 2010 wherein they opined on the effectiveness of our internal control over financial reporting as of December 31, 2010.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significant deficiencies or additional material weaknesses in our internal control are discovered or occur in the future, we may fail to meet our future reporting obligations on a timely basis, our consolidated financial statements may contain material misstatements, we could be required to restate our prior period financial results, our operating results may be harmed, we may be subject to class action litigation and, our common stock could be delisted from Nasdaq and the Jasdaq Market of the OSE.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product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2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have no assurance that we will be able to secure such a strategic collaboration or otherwise further advance, or recognize value from, a combined MN-166/AV411 clinical development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us to receive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2" w:lineRule="exact"/>
        <w:rPr>
          <w:sz w:val="20"/>
          <w:szCs w:val="20"/>
          <w:color w:val="auto"/>
        </w:rPr>
      </w:pPr>
    </w:p>
    <w:p>
      <w:pPr>
        <w:ind w:left="900" w:right="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September 2011, our average trading volume was approximately 12,000 shares per day on the Nasdaq Global Market and approximately 32,000 shares per day on the Jasdaq Market.</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September 30, 2011, our common stock has traded as high as approximately $42.00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and as low as approximately $1.40. The following factors, in addition to other risk factors described in this section, may have a significant impact on the market price of our common stock:</w:t>
      </w:r>
    </w:p>
    <w:p>
      <w:pPr>
        <w:spacing w:after="0" w:line="51" w:lineRule="exact"/>
        <w:rPr>
          <w:sz w:val="20"/>
          <w:szCs w:val="20"/>
          <w:color w:val="auto"/>
        </w:rPr>
      </w:pPr>
    </w:p>
    <w:p>
      <w:pPr>
        <w:ind w:left="900" w:right="4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and the existence of our stockholder rights plan may make an acquisition of us more complicated and the removal and replacement of our directors and management more difficult.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we adopted a stockholder rights plan in November 2006, pursuant to which each share of our common stock includes an attached preferred stock purchase right, that is designed to impede takeover transactions that are not supported by our board of directors.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2.</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297"/>
        </w:trPr>
        <w:tc>
          <w:tcPr>
            <w:tcW w:w="100" w:type="dxa"/>
            <w:vAlign w:val="bottom"/>
          </w:tcPr>
          <w:p>
            <w:pPr>
              <w:spacing w:after="0"/>
              <w:rPr>
                <w:sz w:val="24"/>
                <w:szCs w:val="24"/>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9"/>
              </w:rPr>
              <w:t>None.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500"/>
        </w:trPr>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3.</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100" w:type="dxa"/>
            <w:vAlign w:val="bottom"/>
          </w:tcPr>
          <w:p>
            <w:pPr>
              <w:spacing w:after="0"/>
              <w:rPr>
                <w:sz w:val="24"/>
                <w:szCs w:val="24"/>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9"/>
              </w:rPr>
              <w:t>None.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500"/>
        </w:trPr>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4.</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(REMOVED AND RESERVED).</w:t>
            </w:r>
          </w:p>
        </w:tc>
      </w:tr>
      <w:tr>
        <w:trPr>
          <w:trHeight w:val="500"/>
        </w:trPr>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5.</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100" w:type="dxa"/>
            <w:vAlign w:val="bottom"/>
          </w:tcPr>
          <w:p>
            <w:pPr>
              <w:spacing w:after="0"/>
              <w:rPr>
                <w:sz w:val="24"/>
                <w:szCs w:val="24"/>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9"/>
              </w:rPr>
              <w:t>None.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500"/>
        </w:trPr>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Exhibit</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220" w:type="dxa"/>
            <w:vAlign w:val="bottom"/>
          </w:tcPr>
          <w:p>
            <w:pPr>
              <w:spacing w:after="0"/>
              <w:rPr>
                <w:sz w:val="14"/>
                <w:szCs w:val="14"/>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71"/>
              </w:rPr>
              <w:t>10.45(1)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Lease Agreement, dated July 6, 2011, by and between MediciNova, Inc. and 4350 La Jolla Village LLC.</w:t>
            </w:r>
          </w:p>
        </w:tc>
      </w:tr>
      <w:tr>
        <w:trPr>
          <w:trHeight w:val="316"/>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10.46(2)</w:t>
            </w: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98"/>
              </w:rPr>
              <w:t>Stock Purchase Agreement, dated September 26, 2011, by and between MediciNova, Inc. and Kissei Pharmaceutical Co. Ltd.</w:t>
            </w:r>
          </w:p>
        </w:tc>
      </w:tr>
      <w:tr>
        <w:trPr>
          <w:trHeight w:val="324"/>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10.47(3)</w:t>
            </w: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96"/>
              </w:rPr>
              <w:t>Consulting Agreement for Chief Financial Officer, dated September 1, 2011, by and between MediciNova, Inc. and FLG Partners.</w:t>
            </w:r>
          </w:p>
        </w:tc>
      </w:tr>
      <w:tr>
        <w:trPr>
          <w:trHeight w:val="318"/>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September 30,</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2011.</w:t>
            </w:r>
          </w:p>
        </w:tc>
        <w:tc>
          <w:tcPr>
            <w:tcW w:w="9220" w:type="dxa"/>
            <w:vAlign w:val="bottom"/>
          </w:tcPr>
          <w:p>
            <w:pPr>
              <w:spacing w:after="0"/>
              <w:rPr>
                <w:sz w:val="19"/>
                <w:szCs w:val="19"/>
                <w:color w:val="auto"/>
              </w:rPr>
            </w:pPr>
          </w:p>
        </w:tc>
      </w:tr>
      <w:tr>
        <w:trPr>
          <w:trHeight w:val="318"/>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September 30,</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2011.</w:t>
            </w:r>
          </w:p>
        </w:tc>
        <w:tc>
          <w:tcPr>
            <w:tcW w:w="9220" w:type="dxa"/>
            <w:vAlign w:val="bottom"/>
          </w:tcPr>
          <w:p>
            <w:pPr>
              <w:spacing w:after="0"/>
              <w:rPr>
                <w:sz w:val="19"/>
                <w:szCs w:val="19"/>
                <w:color w:val="auto"/>
              </w:rPr>
            </w:pP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92"/>
              </w:rPr>
              <w:t>The following financial statements from the MediciNova, Inc. Quarterly Report on Form 10-Q for the quarter ended September 30, 2011</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00" w:type="dxa"/>
            <w:vAlign w:val="bottom"/>
            <w:gridSpan w:val="3"/>
          </w:tcPr>
          <w:p>
            <w:pPr>
              <w:ind w:left="380"/>
              <w:spacing w:after="0"/>
              <w:rPr>
                <w:sz w:val="20"/>
                <w:szCs w:val="20"/>
                <w:color w:val="auto"/>
              </w:rPr>
            </w:pPr>
            <w:r>
              <w:rPr>
                <w:rFonts w:ascii="Arial" w:cs="Arial" w:eastAsia="Arial" w:hAnsi="Arial"/>
                <w:sz w:val="18"/>
                <w:szCs w:val="18"/>
                <w:color w:val="auto"/>
                <w:w w:val="88"/>
              </w:rPr>
              <w:t>formatted in Extensible Business Reporting Language (XBRL): (i) Consolidated Balance Sheets; (ii) Consolidated Statements of Operations;</w:t>
            </w:r>
          </w:p>
        </w:tc>
      </w:tr>
    </w:tbl>
    <w:p>
      <w:pPr>
        <w:ind w:left="1660" w:hanging="315"/>
        <w:spacing w:after="0"/>
        <w:tabs>
          <w:tab w:leader="none" w:pos="1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Consolidated Statements of Cash Flows; and (iv) the notes to the consolidated financial statements (tagged as block text).</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12,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8, 2011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680" w:val="left"/>
          <w:tab w:leader="none" w:pos="8040" w:val="left"/>
          <w:tab w:leader="none" w:pos="838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Yuichi Iwaki, M.D., Ph.D.</w:t>
      </w:r>
    </w:p>
    <w:p>
      <w:pPr>
        <w:jc w:val="center"/>
        <w:ind w:left="60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5700"/>
        <w:spacing w:after="0"/>
        <w:tabs>
          <w:tab w:leader="none" w:pos="780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Michael Gennaro</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06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80"/>
          </w:cols>
          <w:pgMar w:left="240" w:top="459" w:right="8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20" w:type="dxa"/>
            <w:vAlign w:val="bottom"/>
          </w:tcPr>
          <w:p>
            <w:pPr>
              <w:ind w:left="27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00" w:type="dxa"/>
            <w:vAlign w:val="bottom"/>
          </w:tcPr>
          <w:p>
            <w:pPr>
              <w:spacing w:after="0"/>
              <w:rPr>
                <w:sz w:val="24"/>
                <w:szCs w:val="24"/>
                <w:color w:val="auto"/>
              </w:rPr>
            </w:pPr>
          </w:p>
        </w:tc>
        <w:tc>
          <w:tcPr>
            <w:tcW w:w="1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Exhibit</w:t>
            </w: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220" w:type="dxa"/>
            <w:vAlign w:val="bottom"/>
          </w:tcPr>
          <w:p>
            <w:pPr>
              <w:spacing w:after="0"/>
              <w:rPr>
                <w:sz w:val="14"/>
                <w:szCs w:val="14"/>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74"/>
              </w:rPr>
              <w:t>10.45(1)</w:t>
            </w: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Lease Agreement, dated July 6, 2011, by and between MediciNova, Inc. and 4350 La Jolla Village LLC.</w:t>
            </w:r>
          </w:p>
        </w:tc>
      </w:tr>
      <w:tr>
        <w:trPr>
          <w:trHeight w:val="316"/>
        </w:trPr>
        <w:tc>
          <w:tcPr>
            <w:tcW w:w="1380" w:type="dxa"/>
            <w:vAlign w:val="bottom"/>
            <w:gridSpan w:val="3"/>
          </w:tcPr>
          <w:p>
            <w:pPr>
              <w:ind w:left="100"/>
              <w:spacing w:after="0"/>
              <w:rPr>
                <w:sz w:val="20"/>
                <w:szCs w:val="20"/>
                <w:color w:val="auto"/>
              </w:rPr>
            </w:pPr>
            <w:r>
              <w:rPr>
                <w:rFonts w:ascii="Arial" w:cs="Arial" w:eastAsia="Arial" w:hAnsi="Arial"/>
                <w:sz w:val="18"/>
                <w:szCs w:val="18"/>
                <w:color w:val="auto"/>
              </w:rPr>
              <w:t>10.46(2)</w:t>
            </w:r>
          </w:p>
        </w:tc>
        <w:tc>
          <w:tcPr>
            <w:tcW w:w="9920" w:type="dxa"/>
            <w:vAlign w:val="bottom"/>
            <w:gridSpan w:val="2"/>
          </w:tcPr>
          <w:p>
            <w:pPr>
              <w:spacing w:after="0"/>
              <w:rPr>
                <w:sz w:val="20"/>
                <w:szCs w:val="20"/>
                <w:color w:val="auto"/>
              </w:rPr>
            </w:pPr>
            <w:r>
              <w:rPr>
                <w:rFonts w:ascii="Arial" w:cs="Arial" w:eastAsia="Arial" w:hAnsi="Arial"/>
                <w:sz w:val="18"/>
                <w:szCs w:val="18"/>
                <w:color w:val="auto"/>
                <w:w w:val="98"/>
              </w:rPr>
              <w:t>Stock Purchase Agreement, dated September 26, 2011, by and between MediciNova, Inc. and Kissei Pharmaceutical Co. Ltd.</w:t>
            </w:r>
          </w:p>
        </w:tc>
      </w:tr>
      <w:tr>
        <w:trPr>
          <w:trHeight w:val="324"/>
        </w:trPr>
        <w:tc>
          <w:tcPr>
            <w:tcW w:w="1380" w:type="dxa"/>
            <w:vAlign w:val="bottom"/>
            <w:gridSpan w:val="3"/>
          </w:tcPr>
          <w:p>
            <w:pPr>
              <w:ind w:left="100"/>
              <w:spacing w:after="0"/>
              <w:rPr>
                <w:sz w:val="20"/>
                <w:szCs w:val="20"/>
                <w:color w:val="auto"/>
              </w:rPr>
            </w:pPr>
            <w:r>
              <w:rPr>
                <w:rFonts w:ascii="Arial" w:cs="Arial" w:eastAsia="Arial" w:hAnsi="Arial"/>
                <w:sz w:val="18"/>
                <w:szCs w:val="18"/>
                <w:color w:val="auto"/>
              </w:rPr>
              <w:t>10.47(3)</w:t>
            </w:r>
          </w:p>
        </w:tc>
        <w:tc>
          <w:tcPr>
            <w:tcW w:w="9920" w:type="dxa"/>
            <w:vAlign w:val="bottom"/>
            <w:gridSpan w:val="2"/>
          </w:tcPr>
          <w:p>
            <w:pPr>
              <w:spacing w:after="0"/>
              <w:rPr>
                <w:sz w:val="20"/>
                <w:szCs w:val="20"/>
                <w:color w:val="auto"/>
              </w:rPr>
            </w:pPr>
            <w:r>
              <w:rPr>
                <w:rFonts w:ascii="Arial" w:cs="Arial" w:eastAsia="Arial" w:hAnsi="Arial"/>
                <w:sz w:val="18"/>
                <w:szCs w:val="18"/>
                <w:color w:val="auto"/>
                <w:w w:val="96"/>
              </w:rPr>
              <w:t>Consulting Agreement for Chief Financial Officer, dated September 1, 2011, by and between MediciNova, Inc. and FLG Partners.</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September 30,</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9220" w:type="dxa"/>
            <w:vAlign w:val="bottom"/>
          </w:tcPr>
          <w:p>
            <w:pPr>
              <w:spacing w:after="0"/>
              <w:rPr>
                <w:sz w:val="19"/>
                <w:szCs w:val="19"/>
                <w:color w:val="auto"/>
              </w:rPr>
            </w:pP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September 30,</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9220" w:type="dxa"/>
            <w:vAlign w:val="bottom"/>
          </w:tcPr>
          <w:p>
            <w:pPr>
              <w:spacing w:after="0"/>
              <w:rPr>
                <w:sz w:val="19"/>
                <w:szCs w:val="19"/>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2"/>
              </w:rPr>
              <w:t>The following financial statements from the MediciNova, Inc. Quarterly Report on Form 10-Q for the quarter ended September 30, 2011</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8"/>
              </w:rPr>
              <w:t>formatted in Extensible Business Reporting Language (XBRL): (i) Consolidated Balance Sheets; (ii) Consolidated Statements of Operations;</w:t>
            </w:r>
          </w:p>
        </w:tc>
      </w:tr>
    </w:tbl>
    <w:p>
      <w:pPr>
        <w:ind w:left="1700" w:hanging="314"/>
        <w:spacing w:after="0"/>
        <w:tabs>
          <w:tab w:leader="none" w:pos="17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Consolidated Statements of Cash Flows; and (iv) the notes to the consolidated financial statements (tagged as block text).</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12,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8, 2011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45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2011,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7"/>
    </w:lvl>
  </w:abstractNum>
  <w:abstractNum w:abstractNumId="4">
    <w:nsid w:val="75A2A8D4"/>
    <w:multiLevelType w:val="hybridMultilevel"/>
    <w:lvl w:ilvl="0">
      <w:lvlJc w:val="left"/>
      <w:lvlText w:val="%1."/>
      <w:numFmt w:val="decimal"/>
      <w:start w:val="10"/>
    </w:lvl>
  </w:abstractNum>
  <w:abstractNum w:abstractNumId="5">
    <w:nsid w:val="8EDBDAB"/>
    <w:multiLevelType w:val="hybridMultilevel"/>
    <w:lvl w:ilvl="0">
      <w:lvlJc w:val="left"/>
      <w:lvlText w:val="%1."/>
      <w:numFmt w:val="decimal"/>
      <w:start w:val="11"/>
    </w:lvl>
  </w:abstractNum>
  <w:abstractNum w:abstractNumId="6">
    <w:nsid w:val="79838CB2"/>
    <w:multiLevelType w:val="hybridMultilevel"/>
    <w:lvl w:ilvl="0">
      <w:lvlJc w:val="left"/>
      <w:lvlText w:val="%1."/>
      <w:numFmt w:val="decimal"/>
      <w:start w:val="1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lvl w:ilvl="1">
      <w:lvlJc w:val="left"/>
      <w:lvlText w:val="(%2)"/>
      <w:numFmt w:val="lowerRoman"/>
      <w:start w:val="3"/>
    </w:lvl>
  </w:abstractNum>
  <w:abstractNum w:abstractNumId="34">
    <w:nsid w:val="5E884ADC"/>
    <w:multiLevelType w:val="hybridMultilevel"/>
    <w:lvl w:ilvl="0">
      <w:lvlJc w:val="left"/>
      <w:lvlText w:val="(%1)"/>
      <w:numFmt w:val="decimal"/>
      <w:start w:val="1"/>
    </w:lvl>
    <w:lvl w:ilvl="1">
      <w:lvlJc w:val="left"/>
      <w:lvlText w:val="%2"/>
      <w:numFmt w:val="lowerRoman"/>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lvl w:ilvl="1">
      <w:lvlJc w:val="left"/>
      <w:lvlText w:val="(%2)"/>
      <w:numFmt w:val="lowerRoman"/>
      <w:start w:val="3"/>
    </w:lvl>
  </w:abstractNum>
  <w:abstractNum w:abstractNumId="37">
    <w:nsid w:val="580BD78F"/>
    <w:multiLevelType w:val="hybridMultilevel"/>
    <w:lvl w:ilvl="0">
      <w:lvlJc w:val="left"/>
      <w:lvlText w:val="(%1)"/>
      <w:numFmt w:val="decimal"/>
      <w:start w:val="1"/>
    </w:lvl>
    <w:lvl w:ilvl="1">
      <w:lvlJc w:val="left"/>
      <w:lvlText w:val="%2"/>
      <w:numFmt w:val="lowerRoman"/>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2019-12-10T23:01:46Z</dcterms:created>
  <dcterms:modified xsi:type="dcterms:W3CDTF">2019-12-10T23:01:46Z</dcterms:modified>
</cp:coreProperties>
</file>