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5" w:lineRule="exact"/>
        <w:rPr>
          <w:rFonts w:ascii="MS PGothic" w:cs="MS PGothic" w:eastAsia="MS PGothic" w:hAnsi="MS PGothic"/>
          <w:sz w:val="18"/>
          <w:szCs w:val="18"/>
          <w:color w:val="auto"/>
          <w:highlight w:val="black"/>
        </w:rPr>
      </w:pPr>
    </w:p>
    <w:p>
      <w:pPr>
        <w:ind w:left="35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QUARTERLY PERIOD ENDED JUNE 30, 2025</w:t>
      </w:r>
    </w:p>
    <w:p>
      <w:pPr>
        <w:spacing w:after="0" w:line="9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14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MEDICINOVA,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00" w:type="dxa"/>
        <w:tblCellMar>
          <w:top w:w="0" w:type="dxa"/>
          <w:left w:w="0" w:type="dxa"/>
          <w:bottom w:w="0" w:type="dxa"/>
          <w:right w:w="0" w:type="dxa"/>
        </w:tblCellMar>
      </w:tblPr>
      <w:tr>
        <w:trPr>
          <w:trHeight w:val="214"/>
        </w:trPr>
        <w:tc>
          <w:tcPr>
            <w:tcW w:w="448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8"/>
        </w:trPr>
        <w:tc>
          <w:tcPr>
            <w:tcW w:w="448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jc w:val="center"/>
              <w:ind w:left="1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44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4275 Executive Square, Suite 300</w:t>
            </w:r>
          </w:p>
        </w:tc>
        <w:tc>
          <w:tcPr>
            <w:tcW w:w="3080" w:type="dxa"/>
            <w:vAlign w:val="bottom"/>
          </w:tcPr>
          <w:p>
            <w:pPr>
              <w:spacing w:after="0"/>
              <w:rPr>
                <w:sz w:val="24"/>
                <w:szCs w:val="24"/>
                <w:color w:val="auto"/>
              </w:rPr>
            </w:pPr>
          </w:p>
        </w:tc>
      </w:tr>
      <w:tr>
        <w:trPr>
          <w:trHeight w:val="214"/>
        </w:trPr>
        <w:tc>
          <w:tcPr>
            <w:tcW w:w="448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La Jolla, CA</w:t>
            </w:r>
          </w:p>
        </w:tc>
        <w:tc>
          <w:tcPr>
            <w:tcW w:w="30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0"/>
        </w:trPr>
        <w:tc>
          <w:tcPr>
            <w:tcW w:w="448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373-1500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260" w:type="dxa"/>
            <w:vAlign w:val="bottom"/>
          </w:tcPr>
          <w:p>
            <w:pPr>
              <w:spacing w:after="0"/>
              <w:rPr>
                <w:sz w:val="15"/>
                <w:szCs w:val="15"/>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MNOV</w:t>
            </w:r>
          </w:p>
        </w:tc>
        <w:tc>
          <w:tcPr>
            <w:tcW w:w="120" w:type="dxa"/>
            <w:vAlign w:val="bottom"/>
          </w:tcPr>
          <w:p>
            <w:pPr>
              <w:spacing w:after="0"/>
              <w:rPr>
                <w:sz w:val="15"/>
                <w:szCs w:val="15"/>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22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 w:type="dxa"/>
            <w:vAlign w:val="bottom"/>
          </w:tcPr>
          <w:p>
            <w:pPr>
              <w:spacing w:after="0"/>
              <w:rPr>
                <w:sz w:val="19"/>
                <w:szCs w:val="19"/>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12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bl>
    <w:p>
      <w:pPr>
        <w:spacing w:after="0" w:line="80"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-229235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289" w:right="339" w:bottom="1440" w:gutter="0" w:footer="0" w:header="0"/>
        </w:sectPr>
      </w:pPr>
    </w:p>
    <w:p>
      <w:pPr>
        <w:spacing w:after="0" w:line="10" w:lineRule="exact"/>
        <w:rPr>
          <w:sz w:val="24"/>
          <w:szCs w:val="24"/>
          <w:color w:val="auto"/>
        </w:rPr>
      </w:pPr>
    </w:p>
    <w:p>
      <w:pPr>
        <w:spacing w:after="0" w:line="161" w:lineRule="exact"/>
        <w:tabs>
          <w:tab w:leader="none" w:pos="2460" w:val="left"/>
          <w:tab w:leader="none" w:pos="79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63" w:lineRule="exact"/>
        <w:rPr>
          <w:sz w:val="24"/>
          <w:szCs w:val="24"/>
          <w:color w:val="auto"/>
        </w:rPr>
      </w:pPr>
    </w:p>
    <w:p>
      <w:pPr>
        <w:spacing w:after="0" w:line="161" w:lineRule="exact"/>
        <w:tabs>
          <w:tab w:leader="none" w:pos="2460" w:val="left"/>
          <w:tab w:leader="none" w:pos="794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9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254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11, 2025, the registrant had 49,046,246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834390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280"/>
            <w:col w:w="280"/>
          </w:cols>
          <w:pgMar w:left="320" w:top="1289" w:right="3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Food and Drug Administration or foreign regulatory approval for our product candidates in a timely manner;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our business and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3" w:right="43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3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“MediciNova,” “we,” “us” and “our” refer to MediciNova, Inc.</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093" w:right="1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gridSpan w:val="5"/>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MEDICINOVA, INC.</w:t>
            </w:r>
          </w:p>
        </w:tc>
        <w:tc>
          <w:tcPr>
            <w:tcW w:w="62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0" w:type="dxa"/>
            <w:vAlign w:val="bottom"/>
            <w:gridSpan w:val="5"/>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20" w:type="dxa"/>
            <w:vAlign w:val="bottom"/>
          </w:tcPr>
          <w:p>
            <w:pPr>
              <w:spacing w:after="0"/>
              <w:rPr>
                <w:sz w:val="24"/>
                <w:szCs w:val="24"/>
                <w:color w:val="auto"/>
              </w:rPr>
            </w:pPr>
          </w:p>
        </w:tc>
      </w:tr>
      <w:tr>
        <w:trPr>
          <w:trHeight w:val="391"/>
        </w:trPr>
        <w:tc>
          <w:tcPr>
            <w:tcW w:w="2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766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0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9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31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668"/>
        </w:trPr>
        <w:tc>
          <w:tcPr>
            <w:tcW w:w="1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11"/>
          </w:tcPr>
          <w:p>
            <w:pPr>
              <w:jc w:val="center"/>
              <w:ind w:left="3070"/>
              <w:spacing w:after="0"/>
              <w:rPr>
                <w:sz w:val="20"/>
                <w:szCs w:val="20"/>
                <w:color w:val="auto"/>
              </w:rPr>
            </w:pPr>
            <w:r>
              <w:rPr>
                <w:rFonts w:ascii="Times New Roman" w:cs="Times New Roman" w:eastAsia="Times New Roman" w:hAnsi="Times New Roman"/>
                <w:sz w:val="18"/>
                <w:szCs w:val="18"/>
                <w:color w:val="auto"/>
                <w:w w:val="88"/>
              </w:rPr>
              <w:t>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34,259,637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40,359,738</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729,598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714,541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35,123,834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41,074,279</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356,904</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49,823,875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55,875,926</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1,102,494</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1,893,889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1,662,860</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184,842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2,648,176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2,959,123</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100" w:type="dxa"/>
            <w:vAlign w:val="bottom"/>
          </w:tcPr>
          <w:p>
            <w:pPr>
              <w:spacing w:after="0"/>
              <w:rPr>
                <w:sz w:val="18"/>
                <w:szCs w:val="18"/>
                <w:color w:val="auto"/>
              </w:rPr>
            </w:pPr>
          </w:p>
        </w:tc>
      </w:tr>
      <w:tr>
        <w:trPr>
          <w:trHeight w:val="210"/>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2,967,006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5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at June 30, 2025 and December</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 2024; 49,046,246 and 49,046,246 shares issued and outstanding at June 30, 2025 and</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tcPr>
          <w:p>
            <w:pPr>
              <w:spacing w:after="0"/>
              <w:rPr>
                <w:sz w:val="20"/>
                <w:szCs w:val="20"/>
                <w:color w:val="auto"/>
              </w:rPr>
            </w:pP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479,831,741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479,340,901</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(127,371)</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(135,154)</w:t>
            </w: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(432,896,547)</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(426,751,242)</w:t>
            </w:r>
          </w:p>
        </w:tc>
      </w:tr>
      <w:tr>
        <w:trPr>
          <w:trHeight w:val="210"/>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46,856,869</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52,503,551</w:t>
            </w:r>
          </w:p>
        </w:tc>
        <w:tc>
          <w:tcPr>
            <w:tcW w:w="100" w:type="dxa"/>
            <w:vAlign w:val="bottom"/>
            <w:tcBorders>
              <w:top w:val="single" w:sz="8" w:color="CFF0FC"/>
            </w:tcBorders>
          </w:tcPr>
          <w:p>
            <w:pPr>
              <w:spacing w:after="0"/>
              <w:rPr>
                <w:sz w:val="18"/>
                <w:szCs w:val="18"/>
                <w:color w:val="auto"/>
              </w:rPr>
            </w:pPr>
          </w:p>
        </w:tc>
      </w:tr>
      <w:tr>
        <w:trPr>
          <w:trHeight w:val="249"/>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49,823,875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55,875,926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-3676650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-2845435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-1988185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-1422400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Costs of services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2,188,652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4,028,454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3,427,918</w:t>
            </w:r>
          </w:p>
        </w:tc>
        <w:tc>
          <w:tcPr>
            <w:tcW w:w="12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1,436,690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1,400,447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2,799,398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2,754,571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3,741,691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3,046,496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6,944,201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6,182,489</w:t>
            </w:r>
          </w:p>
        </w:tc>
        <w:tc>
          <w:tcPr>
            <w:tcW w:w="120" w:type="dxa"/>
            <w:vAlign w:val="bottom"/>
          </w:tcPr>
          <w:p>
            <w:pPr>
              <w:spacing w:after="0"/>
              <w:rPr>
                <w:sz w:val="18"/>
                <w:szCs w:val="18"/>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(3,607,092)</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(3,046,496)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(6,809,602)</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(6,182,489)</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435,351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832,861</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(17,055)</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(33,090)</w:t>
            </w:r>
          </w:p>
        </w:tc>
      </w:tr>
      <w:tr>
        <w:trPr>
          <w:trHeight w:val="20"/>
        </w:trPr>
        <w:tc>
          <w:tcPr>
            <w:tcW w:w="5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(3,281,185)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(2,628,200)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(6,145,305)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(5,382,718)</w:t>
            </w: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common share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(3,281,185)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(2,628,200)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(6,145,305)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(5,382,718)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(4,545)</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(13,437)</w:t>
            </w:r>
          </w:p>
        </w:tc>
      </w:tr>
      <w:tr>
        <w:trPr>
          <w:trHeight w:val="20"/>
        </w:trPr>
        <w:tc>
          <w:tcPr>
            <w:tcW w:w="5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(3,278,504)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(2,632,745)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(6,137,522)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(5,396,155)</w:t>
            </w: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-1593850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-1593850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-1028065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-1028065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-1028065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540" w:type="dxa"/>
            <w:vAlign w:val="bottom"/>
            <w:gridSpan w:val="4"/>
            <w:vMerge w:val="restart"/>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3"/>
                <w:szCs w:val="13"/>
                <w:color w:val="auto"/>
              </w:rPr>
            </w:pPr>
          </w:p>
        </w:tc>
        <w:tc>
          <w:tcPr>
            <w:tcW w:w="254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1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right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49,046,246</w:t>
            </w:r>
          </w:p>
        </w:tc>
        <w:tc>
          <w:tcPr>
            <w:tcW w:w="540" w:type="dxa"/>
            <w:vAlign w:val="bottom"/>
            <w:gridSpan w:val="2"/>
            <w:shd w:val="clear" w:color="auto" w:fill="CFF0FC"/>
          </w:tcPr>
          <w:p>
            <w:pPr>
              <w:jc w:val="right"/>
              <w:ind w:right="1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479,340,901</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(135,154)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(426,751,242)</w:t>
            </w:r>
          </w:p>
        </w:tc>
        <w:tc>
          <w:tcPr>
            <w:tcW w:w="24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52,503,551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285,943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(2,864,120)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(2,864,120)</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right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479,626,844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(130,052)</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(429,615,362)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49,930,476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Share-based compensation</w:t>
            </w: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204,897</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204,897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(3,281,185)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(3,281,185)</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20" w:type="dxa"/>
            <w:vAlign w:val="bottom"/>
            <w:tcBorders>
              <w:bottom w:val="single" w:sz="8" w:color="CFF0FC"/>
              <w:right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1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479,831,741</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(127,371)</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(432,896,547)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46,856,869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3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1700" w:type="dxa"/>
            <w:vAlign w:val="bottom"/>
            <w:tcBorders>
              <w:bottom w:val="single" w:sz="8" w:color="auto"/>
            </w:tcBorders>
            <w:gridSpan w:val="3"/>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6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478,149,161</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(118,090)</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(415,701,693)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62,378,424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215,430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(2,754,518)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(2,754,518)</w:t>
            </w:r>
          </w:p>
        </w:tc>
        <w:tc>
          <w:tcPr>
            <w:tcW w:w="0" w:type="dxa"/>
            <w:vAlign w:val="bottom"/>
          </w:tcPr>
          <w:p>
            <w:pPr>
              <w:spacing w:after="0"/>
              <w:rPr>
                <w:sz w:val="1"/>
                <w:szCs w:val="1"/>
                <w:color w:val="auto"/>
              </w:rPr>
            </w:pPr>
          </w:p>
        </w:tc>
      </w:tr>
      <w:tr>
        <w:trPr>
          <w:trHeight w:val="148"/>
        </w:trPr>
        <w:tc>
          <w:tcPr>
            <w:tcW w:w="31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(8,892)</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(8,892)</w:t>
            </w:r>
          </w:p>
        </w:tc>
        <w:tc>
          <w:tcPr>
            <w:tcW w:w="0" w:type="dxa"/>
            <w:vAlign w:val="bottom"/>
          </w:tcPr>
          <w:p>
            <w:pPr>
              <w:spacing w:after="0"/>
              <w:rPr>
                <w:sz w:val="1"/>
                <w:szCs w:val="1"/>
                <w:color w:val="auto"/>
              </w:rPr>
            </w:pPr>
          </w:p>
        </w:tc>
      </w:tr>
      <w:tr>
        <w:trPr>
          <w:trHeight w:val="20"/>
        </w:trPr>
        <w:tc>
          <w:tcPr>
            <w:tcW w:w="3120" w:type="dxa"/>
            <w:vAlign w:val="bottom"/>
            <w:tcBorders>
              <w:right w:val="single" w:sz="8" w:color="auto"/>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478,364,591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(126,982)</w:t>
            </w: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(418,456,211)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59,830,444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Share-based compensation</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207,455</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207,455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(2,628,200)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(2,628,200)</w:t>
            </w:r>
          </w:p>
        </w:tc>
        <w:tc>
          <w:tcPr>
            <w:tcW w:w="0" w:type="dxa"/>
            <w:vAlign w:val="bottom"/>
          </w:tcPr>
          <w:p>
            <w:pPr>
              <w:spacing w:after="0"/>
              <w:rPr>
                <w:sz w:val="1"/>
                <w:szCs w:val="1"/>
                <w:color w:val="auto"/>
              </w:rPr>
            </w:pPr>
          </w:p>
        </w:tc>
      </w:tr>
      <w:tr>
        <w:trPr>
          <w:trHeight w:val="148"/>
        </w:trPr>
        <w:tc>
          <w:tcPr>
            <w:tcW w:w="312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(4,545)</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(4,545)</w:t>
            </w:r>
          </w:p>
        </w:tc>
        <w:tc>
          <w:tcPr>
            <w:tcW w:w="0" w:type="dxa"/>
            <w:vAlign w:val="bottom"/>
          </w:tcPr>
          <w:p>
            <w:pPr>
              <w:spacing w:after="0"/>
              <w:rPr>
                <w:sz w:val="1"/>
                <w:szCs w:val="1"/>
                <w:color w:val="auto"/>
              </w:rPr>
            </w:pPr>
          </w:p>
        </w:tc>
      </w:tr>
      <w:tr>
        <w:trPr>
          <w:trHeight w:val="142"/>
        </w:trPr>
        <w:tc>
          <w:tcPr>
            <w:tcW w:w="3120" w:type="dxa"/>
            <w:vAlign w:val="bottom"/>
            <w:tcBorders>
              <w:top w:val="single" w:sz="8" w:color="CFF0FC"/>
              <w:bottom w:val="single" w:sz="8" w:color="CFF0FC"/>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Borders>
              <w:top w:val="single" w:sz="8" w:color="CFF0FC"/>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478,572,046</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(131,527)</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(421,084,411)</w:t>
            </w:r>
          </w:p>
        </w:tc>
        <w:tc>
          <w:tcPr>
            <w:tcW w:w="10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57,405,154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-1962785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-1962785</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-1962785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-1962785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-1962785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-1567815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-1550670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-1567815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-1550670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-1567815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-1550670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-1567815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-1550670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-1567815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-1550670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-521970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-521970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-521970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-521970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-521970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-128270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-128270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-128270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-128270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-128270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(6,145,305)</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(5,382,718)</w:t>
            </w:r>
          </w:p>
        </w:tc>
      </w:tr>
      <w:tr>
        <w:trPr>
          <w:trHeight w:val="216"/>
        </w:trPr>
        <w:tc>
          <w:tcPr>
            <w:tcW w:w="7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422,885</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carrying amount of right-of-use asset</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85,595</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(134,599)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(13,208)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(947,502)</w:t>
            </w:r>
          </w:p>
        </w:tc>
      </w:tr>
      <w:tr>
        <w:trPr>
          <w:trHeight w:val="216"/>
        </w:trPr>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(285,850)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(780,838)</w:t>
            </w:r>
          </w:p>
        </w:tc>
      </w:tr>
      <w:tr>
        <w:trPr>
          <w:trHeight w:val="216"/>
        </w:trPr>
        <w:tc>
          <w:tcPr>
            <w:tcW w:w="71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(104,918)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(87,320)</w:t>
            </w:r>
          </w:p>
        </w:tc>
      </w:tr>
      <w:tr>
        <w:trPr>
          <w:trHeight w:val="20"/>
        </w:trPr>
        <w:tc>
          <w:tcPr>
            <w:tcW w:w="716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(6,090,067)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(6,679,178)</w:t>
            </w: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r>
      <w:tr>
        <w:trPr>
          <w:trHeight w:val="20"/>
        </w:trPr>
        <w:tc>
          <w:tcPr>
            <w:tcW w:w="7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r>
      <w:tr>
        <w:trPr>
          <w:trHeight w:val="20"/>
        </w:trPr>
        <w:tc>
          <w:tcPr>
            <w:tcW w:w="716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10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(6,100,101)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(6,661,618)</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40,359,738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100" w:type="dxa"/>
            <w:vAlign w:val="bottom"/>
          </w:tcPr>
          <w:p>
            <w:pPr>
              <w:spacing w:after="0"/>
              <w:rPr>
                <w:sz w:val="18"/>
                <w:szCs w:val="18"/>
                <w:color w:val="auto"/>
              </w:rPr>
            </w:pPr>
          </w:p>
        </w:tc>
      </w:tr>
      <w:tr>
        <w:trPr>
          <w:trHeight w:val="25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34,259,637</w:t>
            </w:r>
          </w:p>
        </w:tc>
        <w:tc>
          <w:tcPr>
            <w:tcW w:w="1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44,337,824</w:t>
            </w:r>
          </w:p>
        </w:tc>
        <w:tc>
          <w:tcPr>
            <w:tcW w:w="100" w:type="dxa"/>
            <w:vAlign w:val="bottom"/>
            <w:shd w:val="clear" w:color="auto" w:fill="CFF0FC"/>
          </w:tcPr>
          <w:p>
            <w:pPr>
              <w:spacing w:after="0"/>
              <w:rPr>
                <w:sz w:val="21"/>
                <w:szCs w:val="21"/>
                <w:color w:val="auto"/>
              </w:rPr>
            </w:pPr>
          </w:p>
        </w:tc>
      </w:tr>
      <w:tr>
        <w:trPr>
          <w:trHeight w:val="196"/>
        </w:trPr>
        <w:tc>
          <w:tcPr>
            <w:tcW w:w="7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6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9"/>
        </w:trPr>
        <w:tc>
          <w:tcPr>
            <w:tcW w:w="7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100" w:type="dxa"/>
            <w:vAlign w:val="bottom"/>
            <w:shd w:val="clear" w:color="auto" w:fill="CFF0FC"/>
          </w:tcPr>
          <w:p>
            <w:pPr>
              <w:spacing w:after="0"/>
              <w:rPr>
                <w:sz w:val="21"/>
                <w:szCs w:val="21"/>
                <w:color w:val="auto"/>
              </w:rPr>
            </w:pPr>
          </w:p>
        </w:tc>
      </w:tr>
      <w:tr>
        <w:trPr>
          <w:trHeight w:val="197"/>
        </w:trPr>
        <w:tc>
          <w:tcPr>
            <w:tcW w:w="7160" w:type="dxa"/>
            <w:vAlign w:val="bottom"/>
            <w:tcBorders>
              <w:top w:val="single" w:sz="8" w:color="CFF0FC"/>
            </w:tcBorders>
          </w:tcPr>
          <w:p>
            <w:pPr>
              <w:spacing w:after="0"/>
              <w:rPr>
                <w:sz w:val="17"/>
                <w:szCs w:val="17"/>
                <w:color w:val="auto"/>
              </w:rPr>
            </w:pPr>
          </w:p>
        </w:tc>
        <w:tc>
          <w:tcPr>
            <w:tcW w:w="6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0"/>
        </w:trPr>
        <w:tc>
          <w:tcPr>
            <w:tcW w:w="7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 in carrying amount of right-of-use asset due to termination of lease</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79,229</w:t>
            </w:r>
          </w:p>
        </w:tc>
        <w:tc>
          <w:tcPr>
            <w:tcW w:w="100" w:type="dxa"/>
            <w:vAlign w:val="bottom"/>
            <w:shd w:val="clear" w:color="auto" w:fill="CFF0FC"/>
          </w:tcPr>
          <w:p>
            <w:pPr>
              <w:spacing w:after="0"/>
              <w:rPr>
                <w:sz w:val="21"/>
                <w:szCs w:val="21"/>
                <w:color w:val="auto"/>
              </w:rPr>
            </w:pPr>
          </w:p>
        </w:tc>
      </w:tr>
      <w:tr>
        <w:trPr>
          <w:trHeight w:val="453"/>
        </w:trPr>
        <w:tc>
          <w:tcPr>
            <w:tcW w:w="7160" w:type="dxa"/>
            <w:vAlign w:val="bottom"/>
            <w:tcBorders>
              <w:top w:val="single" w:sz="8" w:color="CFF0FC"/>
            </w:tcBorders>
          </w:tcPr>
          <w:p>
            <w:pPr>
              <w:ind w:left="4720"/>
              <w:spacing w:after="0"/>
              <w:rPr>
                <w:sz w:val="20"/>
                <w:szCs w:val="20"/>
                <w:color w:val="auto"/>
              </w:rPr>
            </w:pPr>
            <w:r>
              <w:rPr>
                <w:rFonts w:ascii="Times New Roman" w:cs="Times New Roman" w:eastAsia="Times New Roman" w:hAnsi="Times New Roman"/>
                <w:sz w:val="18"/>
                <w:szCs w:val="18"/>
                <w:color w:val="auto"/>
              </w:rPr>
              <w:t>See accompanying notes.</w:t>
            </w:r>
          </w:p>
        </w:tc>
        <w:tc>
          <w:tcPr>
            <w:tcW w:w="6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648"/>
        </w:trPr>
        <w:tc>
          <w:tcPr>
            <w:tcW w:w="71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-2999740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-2425065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-1851025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-1833880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-1542415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-1525270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-1233805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-1216660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and prevention of acute respiratory distress syndrome (ARDS), and MN-001 (tipelukast) for fibrotic and other metabolic disorders such as nonalcoholic fatty liver disease (NAFLD) and hypertriglyceridemia.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for the year ended December 31, 2024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2024 has been derived from the audited financial statements at that date but does not include all the information and footnotes required by GAAP for complete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net losses since its inception and has negative operating cash flows. As of June 30, 2025, the Company had $34.3 million in cash and cash equivalents and believes it has sufficient cash to meet its funding requirements for at least the next 12 months following the issuance date of these consolidated financial statements. For the foreseeable future, the Company expects to continue to incur losses and require additional capital to further advance its clinical trial programs and support its other operations. The Company cannot be certain that additional funding will be available on acceptable terms, or at all.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An operating segment is identified as a component of an enterprise that engages in business activities about which separate discrete financial information and operating results is regularly reviewed by the chief operating decision-maker (CODM) in making decisions regarding resource allocation and assessing performance. The Company's CODM is the senior executive committee which is comprised of the Chief Executive Officer, Chief Medical Officer, and the Chief Financial Officer. The Company operates in a single operating segment – the acquisition and development of small molecule therapeutics for the treatment of serious diseases with unmet medical needs. The CODM assesses performance for the segment and decides how to allocate resources based on consolidated net loss as reported on the statement of operations, after taking into account the Company's strategic priorities, its cash balance, and its expected use of cash. Further, the CODM reviews and utilizes functional expenses (i.e., research, development, and patent expense, and general and administrative) at the consolidated level to manage the Company's operations. Other segment items included in consolidated net loss are revenues, cost of services, stock-based compensation, depreciation and amortization, interest income, other expense, net, and income tax expense, which are reflected in the consolidated statements of operations and comprehensive loss. The measure of segment assets is reported on the consolidated balance sheet as total consolidated assets.</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including significant segment expenses, which are regularly provided to the CODM and included within segment and consolidated net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7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stock-based compensation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Costs of services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2,116,570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3,832,181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3,267,700</w:t>
            </w:r>
          </w:p>
        </w:tc>
        <w:tc>
          <w:tcPr>
            <w:tcW w:w="10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1,303,875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1,271,541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2,504,831</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2,491,904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 excluding stock-based compensation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3,536,794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6,453,361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5,759,604</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160,218</w:t>
            </w:r>
          </w:p>
        </w:tc>
        <w:tc>
          <w:tcPr>
            <w:tcW w:w="10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132,815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128,906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294,567</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204,897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490,840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422,885</w:t>
            </w:r>
          </w:p>
        </w:tc>
        <w:tc>
          <w:tcPr>
            <w:tcW w:w="100" w:type="dxa"/>
            <w:vAlign w:val="bottom"/>
          </w:tcPr>
          <w:p>
            <w:pPr>
              <w:spacing w:after="0"/>
              <w:rPr>
                <w:sz w:val="18"/>
                <w:szCs w:val="18"/>
                <w:color w:val="auto"/>
              </w:rPr>
            </w:pPr>
          </w:p>
        </w:tc>
      </w:tr>
      <w:tr>
        <w:trPr>
          <w:trHeight w:val="210"/>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3,741,691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3,046,496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6,944,201</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6,182,489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(3,607,092)</w:t>
            </w: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(3,046,496)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(6,809,602)</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(6,182,489)</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324,955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435,351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661,066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832,861</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(17,055)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(33,090)</w:t>
            </w:r>
          </w:p>
        </w:tc>
      </w:tr>
      <w:tr>
        <w:trPr>
          <w:trHeight w:val="20"/>
        </w:trPr>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(3,281,185)</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(2,628,200)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(6,145,305)</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(5,382,718)</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-1439545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-1439545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-1439545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-882015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-882015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-882015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-590550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-590550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-590550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3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and mutual fund accounts, with original maturities of three months or less from the date of purchase.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3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is recorded net of allowance for credit losses. There was no allowance for credit losses required as of June 30, 2025. Accounts receivable balance as of December 31, 2024 was $0.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35"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$2.0 million and $1.5 million for the three months ended June 30, 2025 and 2024, respectively, and $3.7 million and $3.2 million for the six months ended June 30, 2025 and 2024,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 w:name="page11"/>
    <w:bookmarkEnd w:id="10"/>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$0.2 million and $0.1 million for the three months ended June 30, 2025 and 2024, respectively, and $0.3 million and $0.2 million for the six months ended June 30, 2025 and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Clinical Trial Accruals and Prepaid Expenses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 annual financial statements that have not yet been issued or made available for issuance. The amendments in this ASU should be applied on a prospective basis. Retrospective application is permitted. The Company is currently evaluating the potential impact that this standard will have on its consolidated financial statements and related disclosures.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requires additional disclosure of the nature of expenses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ASU 2024-03 is effective for fiscal years beginning after December 15, 2026, and interim reporting periods beginning after December 15, 2027. Early adoption is permitted. The Company is currently evaluating the potential impact that this standard will have on its consolidated financial statements and related disclosures.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8"/>
          <w:szCs w:val="18"/>
          <w:color w:val="auto"/>
        </w:rPr>
        <w:t>Revenues historically have consisted mainly of research and development services performed under contracts with customers.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Mayo Foundation for Medical Education and Research</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with Mayo Foundation for Medical Education and Research (Mayo), to support clinical research services to evaluate the efficacy of MN-166 (ibudilast) in ALS. The agreement has an initial one year term, with automatic successive one year terms unless either party gives written notice of non-renewal to the other party not less than 90 days prior to the end of the end of the then-current term, with payment for services due within 60 days from invoice. The agreement can be terminated by either party upon the occurrence of certain events, including by either party, without cause, upon not less than 30 days prior written notice. The Company assessed the services in accordance with the authoritative guidance and concluded that it met the definition of a contract per ASC 606 with one performance obligation. The performance obligation identified was for pharmacovigilance and clinical research support services satisfied over time using the cost-to-cost method. In March 2025, the first study site enrolled the first patients into the study and principal services under the agreement began in April 2025. Accordingly, the Company recognized accounts receivable of $0.1 million as of June 30, 2025, which the Company had the contractual right to bill, as well as revenue of $0.1 million for the three and six months ended June 30,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85" w:lineRule="exact"/>
        <w:rPr>
          <w:sz w:val="20"/>
          <w:szCs w:val="20"/>
          <w:color w:val="auto"/>
        </w:rPr>
      </w:pPr>
    </w:p>
    <w:p>
      <w:pPr>
        <w:ind w:left="580"/>
        <w:spacing w:after="0"/>
        <w:tabs>
          <w:tab w:leader="none" w:pos="13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in active markets;</w:t>
      </w:r>
    </w:p>
    <w:p>
      <w:pPr>
        <w:spacing w:after="0" w:line="131" w:lineRule="exact"/>
        <w:rPr>
          <w:sz w:val="20"/>
          <w:szCs w:val="20"/>
          <w:color w:val="auto"/>
        </w:rPr>
      </w:pPr>
    </w:p>
    <w:p>
      <w:pPr>
        <w:ind w:left="1320" w:right="740" w:hanging="741"/>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Level 2:</w:t>
        <w:tab/>
        <w:t>Inputs are quoted prices for similar items in active markets or quoted prices for identical or similar items in markets that are not active near the measurement date; and</w:t>
      </w:r>
    </w:p>
    <w:p>
      <w:pPr>
        <w:spacing w:after="0" w:line="67" w:lineRule="exact"/>
        <w:rPr>
          <w:sz w:val="20"/>
          <w:szCs w:val="20"/>
          <w:color w:val="auto"/>
        </w:rPr>
      </w:pPr>
    </w:p>
    <w:p>
      <w:pPr>
        <w:ind w:left="580"/>
        <w:spacing w:after="0"/>
        <w:tabs>
          <w:tab w:leader="none" w:pos="1300" w:val="left"/>
        </w:tabs>
        <w:rPr>
          <w:sz w:val="20"/>
          <w:szCs w:val="20"/>
          <w:color w:val="auto"/>
        </w:rPr>
      </w:pPr>
      <w:r>
        <w:rPr>
          <w:rFonts w:ascii="Times New Roman" w:cs="Times New Roman" w:eastAsia="Times New Roman" w:hAnsi="Times New Roman"/>
          <w:sz w:val="18"/>
          <w:szCs w:val="18"/>
          <w:color w:val="auto"/>
        </w:rPr>
        <w:t>Level 3:</w:t>
        <w:tab/>
        <w:t>Unobservable inputs due to little or no market data, which require the reporting entity to develop its own assumptions.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and approximate fair value of financial instruments as of June 30, 2025 and December 31, 2024,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31,972,516</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31,972,516</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21,501,081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21,501,081</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630"/>
        </w:trPr>
        <w:tc>
          <w:tcPr>
            <w:tcW w:w="3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had an initial lease term of 12 months ending May 2025, following which the Company exercised its option to extend for an additional two months. Thereafter,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be exercised, discounted using the estimated incremental borrowing rate of 6.51%, which is the interest rate that the Company would have to pay to borrow on a collateralized basis over a similar term for an amount equal to the lease payments at initial commencement. The real estate operating leases are included in “Right-of-use asset” on the Company's consolidated balance sheets and represents the Company’s right to use the underlying assets for the lease term. The Company’s obligation to make lease payments are included in "Operating lease liability" and "Other non-current liabilities" on the Company's balance sheets.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lease liabilities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
        </w:trPr>
        <w:tc>
          <w:tcPr>
            <w:tcW w:w="43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90"/>
        </w:trPr>
        <w:tc>
          <w:tcPr>
            <w:tcW w:w="4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61,136</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121,759</w:t>
            </w:r>
          </w:p>
        </w:tc>
        <w:tc>
          <w:tcPr>
            <w:tcW w:w="260" w:type="dxa"/>
            <w:vAlign w:val="bottom"/>
          </w:tcPr>
          <w:p>
            <w:pPr>
              <w:spacing w:after="0"/>
              <w:rPr>
                <w:sz w:val="18"/>
                <w:szCs w:val="18"/>
                <w:color w:val="auto"/>
              </w:rPr>
            </w:pPr>
          </w:p>
        </w:tc>
        <w:tc>
          <w:tcPr>
            <w:tcW w:w="50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128,833</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55,402</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62,122</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110,803</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125,301</w:t>
            </w:r>
          </w:p>
        </w:tc>
        <w:tc>
          <w:tcPr>
            <w:tcW w:w="120" w:type="dxa"/>
            <w:vAlign w:val="bottom"/>
            <w:shd w:val="clear" w:color="auto" w:fill="CFF0FC"/>
          </w:tcPr>
          <w:p>
            <w:pPr>
              <w:spacing w:after="0"/>
              <w:rPr>
                <w:sz w:val="18"/>
                <w:szCs w:val="18"/>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6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184,842</w:t>
            </w:r>
          </w:p>
        </w:tc>
        <w:tc>
          <w:tcPr>
            <w:tcW w:w="2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193,769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9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6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301,880</w:t>
            </w:r>
          </w:p>
        </w:tc>
        <w:tc>
          <w:tcPr>
            <w:tcW w:w="2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405,229</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96"/>
        </w:trPr>
        <w:tc>
          <w:tcPr>
            <w:tcW w:w="634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9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41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2025 were as follows:</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 six months)</w:t>
            </w:r>
          </w:p>
        </w:tc>
        <w:tc>
          <w:tcPr>
            <w:tcW w:w="9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103,257</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minimum payments</w:t>
            </w:r>
          </w:p>
        </w:tc>
        <w:tc>
          <w:tcPr>
            <w:tcW w:w="9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327,009</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(25,129)</w:t>
            </w:r>
          </w:p>
        </w:tc>
      </w:tr>
      <w:tr>
        <w:trPr>
          <w:trHeight w:val="250"/>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9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301,880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-1988185</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-1971040</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-1988185</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-1971040</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121"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8"/>
          <w:szCs w:val="18"/>
          <w:color w:val="auto"/>
        </w:rPr>
        <w:t>No milestone payments have been made under these agreements during the six months ended June 30, 2025 and 2024. For products currently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future potential milestone payments based on product development of MN-166 (ibudilast) and MN-001 (tipelukast) are $10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For all other products, future potential milestone payments related to development milestones and commercialization milestones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million as of June 30, 2025. There are no minimum royalties required under any of the license agreements. The Company is unable to estimate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certainty the timing on when these milestone payments will occur as these payments are dependent upon the progress of the Company’s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programs.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60" w:firstLine="49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2013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p>
    <w:p>
      <w:pPr>
        <w:spacing w:after="0" w:line="19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June 2023, the Company adopted the 2023 Equity Incentive Plan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2,025,173 shares remain available for future grants under the 2023 Plan.</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June 30, 2025, there were a total of 970,000 shares underlying performance options that were subject to vesting based on achievement of corporate objectives and employee performance for 2025.</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Options granted under the 2023 Plan and the 2013 Plan have terms of ten years from the date of grant unless earlier terminated and generally vest over a one or four year period. The exercise price of all options granted through June 30, 2025 and 2024, was equal to the fair market value of the Company’s common stock on the date of grant.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June 30, 2025 is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4380" w:type="dxa"/>
            <w:vAlign w:val="bottom"/>
          </w:tcPr>
          <w:p>
            <w:pPr>
              <w:spacing w:after="0"/>
              <w:rPr>
                <w:sz w:val="15"/>
                <w:szCs w:val="15"/>
                <w:color w:val="auto"/>
              </w:rPr>
            </w:pPr>
          </w:p>
        </w:tc>
        <w:tc>
          <w:tcPr>
            <w:tcW w:w="2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20" w:type="dxa"/>
            <w:vAlign w:val="bottom"/>
          </w:tcPr>
          <w:p>
            <w:pPr>
              <w:spacing w:after="0"/>
              <w:rPr>
                <w:sz w:val="15"/>
                <w:szCs w:val="15"/>
                <w:color w:val="auto"/>
              </w:rPr>
            </w:pPr>
          </w:p>
        </w:tc>
      </w:tr>
      <w:tr>
        <w:trPr>
          <w:trHeight w:val="210"/>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7,040,894</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shd w:val="clear" w:color="auto" w:fill="CFF0FC"/>
          </w:tcPr>
          <w:p>
            <w:pPr>
              <w:spacing w:after="0"/>
              <w:rPr>
                <w:sz w:val="18"/>
                <w:szCs w:val="18"/>
                <w:color w:val="auto"/>
              </w:rPr>
            </w:pPr>
          </w:p>
        </w:tc>
      </w:tr>
      <w:tr>
        <w:trPr>
          <w:trHeight w:val="216"/>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8"/>
                <w:szCs w:val="18"/>
                <w:color w:val="auto"/>
              </w:rPr>
            </w:pPr>
          </w:p>
        </w:tc>
      </w:tr>
      <w:tr>
        <w:trPr>
          <w:trHeight w:val="216"/>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2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7,909,394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shd w:val="clear" w:color="auto" w:fill="CFF0FC"/>
          </w:tcPr>
          <w:p>
            <w:pPr>
              <w:spacing w:after="0"/>
              <w:rPr>
                <w:sz w:val="19"/>
                <w:szCs w:val="19"/>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3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Exercisable at June 30, 2025</w:t>
            </w: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6,678,933</w:t>
            </w:r>
          </w:p>
        </w:tc>
        <w:tc>
          <w:tcPr>
            <w:tcW w:w="140" w:type="dxa"/>
            <w:vAlign w:val="bottom"/>
          </w:tcPr>
          <w:p>
            <w:pPr>
              <w:spacing w:after="0"/>
              <w:rPr>
                <w:sz w:val="17"/>
                <w:szCs w:val="17"/>
                <w:color w:val="auto"/>
              </w:rPr>
            </w:pPr>
          </w:p>
        </w:tc>
        <w:tc>
          <w:tcPr>
            <w:tcW w:w="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32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-187960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 awards are reflected in total operating expenses for each respective period. The following table summarizes stock-based compensation expense for the three and six months ended June 30, 2025 and 2024,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7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2"/>
        </w:trPr>
        <w:tc>
          <w:tcPr>
            <w:tcW w:w="37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72,082</w:t>
            </w:r>
          </w:p>
        </w:tc>
        <w:tc>
          <w:tcPr>
            <w:tcW w:w="86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196,273</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160,218</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132,815</w:t>
            </w:r>
          </w:p>
        </w:tc>
        <w:tc>
          <w:tcPr>
            <w:tcW w:w="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128,906</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294,567</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262,667</w:t>
            </w:r>
          </w:p>
        </w:tc>
        <w:tc>
          <w:tcPr>
            <w:tcW w:w="100" w:type="dxa"/>
            <w:vAlign w:val="bottom"/>
          </w:tcPr>
          <w:p>
            <w:pPr>
              <w:spacing w:after="0"/>
              <w:rPr>
                <w:sz w:val="18"/>
                <w:szCs w:val="18"/>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204,897</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207,455</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490,840</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422,885</w:t>
            </w:r>
          </w:p>
        </w:tc>
        <w:tc>
          <w:tcPr>
            <w:tcW w:w="100" w:type="dxa"/>
            <w:vAlign w:val="bottom"/>
            <w:shd w:val="clear" w:color="auto" w:fill="CFF0FC"/>
          </w:tcPr>
          <w:p>
            <w:pPr>
              <w:spacing w:after="0"/>
              <w:rPr>
                <w:sz w:val="19"/>
                <w:szCs w:val="19"/>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six months ended June 30, 2025 and 2024, and to estimate the fair value of performance-based stock options as of June 30, 2025 and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40" w:type="dxa"/>
            <w:vAlign w:val="bottom"/>
            <w:tcBorders>
              <w:bottom w:val="single" w:sz="8" w:color="auto"/>
            </w:tcBorders>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center"/>
              <w:ind w:right="1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- 4.48%</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- 4.41%</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- 75.66%</w:t>
            </w:r>
          </w:p>
        </w:tc>
        <w:tc>
          <w:tcPr>
            <w:tcW w:w="2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- 74.05%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0.00%</w:t>
            </w:r>
          </w:p>
        </w:tc>
        <w:tc>
          <w:tcPr>
            <w:tcW w:w="3680" w:type="dxa"/>
            <w:vAlign w:val="bottom"/>
            <w:gridSpan w:val="4"/>
          </w:tcPr>
          <w:p>
            <w:pPr>
              <w:jc w:val="center"/>
              <w:ind w:left="814"/>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80" w:type="dxa"/>
            <w:vAlign w:val="bottom"/>
            <w:gridSpan w:val="2"/>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4.53 - 5.31</w:t>
            </w:r>
          </w:p>
        </w:tc>
        <w:tc>
          <w:tcPr>
            <w:tcW w:w="3680" w:type="dxa"/>
            <w:vAlign w:val="bottom"/>
            <w:gridSpan w:val="4"/>
            <w:shd w:val="clear" w:color="auto" w:fill="CFF0FC"/>
          </w:tcPr>
          <w:p>
            <w:pPr>
              <w:jc w:val="center"/>
              <w:ind w:left="814"/>
              <w:spacing w:after="0"/>
              <w:rPr>
                <w:sz w:val="20"/>
                <w:szCs w:val="20"/>
                <w:color w:val="auto"/>
              </w:rPr>
            </w:pPr>
            <w:r>
              <w:rPr>
                <w:rFonts w:ascii="Times New Roman" w:cs="Times New Roman" w:eastAsia="Times New Roman" w:hAnsi="Times New Roman"/>
                <w:sz w:val="18"/>
                <w:szCs w:val="18"/>
                <w:color w:val="auto"/>
                <w:w w:val="99"/>
              </w:rPr>
              <w:t>5.30 - 5.77</w:t>
            </w:r>
          </w:p>
        </w:tc>
      </w:tr>
    </w:tbl>
    <w:p>
      <w:pPr>
        <w:spacing w:after="0" w:line="26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there was $0.6 million of unamortized compensation cost related to unvested stock option awards which is expected to be recognized over a remaining weighted-average vesting period of 0.57 years, on a straight-line basis. Such compensation cost will ultimately be adjusted based upon actual performance compared to the corporate objectives as described above.</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six months ended June 30, 2025 and 2024, estimated as of the grant date using the Black-Scholes option valuation model, was $1.34 and $0.99 per option,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 and Private Placement Transactions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six months ended June 30, 2025 and 2024,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stock options excluded from diluted net loss per common share due to their anti-dilutive effect totaled 7,909,394 shares for the three and six months ended June 30, 2025 and 8,431,644 shares for the three and six months ended 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July 30, 2025, the Company entered into a Standby Equity Purchase Agreement, or the SEPA with YA II PN, LTD., a Cayman Islands exempt limited company, or Yorkville. Pursuant to the SEPA, the Company has the right, but not the obligation, to sell to Yorkville from time to time up to $30.0 million of its common stock, during the 36 months following the execution of the SEPA, subject to the restrictions and satisfaction of the conditions in the SEPA. At the Company's option, the shares of common stock would be purchased by Yorkville from time to time at a price equal to 97% of the lowest of the three daily volume weighted average prices (VTAPs), during a three consecutive trading day period commencing on the date that the Company, subject to certain limitations, delivers to Yorkville a notice that the Company is committing Yorkville to purchase such shares of common stock. The Company may also specify a certain minimum acceptable price per share for a drawdown under the SEPA. As consideration for Yorkville's irrevocable commitment to purchase common stock, the Company agreed to pay to Yorkville a $25,000 structuring fee along with a commitment fee of $375,000. Under the applicable rules of Nasdaq and pursuant to the SEPA, in no event may the Company issue or sell to Yorkville more than 9,804,345 shares of common stock, or the Exchange Cap, which is 19.99% of the shares of common stock outstanding immediately prior to the execution of the SEPA, unless</w:t>
      </w:r>
    </w:p>
    <w:p>
      <w:pPr>
        <w:spacing w:after="0" w:line="5" w:lineRule="exact"/>
        <w:rPr>
          <w:sz w:val="20"/>
          <w:szCs w:val="20"/>
          <w:color w:val="auto"/>
        </w:rPr>
      </w:pPr>
    </w:p>
    <w:p>
      <w:pPr>
        <w:ind w:right="220" w:firstLine="8"/>
        <w:spacing w:after="0" w:line="253"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obtains stockholder approval to issue shares of common stock in excess of the Exchange Cap or (ii) 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2024 included in our Annual Report on Form 10-K, as filed with the Securities and Exchange Commission (SEC) on February 19, 2025 (Annual Report on Form 10-K). Past operating results are not necessarily indicative of results that may occur in future periods.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72"/>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(U.S.)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and prevention of acute respiratory distress syndrome (ARDS), and MN-001 (tipelukast) for fibrotic and other metabolic disorders such as nonalcoholic fatty liver disease (NAFLD) and hypertriglyceridemia. We were incorporated in Delaware in September 2000.</w:t>
      </w:r>
    </w:p>
    <w:p>
      <w:pPr>
        <w:spacing w:after="0" w:line="187"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June 30, 2025, from inception, our accumulated deficit was $432.9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85" w:lineRule="exact"/>
        <w:rPr>
          <w:sz w:val="20"/>
          <w:szCs w:val="20"/>
          <w:color w:val="auto"/>
        </w:rPr>
      </w:pPr>
    </w:p>
    <w:p>
      <w:pPr>
        <w:ind w:right="400" w:firstLine="458"/>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52" w:lineRule="exact"/>
        <w:rPr>
          <w:sz w:val="20"/>
          <w:szCs w:val="20"/>
          <w:color w:val="auto"/>
        </w:rPr>
      </w:pPr>
    </w:p>
    <w:p>
      <w:pPr>
        <w:ind w:left="1020" w:hanging="503"/>
        <w:spacing w:after="0"/>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with the support of non-dilutive financings.</w:t>
      </w:r>
    </w:p>
    <w:p>
      <w:pPr>
        <w:spacing w:after="0" w:line="132" w:lineRule="exact"/>
        <w:rPr>
          <w:rFonts w:ascii="Times New Roman" w:cs="Times New Roman" w:eastAsia="Times New Roman" w:hAnsi="Times New Roman"/>
          <w:sz w:val="18"/>
          <w:szCs w:val="18"/>
          <w:color w:val="auto"/>
        </w:rPr>
      </w:pPr>
    </w:p>
    <w:p>
      <w:pPr>
        <w:jc w:val="both"/>
        <w:ind w:left="10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65" w:lineRule="exact"/>
        <w:rPr>
          <w:rFonts w:ascii="Times New Roman" w:cs="Times New Roman" w:eastAsia="Times New Roman" w:hAnsi="Times New Roman"/>
          <w:sz w:val="18"/>
          <w:szCs w:val="18"/>
          <w:color w:val="auto"/>
        </w:rPr>
      </w:pPr>
    </w:p>
    <w:p>
      <w:pPr>
        <w:ind w:left="1040" w:hanging="564"/>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and other diseases.</w:t>
      </w:r>
    </w:p>
    <w:p>
      <w:pPr>
        <w:spacing w:after="0" w:line="119"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51" w:lineRule="exact"/>
        <w:rPr>
          <w:rFonts w:ascii="Times New Roman" w:cs="Times New Roman" w:eastAsia="Times New Roman" w:hAnsi="Times New Roman"/>
          <w:sz w:val="18"/>
          <w:szCs w:val="18"/>
          <w:color w:val="auto"/>
        </w:rPr>
      </w:pPr>
    </w:p>
    <w:p>
      <w:pPr>
        <w:ind w:left="1020" w:right="380" w:hanging="503"/>
        <w:spacing w:after="0" w:line="284"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product development and successfully commercialize our products.</w:t>
      </w:r>
    </w:p>
    <w:p>
      <w:pPr>
        <w:spacing w:after="0" w:line="52" w:lineRule="exact"/>
        <w:rPr>
          <w:rFonts w:ascii="Times New Roman" w:cs="Times New Roman" w:eastAsia="Times New Roman" w:hAnsi="Times New Roman"/>
          <w:sz w:val="18"/>
          <w:szCs w:val="18"/>
          <w:color w:val="auto"/>
        </w:rPr>
      </w:pPr>
    </w:p>
    <w:p>
      <w:pPr>
        <w:jc w:val="both"/>
        <w:ind w:left="10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and MN-001 (tipelukast), which could support our clinical development and product commercialization.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 Expenses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2025 as our development programs progress.</w:t>
      </w:r>
    </w:p>
    <w:p>
      <w:pPr>
        <w:spacing w:after="0" w:line="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MN-166</w:t>
            </w:r>
          </w:p>
        </w:tc>
        <w:tc>
          <w:tcPr>
            <w:tcW w:w="7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1,535</w:t>
            </w: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MN-001</w:t>
            </w: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1,726</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1,078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7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2,189</w:t>
            </w: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1,646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-170815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estimates, please see the section entitled “Management’s Discussion and Analysis of Financial Condition and Results of Operations — Critical Accounting Estimates” contained in our Annual Report on Form 10-K, for the year ended December 31, 2024. There have not been any material changes to the critical accounting policies discussed therein during the six months ended June 30,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and Goodwill</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performed a qualitative impairment assessment of goodwill and indefinite-lived intangible assets which included an evaluation of changes in industry, market, and macroeconomic conditions as well as consideration of its financial performance and any significant trends. The qualitative assessment indicated that it was not more likely than not that goodwill and indefinite-lived intangible assets are impaired as of December 31, 2024. If the Company experiences a sustained decline in its stock price or other material changes in the significant assumptions that affect the determination of the fair value of the Company’s single reporting unit, it may result in a goodwill and/or intangible asset impairment charge in future periods, and such charge may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Revenues were $0.1 million and $0.0 million for the three months ended June 30, 2025 and 2024, respectively. The increase of $0.1 million was due to revenue recognized under our agreement with Mayo, which was entered into in December 2024 and which began enrolling patients in March 2025 and principal services began April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9"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Cost of services were $0.1 million and $0.0 million for the three months ended June 30, 2025 and 2024, respectively. The increase of $0.1 million was due to the costs incurred for services provided related to the Mayo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Research, development and patents expenses were $2.2 million and $1.6 million for the three months ended June 30, 2025 and 2024, respectively. </w:t>
      </w:r>
      <w:r>
        <w:rPr>
          <w:rFonts w:ascii="Times New Roman" w:cs="Times New Roman" w:eastAsia="Times New Roman" w:hAnsi="Times New Roman"/>
          <w:sz w:val="18"/>
          <w:szCs w:val="18"/>
          <w:color w:val="212529"/>
        </w:rPr>
        <w:t>The increase of $0.6 million was primarily driven by an increase in MN-166 related expenses for MRC-001 Pharmacokinetic (PK) study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degenerative cervical myelopathy (DCM) study expenses, partially offset by decreased payroll costs from a reduction in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$1.4 million for both the three months ended June 30, 2025 and 2024 as there were no significant changes in the items comprising general and administrative expense q</w:t>
      </w:r>
      <w:r>
        <w:rPr>
          <w:rFonts w:ascii="Times New Roman" w:cs="Times New Roman" w:eastAsia="Times New Roman" w:hAnsi="Times New Roman"/>
          <w:sz w:val="18"/>
          <w:szCs w:val="18"/>
          <w:color w:val="212529"/>
        </w:rPr>
        <w:t>uarter over 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$0.3 million and $0.4 million for the three months ended June 30, 2025 and 2024, respectively. The decrease of $0.1 million was primarily driven by a decrease in our cash balance generating interest. Interest income consists of interest earned on our cash and cash equivalents and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Revenues were $0.1 million and $0.0 million for the six months ended June 30, 2025 and 2024, respectively. The increase of $0.1 million was due to revenue recognized under our agreement with Mayo, which was entered into in December 2024 and which began enrolling patients in March 2025 and principal services began April 2025.</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Cost of services were $0.1 million and $0.0 million for the six months ended June 30, 2025 and 2024, respectively. The increase of $0.1 million was due to the costs incurred for services provided related to the Mayo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11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Research, development and patents expenses were $4.0 million and $3.4 for the six months ended June 30, 2025 and 2024, respectively. The increase of $0.6 million was </w:t>
      </w:r>
      <w:r>
        <w:rPr>
          <w:rFonts w:ascii="Times New Roman" w:cs="Times New Roman" w:eastAsia="Times New Roman" w:hAnsi="Times New Roman"/>
          <w:sz w:val="18"/>
          <w:szCs w:val="18"/>
          <w:color w:val="212529"/>
        </w:rPr>
        <w:t>primarily driven by an increase in MN-166 related expenses for MRC-001 PK study and DCM study expenses, and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increase in MN-001 clinical trial expenses, </w:t>
      </w:r>
      <w:r>
        <w:rPr>
          <w:rFonts w:ascii="Times New Roman" w:cs="Times New Roman" w:eastAsia="Times New Roman" w:hAnsi="Times New Roman"/>
          <w:sz w:val="18"/>
          <w:szCs w:val="18"/>
          <w:color w:val="000000"/>
        </w:rPr>
        <w:t>partially offset by decreased MN-166 manufacturing costs and decreased payroll costs from a reduction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headcount.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$2.8 million for both the six months ended June 30, 2025 and 2024 as there were no significant changes in the items comprising general and administrative expense q</w:t>
      </w:r>
      <w:r>
        <w:rPr>
          <w:rFonts w:ascii="Times New Roman" w:cs="Times New Roman" w:eastAsia="Times New Roman" w:hAnsi="Times New Roman"/>
          <w:sz w:val="18"/>
          <w:szCs w:val="18"/>
          <w:color w:val="212529"/>
        </w:rPr>
        <w:t>uarter over 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$0.7 million and $0.8 million for the six months ended June 30, 2025 and 2024, respectively. The decrease of $0.1 million was primarily driven by a decrease in our cash balance generating interest. Interest income consists of interest earned on our cash and cash equivalents and investments.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cash used in operating activities during the six months ended June 30, 2025 was $6.1 million compared to $6.7 million during the same period in 2024. The $0.6 million change is primarily related to the </w:t>
      </w:r>
      <w:r>
        <w:rPr>
          <w:rFonts w:ascii="Times New Roman" w:cs="Times New Roman" w:eastAsia="Times New Roman" w:hAnsi="Times New Roman"/>
          <w:sz w:val="18"/>
          <w:szCs w:val="18"/>
          <w:color w:val="212529"/>
        </w:rPr>
        <w:t>changes in operating assets and liabilities for those periods.</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we had available cash and cash equivalents of $34.3 million and working capital of $32.5 million. As of the date of this report, we believe we have working capital sufficient to fund operations at least through August 2026. However, we cannot provide assurance that these capital resources will be sufficient to conduct all our research and development programs as planned.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August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three and six months ended June 30, 2025 and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the information required to be disclosed in our filings under the Securities Exchange Act of 1934, as amended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June 30, 2025.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2024,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our officers or directors, as defined in Rule 16a-1(f), informed us of the adoption or termination of a Rule 10b5-1 trading arrangement or a non-Rule 10b5-1 trading arrangement, each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20"/>
          </w:cols>
          <w:pgMar w:left="320" w:top="1305" w:right="359" w:bottom="1440" w:gutter="0" w:footer="0" w:header="0"/>
        </w:sectPr>
      </w:pP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426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4"/>
          <w:szCs w:val="24"/>
          <w:color w:val="auto"/>
          <w:vertAlign w:val="superscript"/>
        </w:rPr>
        <w:t>(1)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4"/>
          <w:szCs w:val="24"/>
          <w:color w:val="auto"/>
          <w:vertAlign w:val="superscript"/>
        </w:rPr>
        <w:t>(1)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4"/>
          <w:szCs w:val="24"/>
          <w:color w:val="auto"/>
          <w:vertAlign w:val="superscript"/>
        </w:rPr>
        <w:t>(1)</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101.SCH</w:t>
      </w:r>
      <w:r>
        <w:rPr>
          <w:rFonts w:ascii="Times New Roman" w:cs="Times New Roman" w:eastAsia="Times New Roman" w:hAnsi="Times New Roman"/>
          <w:sz w:val="23"/>
          <w:szCs w:val="23"/>
          <w:color w:val="auto"/>
          <w:vertAlign w:val="superscript"/>
        </w:rPr>
        <w:t>(1)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4122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09" w:lineRule="exact"/>
        <w:rPr>
          <w:sz w:val="20"/>
          <w:szCs w:val="20"/>
          <w:color w:val="auto"/>
        </w:rPr>
      </w:pPr>
    </w:p>
    <w:p>
      <w:pPr>
        <w:ind w:right="340"/>
        <w:spacing w:after="0" w:line="282"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Restated Certificate of Incorporation of the Registrant (incorporated by reference to Exhibit 3.1 of the Registrant’s Quarterly Report on</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Form 10-Q filed with the SEC on August 9, 2012 (File No. 001-33185)).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122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2122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329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47"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Amended and Restated Bylaws of the Registrant (incorporated by reference to Exhibit 3.1 of the Registrant’s Current Report on Form 8-K</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filed with the SEC on April 25, 2019 (File No. 001-33185)).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5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35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7578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8069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480695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7180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471805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9334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593344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901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5901690" cy="8255"/>
                    </a:xfrm>
                    <a:prstGeom prst="rect">
                      <a:avLst/>
                    </a:prstGeom>
                    <a:noFill/>
                  </pic:spPr>
                </pic:pic>
              </a:graphicData>
            </a:graphic>
          </wp:anchor>
        </w:drawing>
      </w:r>
    </w:p>
    <w:p>
      <w:pPr>
        <w:spacing w:after="0" w:line="1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5" w:lineRule="exact"/>
        <w:rPr>
          <w:sz w:val="20"/>
          <w:szCs w:val="20"/>
          <w:color w:val="auto"/>
        </w:rPr>
      </w:pPr>
    </w:p>
    <w:p>
      <w:pPr>
        <w:sectPr>
          <w:pgSz w:w="11900" w:h="16838" w:orient="portrait"/>
          <w:cols w:equalWidth="0" w:num="2">
            <w:col w:w="820" w:space="320"/>
            <w:col w:w="10080"/>
          </w:cols>
          <w:pgMar w:left="320" w:top="1305" w:right="359" w:bottom="1440" w:gutter="0" w:footer="0" w:header="0"/>
          <w:type w:val="continuous"/>
        </w:sect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23" w:name="page24"/>
    <w:bookmarkEnd w:id="2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56" w:lineRule="exact"/>
        <w:rPr>
          <w:sz w:val="20"/>
          <w:szCs w:val="20"/>
          <w:color w:val="auto"/>
        </w:rPr>
      </w:pPr>
    </w:p>
    <w:p>
      <w:pPr>
        <w:spacing w:after="0"/>
        <w:tabs>
          <w:tab w:leader="none" w:pos="6460" w:val="left"/>
          <w:tab w:leader="none" w:pos="8340" w:val="left"/>
          <w:tab w:leader="none" w:pos="868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8200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678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678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as the registrant’s Principal Executive Officer)</w:t>
      </w:r>
    </w:p>
    <w:p>
      <w:pPr>
        <w:spacing w:after="0" w:line="219" w:lineRule="exact"/>
        <w:rPr>
          <w:sz w:val="20"/>
          <w:szCs w:val="20"/>
          <w:color w:val="auto"/>
        </w:rPr>
      </w:pPr>
    </w:p>
    <w:p>
      <w:pPr>
        <w:ind w:left="6480"/>
        <w:spacing w:after="0"/>
        <w:tabs>
          <w:tab w:leader="none" w:pos="8300" w:val="left"/>
          <w:tab w:leader="none" w:pos="8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8200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Jason Kruger</w:t>
      </w:r>
    </w:p>
    <w:p>
      <w:pPr>
        <w:jc w:val="center"/>
        <w:ind w:left="678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678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as the registrant’s 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Securities Exchange Act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700" w:hanging="18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MediciNova,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Times New Roman" w:cs="Times New Roman" w:eastAsia="Times New Roman" w:hAnsi="Times New Roman"/>
          <w:sz w:val="18"/>
          <w:szCs w:val="18"/>
          <w:color w:val="auto"/>
        </w:rPr>
        <w:t>By:</w:t>
        <w:tab/>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ind w:left="722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72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Securities Exchange Act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Kruger, certify that:</w:t>
      </w:r>
    </w:p>
    <w:p>
      <w:pPr>
        <w:spacing w:after="0" w:line="117" w:lineRule="exact"/>
        <w:rPr>
          <w:sz w:val="20"/>
          <w:szCs w:val="20"/>
          <w:color w:val="auto"/>
        </w:rPr>
      </w:pPr>
    </w:p>
    <w:p>
      <w:pPr>
        <w:ind w:left="700" w:hanging="183"/>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MediciNova,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Times New Roman" w:cs="Times New Roman" w:eastAsia="Times New Roman" w:hAnsi="Times New Roman"/>
          <w:sz w:val="18"/>
          <w:szCs w:val="18"/>
          <w:color w:val="auto"/>
        </w:rPr>
        <w:t>By:</w:t>
        <w:tab/>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Jason Kruger</w:t>
      </w:r>
    </w:p>
    <w:p>
      <w:pPr>
        <w:ind w:left="722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722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quarter ended June 30, 2025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200" w:hanging="174"/>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80" w:firstLine="506"/>
        <w:spacing w:after="0" w:line="282" w:lineRule="auto"/>
        <w:tabs>
          <w:tab w:leader="none" w:pos="12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2"/>
          <w:szCs w:val="12"/>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720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quarter ended June 30, 2025,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200" w:hanging="174"/>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80" w:firstLine="506"/>
        <w:spacing w:after="0" w:line="282" w:lineRule="auto"/>
        <w:tabs>
          <w:tab w:leader="none" w:pos="12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52" w:lineRule="exact"/>
        <w:rPr>
          <w:sz w:val="20"/>
          <w:szCs w:val="20"/>
          <w:color w:val="auto"/>
        </w:rPr>
      </w:pPr>
    </w:p>
    <w:p>
      <w:pPr>
        <w:ind w:left="6760"/>
        <w:spacing w:after="0"/>
        <w:tabs>
          <w:tab w:leader="none" w:pos="8500" w:val="left"/>
          <w:tab w:leader="none" w:pos="8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Jason Kruger</w:t>
      </w:r>
    </w:p>
    <w:p>
      <w:pPr>
        <w:jc w:val="center"/>
        <w:ind w:left="720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57" Type="http://schemas.openxmlformats.org/officeDocument/2006/relationships/hyperlink" Target="https://www.sec.gov/Archives/edgar/data/1226616/000119312512347932/d344794dex31.htm" TargetMode="External"/><Relationship Id="rId160" Type="http://schemas.openxmlformats.org/officeDocument/2006/relationships/hyperlink" Target="https://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2025-08-14T16:19:25Z</dcterms:created>
  <dcterms:modified xsi:type="dcterms:W3CDTF">2025-08-14T16:19:25Z</dcterms:modified>
</cp:coreProperties>
</file>