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243" w:lineRule="exact"/>
        <w:rPr>
          <w:sz w:val="24"/>
          <w:szCs w:val="24"/>
          <w:color w:val="auto"/>
        </w:rPr>
      </w:pPr>
    </w:p>
    <w:p>
      <w:pPr>
        <w:ind w:left="460" w:right="460" w:hanging="452"/>
        <w:spacing w:after="0" w:line="262" w:lineRule="auto"/>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0" w:lineRule="exact"/>
        <w:rPr>
          <w:sz w:val="24"/>
          <w:szCs w:val="24"/>
          <w:color w:val="auto"/>
        </w:rPr>
      </w:pPr>
    </w:p>
    <w:tbl>
      <w:tblPr>
        <w:tblLayout w:type="fixed"/>
        <w:tblInd w:w="2960" w:type="dxa"/>
        <w:tblCellMar>
          <w:top w:w="0" w:type="dxa"/>
          <w:left w:w="0" w:type="dxa"/>
          <w:bottom w:w="0" w:type="dxa"/>
          <w:right w:w="0" w:type="dxa"/>
        </w:tblCellMar>
      </w:tblPr>
      <w:tr>
        <w:trPr>
          <w:trHeight w:val="207"/>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2"/>
              </w:rPr>
              <w:t>TO</w:t>
            </w:r>
          </w:p>
        </w:tc>
      </w:tr>
      <w:tr>
        <w:trPr>
          <w:trHeight w:val="453"/>
        </w:trPr>
        <w:tc>
          <w:tcPr>
            <w:tcW w:w="426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Commission file number: 001-33185</w:t>
            </w:r>
          </w:p>
        </w:tc>
        <w:tc>
          <w:tcPr>
            <w:tcW w:w="3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222885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-299720</wp:posOffset>
            </wp:positionV>
            <wp:extent cx="571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MEDICINOVA,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6120" w:type="dxa"/>
            <w:vAlign w:val="bottom"/>
          </w:tcPr>
          <w:p>
            <w:pPr>
              <w:jc w:val="center"/>
              <w:ind w:right="34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4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33-0927979</w:t>
            </w:r>
          </w:p>
        </w:tc>
      </w:tr>
      <w:tr>
        <w:trPr>
          <w:trHeight w:val="149"/>
        </w:trPr>
        <w:tc>
          <w:tcPr>
            <w:tcW w:w="6120" w:type="dxa"/>
            <w:vAlign w:val="bottom"/>
          </w:tcPr>
          <w:p>
            <w:pPr>
              <w:jc w:val="center"/>
              <w:ind w:right="34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80" w:type="dxa"/>
            <w:vAlign w:val="bottom"/>
          </w:tcPr>
          <w:p>
            <w:pPr>
              <w:jc w:val="center"/>
              <w:ind w:left="2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20" w:type="dxa"/>
            <w:vAlign w:val="bottom"/>
          </w:tcPr>
          <w:p>
            <w:pPr>
              <w:jc w:val="center"/>
              <w:ind w:right="34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120" w:type="dxa"/>
            <w:vAlign w:val="bottom"/>
          </w:tcPr>
          <w:p>
            <w:pPr>
              <w:jc w:val="center"/>
              <w:ind w:right="3499"/>
              <w:spacing w:after="0"/>
              <w:rPr>
                <w:sz w:val="20"/>
                <w:szCs w:val="20"/>
                <w:color w:val="auto"/>
              </w:rPr>
            </w:pPr>
            <w:r>
              <w:rPr>
                <w:rFonts w:ascii="Times New Roman" w:cs="Times New Roman" w:eastAsia="Times New Roman" w:hAnsi="Times New Roman"/>
                <w:sz w:val="18"/>
                <w:szCs w:val="18"/>
                <w:b w:val="1"/>
                <w:bCs w:val="1"/>
                <w:color w:val="auto"/>
                <w:w w:val="99"/>
              </w:rPr>
              <w:t>4275 Executive Square, Suite 650</w:t>
            </w:r>
          </w:p>
        </w:tc>
        <w:tc>
          <w:tcPr>
            <w:tcW w:w="1480" w:type="dxa"/>
            <w:vAlign w:val="bottom"/>
          </w:tcPr>
          <w:p>
            <w:pPr>
              <w:spacing w:after="0"/>
              <w:rPr>
                <w:sz w:val="24"/>
                <w:szCs w:val="24"/>
                <w:color w:val="auto"/>
              </w:rPr>
            </w:pPr>
          </w:p>
        </w:tc>
      </w:tr>
      <w:tr>
        <w:trPr>
          <w:trHeight w:val="227"/>
        </w:trPr>
        <w:tc>
          <w:tcPr>
            <w:tcW w:w="6120" w:type="dxa"/>
            <w:vAlign w:val="bottom"/>
          </w:tcPr>
          <w:p>
            <w:pPr>
              <w:jc w:val="center"/>
              <w:ind w:right="3499"/>
              <w:spacing w:after="0"/>
              <w:rPr>
                <w:sz w:val="20"/>
                <w:szCs w:val="20"/>
                <w:color w:val="auto"/>
              </w:rPr>
            </w:pPr>
            <w:r>
              <w:rPr>
                <w:rFonts w:ascii="Times New Roman" w:cs="Times New Roman" w:eastAsia="Times New Roman" w:hAnsi="Times New Roman"/>
                <w:sz w:val="18"/>
                <w:szCs w:val="18"/>
                <w:b w:val="1"/>
                <w:bCs w:val="1"/>
                <w:color w:val="auto"/>
              </w:rPr>
              <w:t>La Jolla, CA</w:t>
            </w:r>
          </w:p>
        </w:tc>
        <w:tc>
          <w:tcPr>
            <w:tcW w:w="14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92037</w:t>
            </w:r>
          </w:p>
        </w:tc>
      </w:tr>
      <w:tr>
        <w:trPr>
          <w:trHeight w:val="190"/>
        </w:trPr>
        <w:tc>
          <w:tcPr>
            <w:tcW w:w="6120" w:type="dxa"/>
            <w:vAlign w:val="bottom"/>
          </w:tcPr>
          <w:p>
            <w:pPr>
              <w:jc w:val="center"/>
              <w:ind w:right="34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80" w:type="dxa"/>
            <w:vAlign w:val="bottom"/>
          </w:tcPr>
          <w:p>
            <w:pPr>
              <w:jc w:val="center"/>
              <w:ind w:left="2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90"/>
        </w:trPr>
        <w:tc>
          <w:tcPr>
            <w:tcW w:w="6120" w:type="dxa"/>
            <w:vAlign w:val="bottom"/>
          </w:tcPr>
          <w:p>
            <w:pPr>
              <w:jc w:val="right"/>
              <w:ind w:right="1379"/>
              <w:spacing w:after="0"/>
              <w:rPr>
                <w:sz w:val="20"/>
                <w:szCs w:val="20"/>
                <w:color w:val="auto"/>
              </w:rPr>
            </w:pPr>
            <w:r>
              <w:rPr>
                <w:rFonts w:ascii="Times New Roman" w:cs="Times New Roman" w:eastAsia="Times New Roman" w:hAnsi="Times New Roman"/>
                <w:sz w:val="18"/>
                <w:szCs w:val="18"/>
                <w:b w:val="1"/>
                <w:bCs w:val="1"/>
                <w:color w:val="auto"/>
              </w:rPr>
              <w:t>(858) 373-1500</w:t>
            </w:r>
          </w:p>
        </w:tc>
        <w:tc>
          <w:tcPr>
            <w:tcW w:w="1480" w:type="dxa"/>
            <w:vAlign w:val="bottom"/>
          </w:tcPr>
          <w:p>
            <w:pPr>
              <w:spacing w:after="0"/>
              <w:rPr>
                <w:sz w:val="24"/>
                <w:szCs w:val="24"/>
                <w:color w:val="auto"/>
              </w:rPr>
            </w:pPr>
          </w:p>
        </w:tc>
      </w:tr>
      <w:tr>
        <w:trPr>
          <w:trHeight w:val="190"/>
        </w:trPr>
        <w:tc>
          <w:tcPr>
            <w:tcW w:w="6120" w:type="dxa"/>
            <w:vAlign w:val="bottom"/>
          </w:tcPr>
          <w:p>
            <w:pPr>
              <w:jc w:val="center"/>
              <w:ind w:left="199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4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220980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ind w:right="24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260" w:firstLine="456"/>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80" w:firstLine="45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 reporting company. See definitions of “large accelerated filer,” “accelerated filer” and “smaller reporting company” in Rule 12b-2 of the Exchange Act. (Check one):</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69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694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2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320" w:type="dxa"/>
            <w:vAlign w:val="bottom"/>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r>
        <w:trPr>
          <w:trHeight w:val="412"/>
        </w:trPr>
        <w:tc>
          <w:tcPr>
            <w:tcW w:w="87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As of May 8, 2015, the registrant had 24,880,421 shares of Common Stock ($0.001 par value) outstanding.</w:t>
            </w:r>
          </w:p>
        </w:tc>
        <w:tc>
          <w:tcPr>
            <w:tcW w:w="23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230"/>
        </w:trPr>
        <w:tc>
          <w:tcPr>
            <w:tcW w:w="17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694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6"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0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534"/>
        </w:trPr>
        <w:tc>
          <w:tcPr>
            <w:tcW w:w="1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740" w:type="dxa"/>
            <w:vAlign w:val="bottom"/>
            <w:gridSpan w:val="4"/>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58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740" w:type="dxa"/>
            <w:vAlign w:val="bottom"/>
            <w:gridSpan w:val="4"/>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80" w:type="dxa"/>
            <w:vAlign w:val="bottom"/>
          </w:tcPr>
          <w:p>
            <w:pPr>
              <w:spacing w:after="0"/>
              <w:rPr>
                <w:sz w:val="24"/>
                <w:szCs w:val="24"/>
                <w:color w:val="auto"/>
              </w:rPr>
            </w:pPr>
          </w:p>
        </w:tc>
      </w:tr>
      <w:tr>
        <w:trPr>
          <w:trHeight w:val="419"/>
        </w:trPr>
        <w:tc>
          <w:tcPr>
            <w:tcW w:w="290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3">
              <w:r>
                <w:rPr>
                  <w:rFonts w:ascii="Times New Roman" w:cs="Times New Roman" w:eastAsia="Times New Roman" w:hAnsi="Times New Roman"/>
                  <w:sz w:val="18"/>
                  <w:szCs w:val="18"/>
                  <w:color w:val="0000EE"/>
                  <w:w w:val="98"/>
                </w:rPr>
                <w:t>PART I. FINANCIAL INFORMATION</w:t>
              </w:r>
            </w:hyperlink>
          </w:p>
        </w:tc>
        <w:tc>
          <w:tcPr>
            <w:tcW w:w="784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1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9340" w:type="dxa"/>
            <w:vAlign w:val="bottom"/>
            <w:gridSpan w:val="1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FINANCIAL STATEMENTS (unaudited)</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1400" w:type="dxa"/>
            <w:vAlign w:val="bottom"/>
            <w:gridSpan w:val="3"/>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89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12">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4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400" w:type="dxa"/>
            <w:vAlign w:val="bottom"/>
            <w:gridSpan w:val="3"/>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40" w:type="dxa"/>
            <w:vAlign w:val="bottom"/>
            <w:gridSpan w:val="10"/>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QUANTITATIVE AND QUALITATIVE DISCLOSURES ABOUT MARKET RISK</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400" w:type="dxa"/>
            <w:vAlign w:val="bottom"/>
            <w:gridSpan w:val="3"/>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614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CONTROLS AND PROCEDURES</w:t>
              </w:r>
            </w:hyperlink>
          </w:p>
        </w:tc>
        <w:tc>
          <w:tcPr>
            <w:tcW w:w="3200" w:type="dxa"/>
            <w:vAlign w:val="bottom"/>
            <w:gridSpan w:val="2"/>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0740" w:type="dxa"/>
            <w:vAlign w:val="bottom"/>
            <w:gridSpan w:val="13"/>
          </w:tcPr>
          <w:p>
            <w:pPr>
              <w:spacing w:after="0"/>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PART II. OTHER INFORMATION</w:t>
              </w:r>
            </w:hyperlink>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1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6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14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ITEM 1.</w:t>
            </w:r>
          </w:p>
        </w:tc>
        <w:tc>
          <w:tcPr>
            <w:tcW w:w="1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18">
              <w:r>
                <w:rPr>
                  <w:rFonts w:ascii="Times New Roman" w:cs="Times New Roman" w:eastAsia="Times New Roman" w:hAnsi="Times New Roman"/>
                  <w:sz w:val="18"/>
                  <w:szCs w:val="18"/>
                  <w:color w:val="0000EE"/>
                  <w:w w:val="99"/>
                </w:rPr>
                <w:t>LEGAL PROCEEDINGS</w:t>
              </w:r>
            </w:hyperlink>
          </w:p>
        </w:tc>
        <w:tc>
          <w:tcPr>
            <w:tcW w:w="746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96"/>
        </w:trPr>
        <w:tc>
          <w:tcPr>
            <w:tcW w:w="1400" w:type="dxa"/>
            <w:vAlign w:val="bottom"/>
            <w:gridSpan w:val="3"/>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1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RISK FACTORS</w:t>
              </w:r>
            </w:hyperlink>
          </w:p>
        </w:tc>
        <w:tc>
          <w:tcPr>
            <w:tcW w:w="8080" w:type="dxa"/>
            <w:vAlign w:val="bottom"/>
            <w:gridSpan w:val="7"/>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1400" w:type="dxa"/>
            <w:vAlign w:val="bottom"/>
            <w:gridSpan w:val="3"/>
          </w:tcPr>
          <w:p>
            <w:pPr>
              <w:ind w:left="3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40" w:type="dxa"/>
            <w:vAlign w:val="bottom"/>
            <w:gridSpan w:val="10"/>
          </w:tcPr>
          <w:p>
            <w:pPr>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EXHIBITS</w:t>
              </w:r>
            </w:hyperlink>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304"/>
        </w:trPr>
        <w:tc>
          <w:tcPr>
            <w:tcW w:w="1400" w:type="dxa"/>
            <w:vAlign w:val="bottom"/>
            <w:gridSpan w:val="3"/>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85"/>
        </w:trPr>
        <w:tc>
          <w:tcPr>
            <w:tcW w:w="1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40" w:type="dxa"/>
            <w:vAlign w:val="bottom"/>
            <w:gridSpan w:val="7"/>
          </w:tcPr>
          <w:p>
            <w:pPr>
              <w:jc w:val="center"/>
              <w:ind w:left="4090"/>
              <w:spacing w:after="0"/>
              <w:rPr>
                <w:sz w:val="20"/>
                <w:szCs w:val="20"/>
                <w:color w:val="auto"/>
              </w:rPr>
            </w:pPr>
            <w:r>
              <w:rPr>
                <w:rFonts w:ascii="Times New Roman" w:cs="Times New Roman" w:eastAsia="Times New Roman" w:hAnsi="Times New Roman"/>
                <w:sz w:val="18"/>
                <w:szCs w:val="18"/>
                <w:color w:val="auto"/>
              </w:rPr>
              <w:t>2</w:t>
            </w:r>
          </w:p>
        </w:tc>
        <w:tc>
          <w:tcPr>
            <w:tcW w:w="17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320"/>
          </w:cols>
          <w:pgMar w:left="240" w:top="446" w:right="33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300" w:type="dxa"/>
            <w:vAlign w:val="bottom"/>
            <w:gridSpan w:val="4"/>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8"/>
              </w:rPr>
              <w:t>MEDICINOVA, INC.</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94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9,073,449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11,669,435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1,264,042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463,486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10,337,491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12,132,921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9,600,241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4,800,000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683,732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35,680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deposits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10,699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25,467,843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27,273,494</w:t>
            </w:r>
          </w:p>
        </w:tc>
        <w:tc>
          <w:tcPr>
            <w:tcW w:w="0" w:type="dxa"/>
            <w:vAlign w:val="bottom"/>
          </w:tcPr>
          <w:p>
            <w:pPr>
              <w:spacing w:after="0"/>
              <w:rPr>
                <w:sz w:val="1"/>
                <w:szCs w:val="1"/>
                <w:color w:val="auto"/>
              </w:rPr>
            </w:pPr>
          </w:p>
        </w:tc>
      </w:tr>
      <w:tr>
        <w:trPr>
          <w:trHeight w:val="20"/>
        </w:trPr>
        <w:tc>
          <w:tcPr>
            <w:tcW w:w="83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00" w:type="dxa"/>
            <w:vAlign w:val="bottom"/>
            <w:gridSpan w:val="4"/>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110,381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396,625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346,023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786,494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853,029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1,593,994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rent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18,320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1,956,000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1,694,163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Total liabilities</w:t>
            </w:r>
          </w:p>
        </w:tc>
        <w:tc>
          <w:tcPr>
            <w:tcW w:w="240" w:type="dxa"/>
            <w:vAlign w:val="bottom"/>
            <w:shd w:val="clear" w:color="auto" w:fill="CCEEFF"/>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4,521,512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5,262,905</w:t>
            </w:r>
          </w:p>
        </w:tc>
        <w:tc>
          <w:tcPr>
            <w:tcW w:w="0" w:type="dxa"/>
            <w:vAlign w:val="bottom"/>
          </w:tcPr>
          <w:p>
            <w:pPr>
              <w:spacing w:after="0"/>
              <w:rPr>
                <w:sz w:val="1"/>
                <w:szCs w:val="1"/>
                <w:color w:val="auto"/>
              </w:rPr>
            </w:pPr>
          </w:p>
        </w:tc>
      </w:tr>
      <w:tr>
        <w:trPr>
          <w:trHeight w:val="324"/>
        </w:trPr>
        <w:tc>
          <w:tcPr>
            <w:tcW w:w="8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80" w:type="dxa"/>
            <w:vAlign w:val="bottom"/>
            <w:gridSpan w:val="3"/>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Preferred stock, $0.01 par value; 3,000,000 shares authorized at March 31, 2015 and December 31, 2014;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220,000 shares issued and outstanding at March 31, 2015 and December 31, 2014</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2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at March 31, 2015 and December 31,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2014; 24,637,921 and 24,436,317 shares issued and outstanding at March 31, 2015 and December 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2014, respectively</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24,638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333,818,184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332,666,935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(101,622)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(312,797,069)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(310,582,006)</w:t>
            </w:r>
          </w:p>
        </w:tc>
        <w:tc>
          <w:tcPr>
            <w:tcW w:w="0" w:type="dxa"/>
            <w:vAlign w:val="bottom"/>
          </w:tcPr>
          <w:p>
            <w:pPr>
              <w:spacing w:after="0"/>
              <w:rPr>
                <w:sz w:val="1"/>
                <w:szCs w:val="1"/>
                <w:color w:val="auto"/>
              </w:rPr>
            </w:pPr>
          </w:p>
        </w:tc>
      </w:tr>
      <w:tr>
        <w:trPr>
          <w:trHeight w:val="230"/>
        </w:trPr>
        <w:tc>
          <w:tcPr>
            <w:tcW w:w="8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20,946,331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22,010,589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25,467,843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27,273,494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development and patents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719,728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1,495,227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1,615,815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2,214,955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2,363,733</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(2,214,955)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(2,363,733)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12,934</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(2,212,117)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(2,350,922)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(2,215,063</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(2,352,465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basic and diluted net loss per common share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6"/>
              </w:rPr>
              <w:t>24,538,539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23,697,626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(2,215,063)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2,669</w:t>
            </w: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(2,215,708</w:t>
            </w:r>
          </w:p>
        </w:tc>
        <w:tc>
          <w:tcPr>
            <w:tcW w:w="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(2,349,796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90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8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(2,215,063)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(2,352,465)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9,180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Change in value of equity method investment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(800,373)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Accounts payable, income tax payable, accrued expenses and deferred rent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(301,151)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Accrued compensation and related expenses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Receivables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6,008,553</w:t>
            </w: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(3,233,516</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4,768,420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(3,523)</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common stock, net of issuance costs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2,984,049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warrant exercises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equity awards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30,409</w:t>
            </w:r>
          </w:p>
        </w:tc>
        <w:tc>
          <w:tcPr>
            <w:tcW w:w="0" w:type="dxa"/>
            <w:vAlign w:val="bottom"/>
          </w:tcPr>
          <w:p>
            <w:pPr>
              <w:spacing w:after="0"/>
              <w:rPr>
                <w:sz w:val="1"/>
                <w:szCs w:val="1"/>
                <w:color w:val="auto"/>
              </w:rPr>
            </w:pPr>
          </w:p>
        </w:tc>
      </w:tr>
      <w:tr>
        <w:trPr>
          <w:trHeight w:val="230"/>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638,146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(2,595,986)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8,083,848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11,669,435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6,700,493</w:t>
            </w:r>
          </w:p>
        </w:tc>
        <w:tc>
          <w:tcPr>
            <w:tcW w:w="0" w:type="dxa"/>
            <w:vAlign w:val="bottom"/>
          </w:tcPr>
          <w:p>
            <w:pPr>
              <w:spacing w:after="0"/>
              <w:rPr>
                <w:sz w:val="1"/>
                <w:szCs w:val="1"/>
                <w:color w:val="auto"/>
              </w:rPr>
            </w:pPr>
          </w:p>
        </w:tc>
      </w:tr>
      <w:tr>
        <w:trPr>
          <w:trHeight w:val="223"/>
        </w:trPr>
        <w:tc>
          <w:tcPr>
            <w:tcW w:w="7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9,073,449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14,784,341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4,387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Business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The Company was incorporated in the state of Delaware in September 2000 and is a public company. The Company’s common stock is listed in both the U.S. and Japan and trades on The NASDAQ Global Market and the JASDAQ Market of the Tokyo Stock Exchange. The Company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exacerbations of asthma and MN-029 (denibulin) for solid tumor cancers.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These financial statements should be read in conjunction with the audited consolidated financial statements and notes thereto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included in the Company’s Annual Report on Form 10-K filed with the SEC. The results of operations for the interim period shown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report are not necessarily indicative of the results that may be expected for any other interim period or for the full year. The balance sheet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2014 has been derived from the audited financial statements at that date, but does not include all of the information and footnotes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for complete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Payment</w:t>
      </w:r>
    </w:p>
    <w:p>
      <w:pPr>
        <w:spacing w:after="0" w:line="121"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2015, the Company received a $100,000 payment from a vendor to offset the costs of manufactured drug product that was inadvertently destroyed by the vendor. The vendor payment has been recorded as an offset to general and administrative expense.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$0.6 million for the three months ended March 31, 2015 and 2014, respectively.</w:t>
      </w:r>
    </w:p>
    <w:p>
      <w:pPr>
        <w:spacing w:after="0" w:line="176" w:lineRule="exact"/>
        <w:rPr>
          <w:sz w:val="20"/>
          <w:szCs w:val="20"/>
          <w:color w:val="auto"/>
        </w:rPr>
      </w:pPr>
    </w:p>
    <w:p>
      <w:pPr>
        <w:jc w:val="both"/>
        <w:ind w:right="380" w:firstLine="456"/>
        <w:spacing w:after="0" w:line="266" w:lineRule="auto"/>
        <w:rPr>
          <w:sz w:val="20"/>
          <w:szCs w:val="20"/>
          <w:color w:val="auto"/>
        </w:rPr>
      </w:pPr>
      <w:r>
        <w:rPr>
          <w:rFonts w:ascii="Times New Roman" w:cs="Times New Roman" w:eastAsia="Times New Roman" w:hAnsi="Times New Roman"/>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the three months ended March 31, 2015 and 2014.</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60" w:firstLine="456"/>
        <w:spacing w:after="0" w:line="28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In May 2014, the Financial Accounting Standards Board (“FASB”) and the International Accounting Standards Board “(IASB”) jointly issued Accounting Standards Update (“ASU”) No. 2014-09, Revenue from Contracts from Customers, which supersedes the revenue recognition requirements in ASC 605, Revenue Recognition. ASU 2014-09 is a comprehensive new revenue recognition standard that will supersede nearly all existing revenue recognition guidance under US GAAP and IFRS. The standard’s core principle is that a company will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authoritative guidance. These may include identifying performance obligations in the contract, estimating the amount of variable consideration to include in the transaction price and allocating the transaction price to each separate performance obligation. The standard is effective for public entities for annual and interim periods beginning after December 15, 2016. Early adoption is not permitted under US GAAP. The adoption of this guidance is not expected to have a material impact on the Company.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Policy</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Revenues consist of milestone payments and research and development services. Milestone payments are recognized as revenue upon achievement of pre-defined clinical development and regulatory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Genzyme Corporation</w:t>
      </w:r>
    </w:p>
    <w:p>
      <w:pPr>
        <w:spacing w:after="0" w:line="121" w:lineRule="exact"/>
        <w:rPr>
          <w:sz w:val="20"/>
          <w:szCs w:val="20"/>
          <w:color w:val="auto"/>
        </w:rPr>
      </w:pPr>
    </w:p>
    <w:p>
      <w:pPr>
        <w:ind w:right="40" w:firstLine="456"/>
        <w:spacing w:after="0" w:line="256" w:lineRule="auto"/>
        <w:rPr>
          <w:sz w:val="20"/>
          <w:szCs w:val="20"/>
          <w:color w:val="auto"/>
        </w:rPr>
      </w:pPr>
      <w:r>
        <w:rPr>
          <w:rFonts w:ascii="Times New Roman" w:cs="Times New Roman" w:eastAsia="Times New Roman" w:hAnsi="Times New Roman"/>
          <w:sz w:val="18"/>
          <w:szCs w:val="18"/>
          <w:color w:val="auto"/>
        </w:rPr>
        <w:t>In December 2005, Avigen, Inc. and Genzyme Corporation entered into an Assignment Agreement (Genzyme Agreement) in which Genzyme acquired certain gene therapy intellectual property, programs and other related assets from Avigen in exchange for an initial $12.0 million payment, and Avigen could receive additional development milestone payments, sublicensing fees and royalty payments based on the successful development of products by Genzyme utilizing technologies previously developed by Avigen. Avigen was subsequently acquired by the Company in December 2009 along with Avigen’s rights and obligations under the Genzyme Agreement. If Genzyme fails to diligently pursue the commercialization or marketing of products using the assigned technology, as specified in the Genzyme Agreement, some of the rights assigned could revert back to the Company at a future date.</w:t>
      </w:r>
    </w:p>
    <w:p>
      <w:pPr>
        <w:spacing w:after="0" w:line="188"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The development milestones outlined in the Genzyme Agreement do not meet the definition of a substantive milestone obligation under authoritative guidance on revenue recognition for milestone payments, as Genzyme is responsible for the development of the product and there is no further substantive service effort required by the Company. The Company determined that a non-substantive milestone in the Genzyme Agreement had been earned, and license revenue and a receivable of $6.0 million was recorded during 2013, as no future performance obligations exist. The Company received payment of the amount receivable in January 2014.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Kissei Pharmaceutical Co., Ltd.</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at a future date. The Company assessed the deliverables in accordance with the authoritative guidance and concluded the existence of one deliverable, research and development services. As such, revenue is being recognized as the research and development services are performed. The amount received from Kissei, net of the amount recorded as revenue, is included on the balance sheet as long-term deferred revenue and will be recognized as revenue as the remaining services are performed. Revenue recorded in the three months ended March 31, 2015 and 2014 was zero.</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86"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Observable inputs such as quoted prices in active markets;</w:t>
      </w:r>
    </w:p>
    <w:p>
      <w:pPr>
        <w:spacing w:after="0" w:line="117" w:lineRule="exact"/>
        <w:rPr>
          <w:sz w:val="20"/>
          <w:szCs w:val="20"/>
          <w:color w:val="auto"/>
        </w:rPr>
      </w:pPr>
    </w:p>
    <w:p>
      <w:pPr>
        <w:ind w:left="1420" w:right="620" w:hanging="944"/>
        <w:spacing w:after="0" w:line="282" w:lineRule="auto"/>
        <w:tabs>
          <w:tab w:leader="none" w:pos="140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Inputs are quoted prices for similar items in active markets or inputs are quoted prices for identical or similar items in markets that are not active near the measurement date; and</w:t>
      </w:r>
    </w:p>
    <w:p>
      <w:pPr>
        <w:spacing w:after="0" w:line="54" w:lineRule="exact"/>
        <w:rPr>
          <w:sz w:val="20"/>
          <w:szCs w:val="20"/>
          <w:color w:val="auto"/>
        </w:rPr>
      </w:pPr>
    </w:p>
    <w:p>
      <w:pPr>
        <w:ind w:left="460"/>
        <w:spacing w:after="0"/>
        <w:tabs>
          <w:tab w:leader="none" w:pos="140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due to little or no market data, which require the reporting entity to develop its own assumptions</w:t>
      </w:r>
    </w:p>
    <w:p>
      <w:pPr>
        <w:spacing w:after="0" w:line="225" w:lineRule="exact"/>
        <w:rPr>
          <w:sz w:val="20"/>
          <w:szCs w:val="20"/>
          <w:color w:val="auto"/>
        </w:rPr>
      </w:pPr>
    </w:p>
    <w:p>
      <w:pPr>
        <w:ind w:right="540" w:firstLine="456"/>
        <w:spacing w:after="0" w:line="282" w:lineRule="auto"/>
        <w:rPr>
          <w:sz w:val="20"/>
          <w:szCs w:val="20"/>
          <w:color w:val="auto"/>
        </w:rPr>
      </w:pPr>
      <w:r>
        <w:rPr>
          <w:rFonts w:ascii="Times New Roman" w:cs="Times New Roman" w:eastAsia="Times New Roman" w:hAnsi="Times New Roman"/>
          <w:sz w:val="18"/>
          <w:szCs w:val="18"/>
          <w:color w:val="auto"/>
        </w:rPr>
        <w:t>Cash and cash equivalents, including money market accounts, of $9.0 million and $11.5 million measured at fair value as of March 31, 2015 and December 31, 2014, respectively, are classified within Level 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Joint Venture</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w:t>
      </w:r>
    </w:p>
    <w:p>
      <w:pPr>
        <w:spacing w:after="0" w:line="186"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March 31, 2015, the investment is reflected as a long-term asset on the Company’s consolidated balance sheet which represents the investment in Zhejiang Sunmy, net of the Company’s portion of any generated loss or income.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121"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March 31, 2015, 1,710,825 options remain available for future grant under the 2013 Plan.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Options granted under the 2013 Plan and Prior Plans have terms of ten years from the date of grant and generally vest over a three or four year period.</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exercise price of all options granted was equal to the market value of the Company’s common stock on the date of grant.</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summary of stock option activity and related information as of March 31, 2015 is as follows:</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spacing w:after="0"/>
              <w:rPr>
                <w:sz w:val="13"/>
                <w:szCs w:val="13"/>
                <w:color w:val="auto"/>
              </w:rPr>
            </w:pPr>
          </w:p>
        </w:tc>
        <w:tc>
          <w:tcPr>
            <w:tcW w:w="1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Option Shares</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3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3,447,969</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5.00</w:t>
            </w:r>
          </w:p>
        </w:tc>
        <w:tc>
          <w:tcPr>
            <w:tcW w:w="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649,000</w:t>
            </w:r>
          </w:p>
        </w:tc>
        <w:tc>
          <w:tcPr>
            <w:tcW w:w="8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3.09</w:t>
            </w:r>
          </w:p>
        </w:tc>
        <w:tc>
          <w:tcPr>
            <w:tcW w:w="1460" w:type="dxa"/>
            <w:vAlign w:val="bottom"/>
            <w:gridSpan w:val="2"/>
          </w:tcPr>
          <w:p>
            <w:pPr>
              <w:jc w:val="center"/>
              <w:ind w:left="314"/>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center"/>
              <w:ind w:left="314"/>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1120" w:type="dxa"/>
            <w:vAlign w:val="bottom"/>
            <w:tcBorders>
              <w:bottom w:val="single" w:sz="8" w:color="auto"/>
            </w:tcBorders>
          </w:tcPr>
          <w:p>
            <w:pPr>
              <w:jc w:val="center"/>
              <w:ind w:left="654"/>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2015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4,096,969</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4.70</w:t>
            </w:r>
          </w:p>
        </w:tc>
        <w:tc>
          <w:tcPr>
            <w:tcW w:w="1460" w:type="dxa"/>
            <w:vAlign w:val="bottom"/>
            <w:gridSpan w:val="2"/>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rPr>
              <w:t>6.47</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1,812,522</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at March 31, 2015</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3,083,019</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5.21</w:t>
            </w:r>
          </w:p>
        </w:tc>
        <w:tc>
          <w:tcPr>
            <w:tcW w:w="720" w:type="dxa"/>
            <w:vAlign w:val="bottom"/>
          </w:tcPr>
          <w:p>
            <w:pPr>
              <w:spacing w:after="0"/>
              <w:rPr>
                <w:sz w:val="18"/>
                <w:szCs w:val="18"/>
                <w:color w:val="auto"/>
              </w:rPr>
            </w:pPr>
          </w:p>
        </w:tc>
        <w:tc>
          <w:tcPr>
            <w:tcW w:w="1120" w:type="dxa"/>
            <w:vAlign w:val="bottom"/>
            <w:tcBorders>
              <w:bottom w:val="single" w:sz="8" w:color="auto"/>
            </w:tcBorders>
          </w:tcPr>
          <w:p>
            <w:pPr>
              <w:jc w:val="center"/>
              <w:ind w:left="714"/>
              <w:spacing w:after="0"/>
              <w:rPr>
                <w:sz w:val="20"/>
                <w:szCs w:val="20"/>
                <w:color w:val="auto"/>
              </w:rPr>
            </w:pPr>
            <w:r>
              <w:rPr>
                <w:rFonts w:ascii="Times New Roman" w:cs="Times New Roman" w:eastAsia="Times New Roman" w:hAnsi="Times New Roman"/>
                <w:sz w:val="18"/>
                <w:szCs w:val="18"/>
                <w:color w:val="auto"/>
              </w:rPr>
              <w:t>5.51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4"/>
              </w:rPr>
              <w:t>1,409,113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 options were exercised during the three months ended March 31, 2014 and 2015.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21" w:lineRule="exact"/>
        <w:rPr>
          <w:sz w:val="20"/>
          <w:szCs w:val="20"/>
          <w:color w:val="auto"/>
        </w:rPr>
      </w:pPr>
    </w:p>
    <w:p>
      <w:pPr>
        <w:ind w:right="160" w:firstLine="456"/>
        <w:spacing w:after="0" w:line="258" w:lineRule="auto"/>
        <w:rPr>
          <w:sz w:val="20"/>
          <w:szCs w:val="20"/>
          <w:color w:val="auto"/>
        </w:rPr>
      </w:pPr>
      <w:r>
        <w:rPr>
          <w:rFonts w:ascii="Times New Roman" w:cs="Times New Roman" w:eastAsia="Times New Roman" w:hAnsi="Times New Roman"/>
          <w:sz w:val="18"/>
          <w:szCs w:val="18"/>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w:t>
      </w:r>
    </w:p>
    <w:p>
      <w:pPr>
        <w:spacing w:after="0" w:line="184"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2015, an aggregate of 21,604 shares were issued under the ESPP, leaving 209,349 shares available for future issuance.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right="100" w:firstLine="45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2015, options to purchase 649,000 shares of common stock were granted. The Company did not grant any stock options or employee stock purchase rights during the three months ended March 31, 2014. Stock-based compensation expense for stock option awards and ESPP shares are reflected in total operating expenses for each respective year. For the three months ended March 31, 2015 and 2014, stock-based compensation expense related to stock options and the ESPP was $513,000 and $255,000, respectively.</w:t>
      </w:r>
    </w:p>
    <w:p>
      <w:pPr>
        <w:spacing w:after="0" w:line="180" w:lineRule="exact"/>
        <w:rPr>
          <w:sz w:val="20"/>
          <w:szCs w:val="20"/>
          <w:color w:val="auto"/>
        </w:rPr>
      </w:pPr>
    </w:p>
    <w:p>
      <w:pPr>
        <w:ind w:right="200" w:firstLine="456"/>
        <w:spacing w:after="0" w:line="266" w:lineRule="auto"/>
        <w:rPr>
          <w:sz w:val="20"/>
          <w:szCs w:val="20"/>
          <w:color w:val="auto"/>
        </w:rPr>
      </w:pPr>
      <w:r>
        <w:rPr>
          <w:rFonts w:ascii="Times New Roman" w:cs="Times New Roman" w:eastAsia="Times New Roman" w:hAnsi="Times New Roman"/>
          <w:sz w:val="18"/>
          <w:szCs w:val="18"/>
          <w:color w:val="auto"/>
        </w:rPr>
        <w:t>The Company uses the Black-Scholes valuation model for determining the estimated fair value and the stock-based compensation for stock-based awards to employees. The following table provides the assumptions used in the Black-Scholes valuation model for the three months ended March 31, 2015 and 2014. There were no ESPP grants during the three months ended March 31, 2015 and 2014.</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304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3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9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500" w:type="dxa"/>
            <w:vAlign w:val="bottom"/>
          </w:tcPr>
          <w:p>
            <w:pPr>
              <w:spacing w:after="0"/>
              <w:rPr>
                <w:sz w:val="15"/>
                <w:szCs w:val="15"/>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2014</w:t>
            </w: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Stock Option assumptions:</w:t>
            </w:r>
          </w:p>
        </w:tc>
        <w:tc>
          <w:tcPr>
            <w:tcW w:w="10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1.47%</w:t>
            </w:r>
          </w:p>
        </w:tc>
        <w:tc>
          <w:tcPr>
            <w:tcW w:w="500" w:type="dxa"/>
            <w:vAlign w:val="bottom"/>
          </w:tcPr>
          <w:p>
            <w:pPr>
              <w:spacing w:after="0"/>
              <w:rPr>
                <w:sz w:val="18"/>
                <w:szCs w:val="18"/>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of common stock</w:t>
            </w:r>
          </w:p>
        </w:tc>
        <w:tc>
          <w:tcPr>
            <w:tcW w:w="30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79.24%</w:t>
            </w: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30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0.0%</w:t>
            </w:r>
          </w:p>
        </w:tc>
        <w:tc>
          <w:tcPr>
            <w:tcW w:w="500" w:type="dxa"/>
            <w:vAlign w:val="bottom"/>
          </w:tcPr>
          <w:p>
            <w:pPr>
              <w:spacing w:after="0"/>
              <w:rPr>
                <w:sz w:val="18"/>
                <w:szCs w:val="18"/>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80" w:firstLine="456"/>
        <w:spacing w:after="0" w:line="282" w:lineRule="auto"/>
        <w:rPr>
          <w:sz w:val="20"/>
          <w:szCs w:val="20"/>
          <w:color w:val="auto"/>
        </w:rPr>
      </w:pPr>
      <w:r>
        <w:rPr>
          <w:rFonts w:ascii="Times New Roman" w:cs="Times New Roman" w:eastAsia="Times New Roman" w:hAnsi="Times New Roman"/>
          <w:sz w:val="18"/>
          <w:szCs w:val="18"/>
          <w:color w:val="auto"/>
        </w:rPr>
        <w:t>As of March 31, 2015, there was $1.8 million of unamortized compensation cost related to unvested stock option awards which is expected to be recognized over a remaining weighted-average vesting period of 1.2 years, on a straight-line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Issuance Sales Agreements</w:t>
      </w:r>
    </w:p>
    <w:p>
      <w:pPr>
        <w:spacing w:after="0" w:line="121"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On October 16, 2013, the Company entered into an at-the-market equity distribution agreement with MCUSA pursuant to which the Company may sell common stock through MCUSA from time to time up to an aggregate offering price of $10.0 million. Under the terms of this agreement, unless otherwise mutually agreed, no daily sale of an amount of shares of the Company’s common stock is to exceed the lower of $50,000 or 10% of the lower of the 5-day or 3-month average daily traded value of the Company’s</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common stock on NASDAQ (unless 10% of the lower of the 5-day or 3-month average daily traded value of the Company’s common stock on the JASDAQ Market of the Tokyo Stock Exchange (“TSE”) is greater, in which case the value from the TSE will be used) as of the date of the applicable issuance notice. The price per share is not to be less than the greater of $1.29 or the last available closing price of a share of the Company’s common stock on NASDAQ.</w:t>
      </w:r>
    </w:p>
    <w:p>
      <w:pPr>
        <w:spacing w:after="0" w:line="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MCUSA agreed to use its commercially reasonable efforts consistent with its customary trading and sales practices and applicable laws, rules and regulations to sell shares of the Company’s common stock and is to sell such shares by any method permitted by law deemed to be “at the market.” The Company agreed to pay MCUSA an aggregate commission rate of 7.0% of the gross proceeds of any common stock sold under this agreement. MCUSA is under no obligation to purchase shares pursuant to this agreement and there are no assurances that MCUSA will be successful in selling shares. Proceeds from sales of common stock will depend on the number of shares of common stock sold to MCUSA and the per share purchase price of each transaction. The agreement with MCUSA provides both MCUSA and the Company the right to terminate the agreement in their discretion upon giving five business days written notice. For the three months ended March 31, 2015, the Company has generated gross and net proceeds of $0.7 million and $0.6 million, respectively, under this agreement on sales of 180,000 shares of the Company’s common stock at prices ranging from $3.24 to $4.22 per share.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121"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In 2011, the Company consummated a firm-commitment underwritten public offering of 2,800,666 units at a price to the public of $3.00 per unit for gross proceeds of $8.25 million. Each unit consists of one share of common stock, and a warrant to purchase one share of common stock. The shares of common stock and warrants are immediately separable and were issued separately. The warrants are exercisable immediately upon issuance, have a five-year term and an exercise price of $3.56 per share. None of these warrants were exercised during the three months ended March 31, 2015. As of March 31, 2015, 2,576,500 of these warrant remain outstanding and exercisable.</w:t>
      </w:r>
    </w:p>
    <w:p>
      <w:pPr>
        <w:spacing w:after="0" w:line="184" w:lineRule="exact"/>
        <w:rPr>
          <w:sz w:val="20"/>
          <w:szCs w:val="20"/>
          <w:color w:val="auto"/>
        </w:rPr>
      </w:pPr>
    </w:p>
    <w:p>
      <w:pPr>
        <w:ind w:right="60" w:firstLine="456"/>
        <w:spacing w:after="0" w:line="266" w:lineRule="auto"/>
        <w:rPr>
          <w:sz w:val="20"/>
          <w:szCs w:val="20"/>
          <w:color w:val="auto"/>
        </w:rPr>
      </w:pPr>
      <w:r>
        <w:rPr>
          <w:rFonts w:ascii="Times New Roman" w:cs="Times New Roman" w:eastAsia="Times New Roman" w:hAnsi="Times New Roman"/>
          <w:sz w:val="18"/>
          <w:szCs w:val="18"/>
          <w:color w:val="auto"/>
        </w:rPr>
        <w:t>In August 2012, the Company issued a warrant in exchange for investor relations services to purchase up to 130,000 of common stock of the Company at a price of $1.88 per share, the closing price of the Company’s common stock on that date. As of March 31, 2015, the warrant was exercisable for 15,000 shares, and no further shares will vest. The warrant expires five years from the date of issuance.</w:t>
      </w:r>
    </w:p>
    <w:p>
      <w:pPr>
        <w:spacing w:after="0" w:line="176"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In May 2013, the Company entered into a securities purchase agreement with certain accredited investors pursuant to which the Company agreed to sell to investors 1,158,730 shares of the Company’s common stock at a price of $3.15 per share and warrants to purchase an aggregate of 869,047 shares of the Company’s common stock with an exercise price of $3.15 per share. On May 29, 2013, 119,047 of the warrants were amended to reflect an exercise price of $3.38 per share. The warrants will expire on May 9, 2018. As of March 31, 2015, 869,047 of these warrants remain outstanding and exercisable.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Net Loss Per Share</w:t>
      </w:r>
    </w:p>
    <w:p>
      <w:pPr>
        <w:spacing w:after="0" w:line="121" w:lineRule="exact"/>
        <w:rPr>
          <w:sz w:val="20"/>
          <w:szCs w:val="20"/>
          <w:color w:val="auto"/>
        </w:rPr>
      </w:pPr>
    </w:p>
    <w:p>
      <w:pPr>
        <w:ind w:right="80" w:firstLine="456"/>
        <w:spacing w:after="0" w:line="258" w:lineRule="auto"/>
        <w:rPr>
          <w:sz w:val="20"/>
          <w:szCs w:val="20"/>
          <w:color w:val="auto"/>
        </w:rPr>
      </w:pPr>
      <w:r>
        <w:rPr>
          <w:rFonts w:ascii="Times New Roman" w:cs="Times New Roman" w:eastAsia="Times New Roman" w:hAnsi="Times New Roman"/>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because of their anti-dilutive effect.</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Potentially dilutive outstanding securities excluded from diluted net loss per common share because of their anti-dilutive effect:</w:t>
      </w:r>
    </w:p>
    <w:p>
      <w:pPr>
        <w:spacing w:after="0" w:line="246"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6700" w:type="dxa"/>
            <w:vAlign w:val="bottom"/>
          </w:tcPr>
          <w:p>
            <w:pPr>
              <w:spacing w:after="0"/>
              <w:rPr>
                <w:sz w:val="15"/>
                <w:szCs w:val="15"/>
                <w:color w:val="auto"/>
              </w:rPr>
            </w:pPr>
          </w:p>
        </w:tc>
        <w:tc>
          <w:tcPr>
            <w:tcW w:w="198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700" w:type="dxa"/>
            <w:vAlign w:val="bottom"/>
          </w:tcPr>
          <w:p>
            <w:pPr>
              <w:spacing w:after="0"/>
              <w:rPr>
                <w:sz w:val="12"/>
                <w:szCs w:val="12"/>
                <w:color w:val="auto"/>
              </w:rPr>
            </w:pPr>
          </w:p>
        </w:tc>
        <w:tc>
          <w:tcPr>
            <w:tcW w:w="78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100" w:type="dxa"/>
            <w:vAlign w:val="bottom"/>
            <w:tcBorders>
              <w:top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as converted</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4,096,969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3,197,785</w:t>
            </w:r>
          </w:p>
        </w:tc>
        <w:tc>
          <w:tcPr>
            <w:tcW w:w="10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3,658,567</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3,675,567</w:t>
            </w:r>
          </w:p>
        </w:tc>
        <w:tc>
          <w:tcPr>
            <w:tcW w:w="100" w:type="dxa"/>
            <w:vAlign w:val="bottom"/>
            <w:shd w:val="clear" w:color="auto" w:fill="CCEEFF"/>
          </w:tcPr>
          <w:p>
            <w:pPr>
              <w:spacing w:after="0"/>
              <w:rPr>
                <w:sz w:val="18"/>
                <w:szCs w:val="18"/>
                <w:color w:val="auto"/>
              </w:rPr>
            </w:pP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9,955,536</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9,073,352</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Related Party Transactions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March 31, 2015, is included on the balance sheet at March 31, 2015 as deferred revenue and will be recognized as revenue in future periods as the Company performs the remaining services.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Subsequent Events</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 Company has generated gross and net proceeds of $0.2 million under the at-the-market equity distribution agreement with MCUSA on the sale of 45,000 shares of the Company’s common stock subsequent to March 31, 2015.</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generated gross proceeds of $0.7 million from the exercise of 197,500 warrants subsequent to March 31, 2015.</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80"/>
          </w:cols>
          <w:pgMar w:left="240" w:top="455" w:right="37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2014 included in our Annual Report on Form 10-K filed with the Securities and Exchange Commission, or SEC, on March 12, 2015. Past operating results are not necessarily indicative of results that may occur in future periods.</w:t>
      </w:r>
    </w:p>
    <w:p>
      <w:pPr>
        <w:spacing w:after="0" w:line="180" w:lineRule="exact"/>
        <w:rPr>
          <w:sz w:val="20"/>
          <w:szCs w:val="20"/>
          <w:color w:val="auto"/>
        </w:rPr>
      </w:pPr>
    </w:p>
    <w:p>
      <w:pPr>
        <w:ind w:right="40" w:firstLine="456"/>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methamphetamine dependence, opioid dependence, and alcohol dependence), and MN-001 (tipelukast) for fibrotic diseases such as nonalcoholic steatohepatitis (NASH) and idiopathic pulmonary fibrosis (IPF). Our pipeline also includes MN-221 (bedoradrine) for the treatment of acute exacerbations of asthma and MN-029 (denibulin) for solid tumor cancers. We were incorporated in Delaware in September 2000.</w:t>
      </w:r>
    </w:p>
    <w:p>
      <w:pPr>
        <w:spacing w:after="0" w:line="188" w:lineRule="exact"/>
        <w:rPr>
          <w:sz w:val="20"/>
          <w:szCs w:val="20"/>
          <w:color w:val="auto"/>
        </w:rPr>
      </w:pPr>
    </w:p>
    <w:p>
      <w:pPr>
        <w:jc w:val="both"/>
        <w:ind w:right="60" w:firstLine="456"/>
        <w:spacing w:after="0" w:line="266" w:lineRule="auto"/>
        <w:rPr>
          <w:sz w:val="20"/>
          <w:szCs w:val="20"/>
          <w:color w:val="auto"/>
        </w:rPr>
      </w:pPr>
      <w:r>
        <w:rPr>
          <w:rFonts w:ascii="Times New Roman" w:cs="Times New Roman" w:eastAsia="Times New Roman" w:hAnsi="Times New Roman"/>
          <w:sz w:val="18"/>
          <w:szCs w:val="18"/>
          <w:color w:val="auto"/>
        </w:rPr>
        <w:t>We have incurred significant net losses since our inception. As of March 31, 2015, we had an accumulated deficit of $312.8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76" w:lineRule="exact"/>
        <w:rPr>
          <w:sz w:val="20"/>
          <w:szCs w:val="20"/>
          <w:color w:val="auto"/>
        </w:rPr>
      </w:pPr>
    </w:p>
    <w:p>
      <w:pPr>
        <w:jc w:val="both"/>
        <w:ind w:right="60" w:firstLine="456"/>
        <w:spacing w:after="0" w:line="282" w:lineRule="auto"/>
        <w:rPr>
          <w:sz w:val="20"/>
          <w:szCs w:val="20"/>
          <w:color w:val="auto"/>
        </w:rPr>
      </w:pPr>
      <w:r>
        <w:rPr>
          <w:rFonts w:ascii="Times New Roman" w:cs="Times New Roman" w:eastAsia="Times New Roman" w:hAnsi="Times New Roman"/>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5" w:lineRule="exact"/>
        <w:rPr>
          <w:sz w:val="20"/>
          <w:szCs w:val="20"/>
          <w:color w:val="auto"/>
        </w:rPr>
      </w:pPr>
    </w:p>
    <w:p>
      <w:pPr>
        <w:ind w:left="900" w:hanging="325"/>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MN-166 for multiple potential indications primarily through non-dilutive financings.</w:t>
      </w:r>
    </w:p>
    <w:p>
      <w:pPr>
        <w:spacing w:after="0" w:line="119" w:lineRule="exact"/>
        <w:rPr>
          <w:sz w:val="20"/>
          <w:szCs w:val="20"/>
          <w:color w:val="auto"/>
        </w:rPr>
      </w:pPr>
    </w:p>
    <w:p>
      <w:pPr>
        <w:ind w:left="920" w:right="40"/>
        <w:spacing w:after="0" w:line="256" w:lineRule="auto"/>
        <w:rPr>
          <w:sz w:val="20"/>
          <w:szCs w:val="20"/>
          <w:color w:val="auto"/>
        </w:rPr>
      </w:pPr>
      <w:r>
        <w:rPr>
          <w:rFonts w:ascii="Times New Roman" w:cs="Times New Roman" w:eastAsia="Times New Roman" w:hAnsi="Times New Roman"/>
          <w:sz w:val="18"/>
          <w:szCs w:val="18"/>
          <w:color w:val="auto"/>
        </w:rPr>
        <w:t>We intend to advance our diverse MN-166 (ibudilast) program through a combination of investigator-sponsored trials and trials funded through government grants or other grants.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for the treatment of progressive MS, which is primarily funded by the National Institutes of Health (NIH), and are contributing financially to the Carolinas Neuromuscular ALS-MDA Center clinical trial of MN-166 for the treatment of ALS. We intend to enter into additional strategic alliances to support further clinical development of MN-166.</w:t>
      </w:r>
    </w:p>
    <w:p>
      <w:pPr>
        <w:spacing w:after="0" w:line="91" w:lineRule="exact"/>
        <w:rPr>
          <w:sz w:val="20"/>
          <w:szCs w:val="20"/>
          <w:color w:val="auto"/>
        </w:rPr>
      </w:pPr>
    </w:p>
    <w:p>
      <w:pPr>
        <w:ind w:left="900" w:hanging="325"/>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Pursue the development of MN-001 for fibrotic diseases such as NASH and IPF.</w:t>
      </w:r>
    </w:p>
    <w:p>
      <w:pPr>
        <w:spacing w:after="0" w:line="119" w:lineRule="exact"/>
        <w:rPr>
          <w:sz w:val="20"/>
          <w:szCs w:val="20"/>
          <w:color w:val="auto"/>
        </w:rPr>
      </w:pPr>
    </w:p>
    <w:p>
      <w:pPr>
        <w:ind w:left="920" w:right="240"/>
        <w:spacing w:after="0" w:line="282" w:lineRule="auto"/>
        <w:rPr>
          <w:sz w:val="20"/>
          <w:szCs w:val="20"/>
          <w:color w:val="auto"/>
        </w:rPr>
      </w:pPr>
      <w:r>
        <w:rPr>
          <w:rFonts w:ascii="Times New Roman" w:cs="Times New Roman" w:eastAsia="Times New Roman" w:hAnsi="Times New Roman"/>
          <w:sz w:val="18"/>
          <w:szCs w:val="18"/>
          <w:color w:val="auto"/>
        </w:rPr>
        <w:t>We intend to advance development of MN-001 through a combination of investigator-sponsored trials with or without grant funding as well as trials we may fund.</w:t>
      </w:r>
    </w:p>
    <w:p>
      <w:pPr>
        <w:spacing w:after="0" w:line="65" w:lineRule="exact"/>
        <w:rPr>
          <w:sz w:val="20"/>
          <w:szCs w:val="20"/>
          <w:color w:val="auto"/>
        </w:rPr>
      </w:pPr>
    </w:p>
    <w:p>
      <w:pPr>
        <w:ind w:left="900" w:right="760" w:hanging="325"/>
        <w:spacing w:after="0" w:line="28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Strategically partner with one or more leading pharmaceutical companies to complete late-stage product development and successfully commercialize our products.</w:t>
      </w:r>
    </w:p>
    <w:p>
      <w:pPr>
        <w:spacing w:after="0" w:line="52" w:lineRule="exact"/>
        <w:rPr>
          <w:sz w:val="20"/>
          <w:szCs w:val="20"/>
          <w:color w:val="auto"/>
        </w:rPr>
      </w:pPr>
    </w:p>
    <w:p>
      <w:pPr>
        <w:ind w:left="920" w:right="380"/>
        <w:spacing w:after="0" w:line="289" w:lineRule="auto"/>
        <w:rPr>
          <w:sz w:val="20"/>
          <w:szCs w:val="20"/>
          <w:color w:val="auto"/>
        </w:rPr>
      </w:pPr>
      <w:r>
        <w:rPr>
          <w:rFonts w:ascii="Times New Roman" w:cs="Times New Roman" w:eastAsia="Times New Roman" w:hAnsi="Times New Roman"/>
          <w:sz w:val="17"/>
          <w:szCs w:val="17"/>
          <w:color w:val="auto"/>
        </w:rPr>
        <w:t>We develop and maintain relationships with pharmaceutical companies that are therapeutic category leaders. Upon completion of proof-of-concept Phase 2 clinical trials, we intend to enter into strategic alliances with leading pharmaceutical companies who seek late-stage product candidates, such as MN-166, MN-221, MN-001 and MN-029, to support further clinical development and product commercialization.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entered into an agreement to form a joint venture company with Zhejiang Medicine Co., Ltd. and Beijing Medfron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 We have not entered into the sublicense of MN-221 with Zhejiang Sunmy as of the date of this report. There is no assurance the sublicense will be executed and there is no assurance that Zhejiang Sunmy will be able to proceed with the development of MN-221 in China.</w:t>
      </w:r>
    </w:p>
    <w:p>
      <w:pPr>
        <w:spacing w:after="0" w:line="193" w:lineRule="exact"/>
        <w:rPr>
          <w:sz w:val="20"/>
          <w:szCs w:val="20"/>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March 31, 2015, we reflect a long-term asset on our consolidated balance sheet which represents our investment in Zhejiang Sunmy, net of our portion of any generated loss or income.</w:t>
      </w:r>
    </w:p>
    <w:p>
      <w:pPr>
        <w:spacing w:after="0" w:line="180"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Depending on decisions we may make as to further clinical development, we may seek to raise additional capital. We may also pursue potential partnerships and potential acquirers of license rights to our programs in markets outside the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and Cost of Revenues</w:t>
      </w:r>
    </w:p>
    <w:p>
      <w:pPr>
        <w:spacing w:after="0" w:line="121"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During the three months ended March 31, 2015 and 2014, we recognized zero revenues associated with this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 Expenses</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Our research, development and patent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our total research, development, and patent expenses by category during the periods presented (in thousands):</w:t>
      </w:r>
    </w:p>
    <w:p>
      <w:pPr>
        <w:spacing w:after="0" w:line="246" w:lineRule="exact"/>
        <w:rPr>
          <w:sz w:val="20"/>
          <w:szCs w:val="20"/>
          <w:color w:val="auto"/>
        </w:rPr>
      </w:pP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7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80" w:type="dxa"/>
        <w:tblCellMar>
          <w:top w:w="0" w:type="dxa"/>
          <w:left w:w="0" w:type="dxa"/>
          <w:bottom w:w="0" w:type="dxa"/>
          <w:right w:w="0" w:type="dxa"/>
        </w:tblCellMar>
      </w:tblPr>
      <w:tr>
        <w:trPr>
          <w:trHeight w:val="142"/>
        </w:trPr>
        <w:tc>
          <w:tcPr>
            <w:tcW w:w="342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7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34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External development expense:</w:t>
            </w:r>
          </w:p>
        </w:tc>
        <w:tc>
          <w:tcPr>
            <w:tcW w:w="3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MN-221</w:t>
            </w:r>
          </w:p>
        </w:tc>
        <w:tc>
          <w:tcPr>
            <w:tcW w:w="3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MN-166</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MN-001</w:t>
            </w:r>
          </w:p>
        </w:tc>
        <w:tc>
          <w:tcPr>
            <w:tcW w:w="3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MN-029</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development expense</w:t>
            </w:r>
          </w:p>
        </w:tc>
        <w:tc>
          <w:tcPr>
            <w:tcW w:w="3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19"/>
                <w:szCs w:val="19"/>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personnel expense</w:t>
            </w:r>
          </w:p>
        </w:tc>
        <w:tc>
          <w:tcPr>
            <w:tcW w:w="3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r>
      <w:tr>
        <w:trPr>
          <w:trHeight w:val="365"/>
        </w:trPr>
        <w:tc>
          <w:tcPr>
            <w:tcW w:w="3420" w:type="dxa"/>
            <w:vAlign w:val="bottom"/>
          </w:tcPr>
          <w:p>
            <w:pPr>
              <w:spacing w:after="0"/>
              <w:rPr>
                <w:sz w:val="24"/>
                <w:szCs w:val="24"/>
                <w:color w:val="auto"/>
              </w:rPr>
            </w:pPr>
          </w:p>
        </w:tc>
        <w:tc>
          <w:tcPr>
            <w:tcW w:w="338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80" w:type="dxa"/>
        <w:tblCellMar>
          <w:top w:w="0" w:type="dxa"/>
          <w:left w:w="0" w:type="dxa"/>
          <w:bottom w:w="0" w:type="dxa"/>
          <w:right w:w="0" w:type="dxa"/>
        </w:tblCellMar>
      </w:tblPr>
      <w:tr>
        <w:trPr>
          <w:trHeight w:val="142"/>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14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facility and depreciation expense</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Patent expenses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R&amp;D expense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development and patent expense</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720</w:t>
            </w:r>
          </w:p>
        </w:tc>
        <w:tc>
          <w:tcPr>
            <w:tcW w:w="6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748</w:t>
            </w:r>
          </w:p>
        </w:tc>
        <w:tc>
          <w:tcPr>
            <w:tcW w:w="100" w:type="dxa"/>
            <w:vAlign w:val="bottom"/>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60" w:firstLine="456"/>
        <w:spacing w:after="0" w:line="266" w:lineRule="auto"/>
        <w:rPr>
          <w:sz w:val="20"/>
          <w:szCs w:val="20"/>
          <w:color w:val="auto"/>
        </w:rPr>
      </w:pPr>
      <w:r>
        <w:rPr>
          <w:rFonts w:ascii="Times New Roman" w:cs="Times New Roman" w:eastAsia="Times New Roman" w:hAnsi="Times New Roman"/>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and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and Patent Expenses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Research, development and patent costs are expensed as incurred based on certain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 at the lower of 85% of fair market value at the beginning of the offering period or the end of each six-month offering period. The benefits provided under all of these plans requires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89"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Valuation of our stock option grants requires us to estimate certain variables, such as estimated volatility and expected life. If any of our estimations change, such changes could have a significant impact on the stock-based compensation amount we recognize.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455" w:right="27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Purchased Intangibles</w:t>
      </w:r>
    </w:p>
    <w:p>
      <w:pPr>
        <w:spacing w:after="0" w:line="121"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Goodwill is recorded when the consideration paid for an acquisition exceeds the fair value of the identified net tangible and intangible assets of acquired businesses. The allocation of purchase price for acquisitions require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Goodwill and in-process research and development, or IPR&amp;D, was $9.6 million and $4.8 million, respectively, as of March 31, 2015.</w:t>
      </w:r>
    </w:p>
    <w:p>
      <w:pPr>
        <w:spacing w:after="0" w:line="185"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At least annually in the fourth quarter, or more frequently if indicators of impairment exist, we complete an impairment test for goodwill and purchased indefinite life intangibles.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2015 and 2014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Development and Patent Expenses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Research, development and patent expenses were $0.7 million for the three months ended March 31, 2015 and 2014.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$1.5 million and $1.6 million for the three months ended March 31, 2015 and 2014, respectively. The decrease in general and administrative expenses is due to a $100,000 vendor payment received during the three months ended March 31, 2015, to offset costs of manufactured drug product that was inadvertently destroyed by the vendor. The vendor payment has been recorded as an offset to general and administrative expense.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456"/>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March 31, 2015 was $3.2 million compared to $4.8 million of net cash provided by operating activities during the same period in 2014. The $8.0 million change is primarily related to the receipt of $6.0 million in accounts receivable during the first quarter of 2014 as well as higher amortization of prepaid expenses in 2014 compared to 2015.</w:t>
      </w:r>
    </w:p>
    <w:p>
      <w:pPr>
        <w:spacing w:after="0" w:line="176" w:lineRule="exact"/>
        <w:rPr>
          <w:sz w:val="20"/>
          <w:szCs w:val="20"/>
          <w:color w:val="auto"/>
        </w:rPr>
      </w:pPr>
    </w:p>
    <w:p>
      <w:pPr>
        <w:ind w:right="260" w:firstLine="456"/>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during the three months ended March 31, 2015 was $0.6 million compared to $3.3 million during the same period in 2014. The decrease in cash provided by financing activities is due to fewer sales of common stock in 2015.</w:t>
      </w:r>
    </w:p>
    <w:p>
      <w:pPr>
        <w:spacing w:after="0" w:line="162"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On October 16, 2013, we entered into an at-the-market equity distribution agreement with MCUSA pursuant to which we may sell our common stock through MCUSA from time to time up to an aggregate offering price of $10 million. Under the terms of this agreement, unless otherwise mutually agreed, no daily sale of an amount of shares of our common stock is to exceed the lower of $50,000 or 10% of the lower of the 5-day or 3-month average daily traded value of our common stock on NASDAQ (unless 10% of the lower of the 5-day or 3-month average daily traded value of our common stock on the JASDAQ Market of the Tokyo Stock Exchange (“TSE”) is greater, in which case the value from the TSE will be used) as of the date of the applicable issuance notice. The price per share is not to be less than the greater of $1.29 or the last available closing price of a share of common stock on NASDAQ. MCUSA agreed to use its commercially reasonable efforts consistent with its customary trading and sales practices and applicable laws, rules and regulations to sell shares of our common stock and is to sell such shares by any method permitted by law deemed to be “at the market.” We agreed to pay MCUSA an aggregate commission rate of 7.0% of the gross proceeds of any common stock sold under this agreement. MCUSA is under no obligation to purchase shares pursuant to this agreement and there are no assurances that MCUSA will be successful in selling shares. Our proceeds will depend on the number of shares of our common stock sold to MCUSA and the per share purchase price of each transaction. The agreement with MCUSA provides both MCUSA and us the right to terminate the agreement in our sole discretion upon giving five business days written notice. As of March 31, 2015, we have generated gross and net proceeds of</w:t>
      </w:r>
    </w:p>
    <w:p>
      <w:pPr>
        <w:spacing w:after="0" w:line="3"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$5.1 million and $4.3 million, respectively, under this agreement on sales of 2,082,500 shares of our common stock at prices ranging from $2.01 to $4.22 per share, excluding gross and net proceeds of $0.2 on the sale of 45,000 shares of our common stock subsequent to March 31, 2015. We expect to sell additional shares under this agreement during 2015.</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As of March 31, 2015, we had available cash and cash equivalents of $9.1 million and working capital of $9.5 million. As of the date of this report, we believe we have working capital sufficient to fund operations through March 31, 2016. However, we cannot provide assurance that these capital resources will be sufficient to conduct all of our research and development programs as planned. We are pursuing other opportunities to raise capital through the sale of our common stock or through other strategic initiatives. We believe certain of our outstanding warrants may provide a source of additional capital including, as of March 31, 2015, 2,576,500 outstanding warrants with an exercise price of $3.56 and an expiration date of March 2016, 750,000 outstanding warrants with an exercise price of $3.15 and an expiration date of May 2018, and 119,047 outstanding warrants with an exercise price of $3.38 and an expiration date of May 2018. These warrants could provide gross proceeds of $11.9 million if exercised. Subsequent to March 31, 2015, we generated gross proceeds of $0.7 million from the exercise of 197,500 warrants. There can be no assurances that all of our outstanding warrants will be exercised, or that there will be adequate financing available to us on acceptable terms, or at all. If we are unable to obtain additional financing, we may have to sell one or more of our programs or cease operations.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At March 31, 2015,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3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right="80" w:firstLine="456"/>
        <w:spacing w:after="0" w:line="254" w:lineRule="auto"/>
        <w:rPr>
          <w:sz w:val="20"/>
          <w:szCs w:val="20"/>
          <w:color w:val="auto"/>
        </w:rPr>
      </w:pPr>
      <w:r>
        <w:rPr>
          <w:rFonts w:ascii="Times New Roman" w:cs="Times New Roman" w:eastAsia="Times New Roman" w:hAnsi="Times New Roman"/>
          <w:sz w:val="18"/>
          <w:szCs w:val="18"/>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nature.</w:t>
      </w:r>
    </w:p>
    <w:p>
      <w:pPr>
        <w:spacing w:after="0" w:line="207" w:lineRule="exact"/>
        <w:rPr>
          <w:sz w:val="20"/>
          <w:szCs w:val="20"/>
          <w:color w:val="auto"/>
        </w:rPr>
      </w:pPr>
    </w:p>
    <w:p>
      <w:pPr>
        <w:jc w:val="both"/>
        <w:ind w:right="120" w:firstLine="456"/>
        <w:spacing w:after="0" w:line="266" w:lineRule="auto"/>
        <w:rPr>
          <w:sz w:val="20"/>
          <w:szCs w:val="20"/>
          <w:color w:val="auto"/>
        </w:rPr>
      </w:pPr>
      <w:r>
        <w:rPr>
          <w:rFonts w:ascii="Times New Roman" w:cs="Times New Roman" w:eastAsia="Times New Roman" w:hAnsi="Times New Roman"/>
          <w:sz w:val="18"/>
          <w:szCs w:val="18"/>
          <w:color w:val="auto"/>
        </w:rPr>
        <w:t>Cash and cash equivalents as of March 31, 2015 were $9.1 million and were primarily invested in money market interest bearing accounts and money market funds. A hypothetical 10% adverse change in the average interest rate on our cash and cash equivalents would have had no material effect on net loss for the three months ended March 31, 2015.</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200" w:firstLine="456"/>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80" w:lineRule="exact"/>
        <w:rPr>
          <w:sz w:val="20"/>
          <w:szCs w:val="20"/>
          <w:color w:val="auto"/>
        </w:rPr>
      </w:pPr>
    </w:p>
    <w:p>
      <w:pPr>
        <w:ind w:right="120" w:firstLine="456"/>
        <w:spacing w:after="0" w:line="261"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760"/>
          </w:cols>
          <w:pgMar w:left="240" w:top="455" w:right="89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456"/>
        <w:spacing w:after="0" w:line="266" w:lineRule="auto"/>
        <w:rPr>
          <w:sz w:val="20"/>
          <w:szCs w:val="20"/>
          <w:color w:val="auto"/>
        </w:rPr>
      </w:pPr>
      <w:r>
        <w:rPr>
          <w:rFonts w:ascii="Times New Roman" w:cs="Times New Roman" w:eastAsia="Times New Roman" w:hAnsi="Times New Roman"/>
          <w:sz w:val="18"/>
          <w:szCs w:val="18"/>
          <w:color w:val="auto"/>
        </w:rPr>
        <w:t>We are not involved in any material legal proceedings as of March 31, 2015.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3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the year ended December 31, 2014,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2014.</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245"/>
        </w:trPr>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540" w:type="dxa"/>
            <w:vAlign w:val="bottom"/>
          </w:tcPr>
          <w:p>
            <w:pPr>
              <w:spacing w:after="0"/>
              <w:rPr>
                <w:sz w:val="21"/>
                <w:szCs w:val="21"/>
                <w:color w:val="auto"/>
              </w:rPr>
            </w:pPr>
          </w:p>
        </w:tc>
      </w:tr>
      <w:tr>
        <w:trPr>
          <w:trHeight w:val="18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260" w:type="dxa"/>
            <w:vAlign w:val="bottom"/>
            <w:gridSpan w:val="3"/>
          </w:tcPr>
          <w:p>
            <w:pPr>
              <w:ind w:left="50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7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60" w:type="dxa"/>
            <w:vAlign w:val="bottom"/>
          </w:tcPr>
          <w:p>
            <w:pPr>
              <w:spacing w:after="0"/>
              <w:rPr>
                <w:sz w:val="23"/>
                <w:szCs w:val="23"/>
                <w:color w:val="auto"/>
              </w:rPr>
            </w:pPr>
          </w:p>
        </w:tc>
        <w:tc>
          <w:tcPr>
            <w:tcW w:w="10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Engagement Agreement, effective April 3, 2015, by and between MediciNova, Inc. and van den Boom &amp; Associates, LLC (incorporated by</w:t>
            </w:r>
          </w:p>
        </w:tc>
      </w:tr>
      <w:tr>
        <w:trPr>
          <w:trHeight w:val="234"/>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reference to Exhibit 10.1 of the Registrant’s Current Report on Form 8-K filed April 3, 2015).</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24"/>
                <w:szCs w:val="24"/>
                <w:color w:val="auto"/>
              </w:rPr>
            </w:pPr>
          </w:p>
        </w:tc>
        <w:tc>
          <w:tcPr>
            <w:tcW w:w="10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 Section 302 of the Sarbanes-Oxley Act of 2002.</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24"/>
                <w:szCs w:val="24"/>
                <w:color w:val="auto"/>
              </w:rPr>
            </w:pPr>
          </w:p>
        </w:tc>
        <w:tc>
          <w:tcPr>
            <w:tcW w:w="10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Section 302 of the Sarbanes-Oxley Act of 2002.</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tcPr>
          <w:p>
            <w:pPr>
              <w:spacing w:after="0"/>
              <w:rPr>
                <w:sz w:val="24"/>
                <w:szCs w:val="24"/>
                <w:color w:val="auto"/>
              </w:rPr>
            </w:pPr>
          </w:p>
        </w:tc>
        <w:tc>
          <w:tcPr>
            <w:tcW w:w="10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(Section 906 of the Sarbanes-Oxley Act of 2002).</w:t>
            </w: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rPr>
                <w:sz w:val="24"/>
                <w:szCs w:val="24"/>
                <w:color w:val="auto"/>
              </w:rPr>
            </w:pPr>
          </w:p>
        </w:tc>
        <w:tc>
          <w:tcPr>
            <w:tcW w:w="102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(Section 906 of the Sarbanes-Oxley Act of 2002).</w:t>
            </w:r>
          </w:p>
        </w:tc>
      </w:tr>
    </w:tbl>
    <w:p>
      <w:pPr>
        <w:spacing w:after="0" w:line="90" w:lineRule="exact"/>
        <w:rPr>
          <w:sz w:val="20"/>
          <w:szCs w:val="20"/>
          <w:color w:val="auto"/>
        </w:rPr>
      </w:pPr>
    </w:p>
    <w:p>
      <w:pPr>
        <w:ind w:left="1080" w:right="20" w:hanging="107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MediciNova, Inc. Quarterly Report on Form 10-Q for the quarter ended March 31, 2015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455" w:right="2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8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378" w:lineRule="exact"/>
        <w:rPr>
          <w:sz w:val="20"/>
          <w:szCs w:val="20"/>
          <w:color w:val="auto"/>
        </w:rPr>
      </w:pPr>
    </w:p>
    <w:p>
      <w:pPr>
        <w:spacing w:after="0"/>
        <w:tabs>
          <w:tab w:leader="none" w:pos="5580" w:val="left"/>
          <w:tab w:leader="none" w:pos="7940" w:val="left"/>
          <w:tab w:leader="none" w:pos="8320" w:val="left"/>
        </w:tabs>
        <w:rPr>
          <w:sz w:val="20"/>
          <w:szCs w:val="20"/>
          <w:color w:val="auto"/>
        </w:rPr>
      </w:pPr>
      <w:r>
        <w:rPr>
          <w:rFonts w:ascii="Times New Roman" w:cs="Times New Roman" w:eastAsia="Times New Roman" w:hAnsi="Times New Roman"/>
          <w:sz w:val="18"/>
          <w:szCs w:val="18"/>
          <w:color w:val="auto"/>
        </w:rPr>
        <w:t>Date: May 11,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Y</w:t>
      </w:r>
      <w:r>
        <w:rPr>
          <w:rFonts w:ascii="Times New Roman" w:cs="Times New Roman" w:eastAsia="Times New Roman" w:hAnsi="Times New Roman"/>
          <w:sz w:val="14"/>
          <w:szCs w:val="14"/>
          <w:color w:val="auto"/>
        </w:rPr>
        <w:t>UICHI</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17145</wp:posOffset>
            </wp:positionV>
            <wp:extent cx="34905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5"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jc w:val="center"/>
        <w:ind w:left="5920"/>
        <w:spacing w:after="0" w:line="221"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left="5920"/>
        <w:spacing w:after="0" w:line="221" w:lineRule="auto"/>
        <w:rPr>
          <w:sz w:val="20"/>
          <w:szCs w:val="20"/>
          <w:color w:val="auto"/>
        </w:rPr>
      </w:pPr>
      <w:r>
        <w:rPr>
          <w:rFonts w:ascii="Times New Roman" w:cs="Times New Roman" w:eastAsia="Times New Roman" w:hAnsi="Times New Roman"/>
          <w:sz w:val="14"/>
          <w:szCs w:val="14"/>
          <w:b w:val="1"/>
          <w:bCs w:val="1"/>
          <w:color w:val="auto"/>
        </w:rPr>
        <w:t>(on behalf of the registrant and</w:t>
      </w:r>
    </w:p>
    <w:p>
      <w:pPr>
        <w:spacing w:after="0" w:line="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as the registrant’s Principal Executive Officer)</w:t>
      </w:r>
    </w:p>
    <w:p>
      <w:pPr>
        <w:sectPr>
          <w:pgSz w:w="11900" w:h="16838" w:orient="portrait"/>
          <w:cols w:equalWidth="0" w:num="1">
            <w:col w:w="11040"/>
          </w:cols>
          <w:pgMar w:left="240" w:top="455" w:right="619" w:bottom="1440" w:gutter="0" w:footer="0" w:header="0"/>
        </w:sectPr>
      </w:pPr>
    </w:p>
    <w:p>
      <w:pPr>
        <w:spacing w:after="0" w:line="21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520"/>
        <w:spacing w:after="0"/>
        <w:tabs>
          <w:tab w:leader="none" w:pos="220" w:val="left"/>
        </w:tabs>
        <w:rPr>
          <w:sz w:val="20"/>
          <w:szCs w:val="20"/>
          <w:color w:val="auto"/>
        </w:rPr>
      </w:pPr>
      <w:r>
        <w:rPr>
          <w:rFonts w:ascii="Times New Roman" w:cs="Times New Roman" w:eastAsia="Times New Roman" w:hAnsi="Times New Roman"/>
          <w:sz w:val="18"/>
          <w:szCs w:val="18"/>
          <w:color w:val="auto"/>
        </w:rPr>
        <w:t>/s/</w:t>
        <w:tab/>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-848360</wp:posOffset>
            </wp:positionH>
            <wp:positionV relativeFrom="paragraph">
              <wp:posOffset>17145</wp:posOffset>
            </wp:positionV>
            <wp:extent cx="34905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1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Esther van den Boom</w:t>
      </w:r>
    </w:p>
    <w:p>
      <w:pPr>
        <w:ind w:left="700"/>
        <w:spacing w:after="0" w:line="229"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jc w:val="center"/>
        <w:ind w:right="960"/>
        <w:spacing w:after="0" w:line="222" w:lineRule="auto"/>
        <w:rPr>
          <w:sz w:val="20"/>
          <w:szCs w:val="20"/>
          <w:color w:val="auto"/>
        </w:rPr>
      </w:pPr>
      <w:r>
        <w:rPr>
          <w:rFonts w:ascii="Times New Roman" w:cs="Times New Roman" w:eastAsia="Times New Roman" w:hAnsi="Times New Roman"/>
          <w:sz w:val="14"/>
          <w:szCs w:val="14"/>
          <w:b w:val="1"/>
          <w:bCs w:val="1"/>
          <w:color w:val="auto"/>
        </w:rPr>
        <w:t>(on behalf of the registrant and</w:t>
      </w: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as the registrant’s Principal Financial Officer)</w:t>
      </w:r>
    </w:p>
    <w:p>
      <w:pPr>
        <w:sectPr>
          <w:pgSz w:w="11900" w:h="16838" w:orient="portrait"/>
          <w:cols w:equalWidth="0" w:num="2">
            <w:col w:w="6540" w:space="720"/>
            <w:col w:w="3780"/>
          </w:cols>
          <w:pgMar w:left="240" w:top="455" w:right="61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0740" w:type="dxa"/>
            <w:vAlign w:val="bottom"/>
            <w:gridSpan w:val="3"/>
          </w:tcPr>
          <w:p>
            <w:pPr>
              <w:ind w:left="4300"/>
              <w:spacing w:after="0"/>
              <w:rPr>
                <w:sz w:val="20"/>
                <w:szCs w:val="20"/>
                <w:color w:val="auto"/>
              </w:rPr>
            </w:pPr>
            <w:r>
              <w:rPr>
                <w:rFonts w:ascii="Times New Roman" w:cs="Times New Roman" w:eastAsia="Times New Roman" w:hAnsi="Times New Roman"/>
                <w:sz w:val="18"/>
                <w:szCs w:val="18"/>
                <w:b w:val="1"/>
                <w:bCs w:val="1"/>
                <w:color w:val="auto"/>
              </w:rPr>
              <w:t>INDEX TO EXHIBITS</w:t>
            </w:r>
          </w:p>
        </w:tc>
        <w:tc>
          <w:tcPr>
            <w:tcW w:w="0" w:type="dxa"/>
            <w:vAlign w:val="bottom"/>
          </w:tcPr>
          <w:p>
            <w:pPr>
              <w:spacing w:after="0"/>
              <w:rPr>
                <w:sz w:val="1"/>
                <w:szCs w:val="1"/>
                <w:color w:val="auto"/>
              </w:rPr>
            </w:pPr>
          </w:p>
        </w:tc>
      </w:tr>
      <w:tr>
        <w:trPr>
          <w:trHeight w:val="367"/>
        </w:trPr>
        <w:tc>
          <w:tcPr>
            <w:tcW w:w="5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740" w:type="dxa"/>
            <w:vAlign w:val="bottom"/>
            <w:gridSpan w:val="3"/>
            <w:vMerge w:val="restart"/>
          </w:tcPr>
          <w:p>
            <w:pPr>
              <w:ind w:left="5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7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7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Engagement Agreement, effective April 3, 2015, by and between MediciNova, Inc. and van den Boom &amp; Associates, LLC (incorporated by</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07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reference to Exhibit 10.1 of the Registrant’s Current Report on Form 8-K filed April 3, 2015).</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7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7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7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2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7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180" w:hanging="1172"/>
        <w:spacing w:after="0" w:line="266" w:lineRule="auto"/>
        <w:tabs>
          <w:tab w:leader="none" w:pos="1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MediciNova, Inc. Quarterly Report on Form 10-Q for the quarter ended March 31, 2015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00"/>
          </w:cols>
          <w:pgMar w:left="240" w:top="455" w:right="35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 for the Period Ended March 31, 2015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Yuichi Iwaki, certify that:</w:t>
      </w:r>
    </w:p>
    <w:p>
      <w:pPr>
        <w:spacing w:after="0" w:line="225" w:lineRule="exact"/>
        <w:rPr>
          <w:sz w:val="20"/>
          <w:szCs w:val="20"/>
          <w:color w:val="auto"/>
        </w:rPr>
      </w:pPr>
    </w:p>
    <w:p>
      <w:pPr>
        <w:ind w:left="640" w:hanging="17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2015 of MediciNova, Inc.;</w:t>
      </w:r>
    </w:p>
    <w:p>
      <w:pPr>
        <w:spacing w:after="0" w:line="225"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40" w:firstLine="464"/>
        <w:spacing w:after="0" w:line="266"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460" w:right="160" w:firstLine="443"/>
        <w:spacing w:after="0" w:line="266" w:lineRule="auto"/>
        <w:tabs>
          <w:tab w:leader="none" w:pos="108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440" w:firstLine="443"/>
        <w:spacing w:after="0" w:line="266" w:lineRule="auto"/>
        <w:tabs>
          <w:tab w:leader="none" w:pos="10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600" w:firstLine="443"/>
        <w:spacing w:after="0" w:line="282" w:lineRule="auto"/>
        <w:tabs>
          <w:tab w:leader="none" w:pos="108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20" w:firstLine="443"/>
        <w:spacing w:after="0" w:line="266" w:lineRule="auto"/>
        <w:tabs>
          <w:tab w:leader="none" w:pos="10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0" w:firstLine="464"/>
        <w:spacing w:after="0" w:line="282"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80" w:firstLine="443"/>
        <w:spacing w:after="0" w:line="282" w:lineRule="auto"/>
        <w:tabs>
          <w:tab w:leader="none" w:pos="108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520" w:firstLine="443"/>
        <w:spacing w:after="0" w:line="282" w:lineRule="auto"/>
        <w:tabs>
          <w:tab w:leader="none" w:pos="10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May 11, 2015</w:t>
      </w:r>
    </w:p>
    <w:p>
      <w:pPr>
        <w:spacing w:after="0" w:line="225" w:lineRule="exact"/>
        <w:rPr>
          <w:sz w:val="20"/>
          <w:szCs w:val="20"/>
          <w:color w:val="auto"/>
        </w:rPr>
      </w:pPr>
    </w:p>
    <w:p>
      <w:pPr>
        <w:ind w:left="6860"/>
        <w:spacing w:after="0"/>
        <w:tabs>
          <w:tab w:leader="none" w:pos="8620" w:val="left"/>
          <w:tab w:leader="none" w:pos="8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Y</w:t>
      </w:r>
      <w:r>
        <w:rPr>
          <w:rFonts w:ascii="Times New Roman" w:cs="Times New Roman" w:eastAsia="Times New Roman" w:hAnsi="Times New Roman"/>
          <w:sz w:val="14"/>
          <w:szCs w:val="14"/>
          <w:color w:val="auto"/>
        </w:rPr>
        <w:t>UICHI</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jc w:val="center"/>
        <w:ind w:left="7240"/>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420"/>
          </w:cols>
          <w:pgMar w:left="240" w:top="117" w:right="2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 for the Period Ended March 31, 2015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Esther van den Boom, certify that:</w:t>
      </w:r>
    </w:p>
    <w:p>
      <w:pPr>
        <w:spacing w:after="0" w:line="225" w:lineRule="exact"/>
        <w:rPr>
          <w:sz w:val="20"/>
          <w:szCs w:val="20"/>
          <w:color w:val="auto"/>
        </w:rPr>
      </w:pPr>
    </w:p>
    <w:p>
      <w:pPr>
        <w:ind w:left="640" w:hanging="17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March 31, 2015 of MediciNova, Inc.;</w:t>
      </w:r>
    </w:p>
    <w:p>
      <w:pPr>
        <w:spacing w:after="0" w:line="225" w:lineRule="exact"/>
        <w:rPr>
          <w:rFonts w:ascii="Times New Roman" w:cs="Times New Roman" w:eastAsia="Times New Roman" w:hAnsi="Times New Roman"/>
          <w:sz w:val="18"/>
          <w:szCs w:val="18"/>
          <w:color w:val="auto"/>
        </w:rPr>
      </w:pPr>
    </w:p>
    <w:p>
      <w:pPr>
        <w:ind w:right="300" w:firstLine="464"/>
        <w:spacing w:after="0" w:line="282"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260" w:firstLine="464"/>
        <w:spacing w:after="0" w:line="282"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240" w:firstLine="464"/>
        <w:spacing w:after="0" w:line="266"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460" w:right="160" w:firstLine="443"/>
        <w:spacing w:after="0" w:line="266" w:lineRule="auto"/>
        <w:tabs>
          <w:tab w:leader="none" w:pos="108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460" w:right="440" w:firstLine="443"/>
        <w:spacing w:after="0" w:line="266" w:lineRule="auto"/>
        <w:tabs>
          <w:tab w:leader="none" w:pos="10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460" w:right="600" w:firstLine="443"/>
        <w:spacing w:after="0" w:line="282" w:lineRule="auto"/>
        <w:tabs>
          <w:tab w:leader="none" w:pos="108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460" w:right="20" w:firstLine="443"/>
        <w:spacing w:after="0" w:line="266" w:lineRule="auto"/>
        <w:tabs>
          <w:tab w:leader="none" w:pos="10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200" w:firstLine="464"/>
        <w:spacing w:after="0" w:line="282" w:lineRule="auto"/>
        <w:tabs>
          <w:tab w:leader="none" w:pos="63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460" w:right="80" w:firstLine="443"/>
        <w:spacing w:after="0" w:line="282" w:lineRule="auto"/>
        <w:tabs>
          <w:tab w:leader="none" w:pos="108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460" w:right="520" w:firstLine="443"/>
        <w:spacing w:after="0" w:line="282" w:lineRule="auto"/>
        <w:tabs>
          <w:tab w:leader="none" w:pos="10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May 11, 2015</w:t>
      </w:r>
    </w:p>
    <w:p>
      <w:pPr>
        <w:spacing w:after="0" w:line="225" w:lineRule="exact"/>
        <w:rPr>
          <w:sz w:val="20"/>
          <w:szCs w:val="20"/>
          <w:color w:val="auto"/>
        </w:rPr>
      </w:pPr>
    </w:p>
    <w:p>
      <w:pPr>
        <w:ind w:left="6860"/>
        <w:spacing w:after="0"/>
        <w:tabs>
          <w:tab w:leader="none" w:pos="8360" w:val="left"/>
          <w:tab w:leader="none" w:pos="8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17145</wp:posOffset>
            </wp:positionV>
            <wp:extent cx="26327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0"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Esther van den Boom</w:t>
      </w:r>
    </w:p>
    <w:p>
      <w:pPr>
        <w:jc w:val="center"/>
        <w:ind w:left="7280"/>
        <w:spacing w:after="0" w:line="229"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 w:lineRule="exact"/>
        <w:rPr>
          <w:sz w:val="20"/>
          <w:szCs w:val="20"/>
          <w:color w:val="auto"/>
        </w:rPr>
      </w:pPr>
    </w:p>
    <w:p>
      <w:pPr>
        <w:jc w:val="center"/>
        <w:ind w:left="72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420"/>
          </w:cols>
          <w:pgMar w:left="240" w:top="117" w:right="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456"/>
        <w:spacing w:after="0" w:line="289" w:lineRule="auto"/>
        <w:rPr>
          <w:sz w:val="20"/>
          <w:szCs w:val="20"/>
          <w:color w:val="auto"/>
        </w:rPr>
      </w:pPr>
      <w:r>
        <w:rPr>
          <w:rFonts w:ascii="Times New Roman" w:cs="Times New Roman" w:eastAsia="Times New Roman" w:hAnsi="Times New Roman"/>
          <w:sz w:val="17"/>
          <w:szCs w:val="17"/>
          <w:color w:val="auto"/>
        </w:rPr>
        <w:t>In connection with the accompanying Quarterly Report on Form 10-Q of MediciNova, Inc. (the “Company”) for the period ended March 31, 2015,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50" w:lineRule="exact"/>
        <w:rPr>
          <w:sz w:val="20"/>
          <w:szCs w:val="20"/>
          <w:color w:val="auto"/>
        </w:rPr>
      </w:pPr>
    </w:p>
    <w:p>
      <w:pPr>
        <w:ind w:left="1080" w:hanging="177"/>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60" w:right="680" w:firstLine="443"/>
        <w:spacing w:after="0" w:line="282" w:lineRule="auto"/>
        <w:tabs>
          <w:tab w:leader="none" w:pos="10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May 11, 2015</w:t>
      </w:r>
    </w:p>
    <w:p>
      <w:pPr>
        <w:spacing w:after="0" w:line="225" w:lineRule="exact"/>
        <w:rPr>
          <w:sz w:val="20"/>
          <w:szCs w:val="20"/>
          <w:color w:val="auto"/>
        </w:rPr>
      </w:pPr>
    </w:p>
    <w:p>
      <w:pPr>
        <w:ind w:left="6860"/>
        <w:spacing w:after="0"/>
        <w:tabs>
          <w:tab w:leader="none" w:pos="8600" w:val="left"/>
          <w:tab w:leader="none" w:pos="8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Y</w:t>
      </w:r>
      <w:r>
        <w:rPr>
          <w:rFonts w:ascii="Times New Roman" w:cs="Times New Roman" w:eastAsia="Times New Roman" w:hAnsi="Times New Roman"/>
          <w:sz w:val="14"/>
          <w:szCs w:val="14"/>
          <w:color w:val="auto"/>
        </w:rPr>
        <w:t>UICHI</w:t>
      </w:r>
      <w:r>
        <w:rPr>
          <w:rFonts w:ascii="Times New Roman" w:cs="Times New Roman" w:eastAsia="Times New Roman" w:hAnsi="Times New Roman"/>
          <w:sz w:val="17"/>
          <w:szCs w:val="17"/>
          <w:color w:val="auto"/>
        </w:rPr>
        <w:t xml:space="preserve"> I</w:t>
      </w:r>
      <w:r>
        <w:rPr>
          <w:rFonts w:ascii="Times New Roman" w:cs="Times New Roman" w:eastAsia="Times New Roman" w:hAnsi="Times New Roman"/>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Yuichi Iwaki, M.D., Ph.D.</w:t>
      </w:r>
    </w:p>
    <w:p>
      <w:pPr>
        <w:jc w:val="center"/>
        <w:ind w:left="7240"/>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1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17" w:right="2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80" w:firstLine="456"/>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MediciNova, Inc. (the “Company”) for the period ended March 31, 2015, as filed with the Securities and Exchange Commission on the date hereof (the “Report”), I, Esther van den Boom, as Chief Financial Officer of the Company, hereby certify, pursuant to 18 U.S.C. Section 1350, as adopted pursuant to Section 906 of the Sarbanes-Oxley Act of 2002, that to my knowledge:</w:t>
      </w:r>
    </w:p>
    <w:p>
      <w:pPr>
        <w:spacing w:after="0" w:line="68" w:lineRule="exact"/>
        <w:rPr>
          <w:sz w:val="20"/>
          <w:szCs w:val="20"/>
          <w:color w:val="auto"/>
        </w:rPr>
      </w:pPr>
    </w:p>
    <w:p>
      <w:pPr>
        <w:ind w:left="1080" w:hanging="177"/>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460" w:right="680" w:firstLine="443"/>
        <w:spacing w:after="0" w:line="282" w:lineRule="auto"/>
        <w:tabs>
          <w:tab w:leader="none" w:pos="10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Date: May 11, 2015</w:t>
      </w:r>
    </w:p>
    <w:p>
      <w:pPr>
        <w:spacing w:after="0" w:line="225" w:lineRule="exact"/>
        <w:rPr>
          <w:sz w:val="20"/>
          <w:szCs w:val="20"/>
          <w:color w:val="auto"/>
        </w:rPr>
      </w:pPr>
    </w:p>
    <w:p>
      <w:pPr>
        <w:ind w:left="6860"/>
        <w:spacing w:after="0"/>
        <w:tabs>
          <w:tab w:leader="none" w:pos="8340" w:val="left"/>
          <w:tab w:leader="none" w:pos="8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Esther van den Boom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17145</wp:posOffset>
            </wp:positionV>
            <wp:extent cx="26587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0"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Esther van den Boom</w:t>
      </w:r>
    </w:p>
    <w:p>
      <w:pPr>
        <w:jc w:val="center"/>
        <w:ind w:left="7240"/>
        <w:spacing w:after="0" w:line="229" w:lineRule="auto"/>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92"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01"/>
    </w:lvl>
  </w:abstractNum>
  <w:abstractNum w:abstractNumId="6">
    <w:nsid w:val="5BD062C2"/>
    <w:multiLevelType w:val="hybridMultilevel"/>
    <w:lvl w:ilvl="0">
      <w:lvlJc w:val="left"/>
      <w:lvlText w:val="%1"/>
      <w:numFmt w:val="decimal"/>
      <w:start w:val="10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2019-12-29T18:05:24Z</dcterms:created>
  <dcterms:modified xsi:type="dcterms:W3CDTF">2019-12-29T18:05:24Z</dcterms:modified>
</cp:coreProperties>
</file>