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91440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QUARTERLY REPORT PURSUANT TO SECTION 13 OR 15(d) OF THE SECURITIES EXCHANGE ACT OF 1934</w:t>
      </w:r>
    </w:p>
    <w:p>
      <w:pPr>
        <w:spacing w:after="0" w:line="79" w:lineRule="exact"/>
        <w:rPr>
          <w:rFonts w:ascii="MS PGothic" w:cs="MS PGothic" w:eastAsia="MS PGothic" w:hAnsi="MS PGothic"/>
          <w:sz w:val="17"/>
          <w:szCs w:val="17"/>
          <w:color w:val="auto"/>
          <w:highlight w:val="black"/>
        </w:rPr>
      </w:pPr>
    </w:p>
    <w:p>
      <w:pPr>
        <w:ind w:left="3400"/>
        <w:spacing w:after="0"/>
        <w:rPr>
          <w:rFonts w:ascii="MS PGothic" w:cs="MS PGothic" w:eastAsia="MS PGothic" w:hAnsi="MS PGothic"/>
          <w:sz w:val="17"/>
          <w:szCs w:val="17"/>
          <w:color w:val="auto"/>
          <w:highlight w:val="black"/>
        </w:rPr>
      </w:pPr>
      <w:r>
        <w:rPr>
          <w:rFonts w:ascii="Arial" w:cs="Arial" w:eastAsia="Arial" w:hAnsi="Arial"/>
          <w:sz w:val="16"/>
          <w:szCs w:val="16"/>
          <w:b w:val="1"/>
          <w:bCs w:val="1"/>
          <w:color w:val="auto"/>
        </w:rPr>
        <w:t>FOR THE QUARTERLY PERIOD ENDED September 30, 2021</w:t>
      </w:r>
    </w:p>
    <w:p>
      <w:pPr>
        <w:spacing w:after="0" w:line="95"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240"/>
          </w:cols>
          <w:pgMar w:left="320" w:top="431" w:right="339" w:bottom="1440" w:gutter="0" w:footer="0" w:header="0"/>
        </w:sectPr>
      </w:pPr>
    </w:p>
    <w:p>
      <w:pPr>
        <w:spacing w:after="0" w:line="93" w:lineRule="exact"/>
        <w:rPr>
          <w:sz w:val="24"/>
          <w:szCs w:val="24"/>
          <w:color w:val="auto"/>
        </w:rPr>
      </w:pPr>
    </w:p>
    <w:p>
      <w:pPr>
        <w:ind w:left="314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82" w:lineRule="exact"/>
        <w:rPr>
          <w:sz w:val="24"/>
          <w:szCs w:val="24"/>
          <w:color w:val="auto"/>
        </w:rPr>
      </w:pPr>
    </w:p>
    <w:p>
      <w:pPr>
        <w:sectPr>
          <w:pgSz w:w="11900" w:h="16838" w:orient="portrait"/>
          <w:cols w:equalWidth="0" w:num="2">
            <w:col w:w="6300" w:space="720"/>
            <w:col w:w="4220"/>
          </w:cols>
          <w:pgMar w:left="320" w:top="431" w:right="33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Commission file number: 001-33185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92075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type w:val="continuous"/>
        </w:sect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MEDICINOVA,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8"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540" w:type="dxa"/>
            <w:vAlign w:val="bottom"/>
            <w:gridSpan w:val="3"/>
          </w:tcPr>
          <w:p>
            <w:pPr>
              <w:jc w:val="center"/>
              <w:ind w:left="898"/>
              <w:spacing w:after="0"/>
              <w:rPr>
                <w:sz w:val="20"/>
                <w:szCs w:val="20"/>
                <w:color w:val="auto"/>
              </w:rPr>
            </w:pPr>
            <w:r>
              <w:rPr>
                <w:rFonts w:ascii="Arial" w:cs="Arial" w:eastAsia="Arial" w:hAnsi="Arial"/>
                <w:sz w:val="18"/>
                <w:szCs w:val="18"/>
                <w:b w:val="1"/>
                <w:bCs w:val="1"/>
                <w:color w:val="auto"/>
                <w:w w:val="91"/>
              </w:rPr>
              <w:t>Delaware</w:t>
            </w:r>
          </w:p>
        </w:tc>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60" w:type="dxa"/>
            <w:vAlign w:val="bottom"/>
          </w:tcPr>
          <w:p>
            <w:pPr>
              <w:jc w:val="right"/>
              <w:ind w:right="2240"/>
              <w:spacing w:after="0"/>
              <w:rPr>
                <w:sz w:val="20"/>
                <w:szCs w:val="20"/>
                <w:color w:val="auto"/>
              </w:rPr>
            </w:pPr>
            <w:r>
              <w:rPr>
                <w:rFonts w:ascii="Arial" w:cs="Arial" w:eastAsia="Arial" w:hAnsi="Arial"/>
                <w:sz w:val="18"/>
                <w:szCs w:val="18"/>
                <w:b w:val="1"/>
                <w:bCs w:val="1"/>
                <w:color w:val="auto"/>
              </w:rPr>
              <w:t>33-0927979</w:t>
            </w:r>
          </w:p>
        </w:tc>
      </w:tr>
      <w:tr>
        <w:trPr>
          <w:trHeight w:val="149"/>
        </w:trPr>
        <w:tc>
          <w:tcPr>
            <w:tcW w:w="4540" w:type="dxa"/>
            <w:vAlign w:val="bottom"/>
            <w:gridSpan w:val="3"/>
          </w:tcPr>
          <w:p>
            <w:pPr>
              <w:jc w:val="center"/>
              <w:ind w:left="91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60" w:type="dxa"/>
            <w:vAlign w:val="bottom"/>
          </w:tcPr>
          <w:p>
            <w:pPr>
              <w:jc w:val="center"/>
              <w:ind w:right="1940"/>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540" w:type="dxa"/>
            <w:vAlign w:val="bottom"/>
            <w:gridSpan w:val="3"/>
          </w:tcPr>
          <w:p>
            <w:pPr>
              <w:jc w:val="center"/>
              <w:ind w:left="898"/>
              <w:spacing w:after="0"/>
              <w:rPr>
                <w:sz w:val="20"/>
                <w:szCs w:val="20"/>
                <w:color w:val="auto"/>
              </w:rPr>
            </w:pPr>
            <w:r>
              <w:rPr>
                <w:rFonts w:ascii="Arial" w:cs="Arial" w:eastAsia="Arial" w:hAnsi="Arial"/>
                <w:sz w:val="14"/>
                <w:szCs w:val="14"/>
                <w:b w:val="1"/>
                <w:bCs w:val="1"/>
                <w:color w:val="auto"/>
                <w:w w:val="94"/>
              </w:rPr>
              <w:t>Incorporation or Organization)</w:t>
            </w:r>
          </w:p>
        </w:tc>
        <w:tc>
          <w:tcPr>
            <w:tcW w:w="3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60" w:type="dxa"/>
            <w:vAlign w:val="bottom"/>
          </w:tcPr>
          <w:p>
            <w:pPr>
              <w:jc w:val="center"/>
              <w:ind w:right="1960"/>
              <w:spacing w:after="0"/>
              <w:rPr>
                <w:sz w:val="20"/>
                <w:szCs w:val="20"/>
                <w:color w:val="auto"/>
              </w:rPr>
            </w:pPr>
            <w:r>
              <w:rPr>
                <w:rFonts w:ascii="Arial" w:cs="Arial" w:eastAsia="Arial" w:hAnsi="Arial"/>
                <w:sz w:val="14"/>
                <w:szCs w:val="14"/>
                <w:b w:val="1"/>
                <w:bCs w:val="1"/>
                <w:color w:val="auto"/>
                <w:w w:val="96"/>
              </w:rPr>
              <w:t>Identification No.)</w:t>
            </w:r>
          </w:p>
        </w:tc>
      </w:tr>
      <w:tr>
        <w:trPr>
          <w:trHeight w:val="331"/>
        </w:trPr>
        <w:tc>
          <w:tcPr>
            <w:tcW w:w="4540" w:type="dxa"/>
            <w:vAlign w:val="bottom"/>
            <w:gridSpan w:val="3"/>
          </w:tcPr>
          <w:p>
            <w:pPr>
              <w:jc w:val="center"/>
              <w:ind w:left="918"/>
              <w:spacing w:after="0"/>
              <w:rPr>
                <w:sz w:val="20"/>
                <w:szCs w:val="20"/>
                <w:color w:val="auto"/>
              </w:rPr>
            </w:pPr>
            <w:r>
              <w:rPr>
                <w:rFonts w:ascii="Arial" w:cs="Arial" w:eastAsia="Arial" w:hAnsi="Arial"/>
                <w:sz w:val="18"/>
                <w:szCs w:val="18"/>
                <w:b w:val="1"/>
                <w:bCs w:val="1"/>
                <w:color w:val="auto"/>
                <w:w w:val="89"/>
              </w:rPr>
              <w:t>4275 Executive Square, Suite 300</w:t>
            </w:r>
          </w:p>
        </w:tc>
        <w:tc>
          <w:tcPr>
            <w:tcW w:w="3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12"/>
        </w:trPr>
        <w:tc>
          <w:tcPr>
            <w:tcW w:w="4540" w:type="dxa"/>
            <w:vAlign w:val="bottom"/>
            <w:gridSpan w:val="3"/>
          </w:tcPr>
          <w:p>
            <w:pPr>
              <w:jc w:val="center"/>
              <w:ind w:left="898"/>
              <w:spacing w:after="0"/>
              <w:rPr>
                <w:sz w:val="20"/>
                <w:szCs w:val="20"/>
                <w:color w:val="auto"/>
              </w:rPr>
            </w:pPr>
            <w:r>
              <w:rPr>
                <w:rFonts w:ascii="Arial" w:cs="Arial" w:eastAsia="Arial" w:hAnsi="Arial"/>
                <w:sz w:val="18"/>
                <w:szCs w:val="18"/>
                <w:b w:val="1"/>
                <w:bCs w:val="1"/>
                <w:color w:val="auto"/>
                <w:w w:val="93"/>
              </w:rPr>
              <w:t>La Jolla, CA</w:t>
            </w:r>
          </w:p>
        </w:tc>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60" w:type="dxa"/>
            <w:vAlign w:val="bottom"/>
          </w:tcPr>
          <w:p>
            <w:pPr>
              <w:jc w:val="right"/>
              <w:ind w:right="2440"/>
              <w:spacing w:after="0"/>
              <w:rPr>
                <w:sz w:val="20"/>
                <w:szCs w:val="20"/>
                <w:color w:val="auto"/>
              </w:rPr>
            </w:pPr>
            <w:r>
              <w:rPr>
                <w:rFonts w:ascii="Arial" w:cs="Arial" w:eastAsia="Arial" w:hAnsi="Arial"/>
                <w:sz w:val="18"/>
                <w:szCs w:val="18"/>
                <w:b w:val="1"/>
                <w:bCs w:val="1"/>
                <w:color w:val="auto"/>
              </w:rPr>
              <w:t>92037</w:t>
            </w:r>
          </w:p>
        </w:tc>
      </w:tr>
      <w:tr>
        <w:trPr>
          <w:trHeight w:val="186"/>
        </w:trPr>
        <w:tc>
          <w:tcPr>
            <w:tcW w:w="4540" w:type="dxa"/>
            <w:vAlign w:val="bottom"/>
            <w:gridSpan w:val="3"/>
          </w:tcPr>
          <w:p>
            <w:pPr>
              <w:jc w:val="center"/>
              <w:ind w:left="918"/>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60" w:type="dxa"/>
            <w:vAlign w:val="bottom"/>
          </w:tcPr>
          <w:p>
            <w:pPr>
              <w:jc w:val="center"/>
              <w:ind w:right="1960"/>
              <w:spacing w:after="0"/>
              <w:rPr>
                <w:sz w:val="20"/>
                <w:szCs w:val="20"/>
                <w:color w:val="auto"/>
              </w:rPr>
            </w:pPr>
            <w:r>
              <w:rPr>
                <w:rFonts w:ascii="Arial" w:cs="Arial" w:eastAsia="Arial" w:hAnsi="Arial"/>
                <w:sz w:val="14"/>
                <w:szCs w:val="14"/>
                <w:b w:val="1"/>
                <w:bCs w:val="1"/>
                <w:color w:val="auto"/>
                <w:w w:val="95"/>
              </w:rPr>
              <w:t>(Zip Code)</w:t>
            </w:r>
          </w:p>
        </w:tc>
      </w:tr>
      <w:tr>
        <w:trPr>
          <w:trHeight w:val="255"/>
        </w:trPr>
        <w:tc>
          <w:tcPr>
            <w:tcW w:w="3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120" w:type="dxa"/>
            <w:vAlign w:val="bottom"/>
          </w:tcPr>
          <w:p>
            <w:pPr>
              <w:jc w:val="center"/>
              <w:ind w:right="859"/>
              <w:spacing w:after="0"/>
              <w:rPr>
                <w:sz w:val="20"/>
                <w:szCs w:val="20"/>
                <w:color w:val="auto"/>
              </w:rPr>
            </w:pPr>
            <w:r>
              <w:rPr>
                <w:rFonts w:ascii="Arial" w:cs="Arial" w:eastAsia="Arial" w:hAnsi="Arial"/>
                <w:sz w:val="16"/>
                <w:szCs w:val="16"/>
                <w:b w:val="1"/>
                <w:bCs w:val="1"/>
                <w:color w:val="auto"/>
                <w:w w:val="93"/>
              </w:rPr>
              <w:t>(858) 373-1500</w:t>
            </w:r>
          </w:p>
        </w:tc>
        <w:tc>
          <w:tcPr>
            <w:tcW w:w="120" w:type="dxa"/>
            <w:vAlign w:val="bottom"/>
          </w:tcPr>
          <w:p>
            <w:pPr>
              <w:spacing w:after="0"/>
              <w:rPr>
                <w:sz w:val="22"/>
                <w:szCs w:val="22"/>
                <w:color w:val="auto"/>
              </w:rPr>
            </w:pPr>
          </w:p>
        </w:tc>
        <w:tc>
          <w:tcPr>
            <w:tcW w:w="3460" w:type="dxa"/>
            <w:vAlign w:val="bottom"/>
          </w:tcPr>
          <w:p>
            <w:pPr>
              <w:spacing w:after="0"/>
              <w:rPr>
                <w:sz w:val="22"/>
                <w:szCs w:val="22"/>
                <w:color w:val="auto"/>
              </w:rPr>
            </w:pPr>
          </w:p>
        </w:tc>
      </w:tr>
      <w:tr>
        <w:trPr>
          <w:trHeight w:val="210"/>
        </w:trPr>
        <w:tc>
          <w:tcPr>
            <w:tcW w:w="3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(Registrant’s Telephone Number, Including Area Code)</w:t>
            </w:r>
          </w:p>
        </w:tc>
        <w:tc>
          <w:tcPr>
            <w:tcW w:w="3460" w:type="dxa"/>
            <w:vAlign w:val="bottom"/>
          </w:tcPr>
          <w:p>
            <w:pPr>
              <w:spacing w:after="0"/>
              <w:rPr>
                <w:sz w:val="18"/>
                <w:szCs w:val="18"/>
                <w:color w:val="auto"/>
              </w:rPr>
            </w:pPr>
          </w:p>
        </w:tc>
      </w:tr>
      <w:tr>
        <w:trPr>
          <w:trHeight w:val="343"/>
        </w:trPr>
        <w:tc>
          <w:tcPr>
            <w:tcW w:w="4540" w:type="dxa"/>
            <w:vAlign w:val="bottom"/>
            <w:gridSpan w:val="3"/>
          </w:tcPr>
          <w:p>
            <w:pPr>
              <w:spacing w:after="0"/>
              <w:rPr>
                <w:sz w:val="20"/>
                <w:szCs w:val="20"/>
                <w:color w:val="auto"/>
              </w:rPr>
            </w:pPr>
            <w:r>
              <w:rPr>
                <w:rFonts w:ascii="Arial" w:cs="Arial" w:eastAsia="Arial" w:hAnsi="Arial"/>
                <w:sz w:val="18"/>
                <w:szCs w:val="18"/>
                <w:color w:val="auto"/>
                <w:w w:val="98"/>
              </w:rPr>
              <w:t>Securities registered pursuant to Section 12(b) of the Act:</w:t>
            </w:r>
          </w:p>
        </w:tc>
        <w:tc>
          <w:tcPr>
            <w:tcW w:w="3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351"/>
        </w:trPr>
        <w:tc>
          <w:tcPr>
            <w:tcW w:w="4540" w:type="dxa"/>
            <w:vAlign w:val="bottom"/>
            <w:gridSpan w:val="3"/>
          </w:tcPr>
          <w:p>
            <w:pPr>
              <w:jc w:val="center"/>
              <w:ind w:right="1079"/>
              <w:spacing w:after="0"/>
              <w:rPr>
                <w:sz w:val="20"/>
                <w:szCs w:val="20"/>
                <w:color w:val="auto"/>
              </w:rPr>
            </w:pPr>
            <w:r>
              <w:rPr>
                <w:rFonts w:ascii="Arial" w:cs="Arial" w:eastAsia="Arial" w:hAnsi="Arial"/>
                <w:sz w:val="14"/>
                <w:szCs w:val="14"/>
                <w:b w:val="1"/>
                <w:bCs w:val="1"/>
                <w:color w:val="auto"/>
                <w:w w:val="92"/>
              </w:rPr>
              <w:t>Common Stock, $0.001 par value</w:t>
            </w:r>
          </w:p>
        </w:tc>
        <w:tc>
          <w:tcPr>
            <w:tcW w:w="3240" w:type="dxa"/>
            <w:vAlign w:val="bottom"/>
            <w:gridSpan w:val="2"/>
          </w:tcPr>
          <w:p>
            <w:pPr>
              <w:jc w:val="center"/>
              <w:ind w:right="1060"/>
              <w:spacing w:after="0"/>
              <w:rPr>
                <w:sz w:val="20"/>
                <w:szCs w:val="20"/>
                <w:color w:val="auto"/>
              </w:rPr>
            </w:pPr>
            <w:r>
              <w:rPr>
                <w:rFonts w:ascii="Arial" w:cs="Arial" w:eastAsia="Arial" w:hAnsi="Arial"/>
                <w:sz w:val="14"/>
                <w:szCs w:val="14"/>
                <w:b w:val="1"/>
                <w:bCs w:val="1"/>
                <w:color w:val="auto"/>
              </w:rPr>
              <w:t>MNOV</w:t>
            </w:r>
          </w:p>
        </w:tc>
        <w:tc>
          <w:tcPr>
            <w:tcW w:w="3460" w:type="dxa"/>
            <w:vAlign w:val="bottom"/>
          </w:tcPr>
          <w:p>
            <w:pPr>
              <w:jc w:val="center"/>
              <w:spacing w:after="0"/>
              <w:rPr>
                <w:sz w:val="20"/>
                <w:szCs w:val="20"/>
                <w:color w:val="auto"/>
              </w:rPr>
            </w:pPr>
            <w:r>
              <w:rPr>
                <w:rFonts w:ascii="Arial" w:cs="Arial" w:eastAsia="Arial" w:hAnsi="Arial"/>
                <w:sz w:val="14"/>
                <w:szCs w:val="14"/>
                <w:b w:val="1"/>
                <w:bCs w:val="1"/>
                <w:color w:val="auto"/>
                <w:w w:val="96"/>
              </w:rPr>
              <w:t>The Nasdaq Stock Market LLC</w:t>
            </w:r>
          </w:p>
        </w:tc>
      </w:tr>
      <w:tr>
        <w:trPr>
          <w:trHeight w:val="224"/>
        </w:trPr>
        <w:tc>
          <w:tcPr>
            <w:tcW w:w="3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4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3120" w:type="dxa"/>
            <w:vAlign w:val="bottom"/>
            <w:tcBorders>
              <w:top w:val="single" w:sz="8" w:color="auto"/>
            </w:tcBorders>
          </w:tcPr>
          <w:p>
            <w:pPr>
              <w:jc w:val="center"/>
              <w:ind w:right="859"/>
              <w:spacing w:after="0"/>
              <w:rPr>
                <w:sz w:val="20"/>
                <w:szCs w:val="20"/>
                <w:color w:val="auto"/>
              </w:rPr>
            </w:pPr>
            <w:r>
              <w:rPr>
                <w:rFonts w:ascii="Arial" w:cs="Arial" w:eastAsia="Arial" w:hAnsi="Arial"/>
                <w:sz w:val="18"/>
                <w:szCs w:val="18"/>
                <w:color w:val="auto"/>
                <w:w w:val="93"/>
              </w:rPr>
              <w:t>(Trading symbol(s))</w:t>
            </w:r>
          </w:p>
        </w:tc>
        <w:tc>
          <w:tcPr>
            <w:tcW w:w="120" w:type="dxa"/>
            <w:vAlign w:val="bottom"/>
          </w:tcPr>
          <w:p>
            <w:pPr>
              <w:spacing w:after="0"/>
              <w:rPr>
                <w:sz w:val="19"/>
                <w:szCs w:val="19"/>
                <w:color w:val="auto"/>
              </w:rPr>
            </w:pPr>
          </w:p>
        </w:tc>
        <w:tc>
          <w:tcPr>
            <w:tcW w:w="3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bl>
    <w:p>
      <w:pPr>
        <w:spacing w:after="0" w:line="88" w:lineRule="exact"/>
        <w:rPr>
          <w:sz w:val="24"/>
          <w:szCs w:val="24"/>
          <w:color w:val="auto"/>
        </w:rPr>
      </w:pPr>
    </w:p>
    <w:p>
      <w:pPr>
        <w:jc w:val="both"/>
        <w:ind w:right="80" w:firstLine="510"/>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-224790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 w:lineRule="exact"/>
        <w:rPr>
          <w:sz w:val="24"/>
          <w:szCs w:val="24"/>
          <w:color w:val="auto"/>
        </w:rPr>
      </w:pPr>
    </w:p>
    <w:p>
      <w:pPr>
        <w:ind w:right="220" w:firstLine="510"/>
        <w:spacing w:after="0" w:line="254" w:lineRule="auto"/>
        <w:rPr>
          <w:sz w:val="20"/>
          <w:szCs w:val="20"/>
          <w:color w:val="auto"/>
        </w:rPr>
      </w:pPr>
      <w:r>
        <w:rPr>
          <w:rFonts w:ascii="Arial" w:cs="Arial" w:eastAsia="Arial" w:hAnsi="Arial"/>
          <w:sz w:val="13"/>
          <w:szCs w:val="13"/>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w:t>
      </w:r>
    </w:p>
    <w:p>
      <w:pPr>
        <w:spacing w:after="0" w:line="1" w:lineRule="exact"/>
        <w:rPr>
          <w:sz w:val="24"/>
          <w:szCs w:val="24"/>
          <w:color w:val="auto"/>
        </w:rPr>
      </w:pPr>
    </w:p>
    <w:p>
      <w:pPr>
        <w:spacing w:after="0" w:line="161" w:lineRule="exact"/>
        <w:tabs>
          <w:tab w:leader="none" w:pos="460" w:val="left"/>
          <w:tab w:leader="none" w:pos="1020" w:val="left"/>
        </w:tabs>
        <w:rPr>
          <w:sz w:val="20"/>
          <w:szCs w:val="20"/>
          <w:color w:val="auto"/>
        </w:rPr>
      </w:pPr>
      <w:r>
        <w:rPr>
          <w:rFonts w:ascii="Arial" w:cs="Arial" w:eastAsia="Arial" w:hAnsi="Arial"/>
          <w:sz w:val="14"/>
          <w:szCs w:val="14"/>
          <w:color w:val="auto"/>
        </w:rPr>
        <w:t>files).</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62" w:lineRule="exact"/>
        <w:rPr>
          <w:sz w:val="24"/>
          <w:szCs w:val="24"/>
          <w:color w:val="auto"/>
        </w:rPr>
      </w:pPr>
    </w:p>
    <w:p>
      <w:pPr>
        <w:ind w:right="80" w:firstLine="51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2" w:lineRule="exact"/>
        <w:rPr>
          <w:sz w:val="24"/>
          <w:szCs w:val="24"/>
          <w:color w:val="auto"/>
        </w:rPr>
      </w:pPr>
    </w:p>
    <w:p>
      <w:pPr>
        <w:ind w:right="160" w:firstLine="51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“accelerated filer”, “large accelerated filer”, “smaller reporting company” and “emerging growth company” in Rule 12b-2 of the Exchange Act.:</w:t>
      </w:r>
    </w:p>
    <w:p>
      <w:pPr>
        <w:spacing w:after="0" w:line="25"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21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5560" w:type="dxa"/>
            <w:vAlign w:val="bottom"/>
          </w:tcPr>
          <w:p>
            <w:pPr>
              <w:ind w:left="360"/>
              <w:spacing w:after="0" w:line="141" w:lineRule="exact"/>
              <w:rPr>
                <w:sz w:val="20"/>
                <w:szCs w:val="20"/>
                <w:color w:val="auto"/>
              </w:rPr>
            </w:pPr>
            <w:r>
              <w:rPr>
                <w:rFonts w:ascii="MS PGothic" w:cs="MS PGothic" w:eastAsia="MS PGothic" w:hAnsi="MS PGothic"/>
                <w:sz w:val="14"/>
                <w:szCs w:val="14"/>
                <w:color w:val="auto"/>
              </w:rPr>
              <w:t>☐</w:t>
            </w:r>
          </w:p>
        </w:tc>
        <w:tc>
          <w:tcPr>
            <w:tcW w:w="3140" w:type="dxa"/>
            <w:vAlign w:val="bottom"/>
          </w:tcPr>
          <w:p>
            <w:pPr>
              <w:ind w:left="280"/>
              <w:spacing w:after="0"/>
              <w:rPr>
                <w:sz w:val="20"/>
                <w:szCs w:val="20"/>
                <w:color w:val="auto"/>
              </w:rPr>
            </w:pPr>
            <w:r>
              <w:rPr>
                <w:rFonts w:ascii="Arial" w:cs="Arial" w:eastAsia="Arial" w:hAnsi="Arial"/>
                <w:sz w:val="14"/>
                <w:szCs w:val="14"/>
                <w:color w:val="auto"/>
              </w:rPr>
              <w:t>Accelerated filer</w:t>
            </w:r>
          </w:p>
        </w:tc>
        <w:tc>
          <w:tcPr>
            <w:tcW w:w="420" w:type="dxa"/>
            <w:vAlign w:val="bottom"/>
          </w:tcPr>
          <w:p>
            <w:pPr>
              <w:ind w:left="140"/>
              <w:spacing w:after="0" w:line="141" w:lineRule="exact"/>
              <w:rPr>
                <w:sz w:val="20"/>
                <w:szCs w:val="20"/>
                <w:color w:val="auto"/>
              </w:rPr>
            </w:pPr>
            <w:r>
              <w:rPr>
                <w:rFonts w:ascii="MS PGothic" w:cs="MS PGothic" w:eastAsia="MS PGothic" w:hAnsi="MS PGothic"/>
                <w:sz w:val="14"/>
                <w:szCs w:val="14"/>
                <w:color w:val="auto"/>
              </w:rPr>
              <w:t>☐</w:t>
            </w:r>
          </w:p>
        </w:tc>
      </w:tr>
      <w:tr>
        <w:trPr>
          <w:trHeight w:val="324"/>
        </w:trPr>
        <w:tc>
          <w:tcPr>
            <w:tcW w:w="2120" w:type="dxa"/>
            <w:vAlign w:val="bottom"/>
          </w:tcPr>
          <w:p>
            <w:pPr>
              <w:spacing w:after="0"/>
              <w:rPr>
                <w:sz w:val="20"/>
                <w:szCs w:val="20"/>
                <w:color w:val="auto"/>
              </w:rPr>
            </w:pPr>
            <w:r>
              <w:rPr>
                <w:rFonts w:ascii="Arial" w:cs="Arial" w:eastAsia="Arial" w:hAnsi="Arial"/>
                <w:sz w:val="14"/>
                <w:szCs w:val="14"/>
                <w:color w:val="auto"/>
              </w:rPr>
              <w:t>Non-accelerated filer</w:t>
            </w:r>
          </w:p>
        </w:tc>
        <w:tc>
          <w:tcPr>
            <w:tcW w:w="5560" w:type="dxa"/>
            <w:vAlign w:val="bottom"/>
          </w:tcPr>
          <w:p>
            <w:pPr>
              <w:ind w:left="360"/>
              <w:spacing w:after="0" w:line="141" w:lineRule="exact"/>
              <w:rPr>
                <w:sz w:val="20"/>
                <w:szCs w:val="20"/>
                <w:color w:val="auto"/>
              </w:rPr>
            </w:pPr>
            <w:r>
              <w:rPr>
                <w:rFonts w:ascii="MS PGothic" w:cs="MS PGothic" w:eastAsia="MS PGothic" w:hAnsi="MS PGothic"/>
                <w:sz w:val="14"/>
                <w:szCs w:val="14"/>
                <w:color w:val="auto"/>
              </w:rPr>
              <w:t>☒</w:t>
            </w:r>
          </w:p>
        </w:tc>
        <w:tc>
          <w:tcPr>
            <w:tcW w:w="3140" w:type="dxa"/>
            <w:vAlign w:val="bottom"/>
          </w:tcPr>
          <w:p>
            <w:pPr>
              <w:ind w:left="280"/>
              <w:spacing w:after="0"/>
              <w:rPr>
                <w:sz w:val="20"/>
                <w:szCs w:val="20"/>
                <w:color w:val="auto"/>
              </w:rPr>
            </w:pPr>
            <w:r>
              <w:rPr>
                <w:rFonts w:ascii="Arial" w:cs="Arial" w:eastAsia="Arial" w:hAnsi="Arial"/>
                <w:sz w:val="14"/>
                <w:szCs w:val="14"/>
                <w:color w:val="auto"/>
              </w:rPr>
              <w:t>Smaller reporting company</w:t>
            </w:r>
          </w:p>
        </w:tc>
        <w:tc>
          <w:tcPr>
            <w:tcW w:w="420" w:type="dxa"/>
            <w:vAlign w:val="bottom"/>
          </w:tcPr>
          <w:p>
            <w:pPr>
              <w:ind w:left="140"/>
              <w:spacing w:after="0" w:line="141" w:lineRule="exact"/>
              <w:rPr>
                <w:sz w:val="20"/>
                <w:szCs w:val="20"/>
                <w:color w:val="auto"/>
              </w:rPr>
            </w:pPr>
            <w:r>
              <w:rPr>
                <w:rFonts w:ascii="MS PGothic" w:cs="MS PGothic" w:eastAsia="MS PGothic" w:hAnsi="MS PGothic"/>
                <w:sz w:val="14"/>
                <w:szCs w:val="14"/>
                <w:color w:val="auto"/>
              </w:rPr>
              <w:t>☒</w:t>
            </w:r>
          </w:p>
        </w:tc>
      </w:tr>
      <w:tr>
        <w:trPr>
          <w:trHeight w:val="257"/>
        </w:trPr>
        <w:tc>
          <w:tcPr>
            <w:tcW w:w="2120" w:type="dxa"/>
            <w:vAlign w:val="bottom"/>
          </w:tcPr>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tc>
        <w:tc>
          <w:tcPr>
            <w:tcW w:w="556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185"/>
        </w:trPr>
        <w:tc>
          <w:tcPr>
            <w:tcW w:w="10820" w:type="dxa"/>
            <w:vAlign w:val="bottom"/>
            <w:gridSpan w:val="3"/>
          </w:tcPr>
          <w:p>
            <w:pPr>
              <w:spacing w:after="0"/>
              <w:rPr>
                <w:sz w:val="20"/>
                <w:szCs w:val="20"/>
                <w:color w:val="auto"/>
              </w:rPr>
            </w:pPr>
            <w:r>
              <w:rPr>
                <w:rFonts w:ascii="Arial" w:cs="Arial" w:eastAsia="Arial" w:hAnsi="Arial"/>
                <w:sz w:val="14"/>
                <w:szCs w:val="14"/>
                <w:color w:val="auto"/>
                <w:w w:val="95"/>
              </w:rPr>
              <w:t>If an emerging growth company, indicate by check mark if the registrant has elected not to use the extended transition period for complying with any new or revised financial accounting</w:t>
            </w:r>
          </w:p>
        </w:tc>
        <w:tc>
          <w:tcPr>
            <w:tcW w:w="420" w:type="dxa"/>
            <w:vAlign w:val="bottom"/>
          </w:tcPr>
          <w:p>
            <w:pPr>
              <w:spacing w:after="0"/>
              <w:rPr>
                <w:sz w:val="16"/>
                <w:szCs w:val="16"/>
                <w:color w:val="auto"/>
              </w:rPr>
            </w:pPr>
          </w:p>
        </w:tc>
      </w:tr>
      <w:tr>
        <w:trPr>
          <w:trHeight w:val="226"/>
        </w:trPr>
        <w:tc>
          <w:tcPr>
            <w:tcW w:w="7680" w:type="dxa"/>
            <w:vAlign w:val="bottom"/>
            <w:gridSpan w:val="2"/>
          </w:tcPr>
          <w:p>
            <w:pPr>
              <w:spacing w:after="0" w:line="161" w:lineRule="exact"/>
              <w:rPr>
                <w:sz w:val="20"/>
                <w:szCs w:val="20"/>
                <w:color w:val="auto"/>
              </w:rPr>
            </w:pPr>
            <w:r>
              <w:rPr>
                <w:rFonts w:ascii="Arial" w:cs="Arial" w:eastAsia="Arial" w:hAnsi="Arial"/>
                <w:sz w:val="14"/>
                <w:szCs w:val="14"/>
                <w:color w:val="auto"/>
              </w:rPr>
              <w:t xml:space="preserve">standards provided pursuant to Section 13(a) of the Exchange Act. </w:t>
            </w:r>
            <w:r>
              <w:rPr>
                <w:rFonts w:ascii="MS PGothic" w:cs="MS PGothic" w:eastAsia="MS PGothic" w:hAnsi="MS PGothic"/>
                <w:sz w:val="14"/>
                <w:szCs w:val="14"/>
                <w:color w:val="auto"/>
              </w:rPr>
              <w:t>☐</w:t>
            </w:r>
          </w:p>
        </w:tc>
        <w:tc>
          <w:tcPr>
            <w:tcW w:w="314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51"/>
        </w:trPr>
        <w:tc>
          <w:tcPr>
            <w:tcW w:w="7680" w:type="dxa"/>
            <w:vAlign w:val="bottom"/>
            <w:gridSpan w:val="2"/>
          </w:tcPr>
          <w:p>
            <w:pPr>
              <w:ind w:left="520"/>
              <w:spacing w:after="0" w:line="161" w:lineRule="exact"/>
              <w:rPr>
                <w:sz w:val="20"/>
                <w:szCs w:val="20"/>
                <w:color w:val="auto"/>
              </w:rPr>
            </w:pPr>
            <w:r>
              <w:rPr>
                <w:rFonts w:ascii="Arial" w:cs="Arial" w:eastAsia="Arial" w:hAnsi="Arial"/>
                <w:sz w:val="14"/>
                <w:szCs w:val="14"/>
                <w:color w:val="auto"/>
                <w:w w:val="95"/>
              </w:rPr>
              <w:t xml:space="preserve">Indicate by check mark whether the registrant is a shell company (as defined in Rule 12b-2 of the Exchange Act).  Yes </w:t>
            </w:r>
            <w:r>
              <w:rPr>
                <w:rFonts w:ascii="MS PGothic" w:cs="MS PGothic" w:eastAsia="MS PGothic" w:hAnsi="MS PGothic"/>
                <w:sz w:val="14"/>
                <w:szCs w:val="14"/>
                <w:color w:val="auto"/>
                <w:w w:val="95"/>
              </w:rPr>
              <w:t>☐</w:t>
            </w:r>
          </w:p>
        </w:tc>
        <w:tc>
          <w:tcPr>
            <w:tcW w:w="3140" w:type="dxa"/>
            <w:vAlign w:val="bottom"/>
          </w:tcPr>
          <w:p>
            <w:pPr>
              <w:ind w:left="8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420" w:type="dxa"/>
            <w:vAlign w:val="bottom"/>
          </w:tcPr>
          <w:p>
            <w:pPr>
              <w:spacing w:after="0"/>
              <w:rPr>
                <w:sz w:val="21"/>
                <w:szCs w:val="21"/>
                <w:color w:val="auto"/>
              </w:rPr>
            </w:pPr>
          </w:p>
        </w:tc>
      </w:tr>
      <w:tr>
        <w:trPr>
          <w:trHeight w:val="214"/>
        </w:trPr>
        <w:tc>
          <w:tcPr>
            <w:tcW w:w="7680" w:type="dxa"/>
            <w:vAlign w:val="bottom"/>
            <w:gridSpan w:val="2"/>
          </w:tcPr>
          <w:p>
            <w:pPr>
              <w:ind w:left="520"/>
              <w:spacing w:after="0"/>
              <w:rPr>
                <w:sz w:val="20"/>
                <w:szCs w:val="20"/>
                <w:color w:val="auto"/>
              </w:rPr>
            </w:pPr>
            <w:r>
              <w:rPr>
                <w:rFonts w:ascii="Arial" w:cs="Arial" w:eastAsia="Arial" w:hAnsi="Arial"/>
                <w:sz w:val="14"/>
                <w:szCs w:val="14"/>
                <w:color w:val="auto"/>
              </w:rPr>
              <w:t>As of November 9, 2021, the registrant had 49,043,246 shares of Common Stock ($0.001 par value) outstanding.</w:t>
            </w:r>
          </w:p>
        </w:tc>
        <w:tc>
          <w:tcPr>
            <w:tcW w:w="314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80"/>
        </w:trPr>
        <w:tc>
          <w:tcPr>
            <w:tcW w:w="2120" w:type="dxa"/>
            <w:vAlign w:val="bottom"/>
            <w:tcBorders>
              <w:bottom w:val="single" w:sz="8" w:color="auto"/>
            </w:tcBorders>
          </w:tcPr>
          <w:p>
            <w:pPr>
              <w:spacing w:after="0"/>
              <w:rPr>
                <w:sz w:val="6"/>
                <w:szCs w:val="6"/>
                <w:color w:val="auto"/>
              </w:rPr>
            </w:pPr>
          </w:p>
        </w:tc>
        <w:tc>
          <w:tcPr>
            <w:tcW w:w="5560" w:type="dxa"/>
            <w:vAlign w:val="bottom"/>
            <w:tcBorders>
              <w:bottom w:val="single" w:sz="8" w:color="auto"/>
            </w:tcBorders>
          </w:tcPr>
          <w:p>
            <w:pPr>
              <w:spacing w:after="0"/>
              <w:rPr>
                <w:sz w:val="6"/>
                <w:szCs w:val="6"/>
                <w:color w:val="auto"/>
              </w:rPr>
            </w:pPr>
          </w:p>
        </w:tc>
        <w:tc>
          <w:tcPr>
            <w:tcW w:w="314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r>
      <w:tr>
        <w:trPr>
          <w:trHeight w:val="20"/>
        </w:trPr>
        <w:tc>
          <w:tcPr>
            <w:tcW w:w="2120" w:type="dxa"/>
            <w:vAlign w:val="bottom"/>
            <w:tcBorders>
              <w:bottom w:val="single" w:sz="8" w:color="auto"/>
            </w:tcBorders>
          </w:tcPr>
          <w:p>
            <w:pPr>
              <w:spacing w:after="0" w:line="20" w:lineRule="exact"/>
              <w:rPr>
                <w:sz w:val="1"/>
                <w:szCs w:val="1"/>
                <w:color w:val="auto"/>
              </w:rPr>
            </w:pPr>
          </w:p>
        </w:tc>
        <w:tc>
          <w:tcPr>
            <w:tcW w:w="5560" w:type="dxa"/>
            <w:vAlign w:val="bottom"/>
            <w:tcBorders>
              <w:bottom w:val="single" w:sz="8" w:color="auto"/>
            </w:tcBorders>
          </w:tcPr>
          <w:p>
            <w:pPr>
              <w:spacing w:after="0" w:line="20" w:lineRule="exact"/>
              <w:rPr>
                <w:sz w:val="1"/>
                <w:szCs w:val="1"/>
                <w:color w:val="auto"/>
              </w:rPr>
            </w:pPr>
          </w:p>
        </w:tc>
        <w:tc>
          <w:tcPr>
            <w:tcW w:w="3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r>
        <w:trPr>
          <w:trHeight w:val="217"/>
        </w:trPr>
        <w:tc>
          <w:tcPr>
            <w:tcW w:w="2120" w:type="dxa"/>
            <w:vAlign w:val="bottom"/>
            <w:tcBorders>
              <w:bottom w:val="single" w:sz="8" w:color="9A9A9A"/>
            </w:tcBorders>
          </w:tcPr>
          <w:p>
            <w:pPr>
              <w:spacing w:after="0"/>
              <w:rPr>
                <w:sz w:val="18"/>
                <w:szCs w:val="18"/>
                <w:color w:val="auto"/>
              </w:rPr>
            </w:pPr>
          </w:p>
        </w:tc>
        <w:tc>
          <w:tcPr>
            <w:tcW w:w="5560" w:type="dxa"/>
            <w:vAlign w:val="bottom"/>
            <w:tcBorders>
              <w:bottom w:val="single" w:sz="8" w:color="9A9A9A"/>
            </w:tcBorders>
          </w:tcPr>
          <w:p>
            <w:pPr>
              <w:spacing w:after="0"/>
              <w:rPr>
                <w:sz w:val="18"/>
                <w:szCs w:val="18"/>
                <w:color w:val="auto"/>
              </w:rPr>
            </w:pPr>
          </w:p>
        </w:tc>
        <w:tc>
          <w:tcPr>
            <w:tcW w:w="314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type w:val="continuous"/>
        </w:sectPr>
      </w:pPr>
    </w:p>
    <w:bookmarkStart w:id="1" w:name="page2"/>
    <w:bookmarkEnd w:id="1"/>
    <w:p>
      <w:pPr>
        <w:jc w:val="center"/>
        <w:ind w:right="-9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This quarterly report on Form 10-Q, in particular "Item 2. Management's Discussion and Analysis of Financial Condition and Results of Operations," and the information incorporated by reference herein contains “forward-looking statements”. The forward-looking statements are contained principally in the sections titled “Risk Factors” and “Management’s Discussion and Analysis of Financial Condition and Results of Operations,” but are also contained elsewhere in this report. Forward-looking statements include all statements that are not historical facts and, in some cases, can be identified by terms such as "believe," "may," "will," "estimate," "continue," "anticipate," "design," "intend," "expect," "could," "plan," "potential," "predict," "seek," "should," "would" or the negative version of these words and similar expressions.</w:t>
      </w:r>
    </w:p>
    <w:p>
      <w:pPr>
        <w:spacing w:after="0" w:line="178"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including those described in "Risk Factors" and elsewhere in this report. Given these uncertainties, you should not place undue reliance on these forward-looking statements. Also, forward-looking statements represent our beliefs and assumptions only as of the date of this report. Considering the significant uncertainties in these forward-looking statements, you should not regard these statements as a representation or warranty by us or any other person that we will achieve our objectives and plans in any specified time frame, or at all. You should read this report completely and with the understanding that our actual future results may be materially different from what we expect.</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factors are among those that may cause actual results to differ materially from our forward-looking statements:</w:t>
      </w:r>
    </w:p>
    <w:p>
      <w:pPr>
        <w:spacing w:after="0" w:line="117" w:lineRule="exact"/>
        <w:rPr>
          <w:sz w:val="20"/>
          <w:szCs w:val="20"/>
          <w:color w:val="auto"/>
        </w:rPr>
      </w:pPr>
    </w:p>
    <w:p>
      <w:pPr>
        <w:ind w:left="1300" w:right="220" w:hanging="725"/>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widespread outbreak of an illness or any other communicable disease, such as COVID-19, or any other public health crisis, could adversely affect our business, results of operations and financial condition;</w:t>
      </w:r>
    </w:p>
    <w:p>
      <w:pPr>
        <w:spacing w:after="0" w:line="62" w:lineRule="exact"/>
        <w:rPr>
          <w:rFonts w:ascii="Arial" w:cs="Arial" w:eastAsia="Arial" w:hAnsi="Arial"/>
          <w:sz w:val="18"/>
          <w:szCs w:val="18"/>
          <w:color w:val="auto"/>
        </w:rPr>
      </w:pPr>
    </w:p>
    <w:p>
      <w:pPr>
        <w:ind w:left="1300" w:hanging="7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raise additional capital if needed;</w:t>
      </w:r>
    </w:p>
    <w:p>
      <w:pPr>
        <w:spacing w:after="0" w:line="117" w:lineRule="exact"/>
        <w:rPr>
          <w:rFonts w:ascii="Arial" w:cs="Arial" w:eastAsia="Arial" w:hAnsi="Arial"/>
          <w:sz w:val="18"/>
          <w:szCs w:val="18"/>
          <w:color w:val="auto"/>
        </w:rPr>
      </w:pPr>
    </w:p>
    <w:p>
      <w:pPr>
        <w:ind w:left="1300" w:hanging="7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generate revenues from product sales to continue business operations;</w:t>
      </w:r>
    </w:p>
    <w:p>
      <w:pPr>
        <w:spacing w:after="0" w:line="117" w:lineRule="exact"/>
        <w:rPr>
          <w:rFonts w:ascii="Arial" w:cs="Arial" w:eastAsia="Arial" w:hAnsi="Arial"/>
          <w:sz w:val="18"/>
          <w:szCs w:val="18"/>
          <w:color w:val="auto"/>
        </w:rPr>
      </w:pPr>
    </w:p>
    <w:p>
      <w:pPr>
        <w:ind w:left="1300" w:hanging="7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develop and commercialize our product candidates;</w:t>
      </w:r>
    </w:p>
    <w:p>
      <w:pPr>
        <w:spacing w:after="0" w:line="117" w:lineRule="exact"/>
        <w:rPr>
          <w:rFonts w:ascii="Arial" w:cs="Arial" w:eastAsia="Arial" w:hAnsi="Arial"/>
          <w:sz w:val="18"/>
          <w:szCs w:val="18"/>
          <w:color w:val="auto"/>
        </w:rPr>
      </w:pPr>
    </w:p>
    <w:p>
      <w:pPr>
        <w:ind w:left="1300" w:right="160" w:hanging="725"/>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or delay in completing clinical trials or obtaining Food and Drug Administration or foreign regulatory approval for our product candidates in a timely manner;</w:t>
      </w:r>
    </w:p>
    <w:p>
      <w:pPr>
        <w:spacing w:after="0" w:line="62" w:lineRule="exact"/>
        <w:rPr>
          <w:rFonts w:ascii="Arial" w:cs="Arial" w:eastAsia="Arial" w:hAnsi="Arial"/>
          <w:sz w:val="18"/>
          <w:szCs w:val="18"/>
          <w:color w:val="auto"/>
        </w:rPr>
      </w:pPr>
    </w:p>
    <w:p>
      <w:pPr>
        <w:ind w:left="1300" w:right="40" w:hanging="725"/>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Unsuccessful clinical trials stemming from clinical trial designs, failure to enroll a sufficient number of patients, undesirable side effects and other safety concerns;</w:t>
      </w:r>
    </w:p>
    <w:p>
      <w:pPr>
        <w:spacing w:after="0" w:line="62" w:lineRule="exact"/>
        <w:rPr>
          <w:rFonts w:ascii="Arial" w:cs="Arial" w:eastAsia="Arial" w:hAnsi="Arial"/>
          <w:sz w:val="18"/>
          <w:szCs w:val="18"/>
          <w:color w:val="auto"/>
        </w:rPr>
      </w:pPr>
    </w:p>
    <w:p>
      <w:pPr>
        <w:ind w:left="1300" w:hanging="7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demonstrate sufficient efficacy of product candidates;</w:t>
      </w:r>
    </w:p>
    <w:p>
      <w:pPr>
        <w:spacing w:after="0" w:line="117" w:lineRule="exact"/>
        <w:rPr>
          <w:rFonts w:ascii="Arial" w:cs="Arial" w:eastAsia="Arial" w:hAnsi="Arial"/>
          <w:sz w:val="18"/>
          <w:szCs w:val="18"/>
          <w:color w:val="auto"/>
        </w:rPr>
      </w:pPr>
    </w:p>
    <w:p>
      <w:pPr>
        <w:ind w:left="1300" w:hanging="7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Reliance on the success of our MN-166 (ibudilast) and MN-001 (tipelukast) product candidates;</w:t>
      </w:r>
    </w:p>
    <w:p>
      <w:pPr>
        <w:spacing w:after="0" w:line="117" w:lineRule="exact"/>
        <w:rPr>
          <w:rFonts w:ascii="Arial" w:cs="Arial" w:eastAsia="Arial" w:hAnsi="Arial"/>
          <w:sz w:val="18"/>
          <w:szCs w:val="18"/>
          <w:color w:val="auto"/>
        </w:rPr>
      </w:pPr>
    </w:p>
    <w:p>
      <w:pPr>
        <w:ind w:left="1300" w:hanging="7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Delays in commencement or completion of clinical trials or suspension or termination of clinical trials;</w:t>
      </w:r>
    </w:p>
    <w:p>
      <w:pPr>
        <w:spacing w:after="0" w:line="117" w:lineRule="exact"/>
        <w:rPr>
          <w:rFonts w:ascii="Arial" w:cs="Arial" w:eastAsia="Arial" w:hAnsi="Arial"/>
          <w:sz w:val="18"/>
          <w:szCs w:val="18"/>
          <w:color w:val="auto"/>
        </w:rPr>
      </w:pPr>
    </w:p>
    <w:p>
      <w:pPr>
        <w:ind w:left="1300" w:right="200" w:hanging="725"/>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 of our licensed rights to develop and commercialize a product candidate as a result of the termination of the underlying licensing agreement;</w:t>
      </w:r>
    </w:p>
    <w:p>
      <w:pPr>
        <w:spacing w:after="0" w:line="62" w:lineRule="exact"/>
        <w:rPr>
          <w:rFonts w:ascii="Arial" w:cs="Arial" w:eastAsia="Arial" w:hAnsi="Arial"/>
          <w:sz w:val="18"/>
          <w:szCs w:val="18"/>
          <w:color w:val="auto"/>
        </w:rPr>
      </w:pPr>
    </w:p>
    <w:p>
      <w:pPr>
        <w:ind w:left="1300" w:hanging="7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Competitors may develop products rendering our product candidates obsolete and noncompetitive;</w:t>
      </w:r>
    </w:p>
    <w:p>
      <w:pPr>
        <w:spacing w:after="0" w:line="117" w:lineRule="exact"/>
        <w:rPr>
          <w:rFonts w:ascii="Arial" w:cs="Arial" w:eastAsia="Arial" w:hAnsi="Arial"/>
          <w:sz w:val="18"/>
          <w:szCs w:val="18"/>
          <w:color w:val="auto"/>
        </w:rPr>
      </w:pPr>
    </w:p>
    <w:p>
      <w:pPr>
        <w:ind w:left="1300" w:hanging="7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successfully attract partners and enter into collaborations on acceptable terms;</w:t>
      </w:r>
    </w:p>
    <w:p>
      <w:pPr>
        <w:spacing w:after="0" w:line="117" w:lineRule="exact"/>
        <w:rPr>
          <w:rFonts w:ascii="Arial" w:cs="Arial" w:eastAsia="Arial" w:hAnsi="Arial"/>
          <w:sz w:val="18"/>
          <w:szCs w:val="18"/>
          <w:color w:val="auto"/>
        </w:rPr>
      </w:pPr>
    </w:p>
    <w:p>
      <w:pPr>
        <w:ind w:left="1300" w:hanging="7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on third parties to conduct clinical trials and to manufacture product candidates;</w:t>
      </w:r>
    </w:p>
    <w:p>
      <w:pPr>
        <w:spacing w:after="0" w:line="117" w:lineRule="exact"/>
        <w:rPr>
          <w:rFonts w:ascii="Arial" w:cs="Arial" w:eastAsia="Arial" w:hAnsi="Arial"/>
          <w:sz w:val="18"/>
          <w:szCs w:val="18"/>
          <w:color w:val="auto"/>
        </w:rPr>
      </w:pPr>
    </w:p>
    <w:p>
      <w:pPr>
        <w:ind w:left="1300" w:hanging="7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on third parties to market and distribute products;</w:t>
      </w:r>
    </w:p>
    <w:p>
      <w:pPr>
        <w:spacing w:after="0" w:line="117" w:lineRule="exact"/>
        <w:rPr>
          <w:rFonts w:ascii="Arial" w:cs="Arial" w:eastAsia="Arial" w:hAnsi="Arial"/>
          <w:sz w:val="18"/>
          <w:szCs w:val="18"/>
          <w:color w:val="auto"/>
        </w:rPr>
      </w:pPr>
    </w:p>
    <w:p>
      <w:pPr>
        <w:ind w:left="1300" w:hanging="725"/>
        <w:spacing w:after="0"/>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product candidates, if approved, may not gain market acceptance or obtain adequate coverage for third party reimbursement;</w:t>
      </w:r>
    </w:p>
    <w:p>
      <w:pPr>
        <w:spacing w:after="0" w:line="128" w:lineRule="exact"/>
        <w:rPr>
          <w:rFonts w:ascii="Arial" w:cs="Arial" w:eastAsia="Arial" w:hAnsi="Arial"/>
          <w:sz w:val="17"/>
          <w:szCs w:val="17"/>
          <w:color w:val="auto"/>
        </w:rPr>
      </w:pPr>
    </w:p>
    <w:p>
      <w:pPr>
        <w:ind w:left="1300" w:hanging="7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Disputes or other developments concerning our intellectual property rights;</w:t>
      </w:r>
    </w:p>
    <w:p>
      <w:pPr>
        <w:spacing w:after="0" w:line="117" w:lineRule="exact"/>
        <w:rPr>
          <w:rFonts w:ascii="Arial" w:cs="Arial" w:eastAsia="Arial" w:hAnsi="Arial"/>
          <w:sz w:val="18"/>
          <w:szCs w:val="18"/>
          <w:color w:val="auto"/>
        </w:rPr>
      </w:pPr>
    </w:p>
    <w:p>
      <w:pPr>
        <w:ind w:left="1300" w:hanging="7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Actual and anticipated fluctuations in our quarterly or annual operating results;</w:t>
      </w:r>
    </w:p>
    <w:p>
      <w:pPr>
        <w:spacing w:after="0" w:line="117" w:lineRule="exact"/>
        <w:rPr>
          <w:rFonts w:ascii="Arial" w:cs="Arial" w:eastAsia="Arial" w:hAnsi="Arial"/>
          <w:sz w:val="18"/>
          <w:szCs w:val="18"/>
          <w:color w:val="auto"/>
        </w:rPr>
      </w:pPr>
    </w:p>
    <w:p>
      <w:pPr>
        <w:ind w:left="1300" w:hanging="7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markets;</w:t>
      </w:r>
    </w:p>
    <w:p>
      <w:pPr>
        <w:spacing w:after="0" w:line="117" w:lineRule="exact"/>
        <w:rPr>
          <w:rFonts w:ascii="Arial" w:cs="Arial" w:eastAsia="Arial" w:hAnsi="Arial"/>
          <w:sz w:val="18"/>
          <w:szCs w:val="18"/>
          <w:color w:val="auto"/>
        </w:rPr>
      </w:pPr>
    </w:p>
    <w:p>
      <w:pPr>
        <w:ind w:left="1300" w:hanging="7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Litigation or public concern about the safety of our potential products;</w:t>
      </w:r>
    </w:p>
    <w:p>
      <w:pPr>
        <w:spacing w:after="0" w:line="117" w:lineRule="exact"/>
        <w:rPr>
          <w:rFonts w:ascii="Arial" w:cs="Arial" w:eastAsia="Arial" w:hAnsi="Arial"/>
          <w:sz w:val="18"/>
          <w:szCs w:val="18"/>
          <w:color w:val="auto"/>
        </w:rPr>
      </w:pPr>
    </w:p>
    <w:p>
      <w:pPr>
        <w:ind w:left="1300" w:hanging="7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International trade or foreign exchange restrictions, increased tariffs, foreign currency exchange;</w:t>
      </w:r>
    </w:p>
    <w:p>
      <w:pPr>
        <w:spacing w:after="0" w:line="117" w:lineRule="exact"/>
        <w:rPr>
          <w:rFonts w:ascii="Arial" w:cs="Arial" w:eastAsia="Arial" w:hAnsi="Arial"/>
          <w:sz w:val="18"/>
          <w:szCs w:val="18"/>
          <w:color w:val="auto"/>
        </w:rPr>
      </w:pPr>
    </w:p>
    <w:p>
      <w:pPr>
        <w:ind w:left="1300" w:hanging="7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High quality material for our products may become difficult to obtain or expensive;</w:t>
      </w:r>
    </w:p>
    <w:p>
      <w:pPr>
        <w:spacing w:after="0" w:line="117" w:lineRule="exact"/>
        <w:rPr>
          <w:rFonts w:ascii="Arial" w:cs="Arial" w:eastAsia="Arial" w:hAnsi="Arial"/>
          <w:sz w:val="18"/>
          <w:szCs w:val="18"/>
          <w:color w:val="auto"/>
        </w:rPr>
      </w:pPr>
    </w:p>
    <w:p>
      <w:pPr>
        <w:ind w:left="1300" w:hanging="7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Strict government regulations on our business;</w:t>
      </w:r>
    </w:p>
    <w:p>
      <w:pPr>
        <w:spacing w:after="0" w:line="117" w:lineRule="exact"/>
        <w:rPr>
          <w:rFonts w:ascii="Arial" w:cs="Arial" w:eastAsia="Arial" w:hAnsi="Arial"/>
          <w:sz w:val="18"/>
          <w:szCs w:val="18"/>
          <w:color w:val="auto"/>
        </w:rPr>
      </w:pPr>
    </w:p>
    <w:p>
      <w:pPr>
        <w:ind w:left="1300" w:hanging="7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Regulations governing the production or marketing of our product candidates;</w:t>
      </w:r>
    </w:p>
    <w:p>
      <w:pPr>
        <w:spacing w:after="0" w:line="117" w:lineRule="exact"/>
        <w:rPr>
          <w:rFonts w:ascii="Arial" w:cs="Arial" w:eastAsia="Arial" w:hAnsi="Arial"/>
          <w:sz w:val="18"/>
          <w:szCs w:val="18"/>
          <w:color w:val="auto"/>
        </w:rPr>
      </w:pPr>
    </w:p>
    <w:p>
      <w:pPr>
        <w:ind w:left="1300" w:hanging="7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 of, or inability to attract, key personnel; and</w:t>
      </w:r>
    </w:p>
    <w:p>
      <w:pPr>
        <w:spacing w:after="0" w:line="117" w:lineRule="exact"/>
        <w:rPr>
          <w:rFonts w:ascii="Arial" w:cs="Arial" w:eastAsia="Arial" w:hAnsi="Arial"/>
          <w:sz w:val="18"/>
          <w:szCs w:val="18"/>
          <w:color w:val="auto"/>
        </w:rPr>
      </w:pPr>
    </w:p>
    <w:p>
      <w:pPr>
        <w:ind w:left="1300" w:hanging="7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political, foreign exchange and other risks associated with international operations.</w:t>
      </w:r>
    </w:p>
    <w:p>
      <w:pPr>
        <w:spacing w:after="0" w:line="200" w:lineRule="exact"/>
        <w:rPr>
          <w:sz w:val="20"/>
          <w:szCs w:val="20"/>
          <w:color w:val="auto"/>
        </w:rPr>
      </w:pPr>
    </w:p>
    <w:p>
      <w:pPr>
        <w:spacing w:after="0" w:line="22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53" w:right="4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720" w:type="dxa"/>
            <w:vAlign w:val="bottom"/>
            <w:gridSpan w:val="4"/>
          </w:tcPr>
          <w:p>
            <w:pPr>
              <w:jc w:val="center"/>
              <w:ind w:right="3260"/>
              <w:spacing w:after="0"/>
              <w:rPr>
                <w:sz w:val="20"/>
                <w:szCs w:val="20"/>
                <w:color w:val="auto"/>
              </w:rPr>
            </w:pPr>
            <w:r>
              <w:rPr>
                <w:rFonts w:ascii="Arial" w:cs="Arial" w:eastAsia="Arial" w:hAnsi="Arial"/>
                <w:sz w:val="18"/>
                <w:szCs w:val="18"/>
                <w:b w:val="1"/>
                <w:bCs w:val="1"/>
                <w:color w:val="auto"/>
              </w:rPr>
              <w:t>MEDICINOVA, INC.</w:t>
            </w:r>
          </w:p>
        </w:tc>
        <w:tc>
          <w:tcPr>
            <w:tcW w:w="1100" w:type="dxa"/>
            <w:vAlign w:val="bottom"/>
          </w:tcPr>
          <w:p>
            <w:pPr>
              <w:spacing w:after="0"/>
              <w:rPr>
                <w:sz w:val="20"/>
                <w:szCs w:val="20"/>
                <w:color w:val="auto"/>
              </w:rPr>
            </w:pPr>
          </w:p>
        </w:tc>
      </w:tr>
      <w:tr>
        <w:trPr>
          <w:trHeight w:val="432"/>
        </w:trPr>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720" w:type="dxa"/>
            <w:vAlign w:val="bottom"/>
            <w:gridSpan w:val="4"/>
          </w:tcPr>
          <w:p>
            <w:pPr>
              <w:jc w:val="center"/>
              <w:ind w:right="3280"/>
              <w:spacing w:after="0"/>
              <w:rPr>
                <w:sz w:val="20"/>
                <w:szCs w:val="20"/>
                <w:color w:val="auto"/>
              </w:rPr>
            </w:pPr>
            <w:r>
              <w:rPr>
                <w:rFonts w:ascii="Arial" w:cs="Arial" w:eastAsia="Arial" w:hAnsi="Arial"/>
                <w:sz w:val="18"/>
                <w:szCs w:val="18"/>
                <w:b w:val="1"/>
                <w:bCs w:val="1"/>
                <w:color w:val="auto"/>
                <w:w w:val="98"/>
              </w:rPr>
              <w:t>TABLE OF CONTENTS</w:t>
            </w:r>
          </w:p>
        </w:tc>
        <w:tc>
          <w:tcPr>
            <w:tcW w:w="1100" w:type="dxa"/>
            <w:vAlign w:val="bottom"/>
          </w:tcPr>
          <w:p>
            <w:pPr>
              <w:spacing w:after="0"/>
              <w:rPr>
                <w:sz w:val="24"/>
                <w:szCs w:val="24"/>
                <w:color w:val="auto"/>
              </w:rPr>
            </w:pPr>
          </w:p>
        </w:tc>
      </w:tr>
      <w:tr>
        <w:trPr>
          <w:trHeight w:val="405"/>
        </w:trPr>
        <w:tc>
          <w:tcPr>
            <w:tcW w:w="10120" w:type="dxa"/>
            <w:vAlign w:val="bottom"/>
            <w:gridSpan w:val="1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 FINANCIAL INFORMATION</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1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44"/>
        </w:trPr>
        <w:tc>
          <w:tcPr>
            <w:tcW w:w="1200" w:type="dxa"/>
            <w:vAlign w:val="bottom"/>
            <w:gridSpan w:val="2"/>
          </w:tcPr>
          <w:p>
            <w:pPr>
              <w:ind w:left="120"/>
              <w:spacing w:after="0"/>
              <w:rPr>
                <w:sz w:val="20"/>
                <w:szCs w:val="20"/>
                <w:color w:val="auto"/>
              </w:rPr>
            </w:pPr>
            <w:r>
              <w:rPr>
                <w:rFonts w:ascii="Arial" w:cs="Arial" w:eastAsia="Arial" w:hAnsi="Arial"/>
                <w:sz w:val="18"/>
                <w:szCs w:val="18"/>
                <w:color w:val="auto"/>
              </w:rPr>
              <w:t>ITEM 1.</w:t>
            </w:r>
          </w:p>
        </w:tc>
        <w:tc>
          <w:tcPr>
            <w:tcW w:w="8920" w:type="dxa"/>
            <w:vAlign w:val="bottom"/>
            <w:gridSpan w:val="1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FINANCIAL STATEMENTS (unaudited)</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0"/>
        </w:trPr>
        <w:tc>
          <w:tcPr>
            <w:tcW w:w="1200" w:type="dxa"/>
            <w:vAlign w:val="bottom"/>
            <w:gridSpan w:val="2"/>
          </w:tcPr>
          <w:p>
            <w:pPr>
              <w:ind w:left="120"/>
              <w:spacing w:after="0"/>
              <w:rPr>
                <w:sz w:val="20"/>
                <w:szCs w:val="20"/>
                <w:color w:val="auto"/>
              </w:rPr>
            </w:pPr>
            <w:r>
              <w:rPr>
                <w:rFonts w:ascii="Arial" w:cs="Arial" w:eastAsia="Arial" w:hAnsi="Arial"/>
                <w:sz w:val="18"/>
                <w:szCs w:val="18"/>
                <w:color w:val="auto"/>
              </w:rPr>
              <w:t>ITEM 2.</w:t>
            </w:r>
          </w:p>
        </w:tc>
        <w:tc>
          <w:tcPr>
            <w:tcW w:w="8920" w:type="dxa"/>
            <w:vAlign w:val="bottom"/>
            <w:tcBorders>
              <w:bottom w:val="single" w:sz="8" w:color="0000EE"/>
            </w:tcBorders>
            <w:gridSpan w:val="13"/>
          </w:tcPr>
          <w:p>
            <w:pPr>
              <w:spacing w:after="0"/>
              <w:rPr>
                <w:rFonts w:ascii="Arial" w:cs="Arial" w:eastAsia="Arial" w:hAnsi="Arial"/>
                <w:sz w:val="18"/>
                <w:szCs w:val="18"/>
                <w:color w:val="0000EE"/>
                <w:w w:val="97"/>
              </w:rPr>
            </w:pPr>
            <w:hyperlink w:anchor="page15">
              <w:r>
                <w:rPr>
                  <w:rFonts w:ascii="Arial" w:cs="Arial" w:eastAsia="Arial" w:hAnsi="Arial"/>
                  <w:sz w:val="18"/>
                  <w:szCs w:val="18"/>
                  <w:color w:val="0000EE"/>
                  <w:w w:val="97"/>
                </w:rPr>
                <w:t>MANAGEMENT’S DISCUSSION AND ANALYSIS OF FINANCIAL CONDITION AND RESULTS OF OPERATIONS</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09"/>
        </w:trPr>
        <w:tc>
          <w:tcPr>
            <w:tcW w:w="1200" w:type="dxa"/>
            <w:vAlign w:val="bottom"/>
            <w:gridSpan w:val="2"/>
          </w:tcPr>
          <w:p>
            <w:pPr>
              <w:ind w:left="120"/>
              <w:spacing w:after="0"/>
              <w:rPr>
                <w:sz w:val="20"/>
                <w:szCs w:val="20"/>
                <w:color w:val="auto"/>
              </w:rPr>
            </w:pPr>
            <w:r>
              <w:rPr>
                <w:rFonts w:ascii="Arial" w:cs="Arial" w:eastAsia="Arial" w:hAnsi="Arial"/>
                <w:sz w:val="18"/>
                <w:szCs w:val="18"/>
                <w:color w:val="auto"/>
              </w:rPr>
              <w:t>ITEM 3.</w:t>
            </w:r>
          </w:p>
        </w:tc>
        <w:tc>
          <w:tcPr>
            <w:tcW w:w="8920" w:type="dxa"/>
            <w:vAlign w:val="bottom"/>
            <w:gridSpan w:val="13"/>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QUANTITATIVE AND QUALITATIVE DISCLOSURES ABOUT MARKET RISK</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0"/>
        </w:trPr>
        <w:tc>
          <w:tcPr>
            <w:tcW w:w="1200" w:type="dxa"/>
            <w:vAlign w:val="bottom"/>
            <w:gridSpan w:val="2"/>
          </w:tcPr>
          <w:p>
            <w:pPr>
              <w:ind w:left="120"/>
              <w:spacing w:after="0"/>
              <w:rPr>
                <w:sz w:val="20"/>
                <w:szCs w:val="20"/>
                <w:color w:val="auto"/>
              </w:rPr>
            </w:pPr>
            <w:r>
              <w:rPr>
                <w:rFonts w:ascii="Arial" w:cs="Arial" w:eastAsia="Arial" w:hAnsi="Arial"/>
                <w:sz w:val="18"/>
                <w:szCs w:val="18"/>
                <w:color w:val="auto"/>
              </w:rPr>
              <w:t>ITEM 4.</w:t>
            </w:r>
          </w:p>
        </w:tc>
        <w:tc>
          <w:tcPr>
            <w:tcW w:w="6140" w:type="dxa"/>
            <w:vAlign w:val="bottom"/>
            <w:tcBorders>
              <w:top w:val="single" w:sz="8" w:color="0000EE"/>
            </w:tcBorders>
            <w:gridSpan w:val="12"/>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CONTROLS AND PROCEDURES</w:t>
              </w:r>
            </w:hyperlink>
          </w:p>
        </w:tc>
        <w:tc>
          <w:tcPr>
            <w:tcW w:w="27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44"/>
        </w:trPr>
        <w:tc>
          <w:tcPr>
            <w:tcW w:w="2580" w:type="dxa"/>
            <w:vAlign w:val="bottom"/>
            <w:tcBorders>
              <w:bottom w:val="single" w:sz="8" w:color="0000EE"/>
            </w:tcBorders>
            <w:gridSpan w:val="5"/>
          </w:tcPr>
          <w:p>
            <w:pPr>
              <w:spacing w:after="0"/>
              <w:rPr>
                <w:rFonts w:ascii="Arial" w:cs="Arial" w:eastAsia="Arial" w:hAnsi="Arial"/>
                <w:sz w:val="18"/>
                <w:szCs w:val="18"/>
                <w:color w:val="0000EE"/>
                <w:w w:val="95"/>
              </w:rPr>
            </w:pPr>
            <w:hyperlink w:anchor="page21">
              <w:r>
                <w:rPr>
                  <w:rFonts w:ascii="Arial" w:cs="Arial" w:eastAsia="Arial" w:hAnsi="Arial"/>
                  <w:sz w:val="18"/>
                  <w:szCs w:val="18"/>
                  <w:color w:val="0000EE"/>
                  <w:w w:val="95"/>
                </w:rPr>
                <w:t>PART II. OTHER INFORMATION</w:t>
              </w:r>
            </w:hyperlink>
          </w:p>
        </w:tc>
        <w:tc>
          <w:tcPr>
            <w:tcW w:w="7540" w:type="dxa"/>
            <w:vAlign w:val="bottom"/>
            <w:gridSpan w:val="10"/>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45"/>
        </w:trPr>
        <w:tc>
          <w:tcPr>
            <w:tcW w:w="1200" w:type="dxa"/>
            <w:vAlign w:val="bottom"/>
            <w:gridSpan w:val="2"/>
          </w:tcPr>
          <w:p>
            <w:pPr>
              <w:ind w:left="120"/>
              <w:spacing w:after="0"/>
              <w:rPr>
                <w:sz w:val="20"/>
                <w:szCs w:val="20"/>
                <w:color w:val="auto"/>
              </w:rPr>
            </w:pPr>
            <w:r>
              <w:rPr>
                <w:rFonts w:ascii="Arial" w:cs="Arial" w:eastAsia="Arial" w:hAnsi="Arial"/>
                <w:sz w:val="18"/>
                <w:szCs w:val="18"/>
                <w:color w:val="auto"/>
              </w:rPr>
              <w:t>ITEM 1.</w:t>
            </w:r>
          </w:p>
        </w:tc>
        <w:tc>
          <w:tcPr>
            <w:tcW w:w="8920" w:type="dxa"/>
            <w:vAlign w:val="bottom"/>
            <w:gridSpan w:val="13"/>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LEGAL PROCEEDINGS</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09"/>
        </w:trPr>
        <w:tc>
          <w:tcPr>
            <w:tcW w:w="1200" w:type="dxa"/>
            <w:vAlign w:val="bottom"/>
            <w:gridSpan w:val="2"/>
          </w:tcPr>
          <w:p>
            <w:pPr>
              <w:ind w:left="120"/>
              <w:spacing w:after="0"/>
              <w:rPr>
                <w:sz w:val="20"/>
                <w:szCs w:val="20"/>
                <w:color w:val="auto"/>
              </w:rPr>
            </w:pPr>
            <w:r>
              <w:rPr>
                <w:rFonts w:ascii="Arial" w:cs="Arial" w:eastAsia="Arial" w:hAnsi="Arial"/>
                <w:sz w:val="18"/>
                <w:szCs w:val="18"/>
                <w:color w:val="auto"/>
              </w:rPr>
              <w:t>ITEM 1A.</w:t>
            </w:r>
          </w:p>
        </w:tc>
        <w:tc>
          <w:tcPr>
            <w:tcW w:w="12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3"/>
              </w:rPr>
            </w:pPr>
            <w:hyperlink w:anchor="page21">
              <w:r>
                <w:rPr>
                  <w:rFonts w:ascii="Arial" w:cs="Arial" w:eastAsia="Arial" w:hAnsi="Arial"/>
                  <w:sz w:val="18"/>
                  <w:szCs w:val="18"/>
                  <w:color w:val="0000EE"/>
                  <w:w w:val="93"/>
                </w:rPr>
                <w:t>RISK FACTORS</w:t>
              </w:r>
            </w:hyperlink>
          </w:p>
        </w:tc>
        <w:tc>
          <w:tcPr>
            <w:tcW w:w="620" w:type="dxa"/>
            <w:vAlign w:val="bottom"/>
            <w:tcBorders>
              <w:top w:val="single" w:sz="8" w:color="0000EE"/>
            </w:tcBorders>
            <w:gridSpan w:val="3"/>
          </w:tcPr>
          <w:p>
            <w:pPr>
              <w:spacing w:after="0"/>
              <w:rPr>
                <w:sz w:val="18"/>
                <w:szCs w:val="18"/>
                <w:color w:val="auto"/>
              </w:rPr>
            </w:pPr>
          </w:p>
        </w:tc>
        <w:tc>
          <w:tcPr>
            <w:tcW w:w="7040" w:type="dxa"/>
            <w:vAlign w:val="bottom"/>
            <w:gridSpan w:val="8"/>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09"/>
        </w:trPr>
        <w:tc>
          <w:tcPr>
            <w:tcW w:w="1200" w:type="dxa"/>
            <w:vAlign w:val="bottom"/>
            <w:gridSpan w:val="2"/>
          </w:tcPr>
          <w:p>
            <w:pPr>
              <w:ind w:left="120"/>
              <w:spacing w:after="0"/>
              <w:rPr>
                <w:sz w:val="20"/>
                <w:szCs w:val="20"/>
                <w:color w:val="auto"/>
              </w:rPr>
            </w:pPr>
            <w:r>
              <w:rPr>
                <w:rFonts w:ascii="Arial" w:cs="Arial" w:eastAsia="Arial" w:hAnsi="Arial"/>
                <w:sz w:val="18"/>
                <w:szCs w:val="18"/>
                <w:color w:val="auto"/>
              </w:rPr>
              <w:t>ITEM 2.</w:t>
            </w:r>
          </w:p>
        </w:tc>
        <w:tc>
          <w:tcPr>
            <w:tcW w:w="6080" w:type="dxa"/>
            <w:vAlign w:val="bottom"/>
            <w:tcBorders>
              <w:bottom w:val="single" w:sz="8" w:color="0000EE"/>
            </w:tcBorders>
            <w:gridSpan w:val="11"/>
          </w:tcPr>
          <w:p>
            <w:pPr>
              <w:spacing w:after="0"/>
              <w:rPr>
                <w:rFonts w:ascii="Arial" w:cs="Arial" w:eastAsia="Arial" w:hAnsi="Arial"/>
                <w:sz w:val="18"/>
                <w:szCs w:val="18"/>
                <w:color w:val="0000EE"/>
                <w:w w:val="94"/>
              </w:rPr>
            </w:pPr>
            <w:hyperlink w:anchor="page21">
              <w:r>
                <w:rPr>
                  <w:rFonts w:ascii="Arial" w:cs="Arial" w:eastAsia="Arial" w:hAnsi="Arial"/>
                  <w:sz w:val="18"/>
                  <w:szCs w:val="18"/>
                  <w:color w:val="0000EE"/>
                  <w:w w:val="94"/>
                </w:rPr>
                <w:t>UNREGISTERED SALES OF EQUITY SECURITIES AND USE OF PROCEEDS</w:t>
              </w:r>
            </w:hyperlink>
          </w:p>
        </w:tc>
        <w:tc>
          <w:tcPr>
            <w:tcW w:w="2840" w:type="dxa"/>
            <w:vAlign w:val="bottom"/>
            <w:gridSpan w:val="2"/>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0"/>
        </w:trPr>
        <w:tc>
          <w:tcPr>
            <w:tcW w:w="1200" w:type="dxa"/>
            <w:vAlign w:val="bottom"/>
            <w:gridSpan w:val="2"/>
          </w:tcPr>
          <w:p>
            <w:pPr>
              <w:ind w:left="120"/>
              <w:spacing w:after="0"/>
              <w:rPr>
                <w:sz w:val="20"/>
                <w:szCs w:val="20"/>
                <w:color w:val="auto"/>
              </w:rPr>
            </w:pPr>
            <w:r>
              <w:rPr>
                <w:rFonts w:ascii="Arial" w:cs="Arial" w:eastAsia="Arial" w:hAnsi="Arial"/>
                <w:sz w:val="18"/>
                <w:szCs w:val="18"/>
                <w:color w:val="auto"/>
              </w:rPr>
              <w:t>ITEM 3.</w:t>
            </w:r>
          </w:p>
        </w:tc>
        <w:tc>
          <w:tcPr>
            <w:tcW w:w="3200" w:type="dxa"/>
            <w:vAlign w:val="bottom"/>
            <w:tcBorders>
              <w:bottom w:val="single" w:sz="8" w:color="0000EE"/>
            </w:tcBorders>
            <w:gridSpan w:val="9"/>
          </w:tcPr>
          <w:p>
            <w:pPr>
              <w:spacing w:after="0"/>
              <w:rPr>
                <w:rFonts w:ascii="Arial" w:cs="Arial" w:eastAsia="Arial" w:hAnsi="Arial"/>
                <w:sz w:val="18"/>
                <w:szCs w:val="18"/>
                <w:color w:val="0000EE"/>
                <w:w w:val="94"/>
              </w:rPr>
            </w:pPr>
            <w:hyperlink w:anchor="page21">
              <w:r>
                <w:rPr>
                  <w:rFonts w:ascii="Arial" w:cs="Arial" w:eastAsia="Arial" w:hAnsi="Arial"/>
                  <w:sz w:val="18"/>
                  <w:szCs w:val="18"/>
                  <w:color w:val="0000EE"/>
                  <w:w w:val="94"/>
                </w:rPr>
                <w:t>DEFAULTS UPON SENIOR SECURITIES</w:t>
              </w:r>
            </w:hyperlink>
          </w:p>
        </w:tc>
        <w:tc>
          <w:tcPr>
            <w:tcW w:w="5720" w:type="dxa"/>
            <w:vAlign w:val="bottom"/>
            <w:gridSpan w:val="4"/>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09"/>
        </w:trPr>
        <w:tc>
          <w:tcPr>
            <w:tcW w:w="1200" w:type="dxa"/>
            <w:vAlign w:val="bottom"/>
            <w:gridSpan w:val="2"/>
          </w:tcPr>
          <w:p>
            <w:pPr>
              <w:ind w:left="120"/>
              <w:spacing w:after="0"/>
              <w:rPr>
                <w:sz w:val="20"/>
                <w:szCs w:val="20"/>
                <w:color w:val="auto"/>
              </w:rPr>
            </w:pPr>
            <w:r>
              <w:rPr>
                <w:rFonts w:ascii="Arial" w:cs="Arial" w:eastAsia="Arial" w:hAnsi="Arial"/>
                <w:sz w:val="18"/>
                <w:szCs w:val="18"/>
                <w:color w:val="auto"/>
              </w:rPr>
              <w:t>ITEM 4.</w:t>
            </w:r>
          </w:p>
        </w:tc>
        <w:tc>
          <w:tcPr>
            <w:tcW w:w="8920" w:type="dxa"/>
            <w:vAlign w:val="bottom"/>
            <w:gridSpan w:val="13"/>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MINE SAFETY DISCLOSURES</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09"/>
        </w:trPr>
        <w:tc>
          <w:tcPr>
            <w:tcW w:w="1200" w:type="dxa"/>
            <w:vAlign w:val="bottom"/>
            <w:gridSpan w:val="2"/>
          </w:tcPr>
          <w:p>
            <w:pPr>
              <w:ind w:left="120"/>
              <w:spacing w:after="0"/>
              <w:rPr>
                <w:sz w:val="20"/>
                <w:szCs w:val="20"/>
                <w:color w:val="auto"/>
              </w:rPr>
            </w:pPr>
            <w:r>
              <w:rPr>
                <w:rFonts w:ascii="Arial" w:cs="Arial" w:eastAsia="Arial" w:hAnsi="Arial"/>
                <w:sz w:val="18"/>
                <w:szCs w:val="18"/>
                <w:color w:val="auto"/>
              </w:rPr>
              <w:t>ITEM 5.</w:t>
            </w:r>
          </w:p>
        </w:tc>
        <w:tc>
          <w:tcPr>
            <w:tcW w:w="190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6"/>
              </w:rPr>
            </w:pPr>
            <w:hyperlink w:anchor="page21">
              <w:r>
                <w:rPr>
                  <w:rFonts w:ascii="Arial" w:cs="Arial" w:eastAsia="Arial" w:hAnsi="Arial"/>
                  <w:sz w:val="18"/>
                  <w:szCs w:val="18"/>
                  <w:color w:val="0000EE"/>
                  <w:w w:val="96"/>
                </w:rPr>
                <w:t>OTHER INFORMATION</w:t>
              </w:r>
            </w:hyperlink>
          </w:p>
        </w:tc>
        <w:tc>
          <w:tcPr>
            <w:tcW w:w="540" w:type="dxa"/>
            <w:vAlign w:val="bottom"/>
            <w:tcBorders>
              <w:top w:val="single" w:sz="8" w:color="0000EE"/>
            </w:tcBorders>
          </w:tcPr>
          <w:p>
            <w:pPr>
              <w:spacing w:after="0"/>
              <w:rPr>
                <w:sz w:val="18"/>
                <w:szCs w:val="18"/>
                <w:color w:val="auto"/>
              </w:rPr>
            </w:pPr>
          </w:p>
        </w:tc>
        <w:tc>
          <w:tcPr>
            <w:tcW w:w="6480" w:type="dxa"/>
            <w:vAlign w:val="bottom"/>
            <w:gridSpan w:val="6"/>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0"/>
        </w:trPr>
        <w:tc>
          <w:tcPr>
            <w:tcW w:w="1200" w:type="dxa"/>
            <w:vAlign w:val="bottom"/>
            <w:gridSpan w:val="2"/>
          </w:tcPr>
          <w:p>
            <w:pPr>
              <w:ind w:left="120"/>
              <w:spacing w:after="0"/>
              <w:rPr>
                <w:sz w:val="20"/>
                <w:szCs w:val="20"/>
                <w:color w:val="auto"/>
              </w:rPr>
            </w:pPr>
            <w:r>
              <w:rPr>
                <w:rFonts w:ascii="Arial" w:cs="Arial" w:eastAsia="Arial" w:hAnsi="Arial"/>
                <w:sz w:val="18"/>
                <w:szCs w:val="18"/>
                <w:color w:val="auto"/>
              </w:rPr>
              <w:t>ITEM 6.</w:t>
            </w:r>
          </w:p>
        </w:tc>
        <w:tc>
          <w:tcPr>
            <w:tcW w:w="8920" w:type="dxa"/>
            <w:vAlign w:val="bottom"/>
            <w:gridSpan w:val="13"/>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EXHIBITS</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44"/>
        </w:trPr>
        <w:tc>
          <w:tcPr>
            <w:tcW w:w="1200" w:type="dxa"/>
            <w:vAlign w:val="bottom"/>
            <w:gridSpan w:val="2"/>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SIGNATURES</w:t>
              </w:r>
            </w:hyperlink>
          </w:p>
        </w:tc>
        <w:tc>
          <w:tcPr>
            <w:tcW w:w="82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1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6220" w:type="dxa"/>
            <w:vAlign w:val="bottom"/>
          </w:tcPr>
          <w:p>
            <w:pPr>
              <w:jc w:val="center"/>
              <w:ind w:left="2710"/>
              <w:spacing w:after="0"/>
              <w:rPr>
                <w:sz w:val="20"/>
                <w:szCs w:val="20"/>
                <w:color w:val="auto"/>
              </w:rPr>
            </w:pPr>
            <w:r>
              <w:rPr>
                <w:rFonts w:ascii="Arial" w:cs="Arial" w:eastAsia="Arial" w:hAnsi="Arial"/>
                <w:sz w:val="18"/>
                <w:szCs w:val="18"/>
                <w:b w:val="1"/>
                <w:bCs w:val="1"/>
                <w:color w:val="auto"/>
              </w:rPr>
              <w:t>PART I. FINANCIAL INFORMATION</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220" w:type="dxa"/>
            <w:vAlign w:val="bottom"/>
          </w:tcPr>
          <w:p>
            <w:pPr>
              <w:ind w:left="40"/>
              <w:spacing w:after="0"/>
              <w:rPr>
                <w:sz w:val="20"/>
                <w:szCs w:val="20"/>
                <w:color w:val="auto"/>
              </w:rPr>
            </w:pPr>
            <w:r>
              <w:rPr>
                <w:rFonts w:ascii="Arial" w:cs="Arial" w:eastAsia="Arial" w:hAnsi="Arial"/>
                <w:sz w:val="18"/>
                <w:szCs w:val="18"/>
                <w:b w:val="1"/>
                <w:bCs w:val="1"/>
                <w:color w:val="auto"/>
              </w:rPr>
              <w:t>CONDENSED CONSOLIDATED FINANCIAL STATEMENTS.</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20" w:type="dxa"/>
            <w:vAlign w:val="bottom"/>
          </w:tcPr>
          <w:p>
            <w:pPr>
              <w:spacing w:after="0"/>
              <w:rPr>
                <w:sz w:val="24"/>
                <w:szCs w:val="24"/>
                <w:color w:val="auto"/>
              </w:rPr>
            </w:pPr>
          </w:p>
        </w:tc>
        <w:tc>
          <w:tcPr>
            <w:tcW w:w="6220" w:type="dxa"/>
            <w:vAlign w:val="bottom"/>
          </w:tcPr>
          <w:p>
            <w:pPr>
              <w:jc w:val="center"/>
              <w:ind w:left="2710"/>
              <w:spacing w:after="0"/>
              <w:rPr>
                <w:sz w:val="20"/>
                <w:szCs w:val="20"/>
                <w:color w:val="auto"/>
              </w:rPr>
            </w:pPr>
            <w:r>
              <w:rPr>
                <w:rFonts w:ascii="Arial" w:cs="Arial" w:eastAsia="Arial" w:hAnsi="Arial"/>
                <w:sz w:val="18"/>
                <w:szCs w:val="18"/>
                <w:b w:val="1"/>
                <w:bCs w:val="1"/>
                <w:color w:val="auto"/>
              </w:rPr>
              <w:t>MEDICINOVA, INC.</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4"/>
                <w:szCs w:val="24"/>
                <w:color w:val="auto"/>
              </w:rPr>
            </w:pPr>
          </w:p>
        </w:tc>
        <w:tc>
          <w:tcPr>
            <w:tcW w:w="6720" w:type="dxa"/>
            <w:vAlign w:val="bottom"/>
            <w:gridSpan w:val="3"/>
          </w:tcPr>
          <w:p>
            <w:pPr>
              <w:jc w:val="center"/>
              <w:ind w:left="215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1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112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24"/>
                <w:szCs w:val="24"/>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01"/>
        </w:trPr>
        <w:tc>
          <w:tcPr>
            <w:tcW w:w="112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252"/>
              <w:spacing w:after="0"/>
              <w:rPr>
                <w:sz w:val="20"/>
                <w:szCs w:val="20"/>
                <w:color w:val="auto"/>
              </w:rPr>
            </w:pPr>
            <w:r>
              <w:rPr>
                <w:rFonts w:ascii="Arial" w:cs="Arial" w:eastAsia="Arial" w:hAnsi="Arial"/>
                <w:sz w:val="14"/>
                <w:szCs w:val="14"/>
                <w:b w:val="1"/>
                <w:bCs w:val="1"/>
                <w:color w:val="auto"/>
                <w:w w:val="89"/>
              </w:rPr>
              <w:t>2021</w:t>
            </w:r>
          </w:p>
        </w:tc>
        <w:tc>
          <w:tcPr>
            <w:tcW w:w="4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6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tcPr>
          <w:p>
            <w:pPr>
              <w:jc w:val="center"/>
              <w:ind w:right="232"/>
              <w:spacing w:after="0" w:line="155" w:lineRule="exact"/>
              <w:rPr>
                <w:sz w:val="20"/>
                <w:szCs w:val="20"/>
                <w:color w:val="auto"/>
              </w:rPr>
            </w:pPr>
            <w:r>
              <w:rPr>
                <w:rFonts w:ascii="Arial" w:cs="Arial" w:eastAsia="Arial" w:hAnsi="Arial"/>
                <w:sz w:val="14"/>
                <w:szCs w:val="14"/>
                <w:b w:val="1"/>
                <w:bCs w:val="1"/>
                <w:color w:val="auto"/>
                <w:w w:val="95"/>
              </w:rPr>
              <w:t>(Unaudited)</w:t>
            </w: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1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6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20" w:type="dxa"/>
            <w:vAlign w:val="bottom"/>
          </w:tcPr>
          <w:p>
            <w:pPr>
              <w:spacing w:after="0"/>
              <w:rPr>
                <w:sz w:val="20"/>
                <w:szCs w:val="20"/>
                <w:color w:val="auto"/>
              </w:rPr>
            </w:pPr>
            <w:r>
              <w:rPr>
                <w:rFonts w:ascii="Arial" w:cs="Arial" w:eastAsia="Arial" w:hAnsi="Arial"/>
                <w:sz w:val="18"/>
                <w:szCs w:val="18"/>
                <w:color w:val="auto"/>
                <w:w w:val="90"/>
              </w:rPr>
              <w:t>Current assets:</w:t>
            </w:r>
          </w:p>
        </w:tc>
        <w:tc>
          <w:tcPr>
            <w:tcW w:w="6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Cash and cash equivalents</w:t>
            </w:r>
          </w:p>
        </w:tc>
        <w:tc>
          <w:tcPr>
            <w:tcW w:w="5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75,025,384</w:t>
            </w: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60,036,763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40" w:type="dxa"/>
            <w:vAlign w:val="bottom"/>
            <w:tcBorders>
              <w:bottom w:val="single" w:sz="8" w:color="CFF0FC"/>
            </w:tcBorders>
            <w:gridSpan w:val="2"/>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1,134,727</w:t>
            </w:r>
          </w:p>
        </w:tc>
        <w:tc>
          <w:tcPr>
            <w:tcW w:w="4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680,171</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76,160,111</w:t>
            </w: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60,716,934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20" w:type="dxa"/>
            <w:vAlign w:val="bottom"/>
          </w:tcPr>
          <w:p>
            <w:pPr>
              <w:spacing w:after="0"/>
              <w:rPr>
                <w:sz w:val="20"/>
                <w:szCs w:val="20"/>
                <w:color w:val="auto"/>
              </w:rPr>
            </w:pPr>
            <w:r>
              <w:rPr>
                <w:rFonts w:ascii="Arial" w:cs="Arial" w:eastAsia="Arial" w:hAnsi="Arial"/>
                <w:sz w:val="18"/>
                <w:szCs w:val="18"/>
                <w:color w:val="auto"/>
              </w:rPr>
              <w:t>Goodwill</w:t>
            </w:r>
          </w:p>
        </w:tc>
        <w:tc>
          <w:tcPr>
            <w:tcW w:w="6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9,600,240</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9,600,240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In-process research and development</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4,800,000</w:t>
            </w: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4,800,000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4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64,317</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55,700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Right-of-use asset</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881,754</w:t>
            </w: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170,857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non-current assets</w:t>
            </w:r>
          </w:p>
        </w:tc>
        <w:tc>
          <w:tcPr>
            <w:tcW w:w="1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117,538</w:t>
            </w:r>
          </w:p>
        </w:tc>
        <w:tc>
          <w:tcPr>
            <w:tcW w:w="4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75,379</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6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91,623,960</w:t>
            </w:r>
          </w:p>
        </w:tc>
        <w:tc>
          <w:tcPr>
            <w:tcW w:w="4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75,419,110</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40" w:type="dxa"/>
            <w:vAlign w:val="bottom"/>
            <w:gridSpan w:val="2"/>
          </w:tcPr>
          <w:p>
            <w:pPr>
              <w:ind w:left="380"/>
              <w:spacing w:after="0"/>
              <w:rPr>
                <w:sz w:val="20"/>
                <w:szCs w:val="20"/>
                <w:color w:val="auto"/>
              </w:rPr>
            </w:pPr>
            <w:r>
              <w:rPr>
                <w:rFonts w:ascii="Arial" w:cs="Arial" w:eastAsia="Arial" w:hAnsi="Arial"/>
                <w:sz w:val="18"/>
                <w:szCs w:val="18"/>
                <w:color w:val="auto"/>
              </w:rPr>
              <w:t>Accounts payable</w:t>
            </w:r>
          </w:p>
        </w:tc>
        <w:tc>
          <w:tcPr>
            <w:tcW w:w="5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642,418</w:t>
            </w:r>
          </w:p>
        </w:tc>
        <w:tc>
          <w:tcPr>
            <w:tcW w:w="4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616,629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Accrued expenses and other liabilities</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1,714,849</w:t>
            </w: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1,391,293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gridSpan w:val="2"/>
          </w:tcPr>
          <w:p>
            <w:pPr>
              <w:ind w:left="380"/>
              <w:spacing w:after="0"/>
              <w:rPr>
                <w:sz w:val="20"/>
                <w:szCs w:val="20"/>
                <w:color w:val="auto"/>
              </w:rPr>
            </w:pPr>
            <w:r>
              <w:rPr>
                <w:rFonts w:ascii="Arial" w:cs="Arial" w:eastAsia="Arial" w:hAnsi="Arial"/>
                <w:sz w:val="18"/>
                <w:szCs w:val="18"/>
                <w:color w:val="auto"/>
              </w:rPr>
              <w:t>Operating lease liability</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150,682</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186,028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Deferred revenue</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1,694,163</w:t>
            </w: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34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4,202,112</w:t>
            </w:r>
          </w:p>
        </w:tc>
        <w:tc>
          <w:tcPr>
            <w:tcW w:w="4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2,193,950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Long-term deferred revenue</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1,694,163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gridSpan w:val="2"/>
          </w:tcPr>
          <w:p>
            <w:pPr>
              <w:spacing w:after="0"/>
              <w:rPr>
                <w:sz w:val="20"/>
                <w:szCs w:val="20"/>
                <w:color w:val="auto"/>
              </w:rPr>
            </w:pPr>
            <w:r>
              <w:rPr>
                <w:rFonts w:ascii="Arial" w:cs="Arial" w:eastAsia="Arial" w:hAnsi="Arial"/>
                <w:sz w:val="18"/>
                <w:szCs w:val="18"/>
                <w:color w:val="auto"/>
              </w:rPr>
              <w:t>Deferred tax liability</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201,792</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201,792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non-current liabilities</w:t>
            </w:r>
          </w:p>
        </w:tc>
        <w:tc>
          <w:tcPr>
            <w:tcW w:w="1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737,716</w:t>
            </w:r>
          </w:p>
        </w:tc>
        <w:tc>
          <w:tcPr>
            <w:tcW w:w="4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w w:val="97"/>
              </w:rPr>
              <w:t>Total liabilities</w:t>
            </w:r>
          </w:p>
        </w:tc>
        <w:tc>
          <w:tcPr>
            <w:tcW w:w="622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5,141,620</w:t>
            </w:r>
          </w:p>
        </w:tc>
        <w:tc>
          <w:tcPr>
            <w:tcW w:w="4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4,092,610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3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Common stock, $0.001 par value; 100,000,000 shares authorized at</w:t>
            </w: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gridSpan w:val="2"/>
            <w:shd w:val="clear" w:color="auto" w:fill="CFF0FC"/>
          </w:tcPr>
          <w:p>
            <w:pPr>
              <w:ind w:left="520"/>
              <w:spacing w:after="0"/>
              <w:rPr>
                <w:sz w:val="20"/>
                <w:szCs w:val="20"/>
                <w:color w:val="auto"/>
              </w:rPr>
            </w:pPr>
            <w:r>
              <w:rPr>
                <w:rFonts w:ascii="Arial" w:cs="Arial" w:eastAsia="Arial" w:hAnsi="Arial"/>
                <w:sz w:val="18"/>
                <w:szCs w:val="18"/>
                <w:color w:val="auto"/>
              </w:rPr>
              <w:t>September 30, 2021 and December 31, 2020; 49,028,246 and 45,024,560</w:t>
            </w: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gridSpan w:val="2"/>
            <w:shd w:val="clear" w:color="auto" w:fill="CFF0FC"/>
          </w:tcPr>
          <w:p>
            <w:pPr>
              <w:ind w:left="520"/>
              <w:spacing w:after="0"/>
              <w:rPr>
                <w:sz w:val="20"/>
                <w:szCs w:val="20"/>
                <w:color w:val="auto"/>
              </w:rPr>
            </w:pPr>
            <w:r>
              <w:rPr>
                <w:rFonts w:ascii="Arial" w:cs="Arial" w:eastAsia="Arial" w:hAnsi="Arial"/>
                <w:sz w:val="18"/>
                <w:szCs w:val="18"/>
                <w:color w:val="auto"/>
              </w:rPr>
              <w:t>shares issued and outstanding at September 30, 2021 and December</w:t>
            </w: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40" w:type="dxa"/>
            <w:vAlign w:val="bottom"/>
            <w:gridSpan w:val="2"/>
            <w:shd w:val="clear" w:color="auto" w:fill="CFF0FC"/>
          </w:tcPr>
          <w:p>
            <w:pPr>
              <w:ind w:left="520"/>
              <w:spacing w:after="0"/>
              <w:rPr>
                <w:sz w:val="20"/>
                <w:szCs w:val="20"/>
                <w:color w:val="auto"/>
              </w:rPr>
            </w:pPr>
            <w:r>
              <w:rPr>
                <w:rFonts w:ascii="Arial" w:cs="Arial" w:eastAsia="Arial" w:hAnsi="Arial"/>
                <w:sz w:val="18"/>
                <w:szCs w:val="18"/>
                <w:color w:val="auto"/>
              </w:rPr>
              <w:t>31, 2020, respectively</w:t>
            </w:r>
          </w:p>
        </w:tc>
        <w:tc>
          <w:tcPr>
            <w:tcW w:w="1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49,028</w:t>
            </w:r>
          </w:p>
        </w:tc>
        <w:tc>
          <w:tcPr>
            <w:tcW w:w="4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45,025</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340" w:type="dxa"/>
            <w:vAlign w:val="bottom"/>
            <w:gridSpan w:val="2"/>
          </w:tcPr>
          <w:p>
            <w:pPr>
              <w:ind w:left="38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477,506,300</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454,296,536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(95,039)</w:t>
            </w:r>
          </w:p>
        </w:tc>
        <w:tc>
          <w:tcPr>
            <w:tcW w:w="2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(88,219)</w:t>
            </w:r>
          </w:p>
        </w:tc>
        <w:tc>
          <w:tcPr>
            <w:tcW w:w="0" w:type="dxa"/>
            <w:vAlign w:val="bottom"/>
          </w:tcPr>
          <w:p>
            <w:pPr>
              <w:spacing w:after="0"/>
              <w:rPr>
                <w:sz w:val="1"/>
                <w:szCs w:val="1"/>
                <w:color w:val="auto"/>
              </w:rPr>
            </w:pPr>
          </w:p>
        </w:tc>
      </w:tr>
      <w:tr>
        <w:trPr>
          <w:trHeight w:val="230"/>
        </w:trPr>
        <w:tc>
          <w:tcPr>
            <w:tcW w:w="7340" w:type="dxa"/>
            <w:vAlign w:val="bottom"/>
            <w:gridSpan w:val="2"/>
          </w:tcPr>
          <w:p>
            <w:pPr>
              <w:ind w:left="38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gridSpan w:val="2"/>
          </w:tcPr>
          <w:p>
            <w:pPr>
              <w:jc w:val="right"/>
              <w:ind w:right="360"/>
              <w:spacing w:after="0"/>
              <w:rPr>
                <w:sz w:val="20"/>
                <w:szCs w:val="20"/>
                <w:color w:val="auto"/>
              </w:rPr>
            </w:pPr>
            <w:r>
              <w:rPr>
                <w:rFonts w:ascii="Arial" w:cs="Arial" w:eastAsia="Arial" w:hAnsi="Arial"/>
                <w:sz w:val="18"/>
                <w:szCs w:val="18"/>
                <w:color w:val="auto"/>
              </w:rPr>
              <w:t>(390,977,949)</w:t>
            </w:r>
          </w:p>
        </w:tc>
        <w:tc>
          <w:tcPr>
            <w:tcW w:w="220" w:type="dxa"/>
            <w:vAlign w:val="bottom"/>
          </w:tcPr>
          <w:p>
            <w:pPr>
              <w:spacing w:after="0"/>
              <w:rPr>
                <w:sz w:val="19"/>
                <w:szCs w:val="19"/>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(382,926,842)</w:t>
            </w:r>
          </w:p>
        </w:tc>
        <w:tc>
          <w:tcPr>
            <w:tcW w:w="0" w:type="dxa"/>
            <w:vAlign w:val="bottom"/>
          </w:tcPr>
          <w:p>
            <w:pPr>
              <w:spacing w:after="0"/>
              <w:rPr>
                <w:sz w:val="1"/>
                <w:szCs w:val="1"/>
                <w:color w:val="auto"/>
              </w:rPr>
            </w:pPr>
          </w:p>
        </w:tc>
      </w:tr>
      <w:tr>
        <w:trPr>
          <w:trHeight w:val="223"/>
        </w:trPr>
        <w:tc>
          <w:tcPr>
            <w:tcW w:w="73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86,482,340</w:t>
            </w:r>
          </w:p>
        </w:tc>
        <w:tc>
          <w:tcPr>
            <w:tcW w:w="4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71,326,500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4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91,623,960</w:t>
            </w:r>
          </w:p>
        </w:tc>
        <w:tc>
          <w:tcPr>
            <w:tcW w:w="4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75,419,110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60" w:type="dxa"/>
            <w:vAlign w:val="bottom"/>
            <w:gridSpan w:val="5"/>
          </w:tcPr>
          <w:p>
            <w:pPr>
              <w:jc w:val="right"/>
              <w:ind w:right="781"/>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420" w:type="dxa"/>
            <w:vAlign w:val="bottom"/>
            <w:gridSpan w:val="5"/>
          </w:tcPr>
          <w:p>
            <w:pPr>
              <w:jc w:val="right"/>
              <w:ind w:right="72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60" w:type="dxa"/>
            <w:vAlign w:val="bottom"/>
            <w:gridSpan w:val="5"/>
          </w:tcPr>
          <w:p>
            <w:pPr>
              <w:jc w:val="right"/>
              <w:ind w:right="981"/>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2420" w:type="dxa"/>
            <w:vAlign w:val="bottom"/>
            <w:gridSpan w:val="5"/>
          </w:tcPr>
          <w:p>
            <w:pPr>
              <w:jc w:val="right"/>
              <w:ind w:right="881"/>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56"/>
        </w:trPr>
        <w:tc>
          <w:tcPr>
            <w:tcW w:w="586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37,500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4,037,500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Research, development and patents</w:t>
            </w: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2,088,618</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2,237,877</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6,761,015</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5,687,658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1,550,821</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1,492,139</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5,389,466</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5,477,223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3,639,439</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3,730,016</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12,150,481</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11,164,881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Pr>
          <w:p>
            <w:pPr>
              <w:spacing w:after="0"/>
              <w:rPr>
                <w:sz w:val="20"/>
                <w:szCs w:val="20"/>
                <w:color w:val="auto"/>
              </w:rPr>
            </w:pPr>
            <w:r>
              <w:rPr>
                <w:rFonts w:ascii="Arial" w:cs="Arial" w:eastAsia="Arial" w:hAnsi="Arial"/>
                <w:sz w:val="18"/>
                <w:szCs w:val="18"/>
                <w:color w:val="auto"/>
              </w:rPr>
              <w:t>Operating loss</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(3,601,939)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(3,730,016)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(8,112,981)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0"/>
              </w:rPr>
              <w:t>(11,164,881)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36,153</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37,204</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107,159</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324,175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tcPr>
          <w:p>
            <w:pPr>
              <w:spacing w:after="0"/>
              <w:rPr>
                <w:sz w:val="20"/>
                <w:szCs w:val="20"/>
                <w:color w:val="auto"/>
              </w:rPr>
            </w:pPr>
            <w:r>
              <w:rPr>
                <w:rFonts w:ascii="Arial" w:cs="Arial" w:eastAsia="Arial" w:hAnsi="Arial"/>
                <w:sz w:val="18"/>
                <w:szCs w:val="18"/>
                <w:color w:val="auto"/>
              </w:rPr>
              <w:t>Other expense</w:t>
            </w:r>
          </w:p>
        </w:tc>
        <w:tc>
          <w:tcPr>
            <w:tcW w:w="180" w:type="dxa"/>
            <w:vAlign w:val="bottom"/>
          </w:tcPr>
          <w:p>
            <w:pPr>
              <w:spacing w:after="0"/>
              <w:rPr>
                <w:sz w:val="19"/>
                <w:szCs w:val="19"/>
                <w:color w:val="auto"/>
              </w:rPr>
            </w:pPr>
          </w:p>
        </w:tc>
        <w:tc>
          <w:tcPr>
            <w:tcW w:w="1140" w:type="dxa"/>
            <w:vAlign w:val="bottom"/>
            <w:gridSpan w:val="2"/>
          </w:tcPr>
          <w:p>
            <w:pPr>
              <w:jc w:val="right"/>
              <w:ind w:right="101"/>
              <w:spacing w:after="0"/>
              <w:rPr>
                <w:sz w:val="20"/>
                <w:szCs w:val="20"/>
                <w:color w:val="auto"/>
              </w:rPr>
            </w:pPr>
            <w:r>
              <w:rPr>
                <w:rFonts w:ascii="Arial" w:cs="Arial" w:eastAsia="Arial" w:hAnsi="Arial"/>
                <w:sz w:val="18"/>
                <w:szCs w:val="18"/>
                <w:color w:val="auto"/>
              </w:rPr>
              <w:t>(13,381)</w:t>
            </w:r>
          </w:p>
        </w:tc>
        <w:tc>
          <w:tcPr>
            <w:tcW w:w="220" w:type="dxa"/>
            <w:vAlign w:val="bottom"/>
          </w:tcPr>
          <w:p>
            <w:pPr>
              <w:spacing w:after="0"/>
              <w:rPr>
                <w:sz w:val="19"/>
                <w:szCs w:val="19"/>
                <w:color w:val="auto"/>
              </w:rPr>
            </w:pPr>
          </w:p>
        </w:tc>
        <w:tc>
          <w:tcPr>
            <w:tcW w:w="1200" w:type="dxa"/>
            <w:vAlign w:val="bottom"/>
            <w:gridSpan w:val="2"/>
          </w:tcPr>
          <w:p>
            <w:pPr>
              <w:jc w:val="right"/>
              <w:ind w:right="101"/>
              <w:spacing w:after="0"/>
              <w:rPr>
                <w:sz w:val="20"/>
                <w:szCs w:val="20"/>
                <w:color w:val="auto"/>
              </w:rPr>
            </w:pPr>
            <w:r>
              <w:rPr>
                <w:rFonts w:ascii="Arial" w:cs="Arial" w:eastAsia="Arial" w:hAnsi="Arial"/>
                <w:sz w:val="18"/>
                <w:szCs w:val="18"/>
                <w:color w:val="auto"/>
              </w:rPr>
              <w:t>(11,008)</w:t>
            </w:r>
          </w:p>
        </w:tc>
        <w:tc>
          <w:tcPr>
            <w:tcW w:w="220" w:type="dxa"/>
            <w:vAlign w:val="bottom"/>
          </w:tcPr>
          <w:p>
            <w:pPr>
              <w:spacing w:after="0"/>
              <w:rPr>
                <w:sz w:val="19"/>
                <w:szCs w:val="19"/>
                <w:color w:val="auto"/>
              </w:rPr>
            </w:pPr>
          </w:p>
        </w:tc>
        <w:tc>
          <w:tcPr>
            <w:tcW w:w="1200" w:type="dxa"/>
            <w:vAlign w:val="bottom"/>
            <w:gridSpan w:val="2"/>
          </w:tcPr>
          <w:p>
            <w:pPr>
              <w:jc w:val="right"/>
              <w:ind w:right="101"/>
              <w:spacing w:after="0"/>
              <w:rPr>
                <w:sz w:val="20"/>
                <w:szCs w:val="20"/>
                <w:color w:val="auto"/>
              </w:rPr>
            </w:pPr>
            <w:r>
              <w:rPr>
                <w:rFonts w:ascii="Arial" w:cs="Arial" w:eastAsia="Arial" w:hAnsi="Arial"/>
                <w:sz w:val="18"/>
                <w:szCs w:val="18"/>
                <w:color w:val="auto"/>
              </w:rPr>
              <w:t>(45,285)</w:t>
            </w:r>
          </w:p>
        </w:tc>
        <w:tc>
          <w:tcPr>
            <w:tcW w:w="1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(27,902)</w:t>
            </w:r>
          </w:p>
        </w:tc>
        <w:tc>
          <w:tcPr>
            <w:tcW w:w="0" w:type="dxa"/>
            <w:vAlign w:val="bottom"/>
          </w:tcPr>
          <w:p>
            <w:pPr>
              <w:spacing w:after="0"/>
              <w:rPr>
                <w:sz w:val="1"/>
                <w:szCs w:val="1"/>
                <w:color w:val="auto"/>
              </w:rPr>
            </w:pPr>
          </w:p>
        </w:tc>
      </w:tr>
      <w:tr>
        <w:trPr>
          <w:trHeight w:val="223"/>
        </w:trPr>
        <w:tc>
          <w:tcPr>
            <w:tcW w:w="5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applicable to common stockholders</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(3,579,167</w:t>
            </w:r>
          </w:p>
        </w:tc>
        <w:tc>
          <w:tcPr>
            <w:tcW w:w="240" w:type="dxa"/>
            <w:vAlign w:val="bottom"/>
            <w:tcBorders>
              <w:top w:val="single" w:sz="8" w:color="CFF0FC"/>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(3,703,820</w:t>
            </w:r>
          </w:p>
        </w:tc>
        <w:tc>
          <w:tcPr>
            <w:tcW w:w="240" w:type="dxa"/>
            <w:vAlign w:val="bottom"/>
            <w:tcBorders>
              <w:top w:val="single" w:sz="8" w:color="CFF0FC"/>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(8,051,107</w:t>
            </w:r>
          </w:p>
        </w:tc>
        <w:tc>
          <w:tcPr>
            <w:tcW w:w="240" w:type="dxa"/>
            <w:vAlign w:val="bottom"/>
            <w:tcBorders>
              <w:top w:val="single" w:sz="8" w:color="CFF0FC"/>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(10,868,608</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8"/>
                <w:szCs w:val="18"/>
                <w:color w:val="auto"/>
              </w:rPr>
              <w:t>Basic and diluted net loss per common share</w:t>
            </w:r>
          </w:p>
        </w:tc>
        <w:tc>
          <w:tcPr>
            <w:tcW w:w="1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vMerge w:val="continue"/>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24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240" w:type="dxa"/>
            <w:vAlign w:val="bottom"/>
          </w:tcPr>
          <w:p>
            <w:pPr>
              <w:spacing w:after="0"/>
              <w:rPr>
                <w:sz w:val="18"/>
                <w:szCs w:val="18"/>
                <w:color w:val="auto"/>
              </w:rPr>
            </w:pPr>
          </w:p>
        </w:tc>
        <w:tc>
          <w:tcPr>
            <w:tcW w:w="220" w:type="dxa"/>
            <w:vAlign w:val="bottom"/>
            <w:tcBorders>
              <w:top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2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Shares used to compute basic and diluted net loss per common share</w:t>
            </w: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48,987,836</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44,643,736</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48,445,840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44,229,715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Net loss applicable to common stockholders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1"/>
              <w:spacing w:after="0"/>
              <w:rPr>
                <w:sz w:val="20"/>
                <w:szCs w:val="20"/>
                <w:color w:val="auto"/>
              </w:rPr>
            </w:pPr>
            <w:r>
              <w:rPr>
                <w:rFonts w:ascii="Arial" w:cs="Arial" w:eastAsia="Arial" w:hAnsi="Arial"/>
                <w:sz w:val="18"/>
                <w:szCs w:val="18"/>
                <w:color w:val="auto"/>
              </w:rPr>
              <w:t>(3,579,167)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1"/>
              <w:spacing w:after="0"/>
              <w:rPr>
                <w:sz w:val="20"/>
                <w:szCs w:val="20"/>
                <w:color w:val="auto"/>
              </w:rPr>
            </w:pPr>
            <w:r>
              <w:rPr>
                <w:rFonts w:ascii="Arial" w:cs="Arial" w:eastAsia="Arial" w:hAnsi="Arial"/>
                <w:sz w:val="18"/>
                <w:szCs w:val="18"/>
                <w:color w:val="auto"/>
              </w:rPr>
              <w:t>(3,703,820)</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01"/>
              <w:spacing w:after="0"/>
              <w:rPr>
                <w:sz w:val="20"/>
                <w:szCs w:val="20"/>
                <w:color w:val="auto"/>
              </w:rPr>
            </w:pPr>
            <w:r>
              <w:rPr>
                <w:rFonts w:ascii="Arial" w:cs="Arial" w:eastAsia="Arial" w:hAnsi="Arial"/>
                <w:sz w:val="18"/>
                <w:szCs w:val="18"/>
                <w:color w:val="auto"/>
              </w:rPr>
              <w:t>(8,051,107)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w w:val="95"/>
              </w:rPr>
              <w:t>(10,868,608)</w:t>
            </w:r>
          </w:p>
        </w:tc>
        <w:tc>
          <w:tcPr>
            <w:tcW w:w="0" w:type="dxa"/>
            <w:vAlign w:val="bottom"/>
          </w:tcPr>
          <w:p>
            <w:pPr>
              <w:spacing w:after="0"/>
              <w:rPr>
                <w:sz w:val="1"/>
                <w:szCs w:val="1"/>
                <w:color w:val="auto"/>
              </w:rPr>
            </w:pPr>
          </w:p>
        </w:tc>
      </w:tr>
      <w:tr>
        <w:trPr>
          <w:trHeight w:val="229"/>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 (loss), net of tax:</w:t>
            </w: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tcPr>
          <w:p>
            <w:pPr>
              <w:ind w:left="38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tcPr>
          <w:p>
            <w:pPr>
              <w:spacing w:after="0"/>
              <w:rPr>
                <w:sz w:val="19"/>
                <w:szCs w:val="19"/>
                <w:color w:val="auto"/>
              </w:rPr>
            </w:pPr>
          </w:p>
        </w:tc>
        <w:tc>
          <w:tcPr>
            <w:tcW w:w="1140" w:type="dxa"/>
            <w:vAlign w:val="bottom"/>
            <w:gridSpan w:val="2"/>
          </w:tcPr>
          <w:p>
            <w:pPr>
              <w:jc w:val="right"/>
              <w:ind w:right="101"/>
              <w:spacing w:after="0"/>
              <w:rPr>
                <w:sz w:val="20"/>
                <w:szCs w:val="20"/>
                <w:color w:val="auto"/>
              </w:rPr>
            </w:pPr>
            <w:r>
              <w:rPr>
                <w:rFonts w:ascii="Arial" w:cs="Arial" w:eastAsia="Arial" w:hAnsi="Arial"/>
                <w:sz w:val="18"/>
                <w:szCs w:val="18"/>
                <w:color w:val="auto"/>
              </w:rPr>
              <w:t>(1,362)</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2,761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101"/>
              <w:spacing w:after="0"/>
              <w:rPr>
                <w:sz w:val="20"/>
                <w:szCs w:val="20"/>
                <w:color w:val="auto"/>
              </w:rPr>
            </w:pPr>
            <w:r>
              <w:rPr>
                <w:rFonts w:ascii="Arial" w:cs="Arial" w:eastAsia="Arial" w:hAnsi="Arial"/>
                <w:sz w:val="18"/>
                <w:szCs w:val="18"/>
                <w:color w:val="auto"/>
              </w:rPr>
              <w:t>(6,820)</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(3,580,529</w:t>
            </w:r>
          </w:p>
        </w:tc>
        <w:tc>
          <w:tcPr>
            <w:tcW w:w="240" w:type="dxa"/>
            <w:vAlign w:val="bottom"/>
            <w:tcBorders>
              <w:top w:val="single" w:sz="8" w:color="CFF0FC"/>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(3,701,059</w:t>
            </w:r>
          </w:p>
        </w:tc>
        <w:tc>
          <w:tcPr>
            <w:tcW w:w="240" w:type="dxa"/>
            <w:vAlign w:val="bottom"/>
            <w:tcBorders>
              <w:top w:val="single" w:sz="8" w:color="CFF0FC"/>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(8,057,927</w:t>
            </w:r>
          </w:p>
        </w:tc>
        <w:tc>
          <w:tcPr>
            <w:tcW w:w="240" w:type="dxa"/>
            <w:vAlign w:val="bottom"/>
            <w:tcBorders>
              <w:top w:val="single" w:sz="8" w:color="CFF0FC"/>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(10,865,962</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0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7"/>
          </w:tcPr>
          <w:p>
            <w:pPr>
              <w:jc w:val="right"/>
              <w:ind w:right="340"/>
              <w:spacing w:after="0"/>
              <w:rPr>
                <w:sz w:val="20"/>
                <w:szCs w:val="20"/>
                <w:color w:val="auto"/>
              </w:rPr>
            </w:pPr>
            <w:r>
              <w:rPr>
                <w:rFonts w:ascii="Arial" w:cs="Arial" w:eastAsia="Arial" w:hAnsi="Arial"/>
                <w:sz w:val="14"/>
                <w:szCs w:val="14"/>
                <w:b w:val="1"/>
                <w:bCs w:val="1"/>
                <w:color w:val="auto"/>
                <w:w w:val="97"/>
              </w:rPr>
              <w:t>Nine Months Ended September 30, 2021</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17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other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0"/>
              </w:rPr>
              <w:t>Accumulated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00" w:type="dxa"/>
            <w:vAlign w:val="bottom"/>
          </w:tcPr>
          <w:p>
            <w:pPr>
              <w:spacing w:after="0"/>
              <w:rPr>
                <w:sz w:val="14"/>
                <w:szCs w:val="14"/>
                <w:color w:val="auto"/>
              </w:rPr>
            </w:pPr>
          </w:p>
        </w:tc>
        <w:tc>
          <w:tcPr>
            <w:tcW w:w="1780" w:type="dxa"/>
            <w:vAlign w:val="bottom"/>
            <w:tcBorders>
              <w:bottom w:val="single" w:sz="8" w:color="auto"/>
            </w:tcBorders>
            <w:gridSpan w:val="3"/>
            <w:vMerge w:val="continue"/>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center"/>
              <w:ind w:right="108"/>
              <w:spacing w:after="0"/>
              <w:rPr>
                <w:sz w:val="20"/>
                <w:szCs w:val="20"/>
                <w:color w:val="auto"/>
              </w:rPr>
            </w:pPr>
            <w:r>
              <w:rPr>
                <w:rFonts w:ascii="Arial" w:cs="Arial" w:eastAsia="Arial" w:hAnsi="Arial"/>
                <w:sz w:val="14"/>
                <w:szCs w:val="14"/>
                <w:b w:val="1"/>
                <w:bCs w:val="1"/>
                <w:color w:val="auto"/>
                <w:w w:val="91"/>
              </w:rPr>
              <w:t>paid-in</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comprehensive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55"/>
        </w:trPr>
        <w:tc>
          <w:tcPr>
            <w:tcW w:w="3200" w:type="dxa"/>
            <w:vAlign w:val="bottom"/>
          </w:tcPr>
          <w:p>
            <w:pPr>
              <w:spacing w:after="0"/>
              <w:rPr>
                <w:sz w:val="13"/>
                <w:szCs w:val="13"/>
                <w:color w:val="auto"/>
              </w:rPr>
            </w:pPr>
          </w:p>
        </w:tc>
        <w:tc>
          <w:tcPr>
            <w:tcW w:w="1220" w:type="dxa"/>
            <w:vAlign w:val="bottom"/>
          </w:tcPr>
          <w:p>
            <w:pPr>
              <w:jc w:val="right"/>
              <w:ind w:right="328"/>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jc w:val="right"/>
              <w:ind w:right="268"/>
              <w:spacing w:after="0" w:line="155" w:lineRule="exact"/>
              <w:rPr>
                <w:sz w:val="20"/>
                <w:szCs w:val="20"/>
                <w:color w:val="auto"/>
              </w:rPr>
            </w:pPr>
            <w:r>
              <w:rPr>
                <w:rFonts w:ascii="Arial" w:cs="Arial" w:eastAsia="Arial" w:hAnsi="Arial"/>
                <w:sz w:val="14"/>
                <w:szCs w:val="14"/>
                <w:b w:val="1"/>
                <w:bCs w:val="1"/>
                <w:color w:val="auto"/>
                <w:w w:val="90"/>
              </w:rPr>
              <w:t>Amount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center"/>
              <w:ind w:right="108"/>
              <w:spacing w:after="0" w:line="155" w:lineRule="exact"/>
              <w:rPr>
                <w:sz w:val="20"/>
                <w:szCs w:val="20"/>
                <w:color w:val="auto"/>
              </w:rPr>
            </w:pPr>
            <w:r>
              <w:rPr>
                <w:rFonts w:ascii="Arial" w:cs="Arial" w:eastAsia="Arial" w:hAnsi="Arial"/>
                <w:sz w:val="14"/>
                <w:szCs w:val="14"/>
                <w:b w:val="1"/>
                <w:bCs w:val="1"/>
                <w:color w:val="auto"/>
                <w:w w:val="94"/>
              </w:rPr>
              <w:t>capital</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78"/>
              </w:rPr>
              <w:t>loss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ind w:right="380"/>
              <w:spacing w:after="0" w:line="155" w:lineRule="exact"/>
              <w:rPr>
                <w:sz w:val="20"/>
                <w:szCs w:val="20"/>
                <w:color w:val="auto"/>
              </w:rPr>
            </w:pPr>
            <w:r>
              <w:rPr>
                <w:rFonts w:ascii="Arial" w:cs="Arial" w:eastAsia="Arial" w:hAnsi="Arial"/>
                <w:sz w:val="14"/>
                <w:szCs w:val="14"/>
                <w:b w:val="1"/>
                <w:bCs w:val="1"/>
                <w:color w:val="auto"/>
                <w:w w:val="92"/>
              </w:rPr>
              <w:t>deficit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56"/>
        </w:trPr>
        <w:tc>
          <w:tcPr>
            <w:tcW w:w="3200" w:type="dxa"/>
            <w:vAlign w:val="bottom"/>
            <w:tcBorders>
              <w:top w:val="single" w:sz="8" w:color="CFF0FC"/>
            </w:tcBorders>
            <w:shd w:val="clear" w:color="auto" w:fill="CFF0FC"/>
          </w:tcPr>
          <w:p>
            <w:pPr>
              <w:ind w:left="260"/>
              <w:spacing w:after="0" w:line="155" w:lineRule="exact"/>
              <w:rPr>
                <w:sz w:val="20"/>
                <w:szCs w:val="20"/>
                <w:color w:val="auto"/>
              </w:rPr>
            </w:pPr>
            <w:r>
              <w:rPr>
                <w:rFonts w:ascii="Arial" w:cs="Arial" w:eastAsia="Arial" w:hAnsi="Arial"/>
                <w:sz w:val="14"/>
                <w:szCs w:val="14"/>
                <w:color w:val="auto"/>
              </w:rPr>
              <w:t>Balance at December 31, 2020</w:t>
            </w:r>
          </w:p>
        </w:tc>
        <w:tc>
          <w:tcPr>
            <w:tcW w:w="12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45,024,560</w:t>
            </w:r>
          </w:p>
        </w:tc>
        <w:tc>
          <w:tcPr>
            <w:tcW w:w="220" w:type="dxa"/>
            <w:vAlign w:val="bottom"/>
            <w:tcBorders>
              <w:top w:val="single" w:sz="8" w:color="CFF0FC"/>
            </w:tcBorders>
            <w:shd w:val="clear" w:color="auto" w:fill="CFF0FC"/>
          </w:tcPr>
          <w:p>
            <w:pPr>
              <w:spacing w:after="0"/>
              <w:rPr>
                <w:sz w:val="13"/>
                <w:szCs w:val="13"/>
                <w:color w:val="auto"/>
              </w:rPr>
            </w:pPr>
          </w:p>
        </w:tc>
        <w:tc>
          <w:tcPr>
            <w:tcW w:w="340" w:type="dxa"/>
            <w:vAlign w:val="bottom"/>
            <w:tcBorders>
              <w:top w:val="single" w:sz="8" w:color="auto"/>
            </w:tcBorders>
            <w:shd w:val="clear" w:color="auto" w:fill="CFF0FC"/>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45,025</w:t>
            </w:r>
          </w:p>
        </w:tc>
        <w:tc>
          <w:tcPr>
            <w:tcW w:w="2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454,296,536</w:t>
            </w:r>
          </w:p>
        </w:tc>
        <w:tc>
          <w:tcPr>
            <w:tcW w:w="2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(88,219)</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(382,926,842)</w:t>
            </w:r>
          </w:p>
        </w:tc>
        <w:tc>
          <w:tcPr>
            <w:tcW w:w="22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ind w:right="59"/>
              <w:spacing w:after="0"/>
              <w:rPr>
                <w:sz w:val="20"/>
                <w:szCs w:val="20"/>
                <w:color w:val="auto"/>
              </w:rPr>
            </w:pPr>
            <w:r>
              <w:rPr>
                <w:rFonts w:ascii="Arial" w:cs="Arial" w:eastAsia="Arial" w:hAnsi="Arial"/>
                <w:sz w:val="5"/>
                <w:szCs w:val="5"/>
                <w:color w:val="auto"/>
                <w:w w:val="70"/>
              </w:rPr>
              <w:t>$</w:t>
            </w: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71,326,500</w:t>
            </w:r>
          </w:p>
        </w:tc>
        <w:tc>
          <w:tcPr>
            <w:tcW w:w="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0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1,139,636</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1,139,636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20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Issuance of common stock for option</w:t>
            </w:r>
          </w:p>
        </w:tc>
        <w:tc>
          <w:tcPr>
            <w:tcW w:w="1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2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exercises</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86,250</w:t>
            </w: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212,089</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212,175</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200" w:type="dxa"/>
            <w:vAlign w:val="bottom"/>
          </w:tcPr>
          <w:p>
            <w:pPr>
              <w:spacing w:after="0" w:line="143" w:lineRule="exact"/>
              <w:rPr>
                <w:sz w:val="20"/>
                <w:szCs w:val="20"/>
                <w:color w:val="auto"/>
              </w:rPr>
            </w:pPr>
            <w:r>
              <w:rPr>
                <w:rFonts w:ascii="Arial" w:cs="Arial" w:eastAsia="Arial" w:hAnsi="Arial"/>
                <w:sz w:val="14"/>
                <w:szCs w:val="14"/>
                <w:color w:val="auto"/>
              </w:rPr>
              <w:t>Issuance of shares under an employee stock</w:t>
            </w: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200" w:type="dxa"/>
            <w:vAlign w:val="bottom"/>
          </w:tcPr>
          <w:p>
            <w:pPr>
              <w:ind w:left="120"/>
              <w:spacing w:after="0"/>
              <w:rPr>
                <w:sz w:val="20"/>
                <w:szCs w:val="20"/>
                <w:color w:val="auto"/>
              </w:rPr>
            </w:pPr>
            <w:r>
              <w:rPr>
                <w:rFonts w:ascii="Arial" w:cs="Arial" w:eastAsia="Arial" w:hAnsi="Arial"/>
                <w:sz w:val="14"/>
                <w:szCs w:val="14"/>
                <w:color w:val="auto"/>
              </w:rPr>
              <w:t>purchase plan (ESPP)</w:t>
            </w:r>
          </w:p>
        </w:tc>
        <w:tc>
          <w:tcPr>
            <w:tcW w:w="1220" w:type="dxa"/>
            <w:vAlign w:val="bottom"/>
          </w:tcPr>
          <w:p>
            <w:pPr>
              <w:jc w:val="right"/>
              <w:spacing w:after="0"/>
              <w:rPr>
                <w:sz w:val="20"/>
                <w:szCs w:val="20"/>
                <w:color w:val="auto"/>
              </w:rPr>
            </w:pPr>
            <w:r>
              <w:rPr>
                <w:rFonts w:ascii="Arial" w:cs="Arial" w:eastAsia="Arial" w:hAnsi="Arial"/>
                <w:sz w:val="14"/>
                <w:szCs w:val="14"/>
                <w:color w:val="auto"/>
              </w:rPr>
              <w:t>1,424</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6,108</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6,110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20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Issuance of common stock in a private</w:t>
            </w:r>
          </w:p>
        </w:tc>
        <w:tc>
          <w:tcPr>
            <w:tcW w:w="1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2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placement transaction, net of issuance costs</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3,656,307</w:t>
            </w: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3,656</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19,877,992</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19,881,648</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00" w:type="dxa"/>
            <w:vAlign w:val="bottom"/>
          </w:tcPr>
          <w:p>
            <w:pPr>
              <w:spacing w:after="0"/>
              <w:rPr>
                <w:sz w:val="20"/>
                <w:szCs w:val="20"/>
                <w:color w:val="auto"/>
              </w:rPr>
            </w:pPr>
            <w:r>
              <w:rPr>
                <w:rFonts w:ascii="Arial" w:cs="Arial" w:eastAsia="Arial" w:hAnsi="Arial"/>
                <w:sz w:val="14"/>
                <w:szCs w:val="14"/>
                <w:color w:val="auto"/>
              </w:rPr>
              <w:t>Net loss</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(187,799)</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(187,799)</w:t>
            </w:r>
          </w:p>
        </w:tc>
        <w:tc>
          <w:tcPr>
            <w:tcW w:w="0" w:type="dxa"/>
            <w:vAlign w:val="bottom"/>
          </w:tcPr>
          <w:p>
            <w:pPr>
              <w:spacing w:after="0"/>
              <w:rPr>
                <w:sz w:val="1"/>
                <w:szCs w:val="1"/>
                <w:color w:val="auto"/>
              </w:rPr>
            </w:pPr>
          </w:p>
        </w:tc>
      </w:tr>
      <w:tr>
        <w:trPr>
          <w:trHeight w:val="162"/>
        </w:trPr>
        <w:tc>
          <w:tcPr>
            <w:tcW w:w="3200" w:type="dxa"/>
            <w:vAlign w:val="bottom"/>
            <w:shd w:val="clear" w:color="auto" w:fill="CFF0FC"/>
          </w:tcPr>
          <w:p>
            <w:pPr>
              <w:spacing w:after="0"/>
              <w:rPr>
                <w:sz w:val="20"/>
                <w:szCs w:val="20"/>
                <w:color w:val="auto"/>
              </w:rPr>
            </w:pPr>
            <w:r>
              <w:rPr>
                <w:rFonts w:ascii="Arial" w:cs="Arial" w:eastAsia="Arial" w:hAnsi="Arial"/>
                <w:sz w:val="14"/>
                <w:szCs w:val="14"/>
                <w:color w:val="auto"/>
              </w:rPr>
              <w:t>Foreign currency translation adjustments</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(6,821)</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(6,821)</w:t>
            </w:r>
          </w:p>
        </w:tc>
        <w:tc>
          <w:tcPr>
            <w:tcW w:w="0" w:type="dxa"/>
            <w:vAlign w:val="bottom"/>
          </w:tcPr>
          <w:p>
            <w:pPr>
              <w:spacing w:after="0"/>
              <w:rPr>
                <w:sz w:val="1"/>
                <w:szCs w:val="1"/>
                <w:color w:val="auto"/>
              </w:rPr>
            </w:pPr>
          </w:p>
        </w:tc>
      </w:tr>
      <w:tr>
        <w:trPr>
          <w:trHeight w:val="155"/>
        </w:trPr>
        <w:tc>
          <w:tcPr>
            <w:tcW w:w="3200" w:type="dxa"/>
            <w:vAlign w:val="bottom"/>
            <w:tcBorders>
              <w:bottom w:val="single" w:sz="8" w:color="CFF0FC"/>
            </w:tcBorders>
          </w:tcPr>
          <w:p>
            <w:pPr>
              <w:ind w:left="260"/>
              <w:spacing w:after="0" w:line="155" w:lineRule="exact"/>
              <w:rPr>
                <w:sz w:val="20"/>
                <w:szCs w:val="20"/>
                <w:color w:val="auto"/>
              </w:rPr>
            </w:pPr>
            <w:r>
              <w:rPr>
                <w:rFonts w:ascii="Arial" w:cs="Arial" w:eastAsia="Arial" w:hAnsi="Arial"/>
                <w:sz w:val="14"/>
                <w:szCs w:val="14"/>
                <w:color w:val="auto"/>
              </w:rPr>
              <w:t>Balance at March 31, 2021</w:t>
            </w:r>
          </w:p>
        </w:tc>
        <w:tc>
          <w:tcPr>
            <w:tcW w:w="12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48,768,541</w:t>
            </w:r>
          </w:p>
        </w:tc>
        <w:tc>
          <w:tcPr>
            <w:tcW w:w="220" w:type="dxa"/>
            <w:vAlign w:val="bottom"/>
            <w:tcBorders>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48,769</w:t>
            </w:r>
          </w:p>
        </w:tc>
        <w:tc>
          <w:tcPr>
            <w:tcW w:w="22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475,532,361</w:t>
            </w:r>
          </w:p>
        </w:tc>
        <w:tc>
          <w:tcPr>
            <w:tcW w:w="20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(95,040)</w:t>
            </w: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(383,114,641)</w:t>
            </w:r>
          </w:p>
        </w:tc>
        <w:tc>
          <w:tcPr>
            <w:tcW w:w="2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92,371,449</w:t>
            </w:r>
          </w:p>
        </w:tc>
        <w:tc>
          <w:tcPr>
            <w:tcW w:w="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Share-based compensation</w:t>
            </w:r>
          </w:p>
        </w:tc>
        <w:tc>
          <w:tcPr>
            <w:tcW w:w="12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755,905</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755,905</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00" w:type="dxa"/>
            <w:vAlign w:val="bottom"/>
          </w:tcPr>
          <w:p>
            <w:pPr>
              <w:spacing w:after="0"/>
              <w:rPr>
                <w:sz w:val="20"/>
                <w:szCs w:val="20"/>
                <w:color w:val="auto"/>
              </w:rPr>
            </w:pPr>
            <w:r>
              <w:rPr>
                <w:rFonts w:ascii="Arial" w:cs="Arial" w:eastAsia="Arial" w:hAnsi="Arial"/>
                <w:sz w:val="14"/>
                <w:szCs w:val="14"/>
                <w:color w:val="auto"/>
              </w:rPr>
              <w:t>Issuance of common stock for option exercises</w:t>
            </w:r>
          </w:p>
        </w:tc>
        <w:tc>
          <w:tcPr>
            <w:tcW w:w="1220" w:type="dxa"/>
            <w:vAlign w:val="bottom"/>
          </w:tcPr>
          <w:p>
            <w:pPr>
              <w:jc w:val="right"/>
              <w:spacing w:after="0"/>
              <w:rPr>
                <w:sz w:val="20"/>
                <w:szCs w:val="20"/>
                <w:color w:val="auto"/>
              </w:rPr>
            </w:pPr>
            <w:r>
              <w:rPr>
                <w:rFonts w:ascii="Arial" w:cs="Arial" w:eastAsia="Arial" w:hAnsi="Arial"/>
                <w:sz w:val="14"/>
                <w:szCs w:val="14"/>
                <w:color w:val="auto"/>
              </w:rPr>
              <w:t>155,622</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155</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389,583</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389,738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00" w:type="dxa"/>
            <w:vAlign w:val="bottom"/>
            <w:shd w:val="clear" w:color="auto" w:fill="CFF0FC"/>
          </w:tcPr>
          <w:p>
            <w:pPr>
              <w:spacing w:after="0"/>
              <w:rPr>
                <w:sz w:val="20"/>
                <w:szCs w:val="20"/>
                <w:color w:val="auto"/>
              </w:rPr>
            </w:pPr>
            <w:r>
              <w:rPr>
                <w:rFonts w:ascii="Arial" w:cs="Arial" w:eastAsia="Arial" w:hAnsi="Arial"/>
                <w:sz w:val="14"/>
                <w:szCs w:val="14"/>
                <w:color w:val="auto"/>
              </w:rPr>
              <w:t>Net loss</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(4,284,141)</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(4,284,141)</w:t>
            </w:r>
          </w:p>
        </w:tc>
        <w:tc>
          <w:tcPr>
            <w:tcW w:w="0" w:type="dxa"/>
            <w:vAlign w:val="bottom"/>
          </w:tcPr>
          <w:p>
            <w:pPr>
              <w:spacing w:after="0"/>
              <w:rPr>
                <w:sz w:val="1"/>
                <w:szCs w:val="1"/>
                <w:color w:val="auto"/>
              </w:rPr>
            </w:pPr>
          </w:p>
        </w:tc>
      </w:tr>
      <w:tr>
        <w:trPr>
          <w:trHeight w:val="162"/>
        </w:trPr>
        <w:tc>
          <w:tcPr>
            <w:tcW w:w="3200" w:type="dxa"/>
            <w:vAlign w:val="bottom"/>
          </w:tcPr>
          <w:p>
            <w:pPr>
              <w:spacing w:after="0"/>
              <w:rPr>
                <w:sz w:val="20"/>
                <w:szCs w:val="20"/>
                <w:color w:val="auto"/>
              </w:rPr>
            </w:pPr>
            <w:r>
              <w:rPr>
                <w:rFonts w:ascii="Arial" w:cs="Arial" w:eastAsia="Arial" w:hAnsi="Arial"/>
                <w:sz w:val="14"/>
                <w:szCs w:val="14"/>
                <w:color w:val="auto"/>
              </w:rPr>
              <w:t>Foreign currency translation adjustments</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1,363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1,363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200" w:type="dxa"/>
            <w:vAlign w:val="bottom"/>
            <w:tcBorders>
              <w:top w:val="single" w:sz="8" w:color="CFF0FC"/>
            </w:tcBorders>
            <w:shd w:val="clear" w:color="auto" w:fill="CFF0FC"/>
          </w:tcPr>
          <w:p>
            <w:pPr>
              <w:ind w:left="260"/>
              <w:spacing w:after="0" w:line="155" w:lineRule="exact"/>
              <w:rPr>
                <w:sz w:val="20"/>
                <w:szCs w:val="20"/>
                <w:color w:val="auto"/>
              </w:rPr>
            </w:pPr>
            <w:r>
              <w:rPr>
                <w:rFonts w:ascii="Arial" w:cs="Arial" w:eastAsia="Arial" w:hAnsi="Arial"/>
                <w:sz w:val="14"/>
                <w:szCs w:val="14"/>
                <w:color w:val="auto"/>
              </w:rPr>
              <w:t>Balance at June 30, 2021</w:t>
            </w:r>
          </w:p>
        </w:tc>
        <w:tc>
          <w:tcPr>
            <w:tcW w:w="12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48,924,163</w:t>
            </w:r>
          </w:p>
        </w:tc>
        <w:tc>
          <w:tcPr>
            <w:tcW w:w="220" w:type="dxa"/>
            <w:vAlign w:val="bottom"/>
            <w:tcBorders>
              <w:top w:val="single" w:sz="8" w:color="CFF0FC"/>
            </w:tcBorders>
            <w:shd w:val="clear" w:color="auto" w:fill="CFF0FC"/>
          </w:tcPr>
          <w:p>
            <w:pPr>
              <w:spacing w:after="0"/>
              <w:rPr>
                <w:sz w:val="13"/>
                <w:szCs w:val="13"/>
                <w:color w:val="auto"/>
              </w:rPr>
            </w:pPr>
          </w:p>
        </w:tc>
        <w:tc>
          <w:tcPr>
            <w:tcW w:w="340" w:type="dxa"/>
            <w:vAlign w:val="bottom"/>
            <w:tcBorders>
              <w:top w:val="single" w:sz="8" w:color="auto"/>
              <w:bottom w:val="single" w:sz="8" w:color="auto"/>
            </w:tcBorders>
            <w:shd w:val="clear" w:color="auto" w:fill="CFF0FC"/>
          </w:tcPr>
          <w:p>
            <w:pPr>
              <w:spacing w:after="0"/>
              <w:rPr>
                <w:sz w:val="13"/>
                <w:szCs w:val="13"/>
                <w:color w:val="auto"/>
              </w:rPr>
            </w:pPr>
          </w:p>
        </w:tc>
        <w:tc>
          <w:tcPr>
            <w:tcW w:w="8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48,924</w:t>
            </w:r>
          </w:p>
        </w:tc>
        <w:tc>
          <w:tcPr>
            <w:tcW w:w="2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476,677,849</w:t>
            </w:r>
          </w:p>
        </w:tc>
        <w:tc>
          <w:tcPr>
            <w:tcW w:w="2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1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(93,677)</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10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(387,398,782)</w:t>
            </w:r>
          </w:p>
        </w:tc>
        <w:tc>
          <w:tcPr>
            <w:tcW w:w="22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89,234,314</w:t>
            </w:r>
          </w:p>
        </w:tc>
        <w:tc>
          <w:tcPr>
            <w:tcW w:w="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200" w:type="dxa"/>
            <w:vAlign w:val="bottom"/>
          </w:tcPr>
          <w:p>
            <w:pPr>
              <w:spacing w:after="0" w:line="155" w:lineRule="exact"/>
              <w:rPr>
                <w:sz w:val="20"/>
                <w:szCs w:val="20"/>
                <w:color w:val="auto"/>
              </w:rPr>
            </w:pPr>
            <w:r>
              <w:rPr>
                <w:rFonts w:ascii="Arial" w:cs="Arial" w:eastAsia="Arial" w:hAnsi="Arial"/>
                <w:sz w:val="14"/>
                <w:szCs w:val="14"/>
                <w:color w:val="auto"/>
              </w:rPr>
              <w:t>Share-based compensation</w:t>
            </w:r>
          </w:p>
        </w:tc>
        <w:tc>
          <w:tcPr>
            <w:tcW w:w="12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right"/>
              <w:spacing w:after="0" w:line="155" w:lineRule="exact"/>
              <w:rPr>
                <w:sz w:val="20"/>
                <w:szCs w:val="20"/>
                <w:color w:val="auto"/>
              </w:rPr>
            </w:pPr>
            <w:r>
              <w:rPr>
                <w:rFonts w:ascii="Arial" w:cs="Arial" w:eastAsia="Arial" w:hAnsi="Arial"/>
                <w:sz w:val="14"/>
                <w:szCs w:val="14"/>
                <w:color w:val="auto"/>
              </w:rPr>
              <w:t>578,944</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578,944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00" w:type="dxa"/>
            <w:vAlign w:val="bottom"/>
            <w:shd w:val="clear" w:color="auto" w:fill="CFF0FC"/>
          </w:tcPr>
          <w:p>
            <w:pPr>
              <w:spacing w:after="0"/>
              <w:rPr>
                <w:sz w:val="20"/>
                <w:szCs w:val="20"/>
                <w:color w:val="auto"/>
              </w:rPr>
            </w:pPr>
            <w:r>
              <w:rPr>
                <w:rFonts w:ascii="Arial" w:cs="Arial" w:eastAsia="Arial" w:hAnsi="Arial"/>
                <w:sz w:val="14"/>
                <w:szCs w:val="14"/>
                <w:color w:val="auto"/>
              </w:rPr>
              <w:t>Issuance of common stock for option exercises</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104,083</w:t>
            </w: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104</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249,507</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249,611</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00" w:type="dxa"/>
            <w:vAlign w:val="bottom"/>
          </w:tcPr>
          <w:p>
            <w:pPr>
              <w:spacing w:after="0"/>
              <w:rPr>
                <w:sz w:val="20"/>
                <w:szCs w:val="20"/>
                <w:color w:val="auto"/>
              </w:rPr>
            </w:pPr>
            <w:r>
              <w:rPr>
                <w:rFonts w:ascii="Arial" w:cs="Arial" w:eastAsia="Arial" w:hAnsi="Arial"/>
                <w:sz w:val="14"/>
                <w:szCs w:val="14"/>
                <w:color w:val="auto"/>
              </w:rPr>
              <w:t>Net loss</w:t>
            </w: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(3,579,167)</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(3,579,167)</w:t>
            </w:r>
          </w:p>
        </w:tc>
        <w:tc>
          <w:tcPr>
            <w:tcW w:w="0" w:type="dxa"/>
            <w:vAlign w:val="bottom"/>
          </w:tcPr>
          <w:p>
            <w:pPr>
              <w:spacing w:after="0"/>
              <w:rPr>
                <w:sz w:val="1"/>
                <w:szCs w:val="1"/>
                <w:color w:val="auto"/>
              </w:rPr>
            </w:pPr>
          </w:p>
        </w:tc>
      </w:tr>
      <w:tr>
        <w:trPr>
          <w:trHeight w:val="162"/>
        </w:trPr>
        <w:tc>
          <w:tcPr>
            <w:tcW w:w="3200" w:type="dxa"/>
            <w:vAlign w:val="bottom"/>
            <w:shd w:val="clear" w:color="auto" w:fill="CFF0FC"/>
          </w:tcPr>
          <w:p>
            <w:pPr>
              <w:spacing w:after="0"/>
              <w:rPr>
                <w:sz w:val="20"/>
                <w:szCs w:val="20"/>
                <w:color w:val="auto"/>
              </w:rPr>
            </w:pPr>
            <w:r>
              <w:rPr>
                <w:rFonts w:ascii="Arial" w:cs="Arial" w:eastAsia="Arial" w:hAnsi="Arial"/>
                <w:sz w:val="14"/>
                <w:szCs w:val="14"/>
                <w:color w:val="auto"/>
              </w:rPr>
              <w:t>Foreign currency translation adjustments</w:t>
            </w:r>
          </w:p>
        </w:tc>
        <w:tc>
          <w:tcPr>
            <w:tcW w:w="1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(1,362)</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(1,362)</w:t>
            </w:r>
          </w:p>
        </w:tc>
        <w:tc>
          <w:tcPr>
            <w:tcW w:w="0" w:type="dxa"/>
            <w:vAlign w:val="bottom"/>
          </w:tcPr>
          <w:p>
            <w:pPr>
              <w:spacing w:after="0"/>
              <w:rPr>
                <w:sz w:val="1"/>
                <w:szCs w:val="1"/>
                <w:color w:val="auto"/>
              </w:rPr>
            </w:pPr>
          </w:p>
        </w:tc>
      </w:tr>
      <w:tr>
        <w:trPr>
          <w:trHeight w:val="156"/>
        </w:trPr>
        <w:tc>
          <w:tcPr>
            <w:tcW w:w="3200" w:type="dxa"/>
            <w:vAlign w:val="bottom"/>
          </w:tcPr>
          <w:p>
            <w:pPr>
              <w:ind w:left="260"/>
              <w:spacing w:after="0" w:line="155" w:lineRule="exact"/>
              <w:rPr>
                <w:sz w:val="20"/>
                <w:szCs w:val="20"/>
                <w:color w:val="auto"/>
              </w:rPr>
            </w:pPr>
            <w:r>
              <w:rPr>
                <w:rFonts w:ascii="Arial" w:cs="Arial" w:eastAsia="Arial" w:hAnsi="Arial"/>
                <w:sz w:val="14"/>
                <w:szCs w:val="14"/>
                <w:color w:val="auto"/>
              </w:rPr>
              <w:t>Balance at September 30, 2021</w:t>
            </w:r>
          </w:p>
        </w:tc>
        <w:tc>
          <w:tcPr>
            <w:tcW w:w="12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49,028,246</w:t>
            </w:r>
          </w:p>
        </w:tc>
        <w:tc>
          <w:tcPr>
            <w:tcW w:w="220" w:type="dxa"/>
            <w:vAlign w:val="bottom"/>
          </w:tcPr>
          <w:p>
            <w:pPr>
              <w:spacing w:after="0"/>
              <w:rPr>
                <w:sz w:val="13"/>
                <w:szCs w:val="13"/>
                <w:color w:val="auto"/>
              </w:rPr>
            </w:pPr>
          </w:p>
        </w:tc>
        <w:tc>
          <w:tcPr>
            <w:tcW w:w="340" w:type="dxa"/>
            <w:vAlign w:val="bottom"/>
            <w:tcBorders>
              <w:top w:val="single" w:sz="8" w:color="auto"/>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49,028</w:t>
            </w:r>
          </w:p>
        </w:tc>
        <w:tc>
          <w:tcPr>
            <w:tcW w:w="22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477,506,300</w:t>
            </w:r>
          </w:p>
        </w:tc>
        <w:tc>
          <w:tcPr>
            <w:tcW w:w="2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(95,039)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(390,977,949)</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5"/>
                <w:szCs w:val="5"/>
                <w:color w:val="auto"/>
                <w:w w:val="70"/>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86,482,340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20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7"/>
          </w:tcPr>
          <w:p>
            <w:pPr>
              <w:jc w:val="right"/>
              <w:ind w:right="340"/>
              <w:spacing w:after="0"/>
              <w:rPr>
                <w:sz w:val="20"/>
                <w:szCs w:val="20"/>
                <w:color w:val="auto"/>
              </w:rPr>
            </w:pPr>
            <w:r>
              <w:rPr>
                <w:rFonts w:ascii="Arial" w:cs="Arial" w:eastAsia="Arial" w:hAnsi="Arial"/>
                <w:sz w:val="14"/>
                <w:szCs w:val="14"/>
                <w:b w:val="1"/>
                <w:bCs w:val="1"/>
                <w:color w:val="auto"/>
                <w:w w:val="97"/>
              </w:rPr>
              <w:t>Nine Months Ended September 30, 2020</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17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other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0"/>
              </w:rPr>
              <w:t>Accumulated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00" w:type="dxa"/>
            <w:vAlign w:val="bottom"/>
          </w:tcPr>
          <w:p>
            <w:pPr>
              <w:spacing w:after="0"/>
              <w:rPr>
                <w:sz w:val="14"/>
                <w:szCs w:val="14"/>
                <w:color w:val="auto"/>
              </w:rPr>
            </w:pPr>
          </w:p>
        </w:tc>
        <w:tc>
          <w:tcPr>
            <w:tcW w:w="1780" w:type="dxa"/>
            <w:vAlign w:val="bottom"/>
            <w:tcBorders>
              <w:bottom w:val="single" w:sz="8" w:color="auto"/>
            </w:tcBorders>
            <w:gridSpan w:val="3"/>
            <w:vMerge w:val="continue"/>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center"/>
              <w:ind w:right="108"/>
              <w:spacing w:after="0"/>
              <w:rPr>
                <w:sz w:val="20"/>
                <w:szCs w:val="20"/>
                <w:color w:val="auto"/>
              </w:rPr>
            </w:pPr>
            <w:r>
              <w:rPr>
                <w:rFonts w:ascii="Arial" w:cs="Arial" w:eastAsia="Arial" w:hAnsi="Arial"/>
                <w:sz w:val="14"/>
                <w:szCs w:val="14"/>
                <w:b w:val="1"/>
                <w:bCs w:val="1"/>
                <w:color w:val="auto"/>
                <w:w w:val="91"/>
              </w:rPr>
              <w:t>paid-in</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comprehensive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56"/>
        </w:trPr>
        <w:tc>
          <w:tcPr>
            <w:tcW w:w="3200" w:type="dxa"/>
            <w:vAlign w:val="bottom"/>
          </w:tcPr>
          <w:p>
            <w:pPr>
              <w:spacing w:after="0"/>
              <w:rPr>
                <w:sz w:val="13"/>
                <w:szCs w:val="13"/>
                <w:color w:val="auto"/>
              </w:rPr>
            </w:pPr>
          </w:p>
        </w:tc>
        <w:tc>
          <w:tcPr>
            <w:tcW w:w="1220" w:type="dxa"/>
            <w:vAlign w:val="bottom"/>
          </w:tcPr>
          <w:p>
            <w:pPr>
              <w:jc w:val="right"/>
              <w:ind w:right="328"/>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jc w:val="right"/>
              <w:ind w:right="268"/>
              <w:spacing w:after="0" w:line="155" w:lineRule="exact"/>
              <w:rPr>
                <w:sz w:val="20"/>
                <w:szCs w:val="20"/>
                <w:color w:val="auto"/>
              </w:rPr>
            </w:pPr>
            <w:r>
              <w:rPr>
                <w:rFonts w:ascii="Arial" w:cs="Arial" w:eastAsia="Arial" w:hAnsi="Arial"/>
                <w:sz w:val="14"/>
                <w:szCs w:val="14"/>
                <w:b w:val="1"/>
                <w:bCs w:val="1"/>
                <w:color w:val="auto"/>
                <w:w w:val="90"/>
              </w:rPr>
              <w:t>Amount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center"/>
              <w:ind w:right="108"/>
              <w:spacing w:after="0" w:line="155" w:lineRule="exact"/>
              <w:rPr>
                <w:sz w:val="20"/>
                <w:szCs w:val="20"/>
                <w:color w:val="auto"/>
              </w:rPr>
            </w:pPr>
            <w:r>
              <w:rPr>
                <w:rFonts w:ascii="Arial" w:cs="Arial" w:eastAsia="Arial" w:hAnsi="Arial"/>
                <w:sz w:val="14"/>
                <w:szCs w:val="14"/>
                <w:b w:val="1"/>
                <w:bCs w:val="1"/>
                <w:color w:val="auto"/>
                <w:w w:val="94"/>
              </w:rPr>
              <w:t>capital</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78"/>
              </w:rPr>
              <w:t>loss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ind w:right="380"/>
              <w:spacing w:after="0" w:line="155" w:lineRule="exact"/>
              <w:rPr>
                <w:sz w:val="20"/>
                <w:szCs w:val="20"/>
                <w:color w:val="auto"/>
              </w:rPr>
            </w:pPr>
            <w:r>
              <w:rPr>
                <w:rFonts w:ascii="Arial" w:cs="Arial" w:eastAsia="Arial" w:hAnsi="Arial"/>
                <w:sz w:val="14"/>
                <w:szCs w:val="14"/>
                <w:b w:val="1"/>
                <w:bCs w:val="1"/>
                <w:color w:val="auto"/>
                <w:w w:val="92"/>
              </w:rPr>
              <w:t>deficit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55"/>
        </w:trPr>
        <w:tc>
          <w:tcPr>
            <w:tcW w:w="3200" w:type="dxa"/>
            <w:vAlign w:val="bottom"/>
            <w:tcBorders>
              <w:top w:val="single" w:sz="8" w:color="CFF0FC"/>
            </w:tcBorders>
            <w:shd w:val="clear" w:color="auto" w:fill="CFF0FC"/>
          </w:tcPr>
          <w:p>
            <w:pPr>
              <w:ind w:left="260"/>
              <w:spacing w:after="0" w:line="155" w:lineRule="exact"/>
              <w:rPr>
                <w:sz w:val="20"/>
                <w:szCs w:val="20"/>
                <w:color w:val="auto"/>
              </w:rPr>
            </w:pPr>
            <w:r>
              <w:rPr>
                <w:rFonts w:ascii="Arial" w:cs="Arial" w:eastAsia="Arial" w:hAnsi="Arial"/>
                <w:sz w:val="14"/>
                <w:szCs w:val="14"/>
                <w:color w:val="auto"/>
              </w:rPr>
              <w:t>Balance at December 31, 2019</w:t>
            </w:r>
          </w:p>
        </w:tc>
        <w:tc>
          <w:tcPr>
            <w:tcW w:w="12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43,908,065</w:t>
            </w:r>
          </w:p>
        </w:tc>
        <w:tc>
          <w:tcPr>
            <w:tcW w:w="220" w:type="dxa"/>
            <w:vAlign w:val="bottom"/>
            <w:tcBorders>
              <w:top w:val="single" w:sz="8" w:color="CFF0FC"/>
            </w:tcBorders>
            <w:shd w:val="clear" w:color="auto" w:fill="CFF0FC"/>
          </w:tcPr>
          <w:p>
            <w:pPr>
              <w:spacing w:after="0"/>
              <w:rPr>
                <w:sz w:val="13"/>
                <w:szCs w:val="13"/>
                <w:color w:val="auto"/>
              </w:rPr>
            </w:pPr>
          </w:p>
        </w:tc>
        <w:tc>
          <w:tcPr>
            <w:tcW w:w="340" w:type="dxa"/>
            <w:vAlign w:val="bottom"/>
            <w:tcBorders>
              <w:top w:val="single" w:sz="8" w:color="auto"/>
            </w:tcBorders>
            <w:shd w:val="clear" w:color="auto" w:fill="CFF0FC"/>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43,908</w:t>
            </w:r>
          </w:p>
        </w:tc>
        <w:tc>
          <w:tcPr>
            <w:tcW w:w="2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444,016,341</w:t>
            </w:r>
          </w:p>
        </w:tc>
        <w:tc>
          <w:tcPr>
            <w:tcW w:w="2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(92,681)</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(369,072,945)</w:t>
            </w:r>
          </w:p>
        </w:tc>
        <w:tc>
          <w:tcPr>
            <w:tcW w:w="22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ind w:right="59"/>
              <w:spacing w:after="0"/>
              <w:rPr>
                <w:sz w:val="20"/>
                <w:szCs w:val="20"/>
                <w:color w:val="auto"/>
              </w:rPr>
            </w:pPr>
            <w:r>
              <w:rPr>
                <w:rFonts w:ascii="Arial" w:cs="Arial" w:eastAsia="Arial" w:hAnsi="Arial"/>
                <w:sz w:val="5"/>
                <w:szCs w:val="5"/>
                <w:color w:val="auto"/>
                <w:w w:val="70"/>
              </w:rPr>
              <w:t>$</w:t>
            </w: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74,894,623</w:t>
            </w:r>
          </w:p>
        </w:tc>
        <w:tc>
          <w:tcPr>
            <w:tcW w:w="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0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596,378</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596,378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20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Issuance of shares under an employee stock</w:t>
            </w:r>
          </w:p>
        </w:tc>
        <w:tc>
          <w:tcPr>
            <w:tcW w:w="1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2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purchase plan (ESPP)</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1,979</w:t>
            </w: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6,252</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6,254</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200" w:type="dxa"/>
            <w:vAlign w:val="bottom"/>
          </w:tcPr>
          <w:p>
            <w:pPr>
              <w:spacing w:after="0" w:line="143" w:lineRule="exact"/>
              <w:rPr>
                <w:sz w:val="20"/>
                <w:szCs w:val="20"/>
                <w:color w:val="auto"/>
              </w:rPr>
            </w:pPr>
            <w:r>
              <w:rPr>
                <w:rFonts w:ascii="Arial" w:cs="Arial" w:eastAsia="Arial" w:hAnsi="Arial"/>
                <w:sz w:val="14"/>
                <w:szCs w:val="14"/>
                <w:color w:val="auto"/>
              </w:rPr>
              <w:t>Issuance of common stock under</w:t>
            </w: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tcPr>
          <w:p>
            <w:pPr>
              <w:ind w:left="120"/>
              <w:spacing w:after="0" w:line="149" w:lineRule="exact"/>
              <w:rPr>
                <w:sz w:val="20"/>
                <w:szCs w:val="20"/>
                <w:color w:val="auto"/>
              </w:rPr>
            </w:pPr>
            <w:r>
              <w:rPr>
                <w:rFonts w:ascii="Arial" w:cs="Arial" w:eastAsia="Arial" w:hAnsi="Arial"/>
                <w:sz w:val="14"/>
                <w:szCs w:val="14"/>
                <w:color w:val="auto"/>
              </w:rPr>
              <w:t>at-the-market equity distribution</w:t>
            </w: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200" w:type="dxa"/>
            <w:vAlign w:val="bottom"/>
          </w:tcPr>
          <w:p>
            <w:pPr>
              <w:ind w:left="120"/>
              <w:spacing w:after="0"/>
              <w:rPr>
                <w:sz w:val="20"/>
                <w:szCs w:val="20"/>
                <w:color w:val="auto"/>
              </w:rPr>
            </w:pPr>
            <w:r>
              <w:rPr>
                <w:rFonts w:ascii="Arial" w:cs="Arial" w:eastAsia="Arial" w:hAnsi="Arial"/>
                <w:sz w:val="14"/>
                <w:szCs w:val="14"/>
                <w:color w:val="auto"/>
              </w:rPr>
              <w:t>and sales agreements, net of offering costs</w:t>
            </w:r>
          </w:p>
        </w:tc>
        <w:tc>
          <w:tcPr>
            <w:tcW w:w="1220" w:type="dxa"/>
            <w:vAlign w:val="bottom"/>
          </w:tcPr>
          <w:p>
            <w:pPr>
              <w:jc w:val="right"/>
              <w:spacing w:after="0"/>
              <w:rPr>
                <w:sz w:val="20"/>
                <w:szCs w:val="20"/>
                <w:color w:val="auto"/>
              </w:rPr>
            </w:pPr>
            <w:r>
              <w:rPr>
                <w:rFonts w:ascii="Arial" w:cs="Arial" w:eastAsia="Arial" w:hAnsi="Arial"/>
                <w:sz w:val="14"/>
                <w:szCs w:val="14"/>
                <w:color w:val="auto"/>
              </w:rPr>
              <w:t>68,952</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69</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412,623</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412,692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00" w:type="dxa"/>
            <w:vAlign w:val="bottom"/>
            <w:shd w:val="clear" w:color="auto" w:fill="CFF0FC"/>
          </w:tcPr>
          <w:p>
            <w:pPr>
              <w:spacing w:after="0"/>
              <w:rPr>
                <w:sz w:val="20"/>
                <w:szCs w:val="20"/>
                <w:color w:val="auto"/>
              </w:rPr>
            </w:pPr>
            <w:r>
              <w:rPr>
                <w:rFonts w:ascii="Arial" w:cs="Arial" w:eastAsia="Arial" w:hAnsi="Arial"/>
                <w:sz w:val="14"/>
                <w:szCs w:val="14"/>
                <w:color w:val="auto"/>
              </w:rPr>
              <w:t>Net loss</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(2,713,559)</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(2,713,559)</w:t>
            </w:r>
          </w:p>
        </w:tc>
        <w:tc>
          <w:tcPr>
            <w:tcW w:w="0" w:type="dxa"/>
            <w:vAlign w:val="bottom"/>
          </w:tcPr>
          <w:p>
            <w:pPr>
              <w:spacing w:after="0"/>
              <w:rPr>
                <w:sz w:val="1"/>
                <w:szCs w:val="1"/>
                <w:color w:val="auto"/>
              </w:rPr>
            </w:pPr>
          </w:p>
        </w:tc>
      </w:tr>
      <w:tr>
        <w:trPr>
          <w:trHeight w:val="162"/>
        </w:trPr>
        <w:tc>
          <w:tcPr>
            <w:tcW w:w="3200" w:type="dxa"/>
            <w:vAlign w:val="bottom"/>
          </w:tcPr>
          <w:p>
            <w:pPr>
              <w:spacing w:after="0"/>
              <w:rPr>
                <w:sz w:val="20"/>
                <w:szCs w:val="20"/>
                <w:color w:val="auto"/>
              </w:rPr>
            </w:pPr>
            <w:r>
              <w:rPr>
                <w:rFonts w:ascii="Arial" w:cs="Arial" w:eastAsia="Arial" w:hAnsi="Arial"/>
                <w:sz w:val="14"/>
                <w:szCs w:val="14"/>
                <w:color w:val="auto"/>
              </w:rPr>
              <w:t>Foreign currency translation adjustments</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56"/>
        </w:trPr>
        <w:tc>
          <w:tcPr>
            <w:tcW w:w="3200" w:type="dxa"/>
            <w:vAlign w:val="bottom"/>
            <w:tcBorders>
              <w:top w:val="single" w:sz="8" w:color="CFF0FC"/>
            </w:tcBorders>
            <w:shd w:val="clear" w:color="auto" w:fill="CFF0FC"/>
          </w:tcPr>
          <w:p>
            <w:pPr>
              <w:ind w:left="260"/>
              <w:spacing w:after="0" w:line="155" w:lineRule="exact"/>
              <w:rPr>
                <w:sz w:val="20"/>
                <w:szCs w:val="20"/>
                <w:color w:val="auto"/>
              </w:rPr>
            </w:pPr>
            <w:r>
              <w:rPr>
                <w:rFonts w:ascii="Arial" w:cs="Arial" w:eastAsia="Arial" w:hAnsi="Arial"/>
                <w:sz w:val="14"/>
                <w:szCs w:val="14"/>
                <w:color w:val="auto"/>
              </w:rPr>
              <w:t>Balance at March 31, 2020</w:t>
            </w:r>
          </w:p>
        </w:tc>
        <w:tc>
          <w:tcPr>
            <w:tcW w:w="12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43,978,996</w:t>
            </w:r>
          </w:p>
        </w:tc>
        <w:tc>
          <w:tcPr>
            <w:tcW w:w="220" w:type="dxa"/>
            <w:vAlign w:val="bottom"/>
            <w:tcBorders>
              <w:top w:val="single" w:sz="8" w:color="CFF0FC"/>
            </w:tcBorders>
            <w:shd w:val="clear" w:color="auto" w:fill="CFF0FC"/>
          </w:tcPr>
          <w:p>
            <w:pPr>
              <w:spacing w:after="0"/>
              <w:rPr>
                <w:sz w:val="13"/>
                <w:szCs w:val="13"/>
                <w:color w:val="auto"/>
              </w:rPr>
            </w:pPr>
          </w:p>
        </w:tc>
        <w:tc>
          <w:tcPr>
            <w:tcW w:w="340" w:type="dxa"/>
            <w:vAlign w:val="bottom"/>
            <w:tcBorders>
              <w:top w:val="single" w:sz="8" w:color="auto"/>
              <w:bottom w:val="single" w:sz="8" w:color="auto"/>
            </w:tcBorders>
            <w:shd w:val="clear" w:color="auto" w:fill="CFF0FC"/>
          </w:tcPr>
          <w:p>
            <w:pPr>
              <w:spacing w:after="0"/>
              <w:rPr>
                <w:sz w:val="13"/>
                <w:szCs w:val="13"/>
                <w:color w:val="auto"/>
              </w:rPr>
            </w:pPr>
          </w:p>
        </w:tc>
        <w:tc>
          <w:tcPr>
            <w:tcW w:w="8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43,979</w:t>
            </w:r>
          </w:p>
        </w:tc>
        <w:tc>
          <w:tcPr>
            <w:tcW w:w="2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445,031,594</w:t>
            </w:r>
          </w:p>
        </w:tc>
        <w:tc>
          <w:tcPr>
            <w:tcW w:w="2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1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(92,801)</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10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(371,786,504)</w:t>
            </w:r>
          </w:p>
        </w:tc>
        <w:tc>
          <w:tcPr>
            <w:tcW w:w="22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73,196,268</w:t>
            </w:r>
          </w:p>
        </w:tc>
        <w:tc>
          <w:tcPr>
            <w:tcW w:w="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200" w:type="dxa"/>
            <w:vAlign w:val="bottom"/>
          </w:tcPr>
          <w:p>
            <w:pPr>
              <w:spacing w:after="0" w:line="155" w:lineRule="exact"/>
              <w:rPr>
                <w:sz w:val="20"/>
                <w:szCs w:val="20"/>
                <w:color w:val="auto"/>
              </w:rPr>
            </w:pPr>
            <w:r>
              <w:rPr>
                <w:rFonts w:ascii="Arial" w:cs="Arial" w:eastAsia="Arial" w:hAnsi="Arial"/>
                <w:sz w:val="14"/>
                <w:szCs w:val="14"/>
                <w:color w:val="auto"/>
              </w:rPr>
              <w:t>Share-based compensation</w:t>
            </w:r>
          </w:p>
        </w:tc>
        <w:tc>
          <w:tcPr>
            <w:tcW w:w="12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right"/>
              <w:spacing w:after="0" w:line="155" w:lineRule="exact"/>
              <w:rPr>
                <w:sz w:val="20"/>
                <w:szCs w:val="20"/>
                <w:color w:val="auto"/>
              </w:rPr>
            </w:pPr>
            <w:r>
              <w:rPr>
                <w:rFonts w:ascii="Arial" w:cs="Arial" w:eastAsia="Arial" w:hAnsi="Arial"/>
                <w:sz w:val="14"/>
                <w:szCs w:val="14"/>
                <w:color w:val="auto"/>
              </w:rPr>
              <w:t>1,147,154</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1,147,154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00" w:type="dxa"/>
            <w:vAlign w:val="bottom"/>
            <w:shd w:val="clear" w:color="auto" w:fill="CFF0FC"/>
          </w:tcPr>
          <w:p>
            <w:pPr>
              <w:spacing w:after="0"/>
              <w:rPr>
                <w:sz w:val="20"/>
                <w:szCs w:val="20"/>
                <w:color w:val="auto"/>
              </w:rPr>
            </w:pPr>
            <w:r>
              <w:rPr>
                <w:rFonts w:ascii="Arial" w:cs="Arial" w:eastAsia="Arial" w:hAnsi="Arial"/>
                <w:sz w:val="14"/>
                <w:szCs w:val="14"/>
                <w:color w:val="auto"/>
              </w:rPr>
              <w:t>Issuance of common stock for option exercises</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143,863</w:t>
            </w: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144</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438,118</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438,262</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200" w:type="dxa"/>
            <w:vAlign w:val="bottom"/>
          </w:tcPr>
          <w:p>
            <w:pPr>
              <w:spacing w:after="0" w:line="143" w:lineRule="exact"/>
              <w:rPr>
                <w:sz w:val="20"/>
                <w:szCs w:val="20"/>
                <w:color w:val="auto"/>
              </w:rPr>
            </w:pPr>
            <w:r>
              <w:rPr>
                <w:rFonts w:ascii="Arial" w:cs="Arial" w:eastAsia="Arial" w:hAnsi="Arial"/>
                <w:sz w:val="14"/>
                <w:szCs w:val="14"/>
                <w:color w:val="auto"/>
              </w:rPr>
              <w:t>Issuance of common stock under at-the-</w:t>
            </w: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tcPr>
          <w:p>
            <w:pPr>
              <w:ind w:left="120"/>
              <w:spacing w:after="0" w:line="149" w:lineRule="exact"/>
              <w:rPr>
                <w:sz w:val="20"/>
                <w:szCs w:val="20"/>
                <w:color w:val="auto"/>
              </w:rPr>
            </w:pPr>
            <w:r>
              <w:rPr>
                <w:rFonts w:ascii="Arial" w:cs="Arial" w:eastAsia="Arial" w:hAnsi="Arial"/>
                <w:sz w:val="14"/>
                <w:szCs w:val="14"/>
                <w:color w:val="auto"/>
              </w:rPr>
              <w:t>market equity distribution and sales</w:t>
            </w: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200" w:type="dxa"/>
            <w:vAlign w:val="bottom"/>
          </w:tcPr>
          <w:p>
            <w:pPr>
              <w:ind w:left="120"/>
              <w:spacing w:after="0"/>
              <w:rPr>
                <w:sz w:val="20"/>
                <w:szCs w:val="20"/>
                <w:color w:val="auto"/>
              </w:rPr>
            </w:pPr>
            <w:r>
              <w:rPr>
                <w:rFonts w:ascii="Arial" w:cs="Arial" w:eastAsia="Arial" w:hAnsi="Arial"/>
                <w:sz w:val="14"/>
                <w:szCs w:val="14"/>
                <w:color w:val="auto"/>
              </w:rPr>
              <w:t>agreements, net of offering costs</w:t>
            </w:r>
          </w:p>
        </w:tc>
        <w:tc>
          <w:tcPr>
            <w:tcW w:w="1220" w:type="dxa"/>
            <w:vAlign w:val="bottom"/>
          </w:tcPr>
          <w:p>
            <w:pPr>
              <w:jc w:val="right"/>
              <w:spacing w:after="0"/>
              <w:rPr>
                <w:sz w:val="20"/>
                <w:szCs w:val="20"/>
                <w:color w:val="auto"/>
              </w:rPr>
            </w:pPr>
            <w:r>
              <w:rPr>
                <w:rFonts w:ascii="Arial" w:cs="Arial" w:eastAsia="Arial" w:hAnsi="Arial"/>
                <w:sz w:val="14"/>
                <w:szCs w:val="14"/>
                <w:color w:val="auto"/>
              </w:rPr>
              <w:t>140,719</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141</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762,342</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762,483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00" w:type="dxa"/>
            <w:vAlign w:val="bottom"/>
            <w:shd w:val="clear" w:color="auto" w:fill="CFF0FC"/>
          </w:tcPr>
          <w:p>
            <w:pPr>
              <w:spacing w:after="0"/>
              <w:rPr>
                <w:sz w:val="20"/>
                <w:szCs w:val="20"/>
                <w:color w:val="auto"/>
              </w:rPr>
            </w:pPr>
            <w:r>
              <w:rPr>
                <w:rFonts w:ascii="Arial" w:cs="Arial" w:eastAsia="Arial" w:hAnsi="Arial"/>
                <w:sz w:val="14"/>
                <w:szCs w:val="14"/>
                <w:color w:val="auto"/>
              </w:rPr>
              <w:t>Net loss</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(4,451,229)</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(4,451,229)</w:t>
            </w:r>
          </w:p>
        </w:tc>
        <w:tc>
          <w:tcPr>
            <w:tcW w:w="0" w:type="dxa"/>
            <w:vAlign w:val="bottom"/>
          </w:tcPr>
          <w:p>
            <w:pPr>
              <w:spacing w:after="0"/>
              <w:rPr>
                <w:sz w:val="1"/>
                <w:szCs w:val="1"/>
                <w:color w:val="auto"/>
              </w:rPr>
            </w:pPr>
          </w:p>
        </w:tc>
      </w:tr>
      <w:tr>
        <w:trPr>
          <w:trHeight w:val="162"/>
        </w:trPr>
        <w:tc>
          <w:tcPr>
            <w:tcW w:w="3200" w:type="dxa"/>
            <w:vAlign w:val="bottom"/>
          </w:tcPr>
          <w:p>
            <w:pPr>
              <w:spacing w:after="0"/>
              <w:rPr>
                <w:sz w:val="20"/>
                <w:szCs w:val="20"/>
                <w:color w:val="auto"/>
              </w:rPr>
            </w:pPr>
            <w:r>
              <w:rPr>
                <w:rFonts w:ascii="Arial" w:cs="Arial" w:eastAsia="Arial" w:hAnsi="Arial"/>
                <w:sz w:val="14"/>
                <w:szCs w:val="14"/>
                <w:color w:val="auto"/>
              </w:rPr>
              <w:t>Foreign currency translation adjustments</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200" w:type="dxa"/>
            <w:vAlign w:val="bottom"/>
            <w:tcBorders>
              <w:top w:val="single" w:sz="8" w:color="CFF0FC"/>
            </w:tcBorders>
            <w:shd w:val="clear" w:color="auto" w:fill="CFF0FC"/>
          </w:tcPr>
          <w:p>
            <w:pPr>
              <w:ind w:left="260"/>
              <w:spacing w:after="0" w:line="155" w:lineRule="exact"/>
              <w:rPr>
                <w:sz w:val="20"/>
                <w:szCs w:val="20"/>
                <w:color w:val="auto"/>
              </w:rPr>
            </w:pPr>
            <w:r>
              <w:rPr>
                <w:rFonts w:ascii="Arial" w:cs="Arial" w:eastAsia="Arial" w:hAnsi="Arial"/>
                <w:sz w:val="14"/>
                <w:szCs w:val="14"/>
                <w:color w:val="auto"/>
              </w:rPr>
              <w:t>Balance at June 30, 2020</w:t>
            </w:r>
          </w:p>
        </w:tc>
        <w:tc>
          <w:tcPr>
            <w:tcW w:w="12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44,263,578</w:t>
            </w:r>
          </w:p>
        </w:tc>
        <w:tc>
          <w:tcPr>
            <w:tcW w:w="220" w:type="dxa"/>
            <w:vAlign w:val="bottom"/>
            <w:tcBorders>
              <w:top w:val="single" w:sz="8" w:color="CFF0FC"/>
            </w:tcBorders>
            <w:shd w:val="clear" w:color="auto" w:fill="CFF0FC"/>
          </w:tcPr>
          <w:p>
            <w:pPr>
              <w:spacing w:after="0"/>
              <w:rPr>
                <w:sz w:val="13"/>
                <w:szCs w:val="13"/>
                <w:color w:val="auto"/>
              </w:rPr>
            </w:pPr>
          </w:p>
        </w:tc>
        <w:tc>
          <w:tcPr>
            <w:tcW w:w="340" w:type="dxa"/>
            <w:vAlign w:val="bottom"/>
            <w:tcBorders>
              <w:top w:val="single" w:sz="8" w:color="auto"/>
              <w:bottom w:val="single" w:sz="8" w:color="auto"/>
            </w:tcBorders>
            <w:shd w:val="clear" w:color="auto" w:fill="CFF0FC"/>
          </w:tcPr>
          <w:p>
            <w:pPr>
              <w:spacing w:after="0"/>
              <w:rPr>
                <w:sz w:val="13"/>
                <w:szCs w:val="13"/>
                <w:color w:val="auto"/>
              </w:rPr>
            </w:pPr>
          </w:p>
        </w:tc>
        <w:tc>
          <w:tcPr>
            <w:tcW w:w="8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44,264</w:t>
            </w:r>
          </w:p>
        </w:tc>
        <w:tc>
          <w:tcPr>
            <w:tcW w:w="2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447,379,208</w:t>
            </w:r>
          </w:p>
        </w:tc>
        <w:tc>
          <w:tcPr>
            <w:tcW w:w="2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1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(92,796)</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10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(376,237,733)</w:t>
            </w:r>
          </w:p>
        </w:tc>
        <w:tc>
          <w:tcPr>
            <w:tcW w:w="22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71,092,943</w:t>
            </w:r>
          </w:p>
        </w:tc>
        <w:tc>
          <w:tcPr>
            <w:tcW w:w="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200" w:type="dxa"/>
            <w:vAlign w:val="bottom"/>
          </w:tcPr>
          <w:p>
            <w:pPr>
              <w:spacing w:after="0" w:line="155" w:lineRule="exact"/>
              <w:rPr>
                <w:sz w:val="20"/>
                <w:szCs w:val="20"/>
                <w:color w:val="auto"/>
              </w:rPr>
            </w:pPr>
            <w:r>
              <w:rPr>
                <w:rFonts w:ascii="Arial" w:cs="Arial" w:eastAsia="Arial" w:hAnsi="Arial"/>
                <w:sz w:val="14"/>
                <w:szCs w:val="14"/>
                <w:color w:val="auto"/>
              </w:rPr>
              <w:t>Share-based compensation</w:t>
            </w:r>
          </w:p>
        </w:tc>
        <w:tc>
          <w:tcPr>
            <w:tcW w:w="12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right"/>
              <w:spacing w:after="0" w:line="155" w:lineRule="exact"/>
              <w:rPr>
                <w:sz w:val="20"/>
                <w:szCs w:val="20"/>
                <w:color w:val="auto"/>
              </w:rPr>
            </w:pPr>
            <w:r>
              <w:rPr>
                <w:rFonts w:ascii="Arial" w:cs="Arial" w:eastAsia="Arial" w:hAnsi="Arial"/>
                <w:sz w:val="14"/>
                <w:szCs w:val="14"/>
                <w:color w:val="auto"/>
              </w:rPr>
              <w:t>1,033,971</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1,033,971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00" w:type="dxa"/>
            <w:vAlign w:val="bottom"/>
            <w:shd w:val="clear" w:color="auto" w:fill="CFF0FC"/>
          </w:tcPr>
          <w:p>
            <w:pPr>
              <w:spacing w:after="0"/>
              <w:rPr>
                <w:sz w:val="20"/>
                <w:szCs w:val="20"/>
                <w:color w:val="auto"/>
              </w:rPr>
            </w:pPr>
            <w:r>
              <w:rPr>
                <w:rFonts w:ascii="Arial" w:cs="Arial" w:eastAsia="Arial" w:hAnsi="Arial"/>
                <w:sz w:val="14"/>
                <w:szCs w:val="14"/>
                <w:color w:val="auto"/>
              </w:rPr>
              <w:t>Issuance of common stock for option exercises</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60,000</w:t>
            </w: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187,990</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188,050</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200" w:type="dxa"/>
            <w:vAlign w:val="bottom"/>
          </w:tcPr>
          <w:p>
            <w:pPr>
              <w:spacing w:after="0" w:line="143" w:lineRule="exact"/>
              <w:rPr>
                <w:sz w:val="20"/>
                <w:szCs w:val="20"/>
                <w:color w:val="auto"/>
              </w:rPr>
            </w:pPr>
            <w:r>
              <w:rPr>
                <w:rFonts w:ascii="Arial" w:cs="Arial" w:eastAsia="Arial" w:hAnsi="Arial"/>
                <w:sz w:val="14"/>
                <w:szCs w:val="14"/>
                <w:color w:val="auto"/>
                <w:w w:val="93"/>
              </w:rPr>
              <w:t>Issuance of shares under an employee stock purchase</w:t>
            </w: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200" w:type="dxa"/>
            <w:vAlign w:val="bottom"/>
          </w:tcPr>
          <w:p>
            <w:pPr>
              <w:spacing w:after="0"/>
              <w:rPr>
                <w:sz w:val="20"/>
                <w:szCs w:val="20"/>
                <w:color w:val="auto"/>
              </w:rPr>
            </w:pPr>
            <w:r>
              <w:rPr>
                <w:rFonts w:ascii="Arial" w:cs="Arial" w:eastAsia="Arial" w:hAnsi="Arial"/>
                <w:sz w:val="14"/>
                <w:szCs w:val="14"/>
                <w:color w:val="auto"/>
              </w:rPr>
              <w:t>plan (ESPP)</w:t>
            </w:r>
          </w:p>
        </w:tc>
        <w:tc>
          <w:tcPr>
            <w:tcW w:w="1220" w:type="dxa"/>
            <w:vAlign w:val="bottom"/>
          </w:tcPr>
          <w:p>
            <w:pPr>
              <w:jc w:val="right"/>
              <w:spacing w:after="0"/>
              <w:rPr>
                <w:sz w:val="20"/>
                <w:szCs w:val="20"/>
                <w:color w:val="auto"/>
              </w:rPr>
            </w:pPr>
            <w:r>
              <w:rPr>
                <w:rFonts w:ascii="Arial" w:cs="Arial" w:eastAsia="Arial" w:hAnsi="Arial"/>
                <w:sz w:val="14"/>
                <w:szCs w:val="14"/>
                <w:color w:val="auto"/>
              </w:rPr>
              <w:t>1,855</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5,452</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5,454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20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Issuance of common stock under at-the-market</w:t>
            </w:r>
          </w:p>
        </w:tc>
        <w:tc>
          <w:tcPr>
            <w:tcW w:w="1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equity distribution</w:t>
            </w:r>
          </w:p>
        </w:tc>
        <w:tc>
          <w:tcPr>
            <w:tcW w:w="1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2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and sales agreements, net of offering costs</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602,127</w:t>
            </w: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602</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4,933,312</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4,933,914</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00" w:type="dxa"/>
            <w:vAlign w:val="bottom"/>
          </w:tcPr>
          <w:p>
            <w:pPr>
              <w:spacing w:after="0"/>
              <w:rPr>
                <w:sz w:val="20"/>
                <w:szCs w:val="20"/>
                <w:color w:val="auto"/>
              </w:rPr>
            </w:pPr>
            <w:r>
              <w:rPr>
                <w:rFonts w:ascii="Arial" w:cs="Arial" w:eastAsia="Arial" w:hAnsi="Arial"/>
                <w:sz w:val="14"/>
                <w:szCs w:val="14"/>
                <w:color w:val="auto"/>
              </w:rPr>
              <w:t>Net loss</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(3,703,820)</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(3,703,820)</w:t>
            </w:r>
          </w:p>
        </w:tc>
        <w:tc>
          <w:tcPr>
            <w:tcW w:w="0" w:type="dxa"/>
            <w:vAlign w:val="bottom"/>
          </w:tcPr>
          <w:p>
            <w:pPr>
              <w:spacing w:after="0"/>
              <w:rPr>
                <w:sz w:val="1"/>
                <w:szCs w:val="1"/>
                <w:color w:val="auto"/>
              </w:rPr>
            </w:pPr>
          </w:p>
        </w:tc>
      </w:tr>
      <w:tr>
        <w:trPr>
          <w:trHeight w:val="162"/>
        </w:trPr>
        <w:tc>
          <w:tcPr>
            <w:tcW w:w="3200" w:type="dxa"/>
            <w:vAlign w:val="bottom"/>
            <w:shd w:val="clear" w:color="auto" w:fill="CFF0FC"/>
          </w:tcPr>
          <w:p>
            <w:pPr>
              <w:spacing w:after="0"/>
              <w:rPr>
                <w:sz w:val="20"/>
                <w:szCs w:val="20"/>
                <w:color w:val="auto"/>
              </w:rPr>
            </w:pPr>
            <w:r>
              <w:rPr>
                <w:rFonts w:ascii="Arial" w:cs="Arial" w:eastAsia="Arial" w:hAnsi="Arial"/>
                <w:sz w:val="14"/>
                <w:szCs w:val="14"/>
                <w:color w:val="auto"/>
              </w:rPr>
              <w:t>Foreign currency translation adjustments</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2,761</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2,761</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200" w:type="dxa"/>
            <w:vAlign w:val="bottom"/>
          </w:tcPr>
          <w:p>
            <w:pPr>
              <w:ind w:left="260"/>
              <w:spacing w:after="0" w:line="155" w:lineRule="exact"/>
              <w:rPr>
                <w:sz w:val="20"/>
                <w:szCs w:val="20"/>
                <w:color w:val="auto"/>
              </w:rPr>
            </w:pPr>
            <w:r>
              <w:rPr>
                <w:rFonts w:ascii="Arial" w:cs="Arial" w:eastAsia="Arial" w:hAnsi="Arial"/>
                <w:sz w:val="14"/>
                <w:szCs w:val="14"/>
                <w:color w:val="auto"/>
              </w:rPr>
              <w:t>Balance at September 30, 2020</w:t>
            </w:r>
          </w:p>
        </w:tc>
        <w:tc>
          <w:tcPr>
            <w:tcW w:w="12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44,927,560</w:t>
            </w:r>
          </w:p>
        </w:tc>
        <w:tc>
          <w:tcPr>
            <w:tcW w:w="220" w:type="dxa"/>
            <w:vAlign w:val="bottom"/>
          </w:tcPr>
          <w:p>
            <w:pPr>
              <w:spacing w:after="0"/>
              <w:rPr>
                <w:sz w:val="13"/>
                <w:szCs w:val="13"/>
                <w:color w:val="auto"/>
              </w:rPr>
            </w:pPr>
          </w:p>
        </w:tc>
        <w:tc>
          <w:tcPr>
            <w:tcW w:w="340" w:type="dxa"/>
            <w:vAlign w:val="bottom"/>
            <w:tcBorders>
              <w:top w:val="single" w:sz="8" w:color="auto"/>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44,928</w:t>
            </w:r>
          </w:p>
        </w:tc>
        <w:tc>
          <w:tcPr>
            <w:tcW w:w="22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453,539,933</w:t>
            </w:r>
          </w:p>
        </w:tc>
        <w:tc>
          <w:tcPr>
            <w:tcW w:w="2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(90,035)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(379,941,553)</w:t>
            </w:r>
          </w:p>
        </w:tc>
        <w:tc>
          <w:tcPr>
            <w:tcW w:w="2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5"/>
                <w:szCs w:val="5"/>
                <w:color w:val="auto"/>
                <w:w w:val="70"/>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73,553,273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6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7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jc w:val="right"/>
              <w:ind w:right="147"/>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77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Operating activities: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38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(8,051,107)</w:t>
            </w:r>
          </w:p>
        </w:tc>
        <w:tc>
          <w:tcPr>
            <w:tcW w:w="560" w:type="dxa"/>
            <w:vAlign w:val="bottom"/>
          </w:tcPr>
          <w:p>
            <w:pPr>
              <w:jc w:val="right"/>
              <w:ind w:right="40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(10,868,608)</w:t>
            </w:r>
          </w:p>
        </w:tc>
        <w:tc>
          <w:tcPr>
            <w:tcW w:w="0" w:type="dxa"/>
            <w:vAlign w:val="bottom"/>
          </w:tcPr>
          <w:p>
            <w:pPr>
              <w:spacing w:after="0"/>
              <w:rPr>
                <w:sz w:val="1"/>
                <w:szCs w:val="1"/>
                <w:color w:val="auto"/>
              </w:rPr>
            </w:pPr>
          </w:p>
        </w:tc>
      </w:tr>
      <w:tr>
        <w:trPr>
          <w:trHeight w:val="229"/>
        </w:trPr>
        <w:tc>
          <w:tcPr>
            <w:tcW w:w="7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Pr>
          <w:p>
            <w:pPr>
              <w:ind w:left="740"/>
              <w:spacing w:after="0"/>
              <w:rPr>
                <w:sz w:val="20"/>
                <w:szCs w:val="20"/>
                <w:color w:val="auto"/>
              </w:rPr>
            </w:pPr>
            <w:r>
              <w:rPr>
                <w:rFonts w:ascii="Arial" w:cs="Arial" w:eastAsia="Arial" w:hAnsi="Arial"/>
                <w:sz w:val="18"/>
                <w:szCs w:val="18"/>
                <w:color w:val="auto"/>
              </w:rPr>
              <w:t>Non-cash stock-based compensation</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2,474,485</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2,777,503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19,775</w:t>
            </w: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15,487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Pr>
          <w:p>
            <w:pPr>
              <w:ind w:left="740"/>
              <w:spacing w:after="0"/>
              <w:rPr>
                <w:sz w:val="20"/>
                <w:szCs w:val="20"/>
                <w:color w:val="auto"/>
              </w:rPr>
            </w:pPr>
            <w:r>
              <w:rPr>
                <w:rFonts w:ascii="Arial" w:cs="Arial" w:eastAsia="Arial" w:hAnsi="Arial"/>
                <w:sz w:val="18"/>
                <w:szCs w:val="18"/>
                <w:color w:val="auto"/>
              </w:rPr>
              <w:t>Non-cash lease expense</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163,282</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152,771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Changes in assets and liabilities: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Pr>
          <w:p>
            <w:pPr>
              <w:ind w:left="1120"/>
              <w:spacing w:after="0"/>
              <w:rPr>
                <w:sz w:val="20"/>
                <w:szCs w:val="20"/>
                <w:color w:val="auto"/>
              </w:rPr>
            </w:pPr>
            <w:r>
              <w:rPr>
                <w:rFonts w:ascii="Arial" w:cs="Arial" w:eastAsia="Arial" w:hAnsi="Arial"/>
                <w:sz w:val="18"/>
                <w:szCs w:val="18"/>
                <w:color w:val="auto"/>
              </w:rPr>
              <w:t>Prepaid expenses and other assets</w:t>
            </w:r>
          </w:p>
        </w:tc>
        <w:tc>
          <w:tcPr>
            <w:tcW w:w="36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(510,486)</w:t>
            </w:r>
          </w:p>
        </w:tc>
        <w:tc>
          <w:tcPr>
            <w:tcW w:w="56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(378,314)</w:t>
            </w:r>
          </w:p>
        </w:tc>
        <w:tc>
          <w:tcPr>
            <w:tcW w:w="0" w:type="dxa"/>
            <w:vAlign w:val="bottom"/>
          </w:tcPr>
          <w:p>
            <w:pPr>
              <w:spacing w:after="0"/>
              <w:rPr>
                <w:sz w:val="1"/>
                <w:szCs w:val="1"/>
                <w:color w:val="auto"/>
              </w:rPr>
            </w:pPr>
          </w:p>
        </w:tc>
      </w:tr>
      <w:tr>
        <w:trPr>
          <w:trHeight w:val="229"/>
        </w:trPr>
        <w:tc>
          <w:tcPr>
            <w:tcW w:w="7780" w:type="dxa"/>
            <w:vAlign w:val="bottom"/>
            <w:shd w:val="clear" w:color="auto" w:fill="CFF0FC"/>
          </w:tcPr>
          <w:p>
            <w:pPr>
              <w:ind w:left="1120"/>
              <w:spacing w:after="0"/>
              <w:rPr>
                <w:sz w:val="20"/>
                <w:szCs w:val="20"/>
                <w:color w:val="auto"/>
              </w:rPr>
            </w:pPr>
            <w:r>
              <w:rPr>
                <w:rFonts w:ascii="Arial" w:cs="Arial" w:eastAsia="Arial" w:hAnsi="Arial"/>
                <w:sz w:val="18"/>
                <w:szCs w:val="18"/>
                <w:color w:val="auto"/>
              </w:rPr>
              <w:t>Accounts payable, accrued liabilities and other liabilities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330,492</w:t>
            </w: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(414,139)</w:t>
            </w:r>
          </w:p>
        </w:tc>
        <w:tc>
          <w:tcPr>
            <w:tcW w:w="0" w:type="dxa"/>
            <w:vAlign w:val="bottom"/>
          </w:tcPr>
          <w:p>
            <w:pPr>
              <w:spacing w:after="0"/>
              <w:rPr>
                <w:sz w:val="1"/>
                <w:szCs w:val="1"/>
                <w:color w:val="auto"/>
              </w:rPr>
            </w:pPr>
          </w:p>
        </w:tc>
      </w:tr>
      <w:tr>
        <w:trPr>
          <w:trHeight w:val="230"/>
        </w:trPr>
        <w:tc>
          <w:tcPr>
            <w:tcW w:w="7780" w:type="dxa"/>
            <w:vAlign w:val="bottom"/>
          </w:tcPr>
          <w:p>
            <w:pPr>
              <w:ind w:left="1120"/>
              <w:spacing w:after="0"/>
              <w:rPr>
                <w:sz w:val="20"/>
                <w:szCs w:val="20"/>
                <w:color w:val="auto"/>
              </w:rPr>
            </w:pPr>
            <w:r>
              <w:rPr>
                <w:rFonts w:ascii="Arial" w:cs="Arial" w:eastAsia="Arial" w:hAnsi="Arial"/>
                <w:sz w:val="18"/>
                <w:szCs w:val="18"/>
                <w:color w:val="auto"/>
              </w:rPr>
              <w:t>Operating lease liabilities</w:t>
            </w:r>
          </w:p>
        </w:tc>
        <w:tc>
          <w:tcPr>
            <w:tcW w:w="36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(169,080)</w:t>
            </w:r>
          </w:p>
        </w:tc>
        <w:tc>
          <w:tcPr>
            <w:tcW w:w="56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(161,977)</w:t>
            </w:r>
          </w:p>
        </w:tc>
        <w:tc>
          <w:tcPr>
            <w:tcW w:w="0" w:type="dxa"/>
            <w:vAlign w:val="bottom"/>
          </w:tcPr>
          <w:p>
            <w:pPr>
              <w:spacing w:after="0"/>
              <w:rPr>
                <w:sz w:val="1"/>
                <w:szCs w:val="1"/>
                <w:color w:val="auto"/>
              </w:rPr>
            </w:pPr>
          </w:p>
        </w:tc>
      </w:tr>
      <w:tr>
        <w:trPr>
          <w:trHeight w:val="223"/>
        </w:trPr>
        <w:tc>
          <w:tcPr>
            <w:tcW w:w="7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(5,742,639)</w:t>
            </w:r>
          </w:p>
        </w:tc>
        <w:tc>
          <w:tcPr>
            <w:tcW w:w="18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(8,877,277)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tcPr>
          <w:p>
            <w:pPr>
              <w:spacing w:after="0"/>
              <w:rPr>
                <w:sz w:val="20"/>
                <w:szCs w:val="20"/>
                <w:color w:val="auto"/>
              </w:rPr>
            </w:pPr>
            <w:r>
              <w:rPr>
                <w:rFonts w:ascii="Arial" w:cs="Arial" w:eastAsia="Arial" w:hAnsi="Arial"/>
                <w:sz w:val="18"/>
                <w:szCs w:val="18"/>
                <w:color w:val="auto"/>
              </w:rPr>
              <w:t>Investing activities: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Acquisition of property and equipment</w:t>
            </w:r>
          </w:p>
        </w:tc>
        <w:tc>
          <w:tcPr>
            <w:tcW w:w="3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(28,732)</w:t>
            </w:r>
          </w:p>
        </w:tc>
        <w:tc>
          <w:tcPr>
            <w:tcW w:w="5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(3,794)</w:t>
            </w:r>
          </w:p>
        </w:tc>
        <w:tc>
          <w:tcPr>
            <w:tcW w:w="0" w:type="dxa"/>
            <w:vAlign w:val="bottom"/>
          </w:tcPr>
          <w:p>
            <w:pPr>
              <w:spacing w:after="0"/>
              <w:rPr>
                <w:sz w:val="1"/>
                <w:szCs w:val="1"/>
                <w:color w:val="auto"/>
              </w:rPr>
            </w:pPr>
          </w:p>
        </w:tc>
      </w:tr>
      <w:tr>
        <w:trPr>
          <w:trHeight w:val="223"/>
        </w:trPr>
        <w:tc>
          <w:tcPr>
            <w:tcW w:w="7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(28,732)</w:t>
            </w:r>
          </w:p>
        </w:tc>
        <w:tc>
          <w:tcPr>
            <w:tcW w:w="180" w:type="dxa"/>
            <w:vAlign w:val="bottom"/>
            <w:tcBorders>
              <w:bottom w:val="single" w:sz="8" w:color="CFF0FC"/>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Financing activities: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80" w:type="dxa"/>
            <w:vAlign w:val="bottom"/>
          </w:tcPr>
          <w:p>
            <w:pPr>
              <w:ind w:left="380"/>
              <w:spacing w:after="0"/>
              <w:rPr>
                <w:sz w:val="20"/>
                <w:szCs w:val="20"/>
                <w:color w:val="auto"/>
              </w:rPr>
            </w:pPr>
            <w:r>
              <w:rPr>
                <w:rFonts w:ascii="Arial" w:cs="Arial" w:eastAsia="Arial" w:hAnsi="Arial"/>
                <w:sz w:val="18"/>
                <w:szCs w:val="18"/>
                <w:color w:val="auto"/>
              </w:rPr>
              <w:t>Proceeds from issuance of common stock and exercise of common</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520"/>
              <w:spacing w:after="0"/>
              <w:rPr>
                <w:sz w:val="20"/>
                <w:szCs w:val="20"/>
                <w:color w:val="auto"/>
              </w:rPr>
            </w:pPr>
            <w:r>
              <w:rPr>
                <w:rFonts w:ascii="Arial" w:cs="Arial" w:eastAsia="Arial" w:hAnsi="Arial"/>
                <w:sz w:val="18"/>
                <w:szCs w:val="18"/>
                <w:color w:val="auto"/>
              </w:rPr>
              <w:t>stock options</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20,851,540</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6,936,765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Common stock issuance costs</w:t>
            </w:r>
          </w:p>
        </w:tc>
        <w:tc>
          <w:tcPr>
            <w:tcW w:w="3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(118,368)</w:t>
            </w:r>
          </w:p>
        </w:tc>
        <w:tc>
          <w:tcPr>
            <w:tcW w:w="5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(201,364)</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Proceeds from issuance of equity awards under ESPP</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6,110</w:t>
            </w:r>
          </w:p>
        </w:tc>
        <w:tc>
          <w:tcPr>
            <w:tcW w:w="1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20,739,282</w:t>
            </w:r>
          </w:p>
        </w:tc>
        <w:tc>
          <w:tcPr>
            <w:tcW w:w="18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6,747,109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20,710</w:t>
            </w:r>
          </w:p>
        </w:tc>
        <w:tc>
          <w:tcPr>
            <w:tcW w:w="1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Net change in cash and cash equivalents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14,988,621</w:t>
            </w: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(2,131,316)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beginning of period</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60,036,763</w:t>
            </w:r>
          </w:p>
        </w:tc>
        <w:tc>
          <w:tcPr>
            <w:tcW w:w="1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63,792,657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end of period</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75,025,384</w:t>
            </w:r>
          </w:p>
        </w:tc>
        <w:tc>
          <w:tcPr>
            <w:tcW w:w="18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40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61,661,341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Arial" w:cs="Arial" w:eastAsia="Arial" w:hAnsi="Arial"/>
                <w:sz w:val="18"/>
                <w:szCs w:val="18"/>
                <w:color w:val="auto"/>
              </w:rPr>
              <w:t>Supplemental disclosure of non-cash investing activities:</w:t>
            </w: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80" w:type="dxa"/>
            <w:vAlign w:val="bottom"/>
            <w:tcBorders>
              <w:bottom w:val="single" w:sz="8" w:color="CFF0FC"/>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Right-of-use asset obtained in exchange for operating lease liability</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875,515</w:t>
            </w:r>
          </w:p>
        </w:tc>
        <w:tc>
          <w:tcPr>
            <w:tcW w:w="18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40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ind w:right="-79"/>
        <w:spacing w:after="0"/>
        <w:rPr>
          <w:sz w:val="20"/>
          <w:szCs w:val="20"/>
          <w:color w:val="auto"/>
        </w:rPr>
      </w:pPr>
      <w:r>
        <w:rPr>
          <w:rFonts w:ascii="Arial" w:cs="Arial" w:eastAsia="Arial" w:hAnsi="Arial"/>
          <w:sz w:val="18"/>
          <w:szCs w:val="18"/>
          <w:b w:val="1"/>
          <w:bCs w:val="1"/>
          <w:color w:val="auto"/>
        </w:rPr>
        <w:t>MEDICINOVA,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Interim Financial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Business</w:t>
      </w:r>
    </w:p>
    <w:p>
      <w:pPr>
        <w:spacing w:after="0" w:line="117"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MediciNova, Inc. (the “Company” or “MediciNova”) was incorporated in the state of Delaware in September 2000 and is a public company. The Company’s common stock is listed in both the United States and Japan and trades on the NASDAQ Global Market and the JASDAQ Market of the Tokyo Stock Exchange. The Company is a biopharmaceutical company focused on developing novel therapeutics for the treatment of serious diseases with unmet medical needs with a commercial focus on the United States market. The Company’s current strategy is to focus its development activities on MN-166 (ibudilast) for neurological and other disorders such as progressive multiple sclerosis (MS), amyotrophic lateral sclerosis (ALS), chemotherapy-induced peripheral neuropathy, degenerative cervical myelopathy, glioblastoma, substance dependence and addiction (e.g., methamphetamine dependence, opioid dependence, and alcohol dependence), and prevention of acute respiratory distress syndrome, and MN-001 (tipelukast) for fibrotic diseases such as nonalcoholic steatohepatitis (NASH) and idiopathic pulmonary fibrosis (IPF). The Company’s pipeline also includes MN-221 (bedoradrine) for the treatment of acute exacerbation of asthma, and MN-029 (denibulin) for solid tumor cancers.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accounting principles generally accepted in the United States (GAAP) for interim financial information and with the instructions of the Securities and Exchange Commission (SEC) on Form 10-Q and Rule 10-01 of Regulation S-X. Accordingly, they do not include all the information and disclosures required by GAAP for complete financial statements. In the opinion of management, the consolidated financial statements include all adjustments necessary, which are of a normal and recurring nature, for the fair presentation of the Company’s financial position and of the results of operations and cash flows for the periods presented. The accompanying unaudited consolidated financial statements include the accounts of the Company and its wholly owned subsidiaries.</w:t>
      </w:r>
    </w:p>
    <w:p>
      <w:pPr>
        <w:spacing w:after="0" w:line="164"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These financial statements should be read in conjunction with the audited consolidated financial statements and notes thereto for the year ended December 31, 2020 included in the Company’s Annual Report on Form 10-K filed with the SEC. The results of operations for the interim period shown in this report are not necessarily indicative of the results that may be expected for any other interim period or for the full year. The balance sheet at December 31, 2020 has been derived from the audited financial statements at that date but does not include all the information and footnotes required by GAAP for complete financial statements.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117"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Certain reclassifications have been made to the prior year financial statements to conform to the current year presentation. “Right-of-use asset” was previously presented within “Prepaid expenses and other current assets” and was reclassified to its own line on the consolidated balance sheet for the year ended December 31, 2020. “Operating lease liability” was previously presented within “Accrued liabilities and other current liabilities” and was reclassified to its own line on the consolidated balance sheet for the year ended December 31, 2020. Such reclassifications also resulted in a change to the presentation of items within operating activities in the statement of cashflows for the nine months ended September 30, 2020. There was no change to total net cash used in operating activities. These reclassifications had no effect on previously reported results of operations, cash flows, or retained earnings.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The consolidated financial statements include the accounts of MediciNova, Inc. and its wholly owned subsidiaries. All intercompany transactions and balances are eliminated in consolidation.</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17" w:lineRule="exact"/>
        <w:rPr>
          <w:sz w:val="20"/>
          <w:szCs w:val="20"/>
          <w:color w:val="auto"/>
        </w:rPr>
      </w:pPr>
    </w:p>
    <w:p>
      <w:pPr>
        <w:ind w:right="80" w:firstLine="510"/>
        <w:spacing w:after="0" w:line="311" w:lineRule="auto"/>
        <w:rPr>
          <w:sz w:val="20"/>
          <w:szCs w:val="20"/>
          <w:color w:val="auto"/>
        </w:rPr>
      </w:pPr>
      <w:r>
        <w:rPr>
          <w:rFonts w:ascii="Arial" w:cs="Arial" w:eastAsia="Arial" w:hAnsi="Arial"/>
          <w:sz w:val="16"/>
          <w:szCs w:val="16"/>
          <w:color w:val="auto"/>
        </w:rPr>
        <w:t>Operating segments are identified as components of an enterprise about which separate discrete financial information is available for evaluation by the chief operating decision-maker in making decisions regarding resource allocation and assessing performance. The Company operates in a single operating segment – the acquisition and development of therapeutics for the treatment of serious diseases with unmet medical needs.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3" w:right="39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Cash and cash equivalents consist of cash and other highly liquid investments including money market accounts.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Development and Patents</w:t>
      </w:r>
    </w:p>
    <w:p>
      <w:pPr>
        <w:spacing w:after="0" w:line="117"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Research and development costs are expensed in the period incurred. Research and development costs primarily consist of salaries and related expenses for personnel, facilities and depreciation, research and development supplies, licenses and outside services. Such research and development costs totaled $2.0 million and $2.1 million for the three months ended September 30, 2021 and 2020, respectively, and $6.4 million and $5.4 million for the nine months ended September 30, 2021 and 2020, respectively.</w:t>
      </w:r>
    </w:p>
    <w:p>
      <w:pPr>
        <w:spacing w:after="0" w:line="227"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Costs related to filing and pursuing patent applications are expensed as incurred, as recoverability of such expenditures is uncertain. The Company includes all external costs related to the filing of patents in Research, Development and Patents expenses. Such patent-related expenses totaled $0.1 million for the three months ended September 30, 2021 and 2020, respectively, and $0.4 million and $0.3 million for the nine months ended September 30, 2021 and 2020, respectively.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Clinical Trial Accruals and Prepaid Expenses</w:t>
      </w:r>
    </w:p>
    <w:p>
      <w:pPr>
        <w:spacing w:after="0" w:line="117"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212529"/>
        </w:rPr>
        <w:t>Costs for preclinical studies, clinical studies and manufacturing activities are recognized as research and development expenses based on an evaluation of the progress by Company vendors towards completion of specific tasks, using data such as patient enrollment, clinical site activations or information provided to the Company by such vendors regarding their actual costs incurred. Payments for these activities are based on the terms of individual contracts and payment timing may differ significantly from the period in which the services are performed. The Company determines accrual estimates through reports from and discussions with applicable personnel and outside service providers as to the progress or state of completion of studies, or the services completed. The Company’s estimates of accrued expenses as of each balance sheet date are based on the facts and circumstances known at the time. Costs that are paid in advance of performance are deferred as a prepaid expense and amortized over the service period as the services are provided.</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Leases</w:t>
      </w:r>
    </w:p>
    <w:p>
      <w:pPr>
        <w:spacing w:after="0" w:line="117"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212529"/>
        </w:rPr>
        <w:t>The Company determines if an arrangement is a lease at inception and if so, determines whether the lease qualifies as an operating or finance lease. The Company does not recognize right-of-use assets and lease liabilities for leases with a term of 12 months or less and does not separate non-lease components from lease. Operating lease right-of-use assets and liabilities are recognized at commencement date based on the present value of lease payments over the lease term. Operating lease expense is recognized on a straight-line basis over the lease term and is included in general and administrative expenses. As most of the Company’s operating leases do not provide an implicit rate, the Company uses its incremental borrowing rate based on the information available at commencement date in determining the present value of lease payments. The incremental borrowing rate is the rate of interest that the Company would expect to pay to borrow on a collateralized and fully amortizing basis over a similar term an amount equal to the lease payments in a similar economic environment.</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 on the Company’s Business</w:t>
      </w:r>
    </w:p>
    <w:p>
      <w:pPr>
        <w:spacing w:after="0" w:line="117" w:lineRule="exact"/>
        <w:rPr>
          <w:sz w:val="20"/>
          <w:szCs w:val="20"/>
          <w:color w:val="auto"/>
        </w:rPr>
      </w:pPr>
    </w:p>
    <w:p>
      <w:pPr>
        <w:ind w:right="100" w:firstLine="510"/>
        <w:spacing w:after="0" w:line="288" w:lineRule="auto"/>
        <w:rPr>
          <w:sz w:val="20"/>
          <w:szCs w:val="20"/>
          <w:color w:val="auto"/>
        </w:rPr>
      </w:pPr>
      <w:r>
        <w:rPr>
          <w:rFonts w:ascii="Arial" w:cs="Arial" w:eastAsia="Arial" w:hAnsi="Arial"/>
          <w:sz w:val="16"/>
          <w:szCs w:val="16"/>
          <w:color w:val="auto"/>
        </w:rPr>
        <w:t>The pandemic caused by an outbreak of a new strain of coronavirus (“COVID-19” or “the pandemic”) has resulted, and is likely to continue to result, in significant national and global economic disruption and may adversely affect the Company’s business. Although the pandemic resulted in a decrease in the number of patient visits at certain of the Company’s clinical trial sites, the Company expects this effect to be temporary. The Company has seen an increase in the number of patient visits compared to earlier in the pandemic and the Company continues to enroll patients in clinical trials. Throughout the pandemic, the Company has continued with routine clinical trial activities including executing new clinical trial agreements, negotiating budgets, institutional review board (IRB) approvals, site training, and other activities related to the initiation of new clinical trial sites. In addition, following the outbreak of the pandemic, the Company designed a clinical trial to evaluate MN-166 (ibudilast) for prevention of acute respiratory distress syndrome (ARDS) caused by COVID-19. Based on the Company’s current assessment, the Company does not expect a material negative impact on its clinical development plans, long-term development timeline or liquidity due to the worldwide spread of the COVID-19 virus. However, the Company is actively monitoring this situation and the possible effects on its financial condition, liquidity, operations, suppliers, industry, and workforce.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240" w:firstLine="510"/>
        <w:spacing w:after="0" w:line="342" w:lineRule="auto"/>
        <w:rPr>
          <w:sz w:val="20"/>
          <w:szCs w:val="20"/>
          <w:color w:val="auto"/>
        </w:rPr>
      </w:pPr>
      <w:r>
        <w:rPr>
          <w:rFonts w:ascii="Arial" w:cs="Arial" w:eastAsia="Arial" w:hAnsi="Arial"/>
          <w:sz w:val="16"/>
          <w:szCs w:val="16"/>
          <w:color w:val="auto"/>
        </w:rPr>
        <w:t>The preparation of the consolidated financial statements in conformity with GAAP requires management to make estimates and assumptions that affect the amounts reported in the consolidated financial statements and the accompanying notes. Actual results could differ from those estimates.</w:t>
      </w: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1" w:right="37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right="240" w:firstLine="510"/>
        <w:spacing w:after="0" w:line="255" w:lineRule="auto"/>
        <w:rPr>
          <w:sz w:val="20"/>
          <w:szCs w:val="20"/>
          <w:color w:val="auto"/>
        </w:rPr>
      </w:pPr>
      <w:r>
        <w:rPr>
          <w:rFonts w:ascii="Arial" w:cs="Arial" w:eastAsia="Arial" w:hAnsi="Arial"/>
          <w:sz w:val="18"/>
          <w:szCs w:val="18"/>
          <w:color w:val="auto"/>
        </w:rPr>
        <w:t>In December 2019, the Financial Accounting Standards Board (“FASB”) issued ASU No. 2019-12, Income Taxes (Topic 740): Simplifying the Accounting for Income Taxes (“ASU 2019-12”). ASU 2019-12 simplifies the accounting for income taxes by removing certain exceptions to the general principles in Topic 740. ASU 2019-12 also improves the consistent application, and the simplification, of other areas of Topic 740 by clarifying and amending existing guidance. ASU 2019-12 is effective for fiscal years beginning after December 15, 2020, and interim periods within those fiscal years, with early adoption permitted. The Company adopted ASU 2019-12 on January 1, 2021 with no material impact on its consolidated financial statements and related disclosures.</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In June 2016, the FASB issued Accounting Standards Update (“ASU”) No. 2016-13, Financial Instruments— Credit Losses (Topic 326): Measurement of Credit Losses on Financial Instruments (“ASU 2016-13”). The ASU introduced a new credit loss methodology, the Current Expected Credit Losses (“CECL”) methodology, which requires earlier recognition of credit losses, while also providing additional transparency about credit risk. The CECL methodology utilizes a lifetime “expected credit loss” measurement objective for the recognition of credit losses for loans, held-to maturity debt securities, trade receivables and other receivables measured at amortized cost at the time the financial asset is originated or acquired. Subsequent to the issuance of ASU 2016-13, the FASB issued several additional ASUs to clarify implementation guidance, provide narrow-scope improvements and provide additional disclosure guidance. In November 2019, the FASB issued an amendment making this ASU effective for fiscal years beginning after December 15, 2022 for smaller reporting companies. The new standard will be effective for the Company on January 1, 2023 or at such earlier time where it is no longer a smaller reporting company. The Company is currently evaluating the potential impact that this standard may have on its consolidated financial statements and related disclosures.</w:t>
      </w:r>
    </w:p>
    <w:p>
      <w:pPr>
        <w:spacing w:after="0" w:line="185"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In August 2020, the FASB issued ASU No. 2020-06, Debt – Debt with Conversion and Other Options (Subtopic 470-20) and Derivatives and Hedging – Contracts in Entity’s Own Equity (Subtopic 815-40) (“ASU 2020-06”). ASU 2020-06 simplifies the accounting for convertible debt instruments by reducing the number of accounting models and the number of embedded features that could be recognized separately from the host contract. Consequently, more convertible debt instruments will be accounted for as a single liability measured at its amortized cost, as long as no other features require bifurcation and recognition as derivatives. ASU 2020-06 also requires use of the if-converted method in the diluted earnings per share calculation for convertible instruments. ASU 2020-06 is effective for fiscal years beginning after December 15, 2023, and interim periods within those fiscal years for smaller reporting companies, with early adoption permitted. The new standard will be effective for the Company on January 1, 2024 or at such earlier time where it is no longer a smaller reporting company. The Company is currently evaluating the potential impact that this standard may have on its consolidated financial statements and related disclosures.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Policy</w:t>
      </w:r>
    </w:p>
    <w:p>
      <w:pPr>
        <w:spacing w:after="0" w:line="117"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Revenues consist mainly of research and development services performed under a contract with a customer. The Company evaluates the separate performance obligation(s) under each contract, allocates the transaction price to each performance obligation considering the estimated stand-alone selling prices of the services and recognizes revenue upon the satisfaction of such obligations over time or at a point in time dependent on the satisfaction of one of the following criteria: (1) the customer simultaneously receives and consumes the economic benefits provided by the vendor’s performance (2) the vendor creates or enhances an asset controlled by the customer (3) the vendor’s performance does not create an asset for which the vendor has an alternative use, and the vendor has an enforceable right to payment for performance completed to date.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Kissei Pharmaceutical Co., Ltd</w:t>
      </w:r>
    </w:p>
    <w:p>
      <w:pPr>
        <w:spacing w:after="0" w:line="117"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In October 2011, the Company entered into a collaboration agreement with Kissei Pharmaceutical Co., Ltd., (“Kissei”), to perform research and development services relating to MN-221 (bedoradrine) in exchange for a non-refundable upfront payment of $2.5 million. Under the terms of the agreement, the Company is responsible for all costs to be incurred in the performance of these services. The Company assessed the services in accordance with the authoritative guidance and concluded that the two studies to be performed under the agreement represented two separate performance obligations. The transaction price was allocated among the two studies that were deemed separate performance obligations based on the expected costs to be incurred for each obligation. Revenue is recognized proportional to the total costs expected for each performance obligation as incurred over the service period. The first study was completed in 2013. The amount received from Kissei and allocated, net of the amount recorded as revenue, is included on the balance sheet as current deferred revenue. No revenue was recognized for the three and nine months ended September 30, 2021 and 2020 in connection with the collaboration agreement with Kissei. As of September 30, 2021, the Company and Kissei were working to mutually terminate the collaboration agreement and cancel the second study contemplated thereunder. In October 2021, the Company refunded $1.3 million of the prepayment and the Company expects to finalize the termination agreement by December 31, 2021.</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Genzyme Corporation</w:t>
      </w:r>
    </w:p>
    <w:p>
      <w:pPr>
        <w:spacing w:after="0" w:line="117" w:lineRule="exact"/>
        <w:rPr>
          <w:sz w:val="20"/>
          <w:szCs w:val="20"/>
          <w:color w:val="auto"/>
        </w:rPr>
      </w:pPr>
    </w:p>
    <w:p>
      <w:pPr>
        <w:ind w:right="100" w:firstLine="510"/>
        <w:spacing w:after="0" w:line="254" w:lineRule="auto"/>
        <w:rPr>
          <w:sz w:val="20"/>
          <w:szCs w:val="20"/>
          <w:color w:val="auto"/>
        </w:rPr>
      </w:pPr>
      <w:r>
        <w:rPr>
          <w:rFonts w:ascii="Arial" w:cs="Arial" w:eastAsia="Arial" w:hAnsi="Arial"/>
          <w:sz w:val="18"/>
          <w:szCs w:val="18"/>
          <w:color w:val="auto"/>
        </w:rPr>
        <w:t>In December 2005, Avigen, Inc. and Genzyme Corporation (“Genzyme”) entered into an Assignment Agreement (the “Genzyme Agreement”) in which Genzyme acquired certain gene therapy intellectual property, programs and other related assets from Avigen in exchange for an initial $12.0 million payment, Avigen could also receive additional development milestone payments, sublicensing fees and royalty payments based on the successful development of products by Genzyme utilizing technologies previously developed by Avigen. Avigen was subsequently acquired by the Company in December 2009 along with Avigen’s rights and obligations under the Genzyme Agreement. If Genzyme fails to diligently pursue the commercialization or marketing of products using the assigned technology, as specified in the Genzyme Agreement, some of the rights assigned could revert back to the Company at a future date.</w:t>
      </w:r>
    </w:p>
    <w:p>
      <w:pPr>
        <w:spacing w:after="0" w:line="195"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The development milestones outlined in the Genzyme Agreement did not meet the definition of a substantive milestone obligation under authoritative guidance on revenue recognition for milestone payments, as Genzyme is responsible for the development of the product and there is no further substantive service effort required by the Company. In March 2021, the Company received notice that a gene therapy product based on AAV (adeno-associated virus) vector technology, which is covered under the Genzyme Agreement, achieved two clinical development milestones, triggering two milestone payments. Accordingly, the Company recognized revenue of $4 million for the nine months ended September 30, 2021.</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121" w:lineRule="exact"/>
        <w:rPr>
          <w:sz w:val="20"/>
          <w:szCs w:val="20"/>
          <w:color w:val="auto"/>
        </w:rPr>
      </w:pPr>
    </w:p>
    <w:p>
      <w:pPr>
        <w:ind w:right="180" w:firstLine="510"/>
        <w:spacing w:after="0" w:line="259" w:lineRule="auto"/>
        <w:rPr>
          <w:sz w:val="20"/>
          <w:szCs w:val="20"/>
          <w:color w:val="auto"/>
        </w:rPr>
      </w:pPr>
      <w:r>
        <w:rPr>
          <w:rFonts w:ascii="Arial" w:cs="Arial" w:eastAsia="Arial" w:hAnsi="Arial"/>
          <w:sz w:val="18"/>
          <w:szCs w:val="18"/>
          <w:color w:val="auto"/>
        </w:rPr>
        <w:t>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a three-tier fair value hierarchy has been established, which prioritizes the inputs used in measuring fair value as follows:</w:t>
      </w:r>
    </w:p>
    <w:p>
      <w:pPr>
        <w:spacing w:after="0" w:line="9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Level 1: Observable inputs such as quoted prices in active markets;</w:t>
      </w:r>
    </w:p>
    <w:p>
      <w:pPr>
        <w:spacing w:after="0" w:line="131" w:lineRule="exact"/>
        <w:rPr>
          <w:sz w:val="20"/>
          <w:szCs w:val="20"/>
          <w:color w:val="auto"/>
        </w:rPr>
      </w:pPr>
    </w:p>
    <w:p>
      <w:pPr>
        <w:ind w:left="1220" w:right="840" w:hanging="647"/>
        <w:spacing w:after="0" w:line="277" w:lineRule="auto"/>
        <w:rPr>
          <w:sz w:val="20"/>
          <w:szCs w:val="20"/>
          <w:color w:val="auto"/>
        </w:rPr>
      </w:pPr>
      <w:r>
        <w:rPr>
          <w:rFonts w:ascii="Arial" w:cs="Arial" w:eastAsia="Arial" w:hAnsi="Arial"/>
          <w:sz w:val="18"/>
          <w:szCs w:val="18"/>
          <w:color w:val="auto"/>
        </w:rPr>
        <w:t>Level 2: Inputs are quoted prices for similar items in active markets or quoted prices for identical or similar items in markets that are not active near the measurement date; and</w:t>
      </w:r>
    </w:p>
    <w:p>
      <w:pPr>
        <w:spacing w:after="0" w:line="7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Level 3: Unobservable inputs due to little or no market data, which require the reporting entity to develop its own assumptions.</w:t>
      </w:r>
    </w:p>
    <w:p>
      <w:pPr>
        <w:spacing w:after="0" w:line="225"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Cash equivalents, including money market accounts of $694,249 and $694,127 measured at fair value as of September 30, 2021 and December 31, 2020, respectively, are classified within Level 1.</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Leases</w:t>
      </w:r>
    </w:p>
    <w:p>
      <w:pPr>
        <w:spacing w:after="0" w:line="229" w:lineRule="exact"/>
        <w:rPr>
          <w:sz w:val="20"/>
          <w:szCs w:val="20"/>
          <w:color w:val="auto"/>
        </w:rPr>
      </w:pPr>
    </w:p>
    <w:p>
      <w:pPr>
        <w:ind w:right="120" w:firstLine="510"/>
        <w:spacing w:after="0" w:line="254" w:lineRule="auto"/>
        <w:rPr>
          <w:sz w:val="20"/>
          <w:szCs w:val="20"/>
          <w:color w:val="auto"/>
        </w:rPr>
      </w:pPr>
      <w:r>
        <w:rPr>
          <w:rFonts w:ascii="Arial" w:cs="Arial" w:eastAsia="Arial" w:hAnsi="Arial"/>
          <w:sz w:val="18"/>
          <w:szCs w:val="18"/>
          <w:color w:val="auto"/>
        </w:rPr>
        <w:t>The Company has operating leases primarily for real estate in the United States and Japan. The United States lease is for the Company’s headquarters in San Diego and is for a term of four years and one month initially ending December 31, 2021, but was extended one month in August 2021 to January 31, 2022. The Company’s new San Diego lease has a term of five years commencing February 1, 2022 and ending January 31, 2027. The Company’s lease in Tokyo, Japan was renewed in May 2021 and has a term of two years with an auto-renewal, two-year extension. The real estate operating leases are included in "Right-of-use asset” on the Company's balance sheet and represents the Company’s right to use the underlying assets for the lease term. The Company’s obligation to make lease payments are included in "Operating lease liability" and "Other non-current liabilities" on the Company's balance sheet.</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29"/>
        </w:trPr>
        <w:tc>
          <w:tcPr>
            <w:tcW w:w="8840" w:type="dxa"/>
            <w:vAlign w:val="bottom"/>
            <w:shd w:val="clear" w:color="auto" w:fill="CFF0FC"/>
          </w:tcPr>
          <w:p>
            <w:pPr>
              <w:spacing w:after="0"/>
              <w:rPr>
                <w:sz w:val="20"/>
                <w:szCs w:val="20"/>
                <w:color w:val="auto"/>
              </w:rPr>
            </w:pPr>
            <w:r>
              <w:rPr>
                <w:rFonts w:ascii="Arial" w:cs="Arial" w:eastAsia="Arial" w:hAnsi="Arial"/>
                <w:sz w:val="18"/>
                <w:szCs w:val="18"/>
                <w:color w:val="auto"/>
              </w:rPr>
              <w:t>Maturities of operating lease liabilities as of September 30, 2021 were as follows:</w:t>
            </w:r>
          </w:p>
        </w:tc>
        <w:tc>
          <w:tcPr>
            <w:tcW w:w="78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29"/>
        </w:trPr>
        <w:tc>
          <w:tcPr>
            <w:tcW w:w="8840" w:type="dxa"/>
            <w:vAlign w:val="bottom"/>
          </w:tcPr>
          <w:p>
            <w:pPr>
              <w:spacing w:after="0"/>
              <w:rPr>
                <w:sz w:val="20"/>
                <w:szCs w:val="20"/>
                <w:color w:val="auto"/>
              </w:rPr>
            </w:pPr>
            <w:r>
              <w:rPr>
                <w:rFonts w:ascii="Arial" w:cs="Arial" w:eastAsia="Arial" w:hAnsi="Arial"/>
                <w:sz w:val="18"/>
                <w:szCs w:val="18"/>
                <w:color w:val="auto"/>
              </w:rPr>
              <w:t>2021</w:t>
            </w:r>
          </w:p>
        </w:tc>
        <w:tc>
          <w:tcPr>
            <w:tcW w:w="780" w:type="dxa"/>
            <w:vAlign w:val="bottom"/>
          </w:tcPr>
          <w:p>
            <w:pPr>
              <w:jc w:val="right"/>
              <w:ind w:right="627"/>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61,971</w:t>
            </w:r>
          </w:p>
        </w:tc>
        <w:tc>
          <w:tcPr>
            <w:tcW w:w="180" w:type="dxa"/>
            <w:vAlign w:val="bottom"/>
          </w:tcPr>
          <w:p>
            <w:pPr>
              <w:spacing w:after="0"/>
              <w:rPr>
                <w:sz w:val="19"/>
                <w:szCs w:val="19"/>
                <w:color w:val="auto"/>
              </w:rPr>
            </w:pPr>
          </w:p>
        </w:tc>
      </w:tr>
      <w:tr>
        <w:trPr>
          <w:trHeight w:val="230"/>
        </w:trPr>
        <w:tc>
          <w:tcPr>
            <w:tcW w:w="884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78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213,697</w:t>
            </w:r>
          </w:p>
        </w:tc>
        <w:tc>
          <w:tcPr>
            <w:tcW w:w="180" w:type="dxa"/>
            <w:vAlign w:val="bottom"/>
            <w:shd w:val="clear" w:color="auto" w:fill="CFF0FC"/>
          </w:tcPr>
          <w:p>
            <w:pPr>
              <w:spacing w:after="0"/>
              <w:rPr>
                <w:sz w:val="19"/>
                <w:szCs w:val="19"/>
                <w:color w:val="auto"/>
              </w:rPr>
            </w:pPr>
          </w:p>
        </w:tc>
      </w:tr>
      <w:tr>
        <w:trPr>
          <w:trHeight w:val="229"/>
        </w:trPr>
        <w:tc>
          <w:tcPr>
            <w:tcW w:w="8840" w:type="dxa"/>
            <w:vAlign w:val="bottom"/>
          </w:tcPr>
          <w:p>
            <w:pPr>
              <w:spacing w:after="0"/>
              <w:rPr>
                <w:sz w:val="20"/>
                <w:szCs w:val="20"/>
                <w:color w:val="auto"/>
              </w:rPr>
            </w:pPr>
            <w:r>
              <w:rPr>
                <w:rFonts w:ascii="Arial" w:cs="Arial" w:eastAsia="Arial" w:hAnsi="Arial"/>
                <w:sz w:val="18"/>
                <w:szCs w:val="18"/>
                <w:color w:val="auto"/>
              </w:rPr>
              <w:t>2023</w:t>
            </w:r>
          </w:p>
        </w:tc>
        <w:tc>
          <w:tcPr>
            <w:tcW w:w="7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222,325</w:t>
            </w:r>
          </w:p>
        </w:tc>
        <w:tc>
          <w:tcPr>
            <w:tcW w:w="180" w:type="dxa"/>
            <w:vAlign w:val="bottom"/>
          </w:tcPr>
          <w:p>
            <w:pPr>
              <w:spacing w:after="0"/>
              <w:rPr>
                <w:sz w:val="19"/>
                <w:szCs w:val="19"/>
                <w:color w:val="auto"/>
              </w:rPr>
            </w:pPr>
          </w:p>
        </w:tc>
      </w:tr>
      <w:tr>
        <w:trPr>
          <w:trHeight w:val="229"/>
        </w:trPr>
        <w:tc>
          <w:tcPr>
            <w:tcW w:w="884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78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189,170</w:t>
            </w:r>
          </w:p>
        </w:tc>
        <w:tc>
          <w:tcPr>
            <w:tcW w:w="180" w:type="dxa"/>
            <w:vAlign w:val="bottom"/>
            <w:shd w:val="clear" w:color="auto" w:fill="CFF0FC"/>
          </w:tcPr>
          <w:p>
            <w:pPr>
              <w:spacing w:after="0"/>
              <w:rPr>
                <w:sz w:val="19"/>
                <w:szCs w:val="19"/>
                <w:color w:val="auto"/>
              </w:rPr>
            </w:pPr>
          </w:p>
        </w:tc>
      </w:tr>
      <w:tr>
        <w:trPr>
          <w:trHeight w:val="230"/>
        </w:trPr>
        <w:tc>
          <w:tcPr>
            <w:tcW w:w="8840" w:type="dxa"/>
            <w:vAlign w:val="bottom"/>
          </w:tcPr>
          <w:p>
            <w:pPr>
              <w:spacing w:after="0"/>
              <w:rPr>
                <w:sz w:val="20"/>
                <w:szCs w:val="20"/>
                <w:color w:val="auto"/>
              </w:rPr>
            </w:pPr>
            <w:r>
              <w:rPr>
                <w:rFonts w:ascii="Arial" w:cs="Arial" w:eastAsia="Arial" w:hAnsi="Arial"/>
                <w:sz w:val="18"/>
                <w:szCs w:val="18"/>
                <w:color w:val="auto"/>
              </w:rPr>
              <w:t>2025</w:t>
            </w:r>
          </w:p>
        </w:tc>
        <w:tc>
          <w:tcPr>
            <w:tcW w:w="7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197,586</w:t>
            </w:r>
          </w:p>
        </w:tc>
        <w:tc>
          <w:tcPr>
            <w:tcW w:w="180" w:type="dxa"/>
            <w:vAlign w:val="bottom"/>
          </w:tcPr>
          <w:p>
            <w:pPr>
              <w:spacing w:after="0"/>
              <w:rPr>
                <w:sz w:val="19"/>
                <w:szCs w:val="19"/>
                <w:color w:val="auto"/>
              </w:rPr>
            </w:pPr>
          </w:p>
        </w:tc>
      </w:tr>
      <w:tr>
        <w:trPr>
          <w:trHeight w:val="229"/>
        </w:trPr>
        <w:tc>
          <w:tcPr>
            <w:tcW w:w="8840" w:type="dxa"/>
            <w:vAlign w:val="bottom"/>
            <w:shd w:val="clear" w:color="auto" w:fill="CFF0FC"/>
          </w:tcPr>
          <w:p>
            <w:pPr>
              <w:spacing w:after="0"/>
              <w:rPr>
                <w:sz w:val="20"/>
                <w:szCs w:val="20"/>
                <w:color w:val="auto"/>
              </w:rPr>
            </w:pPr>
            <w:r>
              <w:rPr>
                <w:rFonts w:ascii="Arial" w:cs="Arial" w:eastAsia="Arial" w:hAnsi="Arial"/>
                <w:sz w:val="18"/>
                <w:szCs w:val="18"/>
                <w:color w:val="auto"/>
              </w:rPr>
              <w:t>Thereafter</w:t>
            </w:r>
          </w:p>
        </w:tc>
        <w:tc>
          <w:tcPr>
            <w:tcW w:w="78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223,752</w:t>
            </w:r>
          </w:p>
        </w:tc>
        <w:tc>
          <w:tcPr>
            <w:tcW w:w="180" w:type="dxa"/>
            <w:vAlign w:val="bottom"/>
            <w:shd w:val="clear" w:color="auto" w:fill="CFF0FC"/>
          </w:tcPr>
          <w:p>
            <w:pPr>
              <w:spacing w:after="0"/>
              <w:rPr>
                <w:sz w:val="19"/>
                <w:szCs w:val="19"/>
                <w:color w:val="auto"/>
              </w:rPr>
            </w:pPr>
          </w:p>
        </w:tc>
      </w:tr>
      <w:tr>
        <w:trPr>
          <w:trHeight w:val="223"/>
        </w:trPr>
        <w:tc>
          <w:tcPr>
            <w:tcW w:w="8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1,108,501</w:t>
            </w:r>
          </w:p>
        </w:tc>
        <w:tc>
          <w:tcPr>
            <w:tcW w:w="180" w:type="dxa"/>
            <w:vAlign w:val="bottom"/>
          </w:tcPr>
          <w:p>
            <w:pPr>
              <w:spacing w:after="0"/>
              <w:rPr>
                <w:sz w:val="19"/>
                <w:szCs w:val="19"/>
                <w:color w:val="auto"/>
              </w:rPr>
            </w:pPr>
          </w:p>
        </w:tc>
      </w:tr>
      <w:tr>
        <w:trPr>
          <w:trHeight w:val="229"/>
        </w:trPr>
        <w:tc>
          <w:tcPr>
            <w:tcW w:w="8840" w:type="dxa"/>
            <w:vAlign w:val="bottom"/>
            <w:shd w:val="clear" w:color="auto" w:fill="CFF0FC"/>
          </w:tcPr>
          <w:p>
            <w:pPr>
              <w:spacing w:after="0"/>
              <w:rPr>
                <w:sz w:val="20"/>
                <w:szCs w:val="20"/>
                <w:color w:val="auto"/>
              </w:rPr>
            </w:pPr>
            <w:r>
              <w:rPr>
                <w:rFonts w:ascii="Arial" w:cs="Arial" w:eastAsia="Arial" w:hAnsi="Arial"/>
                <w:sz w:val="18"/>
                <w:szCs w:val="18"/>
                <w:color w:val="auto"/>
              </w:rPr>
              <w:t>Less imputed interest</w:t>
            </w:r>
          </w:p>
        </w:tc>
        <w:tc>
          <w:tcPr>
            <w:tcW w:w="78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(220,103)</w:t>
            </w:r>
          </w:p>
        </w:tc>
      </w:tr>
      <w:tr>
        <w:trPr>
          <w:trHeight w:val="263"/>
        </w:trPr>
        <w:tc>
          <w:tcPr>
            <w:tcW w:w="8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lease liabilities</w:t>
            </w:r>
          </w:p>
        </w:tc>
        <w:tc>
          <w:tcPr>
            <w:tcW w:w="780" w:type="dxa"/>
            <w:vAlign w:val="bottom"/>
            <w:tcBorders>
              <w:top w:val="single" w:sz="8" w:color="auto"/>
              <w:bottom w:val="single" w:sz="8" w:color="auto"/>
            </w:tcBorders>
          </w:tcPr>
          <w:p>
            <w:pPr>
              <w:jc w:val="right"/>
              <w:ind w:right="627"/>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888,398</w:t>
            </w:r>
          </w:p>
        </w:tc>
        <w:tc>
          <w:tcPr>
            <w:tcW w:w="180" w:type="dxa"/>
            <w:vAlign w:val="bottom"/>
            <w:tcBorders>
              <w:bottom w:val="single" w:sz="8" w:color="CFF0FC"/>
            </w:tcBorders>
          </w:tcPr>
          <w:p>
            <w:pPr>
              <w:spacing w:after="0"/>
              <w:rPr>
                <w:sz w:val="22"/>
                <w:szCs w:val="22"/>
                <w:color w:val="auto"/>
              </w:rPr>
            </w:pPr>
          </w:p>
        </w:tc>
      </w:tr>
      <w:tr>
        <w:trPr>
          <w:trHeight w:val="210"/>
        </w:trPr>
        <w:tc>
          <w:tcPr>
            <w:tcW w:w="88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356" w:right="339" w:bottom="1440" w:gutter="0" w:footer="0" w:header="0"/>
        </w:sectPr>
      </w:pPr>
    </w:p>
    <w:p>
      <w:pPr>
        <w:spacing w:after="0"/>
        <w:rPr>
          <w:sz w:val="20"/>
          <w:szCs w:val="20"/>
          <w:color w:val="auto"/>
        </w:rPr>
      </w:pPr>
      <w:r>
        <w:rPr>
          <w:rFonts w:ascii="Arial" w:cs="Arial" w:eastAsia="Arial" w:hAnsi="Arial"/>
          <w:sz w:val="18"/>
          <w:szCs w:val="18"/>
          <w:color w:val="auto"/>
        </w:rPr>
        <w:t>Current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Non-current operating lease liabilities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 lease liabilities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860" w:type="dxa"/>
            <w:vAlign w:val="bottom"/>
          </w:tcPr>
          <w:p>
            <w:pPr>
              <w:jc w:val="right"/>
              <w:ind w:right="707"/>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150,682</w:t>
            </w:r>
          </w:p>
        </w:tc>
      </w:tr>
      <w:tr>
        <w:trPr>
          <w:trHeight w:val="230"/>
        </w:trPr>
        <w:tc>
          <w:tcPr>
            <w:tcW w:w="8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737,716</w:t>
            </w:r>
          </w:p>
        </w:tc>
      </w:tr>
      <w:tr>
        <w:trPr>
          <w:trHeight w:val="223"/>
        </w:trPr>
        <w:tc>
          <w:tcPr>
            <w:tcW w:w="860" w:type="dxa"/>
            <w:vAlign w:val="bottom"/>
            <w:tcBorders>
              <w:bottom w:val="single" w:sz="8" w:color="auto"/>
            </w:tcBorders>
          </w:tcPr>
          <w:p>
            <w:pPr>
              <w:jc w:val="right"/>
              <w:ind w:right="70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888,398</w:t>
            </w:r>
          </w:p>
        </w:tc>
      </w:tr>
      <w:tr>
        <w:trPr>
          <w:trHeight w:val="20"/>
        </w:trPr>
        <w:tc>
          <w:tcPr>
            <w:tcW w:w="8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8120" w:space="720"/>
            <w:col w:w="2400"/>
          </w:cols>
          <w:pgMar w:left="320" w:top="356" w:right="33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6800" w:type="dxa"/>
            <w:vAlign w:val="bottom"/>
            <w:shd w:val="clear" w:color="auto" w:fill="CFF0FC"/>
          </w:tcPr>
          <w:p>
            <w:pPr>
              <w:spacing w:after="0"/>
              <w:rPr>
                <w:sz w:val="18"/>
                <w:szCs w:val="18"/>
                <w:color w:val="auto"/>
              </w:rPr>
            </w:pPr>
          </w:p>
        </w:tc>
        <w:tc>
          <w:tcPr>
            <w:tcW w:w="4440" w:type="dxa"/>
            <w:vAlign w:val="bottom"/>
            <w:shd w:val="clear" w:color="auto" w:fill="CFF0FC"/>
          </w:tcPr>
          <w:p>
            <w:pPr>
              <w:spacing w:after="0"/>
              <w:rPr>
                <w:sz w:val="18"/>
                <w:szCs w:val="18"/>
                <w:color w:val="auto"/>
              </w:rPr>
            </w:pPr>
          </w:p>
        </w:tc>
      </w:tr>
      <w:tr>
        <w:trPr>
          <w:trHeight w:val="229"/>
        </w:trPr>
        <w:tc>
          <w:tcPr>
            <w:tcW w:w="6800" w:type="dxa"/>
            <w:vAlign w:val="bottom"/>
          </w:tcPr>
          <w:p>
            <w:pPr>
              <w:spacing w:after="0"/>
              <w:rPr>
                <w:sz w:val="20"/>
                <w:szCs w:val="20"/>
                <w:color w:val="auto"/>
              </w:rPr>
            </w:pPr>
            <w:r>
              <w:rPr>
                <w:rFonts w:ascii="Arial" w:cs="Arial" w:eastAsia="Arial" w:hAnsi="Arial"/>
                <w:sz w:val="18"/>
                <w:szCs w:val="18"/>
                <w:color w:val="auto"/>
              </w:rPr>
              <w:t>Weighted-average remaining lease term</w:t>
            </w:r>
          </w:p>
        </w:tc>
        <w:tc>
          <w:tcPr>
            <w:tcW w:w="4440" w:type="dxa"/>
            <w:vAlign w:val="bottom"/>
          </w:tcPr>
          <w:p>
            <w:pPr>
              <w:jc w:val="right"/>
              <w:ind w:right="90"/>
              <w:spacing w:after="0"/>
              <w:rPr>
                <w:sz w:val="20"/>
                <w:szCs w:val="20"/>
                <w:color w:val="auto"/>
              </w:rPr>
            </w:pPr>
            <w:r>
              <w:rPr>
                <w:rFonts w:ascii="Arial" w:cs="Arial" w:eastAsia="Arial" w:hAnsi="Arial"/>
                <w:sz w:val="18"/>
                <w:szCs w:val="18"/>
                <w:color w:val="auto"/>
              </w:rPr>
              <w:t>4.51</w:t>
            </w:r>
          </w:p>
        </w:tc>
      </w:tr>
      <w:tr>
        <w:trPr>
          <w:trHeight w:val="230"/>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discount rate</w:t>
            </w:r>
          </w:p>
        </w:tc>
        <w:tc>
          <w:tcPr>
            <w:tcW w:w="4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Incentive Plans</w:t>
      </w:r>
    </w:p>
    <w:p>
      <w:pPr>
        <w:spacing w:after="0" w:line="117" w:lineRule="exact"/>
        <w:rPr>
          <w:sz w:val="20"/>
          <w:szCs w:val="20"/>
          <w:color w:val="auto"/>
        </w:rPr>
      </w:pPr>
    </w:p>
    <w:p>
      <w:pPr>
        <w:ind w:right="40" w:firstLine="510"/>
        <w:spacing w:after="0" w:line="289" w:lineRule="auto"/>
        <w:rPr>
          <w:sz w:val="20"/>
          <w:szCs w:val="20"/>
          <w:color w:val="auto"/>
        </w:rPr>
      </w:pPr>
      <w:r>
        <w:rPr>
          <w:rFonts w:ascii="Arial" w:cs="Arial" w:eastAsia="Arial" w:hAnsi="Arial"/>
          <w:sz w:val="16"/>
          <w:szCs w:val="16"/>
          <w:color w:val="auto"/>
        </w:rPr>
        <w:t>In June 2013, the Company adopted the 2013 Equity Incentive Plan, or 2013 Plan, under which the Company may grant stock options, stock appreciation rights, restricted stock, restricted stock units and other awards to individuals who are then employees, officers, non-employee directors or consultants of the Company or its subsidiaries. The 2013 Plan is the successor to the Company’s Amended and Restated 2004 Stock Incentive Plan, or 2004 Plan. A total of 8,700,000 shares of common stock are reserved for issuance under the 2013 Plan. In addition, “returning shares” that may become available from time to time are added back to the plan. “Returning shares” are shares that are subject to outstanding awards granted under the 2004 Plan that expire or terminate prior to exercise or settlement, are forfeited because of the failure to vest, are repurchased, or are withheld to satisfy tax withholding or purchase price obligations in connection with such awards. Although the Company no longer grants equity awards under the 2004 Plan, all outstanding stock awards granted under the 2004 Plan will continue to be subject to the terms and conditions as set forth in the agreements evidencing such stock awards and the terms of the 2004 Plan. As of September 30, 2021, 1,853,317 shares remain available for future grants under the 2013 Plan.</w:t>
      </w:r>
    </w:p>
    <w:p>
      <w:pPr>
        <w:spacing w:after="0" w:line="166"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auto"/>
        </w:rPr>
        <w:t>The Company occasionally issues employee performance-based stock options, the vesting of which is based on a determination made by the board of directors as to the achievement of certain corporate objectives at the end of the performance period. The grant date of such awards is the date on which the board of directors makes its determination. For periods preceding the grant date, the expense related to these awards is measured based on their fair value at each reporting date.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jc w:val="both"/>
        <w:ind w:right="240" w:firstLine="510"/>
        <w:spacing w:after="0" w:line="263" w:lineRule="auto"/>
        <w:rPr>
          <w:sz w:val="20"/>
          <w:szCs w:val="20"/>
          <w:color w:val="auto"/>
        </w:rPr>
      </w:pPr>
      <w:r>
        <w:rPr>
          <w:rFonts w:ascii="Arial" w:cs="Arial" w:eastAsia="Arial" w:hAnsi="Arial"/>
          <w:sz w:val="18"/>
          <w:szCs w:val="18"/>
          <w:color w:val="auto"/>
        </w:rPr>
        <w:t>Options granted under the 2013 Plan and the 2004 Plan have terms of ten years from the date of grant unless earlier terminated and generally vest over a three or four year period. The exercise price of all options granted through September 30, 2021 and in 2020, was equal to the market value of the Company’s common stock on the date of grant.</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stock option activity and related information as of September 30, 2021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Number of</w:t>
            </w:r>
          </w:p>
        </w:tc>
        <w:tc>
          <w:tcPr>
            <w:tcW w:w="60" w:type="dxa"/>
            <w:vAlign w:val="bottom"/>
          </w:tcPr>
          <w:p>
            <w:pPr>
              <w:spacing w:after="0"/>
              <w:rPr>
                <w:sz w:val="14"/>
                <w:szCs w:val="14"/>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Weighted Average</w:t>
            </w: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Option Shares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Exercise Price</w:t>
            </w: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880" w:type="dxa"/>
            <w:vAlign w:val="bottom"/>
          </w:tcPr>
          <w:p>
            <w:pPr>
              <w:spacing w:after="0"/>
              <w:rPr>
                <w:sz w:val="19"/>
                <w:szCs w:val="19"/>
                <w:color w:val="auto"/>
              </w:rPr>
            </w:pPr>
          </w:p>
        </w:tc>
        <w:tc>
          <w:tcPr>
            <w:tcW w:w="3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2020</w:t>
            </w:r>
          </w:p>
        </w:tc>
        <w:tc>
          <w:tcPr>
            <w:tcW w:w="166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7,401,387</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5.70</w:t>
            </w:r>
          </w:p>
        </w:tc>
        <w:tc>
          <w:tcPr>
            <w:tcW w:w="200" w:type="dxa"/>
            <w:vAlign w:val="bottom"/>
            <w:tcBorders>
              <w:top w:val="single" w:sz="8" w:color="CFF0FC"/>
            </w:tcBorders>
            <w:shd w:val="clear" w:color="auto" w:fill="CFF0FC"/>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80" w:type="dxa"/>
            <w:vAlign w:val="bottom"/>
          </w:tcPr>
          <w:p>
            <w:pPr>
              <w:spacing w:after="0"/>
              <w:rPr>
                <w:sz w:val="19"/>
                <w:szCs w:val="19"/>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Granted</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1,315,000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5.82</w:t>
            </w:r>
          </w:p>
        </w:tc>
        <w:tc>
          <w:tcPr>
            <w:tcW w:w="2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80" w:type="dxa"/>
            <w:vAlign w:val="bottom"/>
          </w:tcPr>
          <w:p>
            <w:pPr>
              <w:spacing w:after="0"/>
              <w:rPr>
                <w:sz w:val="19"/>
                <w:szCs w:val="19"/>
                <w:color w:val="auto"/>
              </w:rPr>
            </w:pPr>
          </w:p>
        </w:tc>
        <w:tc>
          <w:tcPr>
            <w:tcW w:w="310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29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(345,955)</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w:t>
            </w:r>
          </w:p>
        </w:tc>
        <w:tc>
          <w:tcPr>
            <w:tcW w:w="200" w:type="dxa"/>
            <w:vAlign w:val="bottom"/>
            <w:shd w:val="clear" w:color="auto" w:fill="CFF0FC"/>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80" w:type="dxa"/>
            <w:vAlign w:val="bottom"/>
          </w:tcPr>
          <w:p>
            <w:pPr>
              <w:spacing w:after="0"/>
              <w:rPr>
                <w:sz w:val="19"/>
                <w:szCs w:val="19"/>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Cancelled</w:t>
            </w:r>
          </w:p>
        </w:tc>
        <w:tc>
          <w:tcPr>
            <w:tcW w:w="2940" w:type="dxa"/>
            <w:vAlign w:val="bottom"/>
            <w:gridSpan w:val="3"/>
          </w:tcPr>
          <w:p>
            <w:pPr>
              <w:jc w:val="right"/>
              <w:ind w:right="60"/>
              <w:spacing w:after="0"/>
              <w:rPr>
                <w:sz w:val="20"/>
                <w:szCs w:val="20"/>
                <w:color w:val="auto"/>
              </w:rPr>
            </w:pPr>
            <w:r>
              <w:rPr>
                <w:rFonts w:ascii="Arial" w:cs="Arial" w:eastAsia="Arial" w:hAnsi="Arial"/>
                <w:sz w:val="18"/>
                <w:szCs w:val="18"/>
                <w:color w:val="auto"/>
              </w:rPr>
              <w:t>(271,182)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6.71</w:t>
            </w:r>
          </w:p>
        </w:tc>
        <w:tc>
          <w:tcPr>
            <w:tcW w:w="2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80" w:type="dxa"/>
            <w:vAlign w:val="bottom"/>
          </w:tcPr>
          <w:p>
            <w:pPr>
              <w:spacing w:after="0"/>
              <w:rPr>
                <w:sz w:val="19"/>
                <w:szCs w:val="19"/>
                <w:color w:val="auto"/>
              </w:rPr>
            </w:pPr>
          </w:p>
        </w:tc>
        <w:tc>
          <w:tcPr>
            <w:tcW w:w="31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September 30, 2021</w:t>
            </w:r>
          </w:p>
        </w:tc>
        <w:tc>
          <w:tcPr>
            <w:tcW w:w="166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8,099,250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ind w:left="1880"/>
              <w:spacing w:after="0"/>
              <w:rPr>
                <w:sz w:val="20"/>
                <w:szCs w:val="20"/>
                <w:color w:val="auto"/>
              </w:rPr>
            </w:pPr>
            <w:r>
              <w:rPr>
                <w:rFonts w:ascii="Arial" w:cs="Arial" w:eastAsia="Arial" w:hAnsi="Arial"/>
                <w:sz w:val="18"/>
                <w:szCs w:val="18"/>
                <w:color w:val="auto"/>
              </w:rPr>
              <w:t>Exercisable at September 30, 2021</w:t>
            </w:r>
          </w:p>
        </w:tc>
        <w:tc>
          <w:tcPr>
            <w:tcW w:w="2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gridSpan w:val="2"/>
            <w:vMerge w:val="continue"/>
          </w:tcPr>
          <w:p>
            <w:pPr>
              <w:spacing w:after="0"/>
              <w:rPr>
                <w:sz w:val="18"/>
                <w:szCs w:val="18"/>
                <w:color w:val="auto"/>
              </w:rPr>
            </w:pPr>
          </w:p>
        </w:tc>
        <w:tc>
          <w:tcPr>
            <w:tcW w:w="166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6,782,917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5.83</w:t>
            </w:r>
          </w:p>
        </w:tc>
        <w:tc>
          <w:tcPr>
            <w:tcW w:w="2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660" w:type="dxa"/>
            <w:vAlign w:val="bottom"/>
            <w:vMerge w:val="restart"/>
          </w:tcPr>
          <w:p>
            <w:pPr>
              <w:jc w:val="right"/>
              <w:ind w:right="830"/>
              <w:spacing w:after="0"/>
              <w:rPr>
                <w:sz w:val="20"/>
                <w:szCs w:val="20"/>
                <w:color w:val="auto"/>
              </w:rPr>
            </w:pPr>
            <w:r>
              <w:rPr>
                <w:rFonts w:ascii="Arial" w:cs="Arial" w:eastAsia="Arial" w:hAnsi="Arial"/>
                <w:sz w:val="18"/>
                <w:szCs w:val="18"/>
                <w:color w:val="auto"/>
              </w:rPr>
              <w:t>12</w:t>
            </w: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0"/>
        </w:trPr>
        <w:tc>
          <w:tcPr>
            <w:tcW w:w="18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66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880" w:type="dxa"/>
            <w:vAlign w:val="bottom"/>
            <w:tcBorders>
              <w:bottom w:val="single" w:sz="8" w:color="9A9A9A"/>
            </w:tcBorders>
          </w:tcPr>
          <w:p>
            <w:pPr>
              <w:spacing w:after="0"/>
              <w:rPr>
                <w:sz w:val="10"/>
                <w:szCs w:val="10"/>
                <w:color w:val="auto"/>
              </w:rPr>
            </w:pPr>
          </w:p>
        </w:tc>
        <w:tc>
          <w:tcPr>
            <w:tcW w:w="310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Under the Company’s 2007 Employee Stock Purchase Plan (ESPP), 300,000 shares of common stock were originally reserved for issuance. In addition, the shares reserved automatically increase each year by a number equal to the lesser of: (i) 15,000 shares; (ii) 1% of the outstanding shares of common stock on the last day of the immediately preceding fiscal year; or (iii) such lesser amount as determined by the Board. The ESPP permits full-time employees to purchase common stock through payroll deductions (which cannot exceed 15% of each employee’s compensation) at the lower of 85% of fair market value at the beginning of the offering period or the end of each six-month offering period. The ESPP is considered a compensatory plan and the Company records compensation expense included in the Company’s statement of operations.</w:t>
      </w:r>
    </w:p>
    <w:p>
      <w:pPr>
        <w:spacing w:after="0" w:line="178"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auto"/>
        </w:rPr>
        <w:t>For the nine months ended September 30, 2021, an aggregate of 1,424 shares were issued under the ESPP. As of September 30, 2021, there were 212,678 shares available for future issuance under the ESPP.</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Expense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Stock-based compensation expense for stock option awards and ESPP shares are reflected in total operating expenses for each respective year.</w:t>
      </w:r>
    </w:p>
    <w:p>
      <w:pPr>
        <w:spacing w:after="0" w:line="140" w:lineRule="exact"/>
        <w:rPr>
          <w:sz w:val="20"/>
          <w:szCs w:val="20"/>
          <w:color w:val="auto"/>
        </w:rPr>
      </w:pPr>
    </w:p>
    <w:p>
      <w:pPr>
        <w:ind w:right="960" w:firstLine="510"/>
        <w:spacing w:after="0" w:line="277" w:lineRule="auto"/>
        <w:rPr>
          <w:sz w:val="20"/>
          <w:szCs w:val="20"/>
          <w:color w:val="auto"/>
        </w:rPr>
      </w:pPr>
      <w:r>
        <w:rPr>
          <w:rFonts w:ascii="Arial" w:cs="Arial" w:eastAsia="Arial" w:hAnsi="Arial"/>
          <w:sz w:val="18"/>
          <w:szCs w:val="18"/>
          <w:color w:val="auto"/>
        </w:rPr>
        <w:t>The following table summarizes stock-based compensation expense for the three and nine months ended September 30, 2021 and 2020, respectively:</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4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Three months ended</w:t>
            </w: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20" w:type="dxa"/>
            <w:vAlign w:val="bottom"/>
            <w:gridSpan w:val="3"/>
          </w:tcPr>
          <w:p>
            <w:pPr>
              <w:jc w:val="right"/>
              <w:ind w:right="7"/>
              <w:spacing w:after="0"/>
              <w:rPr>
                <w:sz w:val="20"/>
                <w:szCs w:val="20"/>
                <w:color w:val="auto"/>
              </w:rPr>
            </w:pPr>
            <w:r>
              <w:rPr>
                <w:rFonts w:ascii="Arial" w:cs="Arial" w:eastAsia="Arial" w:hAnsi="Arial"/>
                <w:sz w:val="14"/>
                <w:szCs w:val="14"/>
                <w:b w:val="1"/>
                <w:bCs w:val="1"/>
                <w:color w:val="auto"/>
              </w:rPr>
              <w:t>Nine months ended</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5"/>
        </w:trPr>
        <w:tc>
          <w:tcPr>
            <w:tcW w:w="38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4"/>
                <w:szCs w:val="14"/>
                <w:b w:val="1"/>
                <w:bCs w:val="1"/>
                <w:color w:val="auto"/>
              </w:rPr>
              <w:t>September 30,</w:t>
            </w:r>
          </w:p>
        </w:tc>
        <w:tc>
          <w:tcPr>
            <w:tcW w:w="12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147"/>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56"/>
        </w:trPr>
        <w:tc>
          <w:tcPr>
            <w:tcW w:w="380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699"/>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95"/>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79"/>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95"/>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r>
      <w:tr>
        <w:trPr>
          <w:trHeight w:val="223"/>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Research, development and patents</w:t>
            </w: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207,521</w:t>
            </w:r>
          </w:p>
        </w:tc>
        <w:tc>
          <w:tcPr>
            <w:tcW w:w="20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4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331,126</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866,486</w:t>
            </w:r>
          </w:p>
        </w:tc>
        <w:tc>
          <w:tcPr>
            <w:tcW w:w="20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32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843,117</w:t>
            </w:r>
          </w:p>
        </w:tc>
        <w:tc>
          <w:tcPr>
            <w:tcW w:w="120" w:type="dxa"/>
            <w:vAlign w:val="bottom"/>
            <w:shd w:val="clear" w:color="auto" w:fill="CFF0FC"/>
          </w:tcPr>
          <w:p>
            <w:pPr>
              <w:spacing w:after="0"/>
              <w:rPr>
                <w:sz w:val="19"/>
                <w:szCs w:val="19"/>
                <w:color w:val="auto"/>
              </w:rPr>
            </w:pPr>
          </w:p>
        </w:tc>
      </w:tr>
      <w:tr>
        <w:trPr>
          <w:trHeight w:val="230"/>
        </w:trPr>
        <w:tc>
          <w:tcPr>
            <w:tcW w:w="3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371,423</w:t>
            </w:r>
          </w:p>
        </w:tc>
        <w:tc>
          <w:tcPr>
            <w:tcW w:w="20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702,845</w:t>
            </w:r>
          </w:p>
        </w:tc>
        <w:tc>
          <w:tcPr>
            <w:tcW w:w="2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1,607,999</w:t>
            </w:r>
          </w:p>
        </w:tc>
        <w:tc>
          <w:tcPr>
            <w:tcW w:w="20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1,934,386</w:t>
            </w:r>
          </w:p>
        </w:tc>
        <w:tc>
          <w:tcPr>
            <w:tcW w:w="120" w:type="dxa"/>
            <w:vAlign w:val="bottom"/>
            <w:tcBorders>
              <w:bottom w:val="single" w:sz="8" w:color="CFF0FC"/>
            </w:tcBorders>
          </w:tcPr>
          <w:p>
            <w:pPr>
              <w:spacing w:after="0"/>
              <w:rPr>
                <w:sz w:val="19"/>
                <w:szCs w:val="19"/>
                <w:color w:val="auto"/>
              </w:rPr>
            </w:pPr>
          </w:p>
        </w:tc>
      </w:tr>
      <w:tr>
        <w:trPr>
          <w:trHeight w:val="223"/>
        </w:trPr>
        <w:tc>
          <w:tcPr>
            <w:tcW w:w="3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578,944</w:t>
            </w:r>
          </w:p>
        </w:tc>
        <w:tc>
          <w:tcPr>
            <w:tcW w:w="20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4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1,033,971</w:t>
            </w:r>
          </w:p>
        </w:tc>
        <w:tc>
          <w:tcPr>
            <w:tcW w:w="2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2,474,485</w:t>
            </w:r>
          </w:p>
        </w:tc>
        <w:tc>
          <w:tcPr>
            <w:tcW w:w="20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3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2,777,503</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38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The Company uses the Black-Scholes valuation model for determining the estimated fair value for stock-based awards granted to employees and stock purchased under the ESPP. The following table provides the assumptions used in the Black-Scholes valuation model used to estimate the fair value of options granted during the nine months ended September 30, 2021 and 2020, and to estimate the fair value of performance-based stock options as of September 30, 2021 and 2020.</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20" w:type="dxa"/>
            <w:vAlign w:val="bottom"/>
            <w:gridSpan w:val="3"/>
          </w:tcPr>
          <w:p>
            <w:pPr>
              <w:jc w:val="right"/>
              <w:ind w:right="648"/>
              <w:spacing w:after="0"/>
              <w:rPr>
                <w:sz w:val="20"/>
                <w:szCs w:val="20"/>
                <w:color w:val="auto"/>
              </w:rPr>
            </w:pPr>
            <w:r>
              <w:rPr>
                <w:rFonts w:ascii="Arial" w:cs="Arial" w:eastAsia="Arial" w:hAnsi="Arial"/>
                <w:sz w:val="14"/>
                <w:szCs w:val="14"/>
                <w:b w:val="1"/>
                <w:bCs w:val="1"/>
                <w:color w:val="auto"/>
                <w:w w:val="98"/>
              </w:rPr>
              <w:t>Nine months ended</w:t>
            </w: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580" w:type="dxa"/>
            <w:vAlign w:val="bottom"/>
          </w:tcPr>
          <w:p>
            <w:pPr>
              <w:spacing w:after="0"/>
              <w:rPr>
                <w:sz w:val="14"/>
                <w:szCs w:val="14"/>
                <w:color w:val="auto"/>
              </w:rPr>
            </w:pPr>
          </w:p>
        </w:tc>
        <w:tc>
          <w:tcPr>
            <w:tcW w:w="2060" w:type="dxa"/>
            <w:vAlign w:val="bottom"/>
            <w:gridSpan w:val="2"/>
          </w:tcPr>
          <w:p>
            <w:pPr>
              <w:ind w:left="740"/>
              <w:spacing w:after="0"/>
              <w:rPr>
                <w:sz w:val="20"/>
                <w:szCs w:val="20"/>
                <w:color w:val="auto"/>
              </w:rPr>
            </w:pPr>
            <w:r>
              <w:rPr>
                <w:rFonts w:ascii="Arial" w:cs="Arial" w:eastAsia="Arial" w:hAnsi="Arial"/>
                <w:sz w:val="14"/>
                <w:szCs w:val="14"/>
                <w:b w:val="1"/>
                <w:bCs w:val="1"/>
                <w:color w:val="auto"/>
                <w:w w:val="99"/>
              </w:rPr>
              <w:t>September 30, 2021</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80" w:type="dxa"/>
            <w:vAlign w:val="bottom"/>
            <w:gridSpan w:val="3"/>
          </w:tcPr>
          <w:p>
            <w:pPr>
              <w:ind w:left="720"/>
              <w:spacing w:after="0"/>
              <w:rPr>
                <w:sz w:val="20"/>
                <w:szCs w:val="20"/>
                <w:color w:val="auto"/>
              </w:rPr>
            </w:pPr>
            <w:r>
              <w:rPr>
                <w:rFonts w:ascii="Arial" w:cs="Arial" w:eastAsia="Arial" w:hAnsi="Arial"/>
                <w:sz w:val="14"/>
                <w:szCs w:val="14"/>
                <w:b w:val="1"/>
                <w:bCs w:val="1"/>
                <w:color w:val="auto"/>
              </w:rPr>
              <w:t>September 30, 2020</w:t>
            </w:r>
          </w:p>
        </w:tc>
      </w:tr>
      <w:tr>
        <w:trPr>
          <w:trHeight w:val="223"/>
        </w:trPr>
        <w:tc>
          <w:tcPr>
            <w:tcW w:w="5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Stock Option assumptions:</w:t>
            </w:r>
          </w:p>
        </w:tc>
        <w:tc>
          <w:tcPr>
            <w:tcW w:w="120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200" w:type="dxa"/>
            <w:vAlign w:val="bottom"/>
          </w:tcPr>
          <w:p>
            <w:pPr>
              <w:jc w:val="right"/>
              <w:spacing w:after="0"/>
              <w:rPr>
                <w:sz w:val="20"/>
                <w:szCs w:val="20"/>
                <w:color w:val="auto"/>
              </w:rPr>
            </w:pPr>
            <w:r>
              <w:rPr>
                <w:rFonts w:ascii="Arial" w:cs="Arial" w:eastAsia="Arial" w:hAnsi="Arial"/>
                <w:sz w:val="18"/>
                <w:szCs w:val="18"/>
                <w:color w:val="auto"/>
              </w:rPr>
              <w:t>0.42</w:t>
            </w:r>
          </w:p>
        </w:tc>
        <w:tc>
          <w:tcPr>
            <w:tcW w:w="860" w:type="dxa"/>
            <w:vAlign w:val="bottom"/>
          </w:tcPr>
          <w:p>
            <w:pPr>
              <w:ind w:left="20"/>
              <w:spacing w:after="0"/>
              <w:rPr>
                <w:sz w:val="20"/>
                <w:szCs w:val="20"/>
                <w:color w:val="auto"/>
              </w:rPr>
            </w:pPr>
            <w:r>
              <w:rPr>
                <w:rFonts w:ascii="Arial" w:cs="Arial" w:eastAsia="Arial" w:hAnsi="Arial"/>
                <w:sz w:val="18"/>
                <w:szCs w:val="18"/>
                <w:color w:val="auto"/>
              </w:rPr>
              <w:t>- 0.98%</w:t>
            </w:r>
          </w:p>
        </w:tc>
        <w:tc>
          <w:tcPr>
            <w:tcW w:w="2020" w:type="dxa"/>
            <w:vAlign w:val="bottom"/>
            <w:gridSpan w:val="3"/>
          </w:tcPr>
          <w:p>
            <w:pPr>
              <w:jc w:val="right"/>
              <w:spacing w:after="0"/>
              <w:rPr>
                <w:sz w:val="20"/>
                <w:szCs w:val="20"/>
                <w:color w:val="auto"/>
              </w:rPr>
            </w:pPr>
            <w:r>
              <w:rPr>
                <w:rFonts w:ascii="Arial" w:cs="Arial" w:eastAsia="Arial" w:hAnsi="Arial"/>
                <w:sz w:val="18"/>
                <w:szCs w:val="18"/>
                <w:color w:val="auto"/>
              </w:rPr>
              <w:t>0.16</w:t>
            </w:r>
          </w:p>
        </w:tc>
        <w:tc>
          <w:tcPr>
            <w:tcW w:w="1480" w:type="dxa"/>
            <w:vAlign w:val="bottom"/>
          </w:tcPr>
          <w:p>
            <w:pPr>
              <w:ind w:left="20"/>
              <w:spacing w:after="0"/>
              <w:rPr>
                <w:sz w:val="20"/>
                <w:szCs w:val="20"/>
                <w:color w:val="auto"/>
              </w:rPr>
            </w:pPr>
            <w:r>
              <w:rPr>
                <w:rFonts w:ascii="Arial" w:cs="Arial" w:eastAsia="Arial" w:hAnsi="Arial"/>
                <w:sz w:val="18"/>
                <w:szCs w:val="18"/>
                <w:color w:val="auto"/>
              </w:rPr>
              <w:t>- 1.68%</w:t>
            </w:r>
          </w:p>
        </w:tc>
        <w:tc>
          <w:tcPr>
            <w:tcW w:w="10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 of common stock</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74.31</w:t>
            </w:r>
          </w:p>
        </w:tc>
        <w:tc>
          <w:tcPr>
            <w:tcW w:w="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- 77.51%</w:t>
            </w:r>
          </w:p>
        </w:tc>
        <w:tc>
          <w:tcPr>
            <w:tcW w:w="20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57.44</w:t>
            </w:r>
          </w:p>
        </w:tc>
        <w:tc>
          <w:tcPr>
            <w:tcW w:w="1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- 75.82%</w:t>
            </w:r>
          </w:p>
        </w:tc>
        <w:tc>
          <w:tcPr>
            <w:tcW w:w="10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Dividend yield</w:t>
            </w:r>
          </w:p>
        </w:tc>
        <w:tc>
          <w:tcPr>
            <w:tcW w:w="1200" w:type="dxa"/>
            <w:vAlign w:val="bottom"/>
          </w:tcPr>
          <w:p>
            <w:pPr>
              <w:spacing w:after="0"/>
              <w:rPr>
                <w:sz w:val="19"/>
                <w:szCs w:val="19"/>
                <w:color w:val="auto"/>
              </w:rPr>
            </w:pPr>
          </w:p>
        </w:tc>
        <w:tc>
          <w:tcPr>
            <w:tcW w:w="860" w:type="dxa"/>
            <w:vAlign w:val="bottom"/>
          </w:tcPr>
          <w:p>
            <w:pPr>
              <w:jc w:val="right"/>
              <w:ind w:right="510"/>
              <w:spacing w:after="0"/>
              <w:rPr>
                <w:sz w:val="20"/>
                <w:szCs w:val="20"/>
                <w:color w:val="auto"/>
              </w:rPr>
            </w:pPr>
            <w:r>
              <w:rPr>
                <w:rFonts w:ascii="Arial" w:cs="Arial" w:eastAsia="Arial" w:hAnsi="Arial"/>
                <w:sz w:val="18"/>
                <w:szCs w:val="18"/>
                <w:color w:val="auto"/>
                <w:w w:val="92"/>
              </w:rPr>
              <w:t>0%</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80" w:type="dxa"/>
            <w:vAlign w:val="bottom"/>
          </w:tcPr>
          <w:p>
            <w:pPr>
              <w:jc w:val="right"/>
              <w:ind w:right="1150"/>
              <w:spacing w:after="0"/>
              <w:rPr>
                <w:sz w:val="20"/>
                <w:szCs w:val="20"/>
                <w:color w:val="auto"/>
              </w:rPr>
            </w:pPr>
            <w:r>
              <w:rPr>
                <w:rFonts w:ascii="Arial" w:cs="Arial" w:eastAsia="Arial" w:hAnsi="Arial"/>
                <w:sz w:val="18"/>
                <w:szCs w:val="18"/>
                <w:color w:val="auto"/>
                <w:w w:val="84"/>
              </w:rPr>
              <w:t>0%</w:t>
            </w:r>
          </w:p>
        </w:tc>
        <w:tc>
          <w:tcPr>
            <w:tcW w:w="100" w:type="dxa"/>
            <w:vAlign w:val="bottom"/>
          </w:tcPr>
          <w:p>
            <w:pPr>
              <w:spacing w:after="0"/>
              <w:rPr>
                <w:sz w:val="19"/>
                <w:szCs w:val="19"/>
                <w:color w:val="auto"/>
              </w:rPr>
            </w:pPr>
          </w:p>
        </w:tc>
      </w:tr>
      <w:tr>
        <w:trPr>
          <w:trHeight w:val="229"/>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2060" w:type="dxa"/>
            <w:vAlign w:val="bottom"/>
            <w:gridSpan w:val="2"/>
            <w:shd w:val="clear" w:color="auto" w:fill="CFF0FC"/>
          </w:tcPr>
          <w:p>
            <w:pPr>
              <w:jc w:val="right"/>
              <w:ind w:right="330"/>
              <w:spacing w:after="0"/>
              <w:rPr>
                <w:sz w:val="20"/>
                <w:szCs w:val="20"/>
                <w:color w:val="auto"/>
              </w:rPr>
            </w:pPr>
            <w:r>
              <w:rPr>
                <w:rFonts w:ascii="Arial" w:cs="Arial" w:eastAsia="Arial" w:hAnsi="Arial"/>
                <w:sz w:val="18"/>
                <w:szCs w:val="18"/>
                <w:color w:val="auto"/>
              </w:rPr>
              <w:t>4.5 - 5.8</w:t>
            </w:r>
          </w:p>
        </w:tc>
        <w:tc>
          <w:tcPr>
            <w:tcW w:w="3500" w:type="dxa"/>
            <w:vAlign w:val="bottom"/>
            <w:gridSpan w:val="4"/>
            <w:shd w:val="clear" w:color="auto" w:fill="CFF0FC"/>
          </w:tcPr>
          <w:p>
            <w:pPr>
              <w:jc w:val="right"/>
              <w:ind w:right="970"/>
              <w:spacing w:after="0"/>
              <w:rPr>
                <w:sz w:val="20"/>
                <w:szCs w:val="20"/>
                <w:color w:val="auto"/>
              </w:rPr>
            </w:pPr>
            <w:r>
              <w:rPr>
                <w:rFonts w:ascii="Arial" w:cs="Arial" w:eastAsia="Arial" w:hAnsi="Arial"/>
                <w:sz w:val="18"/>
                <w:szCs w:val="18"/>
                <w:color w:val="auto"/>
              </w:rPr>
              <w:t>4.5 - 5.8</w:t>
            </w:r>
          </w:p>
        </w:tc>
        <w:tc>
          <w:tcPr>
            <w:tcW w:w="100" w:type="dxa"/>
            <w:vAlign w:val="bottom"/>
            <w:shd w:val="clear" w:color="auto" w:fill="CFF0FC"/>
          </w:tcPr>
          <w:p>
            <w:pPr>
              <w:spacing w:after="0"/>
              <w:rPr>
                <w:sz w:val="19"/>
                <w:szCs w:val="19"/>
                <w:color w:val="auto"/>
              </w:rPr>
            </w:pPr>
          </w:p>
        </w:tc>
      </w:tr>
    </w:tbl>
    <w:p>
      <w:pPr>
        <w:spacing w:after="0" w:line="242"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As of September 30, 2021, there was $1.1 million of unamortized compensation cost related to unvested stock option awards which is expected to be recognized over a remaining weighted-average vesting period of 0.40 years, on a straight-line basis.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Issuance Sales Agreements and Private Placement Transactions</w:t>
      </w:r>
    </w:p>
    <w:p>
      <w:pPr>
        <w:spacing w:after="0" w:line="117"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On August 23, 2019, the Company entered into an at the market issuance sales agreement (the “2019 ATM Agreement”) with B. Riley FBR, Inc. (B. Riley FBR) pursuant to which the Company may sell common stock through B. Riley FBR from time to time up to an aggregate offering price of $75.0 million. Sales of the Company’s common stock through B. Riley FBR, if any, will be made by any method that is deemed to be an “at-the-market” equity offering as defined in Rule 415 promulgated under the Securities Act of 1933, as amended, including sales made directly on NASDAQ, on any other existing trading market for the common stock or through a market maker. B. Riley FBR may also sell the common stock in privately negotiated transactions, subject to the Company’s prior approval. The Company agreed to pay B. Riley FBR an aggregate commission rate of up to 3.5% of the gross proceeds of any common stock sold under this agreement. Proceeds from sales of common stock will depend on the number of shares of common stock sold to B. Riley FBR and the per share purchase price of each transaction.</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13" w:name="page14"/>
    <w:bookmarkEnd w:id="13"/>
    <w:p>
      <w:pPr>
        <w:ind w:firstLine="510"/>
        <w:spacing w:after="0" w:line="286" w:lineRule="auto"/>
        <w:rPr>
          <w:sz w:val="20"/>
          <w:szCs w:val="20"/>
          <w:color w:val="auto"/>
        </w:rPr>
      </w:pPr>
      <w:r>
        <w:rPr>
          <w:rFonts w:ascii="Arial" w:cs="Arial" w:eastAsia="Arial" w:hAnsi="Arial"/>
          <w:sz w:val="17"/>
          <w:szCs w:val="17"/>
          <w:color w:val="auto"/>
        </w:rPr>
        <w:t>On January 29, 2021, the Company sold and issued to an investor 3,656,307 shares of the Company’s common stock at a price of $5.47 per share for approximately $20 million in cash proceeds, net of approximately $0.1 million in issuance costs, in a private placement pursuant to the terms and conditions of a Securities Purchase Agreement dated as of January 11, 2021 by and between the Company and such investor.</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Net Loss Per Share</w:t>
      </w:r>
    </w:p>
    <w:p>
      <w:pPr>
        <w:spacing w:after="0" w:line="121" w:lineRule="exact"/>
        <w:rPr>
          <w:sz w:val="20"/>
          <w:szCs w:val="20"/>
          <w:color w:val="auto"/>
        </w:rPr>
      </w:pPr>
    </w:p>
    <w:p>
      <w:pPr>
        <w:ind w:right="180" w:firstLine="510"/>
        <w:spacing w:after="0" w:line="257" w:lineRule="auto"/>
        <w:rPr>
          <w:sz w:val="20"/>
          <w:szCs w:val="20"/>
          <w:color w:val="auto"/>
        </w:rPr>
      </w:pPr>
      <w:r>
        <w:rPr>
          <w:rFonts w:ascii="Arial" w:cs="Arial" w:eastAsia="Arial" w:hAnsi="Arial"/>
          <w:sz w:val="18"/>
          <w:szCs w:val="18"/>
          <w:color w:val="auto"/>
        </w:rPr>
        <w:t>The Company computes basic net loss per share using the weighted average number of common shares outstanding during the period. Diluted net loss per share is based upon the weighted average number of common shares and potentially dilutive securities (common share equivalents) outstanding during the period. Common share equivalents outstanding, determined using the treasury stock method, are comprised of shares that may be issued under the Company’s stock option agreements. Common share equivalents are excluded from the diluted net loss per share calculation if their effect is anti-dilutive.</w:t>
      </w:r>
    </w:p>
    <w:p>
      <w:pPr>
        <w:spacing w:after="0" w:line="188"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auto"/>
        </w:rPr>
        <w:t>Potentially dilutive outstanding stock options excluded from diluted net loss per common share due to their anti-dilutive effect totaled 8,099,250 shares and 7,510,387 shares for the three and nine months ended September 30, 2021 and 2020, respectively.</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98" w:right="359" w:bottom="1440" w:gutter="0" w:footer="0" w:header="0"/>
        </w:sectPr>
      </w:pPr>
    </w:p>
    <w:bookmarkStart w:id="14" w:name="page15"/>
    <w:bookmarkEnd w:id="14"/>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right="20" w:firstLine="510"/>
        <w:spacing w:after="0" w:line="279"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unaudited consolidated financial statements and notes thereto included in this Quarterly Report on Form 10-Q and the audited financial statements and notes thereto as of and for the year ended December 31, 2020 included in our Annual Report on Form 10-K filed with the Securities and Exchange Commission, or SEC, on February 19, 2021. Past operating results are not necessarily indicative of results that may occur in future periods.</w:t>
      </w:r>
    </w:p>
    <w:p>
      <w:pPr>
        <w:spacing w:after="0" w:line="171"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i w:val="1"/>
          <w:iCs w:val="1"/>
          <w:color w:val="auto"/>
        </w:rPr>
        <w:t>This Quarterly Report on Form 10-Q contains forward-looking statements that are subject to risks and uncertainties, many of which are beyond our control. Our actual results may differ from those anticipated in these forward-looking statements as a result of various factors, including those set forth in Part II of this Quarterly Report on Form 10-Q under the caption “Item 1A. Risk Factors” and under the caption “Item 1A. Risk Factors” in our Annual Report on Form 10-K. The differences may be material. Forward-looking statements discuss matters that are not historical facts. Forward-looking statements include, but are not limited to, statements regarding our plans, strategies, objectives, product development programs, clinical trials, industry, financial condition, liquidity and capital resources, future performance and other statements that are not historical facts. Such forward-looking statements include statements preceded by, followed by or that otherwise include the words “may,” “might,” “will,” “intend,” “should,” “could,” “can,” “would,” “expect,” “believe,” “estimate,” “anticipate,” “predict,” “potential,” “plan” or similar words. For such statements, we claim the protection of the safe harbor for forward-looking statements contained in the Private Securities Litigation Reform Act of 1995. You should not rely unduly on these forward-looking statements, which speak only as of the date hereof. We undertake no obligation to update publicly or revise any forward-looking statements, whether as a result of new information, future events or otherwise, unless required by law.</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7" w:lineRule="exact"/>
        <w:rPr>
          <w:sz w:val="20"/>
          <w:szCs w:val="20"/>
          <w:color w:val="auto"/>
        </w:rPr>
      </w:pPr>
    </w:p>
    <w:p>
      <w:pPr>
        <w:ind w:right="20" w:firstLine="572"/>
        <w:spacing w:after="0" w:line="269" w:lineRule="auto"/>
        <w:rPr>
          <w:sz w:val="20"/>
          <w:szCs w:val="20"/>
          <w:color w:val="auto"/>
        </w:rPr>
      </w:pPr>
      <w:r>
        <w:rPr>
          <w:rFonts w:ascii="Arial" w:cs="Arial" w:eastAsia="Arial" w:hAnsi="Arial"/>
          <w:sz w:val="17"/>
          <w:szCs w:val="17"/>
          <w:color w:val="auto"/>
        </w:rPr>
        <w:t>We are a biopharmaceutical company focused on developing novel therapeutics for the treatment of serious diseases with unmet medical needs and a commercial focus on the United States market. Our current strategy is to focus our development activities on MN-166 (ibudilast) for neurological and other disorders such as progressive multiple sclerosis (MS), amyotrophic lateral sclerosis (ALS), chemotherapy-induced peripheral neuropathy, degenerative cervical myelopathy, glioblastoma, substance dependence and addiction (e.g., methamphetamine dependence, opioid dependence, and alcohol dependence), and prevention of acute respiratory distress syndrome, and MN-001 (tipelukast) for fibrotic diseases such as nonalcoholic steatohepatitis (NASH) and idiopathic pulmonary fibrosis (IPF). Our pipeline also includes MN-221 (bedoradrine) for the treatment of acute exacerbation of asthma and MN-029 (denibulin) for solid tumor cancers. We were incorporated in Delaware in September 2000.</w:t>
      </w:r>
    </w:p>
    <w:p>
      <w:pPr>
        <w:spacing w:after="0" w:line="180"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We have incurred significant net losses since our inception. As of September 30, 2021, from inception, our accumulated deficit was $391.0 million. We expect to incur substantial net losses for the next several years as we continue to develop certain of our existing product development programs, and over the long-term if we expand our research and development programs and acquire or in-license products, technologies or businesses that are complementary to our own.</w:t>
      </w:r>
    </w:p>
    <w:p>
      <w:pPr>
        <w:spacing w:after="0" w:line="79" w:lineRule="exact"/>
        <w:rPr>
          <w:sz w:val="20"/>
          <w:szCs w:val="20"/>
          <w:color w:val="auto"/>
        </w:rPr>
      </w:pPr>
    </w:p>
    <w:p>
      <w:pPr>
        <w:ind w:right="420" w:firstLine="457"/>
        <w:spacing w:after="0" w:line="308" w:lineRule="auto"/>
        <w:rPr>
          <w:sz w:val="20"/>
          <w:szCs w:val="20"/>
          <w:color w:val="auto"/>
        </w:rPr>
      </w:pPr>
      <w:r>
        <w:rPr>
          <w:rFonts w:ascii="Arial" w:cs="Arial" w:eastAsia="Arial" w:hAnsi="Arial"/>
          <w:sz w:val="17"/>
          <w:szCs w:val="17"/>
          <w:color w:val="auto"/>
        </w:rPr>
        <w:t>Our goal is to build a sustainable biopharmaceutical business through the successful development of differentiated products for the treatment of serious diseases with unmet medical needs in high-value therapeutic areas. Key elements of our strategy are as follows:</w:t>
      </w:r>
    </w:p>
    <w:p>
      <w:pPr>
        <w:spacing w:after="0" w:line="38" w:lineRule="exact"/>
        <w:rPr>
          <w:sz w:val="20"/>
          <w:szCs w:val="20"/>
          <w:color w:val="auto"/>
        </w:rPr>
      </w:pPr>
    </w:p>
    <w:p>
      <w:pPr>
        <w:ind w:left="1000" w:hanging="493"/>
        <w:spacing w:after="0"/>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i w:val="1"/>
          <w:iCs w:val="1"/>
          <w:color w:val="auto"/>
        </w:rPr>
        <w:t>Pursue the development of MN-166 (ibudilast) for multiple potential indications with the support of non-dilutive financings.</w:t>
      </w:r>
    </w:p>
    <w:p>
      <w:pPr>
        <w:spacing w:after="0" w:line="117" w:lineRule="exact"/>
        <w:rPr>
          <w:rFonts w:ascii="Arial" w:cs="Arial" w:eastAsia="Arial" w:hAnsi="Arial"/>
          <w:sz w:val="18"/>
          <w:szCs w:val="18"/>
          <w:color w:val="auto"/>
        </w:rPr>
      </w:pPr>
    </w:p>
    <w:p>
      <w:pPr>
        <w:ind w:left="1020"/>
        <w:spacing w:after="0" w:line="254" w:lineRule="auto"/>
        <w:rPr>
          <w:rFonts w:ascii="Arial" w:cs="Arial" w:eastAsia="Arial" w:hAnsi="Arial"/>
          <w:sz w:val="18"/>
          <w:szCs w:val="18"/>
          <w:color w:val="auto"/>
        </w:rPr>
      </w:pPr>
      <w:r>
        <w:rPr>
          <w:rFonts w:ascii="Arial" w:cs="Arial" w:eastAsia="Arial" w:hAnsi="Arial"/>
          <w:sz w:val="18"/>
          <w:szCs w:val="18"/>
          <w:color w:val="auto"/>
        </w:rPr>
        <w:t>We intend to advance our diverse MN-166 (ibudilast) program through a combination of investigator-sponsored clinical trials, trials funded through government grants or other grants, and trials funded by us. In addition to providing drug supply and regulatory support, we have funded portions of some of the consortium-sponsored trials. For example, we contributed financially to the Secondary and Primary Progressive Ibudilast NeuroNEXT Trial in Multiple Sclerosis (SPRINT-MS) Phase 2b clinical trial of MN-166 (ibudilast) for the treatment of progressive MS, which was primarily funded by the NIH. In addition, we contributed financially to the clinical trials of MN-166 (ibudilast) that enrolled ALS patients. We intend to pursue additional strategic alliances to help support further clinical development of MN-166 (ibudilast).</w:t>
      </w:r>
    </w:p>
    <w:p>
      <w:pPr>
        <w:spacing w:after="0" w:line="86" w:lineRule="exact"/>
        <w:rPr>
          <w:rFonts w:ascii="Arial" w:cs="Arial" w:eastAsia="Arial" w:hAnsi="Arial"/>
          <w:sz w:val="18"/>
          <w:szCs w:val="18"/>
          <w:color w:val="auto"/>
        </w:rPr>
      </w:pPr>
    </w:p>
    <w:p>
      <w:pPr>
        <w:ind w:left="1020" w:hanging="55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Pursue the development of MN-001 (tipelukast) for fibrotic and other diseases.</w:t>
      </w:r>
    </w:p>
    <w:p>
      <w:pPr>
        <w:spacing w:after="0" w:line="117" w:lineRule="exact"/>
        <w:rPr>
          <w:rFonts w:ascii="Arial" w:cs="Arial" w:eastAsia="Arial" w:hAnsi="Arial"/>
          <w:sz w:val="18"/>
          <w:szCs w:val="18"/>
          <w:color w:val="auto"/>
        </w:rPr>
      </w:pPr>
    </w:p>
    <w:p>
      <w:pPr>
        <w:ind w:left="1020" w:right="60"/>
        <w:spacing w:after="0" w:line="277" w:lineRule="auto"/>
        <w:rPr>
          <w:rFonts w:ascii="Arial" w:cs="Arial" w:eastAsia="Arial" w:hAnsi="Arial"/>
          <w:sz w:val="18"/>
          <w:szCs w:val="18"/>
          <w:color w:val="auto"/>
        </w:rPr>
      </w:pPr>
      <w:r>
        <w:rPr>
          <w:rFonts w:ascii="Arial" w:cs="Arial" w:eastAsia="Arial" w:hAnsi="Arial"/>
          <w:sz w:val="18"/>
          <w:szCs w:val="18"/>
          <w:color w:val="auto"/>
        </w:rPr>
        <w:t>We intend to advance development of MN-001 (tipelukast) through a variety of means, which may include investigator-sponsored trials with or without grant funding as well as trials funded by us.</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5" w:name="page16"/>
    <w:bookmarkEnd w:id="15"/>
    <w:p>
      <w:pPr>
        <w:ind w:left="1000" w:right="440" w:hanging="493"/>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Consider strategic partnerships with one or more leading pharmaceutical companies to complete product development and successfully commercialize our products.</w:t>
      </w:r>
    </w:p>
    <w:p>
      <w:pPr>
        <w:spacing w:after="0" w:line="62" w:lineRule="exact"/>
        <w:rPr>
          <w:rFonts w:ascii="Arial" w:cs="Arial" w:eastAsia="Arial" w:hAnsi="Arial"/>
          <w:sz w:val="18"/>
          <w:szCs w:val="18"/>
          <w:color w:val="auto"/>
        </w:rPr>
      </w:pPr>
    </w:p>
    <w:p>
      <w:pPr>
        <w:jc w:val="both"/>
        <w:ind w:left="1020" w:right="220"/>
        <w:spacing w:after="0" w:line="311" w:lineRule="auto"/>
        <w:rPr>
          <w:rFonts w:ascii="Arial" w:cs="Arial" w:eastAsia="Arial" w:hAnsi="Arial"/>
          <w:sz w:val="18"/>
          <w:szCs w:val="18"/>
          <w:color w:val="auto"/>
        </w:rPr>
      </w:pPr>
      <w:r>
        <w:rPr>
          <w:rFonts w:ascii="Arial" w:cs="Arial" w:eastAsia="Arial" w:hAnsi="Arial"/>
          <w:sz w:val="16"/>
          <w:szCs w:val="16"/>
          <w:color w:val="auto"/>
        </w:rPr>
        <w:t>We develop and maintain relationships with pharmaceutical companies that are therapeutic category leaders. We intend to discuss strategic alliances with leading pharmaceutical companies who seek product candidates, such as MN-166 (ibudilast), MN-001 (tipelukast), MN-221 (bedoradrine), and MN-029 (denibulin), which could support our clinical development and product commercialization.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 on Our Business</w:t>
      </w:r>
    </w:p>
    <w:p>
      <w:pPr>
        <w:spacing w:after="0" w:line="225"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The pandemic caused by an outbreak of a new strain of coronavirus (“COVID-19” or “the pandemic”) has resulted, and is likely to continue to result, in significant national and global economic disruption and may adversely affect our business. Although the pandemic resulted in a decrease in the number of patient visits at certain of our clinical trial sites, we expect this effect to be temporary. We have seen an increase in the number of patient visits compared to earlier in the pandemic and we continue to enroll patients in our clinical trials. Throughout the pandemic, we have continued with routine clinical trial activities including executing new clinical trial agreements, negotiating budgets, institutional review board (IRB) approvals, site training, and other activities related to the initiation of new clinical trial sites. In addition, following the outbreak of the pandemic, we designed a clinical trial to evaluate MN-166 (ibudilast) for prevention of acute respiratory distress syndrome (ARDS) caused by COVID-19, which was based on positive results of a published study of MN-166 (ibudilast) in an animal model of ARDS. During the pandemic, we have been able to continue with routine regulatory activities. For example, we successfully submitted an Investigational New Drug Application (IND) for MN-166 (ibudilast) for prevention of ARDS which was accepted and is now open with the U.S. Food and Drug Administration (FDA). We were also informed by the FDA that the proposed clinical investigation of MN-166 (ibudilast) for the prevention of ARDS in patients with COVID-19 may proceed. Based on management’s current assessment, we do not expect a material negative impact on our clinical development plans, long-term development timeline or liquidity due to the worldwide spread of the COVID-19 virus. However, we are actively monitoring this situation and the possible effects on our financial condition, liquidity, operations, suppliers, industry, and workforce.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and Cost of Revenues</w:t>
      </w:r>
    </w:p>
    <w:p>
      <w:pPr>
        <w:spacing w:after="0" w:line="117" w:lineRule="exact"/>
        <w:rPr>
          <w:sz w:val="20"/>
          <w:szCs w:val="20"/>
          <w:color w:val="auto"/>
        </w:rPr>
      </w:pPr>
    </w:p>
    <w:p>
      <w:pPr>
        <w:ind w:right="100" w:firstLine="510"/>
        <w:spacing w:after="0" w:line="269" w:lineRule="auto"/>
        <w:rPr>
          <w:sz w:val="20"/>
          <w:szCs w:val="20"/>
          <w:color w:val="auto"/>
        </w:rPr>
      </w:pPr>
      <w:r>
        <w:rPr>
          <w:rFonts w:ascii="Arial" w:cs="Arial" w:eastAsia="Arial" w:hAnsi="Arial"/>
          <w:sz w:val="17"/>
          <w:szCs w:val="17"/>
          <w:color w:val="auto"/>
        </w:rPr>
        <w:t>In October 2011, we entered into a collaboration agreement with Kissei Pharmaceutical Co., Ltd., or Kissei, to perform research and development services relating to MN-221 (bedoradrine) in exchange for a non-refundable upfront payment of $2.5 million. Under the terms of the agreement, we are responsible for all costs to be incurred in the performance of these services. We assessed the services in accordance with the authoritative guidance and concluded that the two studies to be performed under the agreement represented two separate performance obligations. The transaction price was allocated between the two studies that were deemed separate performance obligations based on the expected costs to be incurred for each obligation. Revenue is recognized proportional to the total costs expected for each performance obligation as incurred over the service period. The first study was completed in 2013. The amount received from Kissei and allocated, net of the amount recorded as revenue, is included on the balance sheet as current-term deferred revenue. No revenue was recognized in the three and nine months ended September 30, 2021 and 2020, in connection with the collaboration agreement with Kissei. As of September 30, 2021, we and Kissei were mutually working to terminate the collaboration agreement and cancel the second study contemplated thereunder. In October 2021, we refunded $1.3 million of the prepayment and we expect to finalize the termination agreement by December 31, 2021.</w:t>
      </w:r>
    </w:p>
    <w:p>
      <w:pPr>
        <w:spacing w:after="0" w:line="398"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In December 2005, Avigen, Inc. and Genzyme Corporation entered into an Assignment Agreement (the “Genzyme Agreement”) in which Genzyme acquired certain gene therapy intellectual property, programs and other related assets from Avigen in exchange for an initial $12.0 million payment. Avigen could also receive additional development milestone payments, sublicensing fees and royalty payments based on the successful development of products by Genzyme utilizing technologies previously developed by Avigen. Avigen was subsequently acquired by the Company in December 2009 along with Avigen’s rights and obligations under the Genzyme Agreement. If Genzyme fails to diligently pursue the commercialization or marketing of products using the assigned technology, as specified in the Genzyme Agreement, some of the rights assigned could revert back to the Company at a future date. The development milestones outlined in the Genzyme Agreement did not meet the definition of a substantive milestone obligation under authoritative guidance on revenue recognition for milestone payments, as Genzyme is responsible for the development of the products and there is no further substantive service effort required by the Company. In March 2021, the Company received notice that a gene therapy product based on AAV (adeno-associated virus) vector technology, which is covered under the Genzyme Agreement, achieved two clinical development milestones, triggering two milestone payments. Accordingly, the Company recognized revenue of $4 million for the nine months ended September 30, 2021.</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Research, Development and Patents Expenses</w:t>
      </w:r>
    </w:p>
    <w:p>
      <w:pPr>
        <w:spacing w:after="0" w:line="117" w:lineRule="exact"/>
        <w:rPr>
          <w:sz w:val="20"/>
          <w:szCs w:val="20"/>
          <w:color w:val="auto"/>
        </w:rPr>
      </w:pPr>
    </w:p>
    <w:p>
      <w:pPr>
        <w:ind w:right="60" w:firstLine="510"/>
        <w:spacing w:after="0" w:line="270" w:lineRule="auto"/>
        <w:rPr>
          <w:sz w:val="20"/>
          <w:szCs w:val="20"/>
          <w:color w:val="auto"/>
        </w:rPr>
      </w:pPr>
      <w:r>
        <w:rPr>
          <w:rFonts w:ascii="Arial" w:cs="Arial" w:eastAsia="Arial" w:hAnsi="Arial"/>
          <w:sz w:val="17"/>
          <w:szCs w:val="17"/>
          <w:color w:val="auto"/>
        </w:rPr>
        <w:t>Our research, development and patents expenses consist primarily of license fees related to our product candidates, salaries and related employee benefits, costs associated with the preclinical and clinical development of our product development programs, costs associated with non-clinical activities, such as regulatory expenses, and pre-commercialization manufacturing development activities. We use external service providers to manufacture our compounds to be used in clinical trials and for the majority of the services performed in connection with the preclinical and clinical development of our product candidates. Research, development and patents expenses include fees paid to consultants, contract research organizations, contract manufacturers and other external service providers, including professional fees and costs associated with legal services, patents and patent applications for our intellectual property. Internal research and development expenses include costs of compensation and other expenses for research and development personnel, supplies, facility costs and depreciation. Research, development and patents costs are expensed as incurred and we expect to increase such costs through the remainder of 2021 as our development programs progress.</w:t>
      </w:r>
    </w:p>
    <w:p>
      <w:pPr>
        <w:spacing w:after="0" w:line="181" w:lineRule="exact"/>
        <w:rPr>
          <w:sz w:val="20"/>
          <w:szCs w:val="20"/>
          <w:color w:val="auto"/>
        </w:rPr>
      </w:pPr>
    </w:p>
    <w:p>
      <w:pPr>
        <w:jc w:val="both"/>
        <w:ind w:right="380" w:firstLine="510"/>
        <w:spacing w:after="0" w:line="263" w:lineRule="auto"/>
        <w:rPr>
          <w:sz w:val="20"/>
          <w:szCs w:val="20"/>
          <w:color w:val="auto"/>
        </w:rPr>
      </w:pPr>
      <w:r>
        <w:rPr>
          <w:rFonts w:ascii="Arial" w:cs="Arial" w:eastAsia="Arial" w:hAnsi="Arial"/>
          <w:sz w:val="18"/>
          <w:szCs w:val="18"/>
          <w:color w:val="auto"/>
        </w:rPr>
        <w:t>The following table summarizes our research, development and patents expenses for the periods indicated for each of our product development programs. To the extent that costs, including personnel costs, are not tracked to a specific product development program, such costs are included in the “Other R&amp;D expense” category (in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4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ind w:right="107"/>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129"/>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4500" w:type="dxa"/>
            <w:vAlign w:val="bottom"/>
            <w:tcBorders>
              <w:bottom w:val="single" w:sz="8" w:color="CFF0FC"/>
            </w:tcBorders>
          </w:tcPr>
          <w:p>
            <w:pPr>
              <w:spacing w:after="0"/>
              <w:rPr>
                <w:sz w:val="13"/>
                <w:szCs w:val="13"/>
                <w:color w:val="auto"/>
              </w:rPr>
            </w:pPr>
          </w:p>
        </w:tc>
        <w:tc>
          <w:tcPr>
            <w:tcW w:w="10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w w:val="89"/>
              </w:rPr>
              <w:t>2020</w:t>
            </w:r>
          </w:p>
        </w:tc>
        <w:tc>
          <w:tcPr>
            <w:tcW w:w="2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FF0FC"/>
            </w:tcBorders>
          </w:tcPr>
          <w:p>
            <w:pPr>
              <w:spacing w:after="0"/>
              <w:rPr>
                <w:sz w:val="13"/>
                <w:szCs w:val="13"/>
                <w:color w:val="auto"/>
              </w:rPr>
            </w:pPr>
          </w:p>
        </w:tc>
      </w:tr>
      <w:tr>
        <w:trPr>
          <w:trHeight w:val="223"/>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External development expense:</w:t>
            </w: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500" w:type="dxa"/>
            <w:vAlign w:val="bottom"/>
          </w:tcPr>
          <w:p>
            <w:pPr>
              <w:ind w:left="380"/>
              <w:spacing w:after="0"/>
              <w:rPr>
                <w:sz w:val="20"/>
                <w:szCs w:val="20"/>
                <w:color w:val="auto"/>
              </w:rPr>
            </w:pPr>
            <w:r>
              <w:rPr>
                <w:rFonts w:ascii="Arial" w:cs="Arial" w:eastAsia="Arial" w:hAnsi="Arial"/>
                <w:sz w:val="18"/>
                <w:szCs w:val="18"/>
                <w:color w:val="auto"/>
              </w:rPr>
              <w:t>MN-221</w:t>
            </w:r>
          </w:p>
        </w:tc>
        <w:tc>
          <w:tcPr>
            <w:tcW w:w="136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760" w:type="dxa"/>
            <w:vAlign w:val="bottom"/>
            <w:gridSpan w:val="2"/>
          </w:tcPr>
          <w:p>
            <w:pPr>
              <w:jc w:val="right"/>
              <w:ind w:right="327"/>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w:t>
            </w:r>
          </w:p>
        </w:tc>
        <w:tc>
          <w:tcPr>
            <w:tcW w:w="56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9"/>
                <w:szCs w:val="19"/>
                <w:color w:val="auto"/>
              </w:rPr>
            </w:pPr>
          </w:p>
        </w:tc>
        <w:tc>
          <w:tcPr>
            <w:tcW w:w="480" w:type="dxa"/>
            <w:vAlign w:val="bottom"/>
            <w:gridSpan w:val="2"/>
          </w:tcPr>
          <w:p>
            <w:pPr>
              <w:jc w:val="right"/>
              <w:ind w:right="349"/>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29"/>
        </w:trPr>
        <w:tc>
          <w:tcPr>
            <w:tcW w:w="45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MN-166</w:t>
            </w: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1,363</w:t>
            </w: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1,313</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3,346</w:t>
            </w:r>
          </w:p>
        </w:tc>
        <w:tc>
          <w:tcPr>
            <w:tcW w:w="100" w:type="dxa"/>
            <w:vAlign w:val="bottom"/>
            <w:shd w:val="clear" w:color="auto" w:fill="CFF0FC"/>
          </w:tcPr>
          <w:p>
            <w:pPr>
              <w:spacing w:after="0"/>
              <w:rPr>
                <w:sz w:val="19"/>
                <w:szCs w:val="19"/>
                <w:color w:val="auto"/>
              </w:rPr>
            </w:pPr>
          </w:p>
        </w:tc>
      </w:tr>
      <w:tr>
        <w:trPr>
          <w:trHeight w:val="230"/>
        </w:trPr>
        <w:tc>
          <w:tcPr>
            <w:tcW w:w="4500" w:type="dxa"/>
            <w:vAlign w:val="bottom"/>
          </w:tcPr>
          <w:p>
            <w:pPr>
              <w:ind w:left="380"/>
              <w:spacing w:after="0"/>
              <w:rPr>
                <w:sz w:val="20"/>
                <w:szCs w:val="20"/>
                <w:color w:val="auto"/>
              </w:rPr>
            </w:pPr>
            <w:r>
              <w:rPr>
                <w:rFonts w:ascii="Arial" w:cs="Arial" w:eastAsia="Arial" w:hAnsi="Arial"/>
                <w:sz w:val="18"/>
                <w:szCs w:val="18"/>
                <w:color w:val="auto"/>
              </w:rPr>
              <w:t>MN-001</w:t>
            </w: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110</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r>
      <w:tr>
        <w:trPr>
          <w:trHeight w:val="229"/>
        </w:trPr>
        <w:tc>
          <w:tcPr>
            <w:tcW w:w="45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MN-029</w:t>
            </w: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r>
      <w:tr>
        <w:trPr>
          <w:trHeight w:val="230"/>
        </w:trPr>
        <w:tc>
          <w:tcPr>
            <w:tcW w:w="450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FF0FC"/>
            </w:tcBorders>
          </w:tcPr>
          <w:p>
            <w:pPr>
              <w:spacing w:after="0"/>
              <w:rPr>
                <w:sz w:val="19"/>
                <w:szCs w:val="19"/>
                <w:color w:val="auto"/>
              </w:rPr>
            </w:pPr>
          </w:p>
        </w:tc>
      </w:tr>
      <w:tr>
        <w:trPr>
          <w:trHeight w:val="223"/>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Total external development expense</w:t>
            </w: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1,475</w:t>
            </w: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1,461</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3,587</w:t>
            </w:r>
          </w:p>
        </w:tc>
        <w:tc>
          <w:tcPr>
            <w:tcW w:w="100" w:type="dxa"/>
            <w:vAlign w:val="bottom"/>
            <w:shd w:val="clear" w:color="auto" w:fill="CFF0FC"/>
          </w:tcPr>
          <w:p>
            <w:pPr>
              <w:spacing w:after="0"/>
              <w:rPr>
                <w:sz w:val="19"/>
                <w:szCs w:val="19"/>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R&amp;D personnel expense</w:t>
            </w: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446</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596</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1,607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1,630</w:t>
            </w:r>
          </w:p>
        </w:tc>
        <w:tc>
          <w:tcPr>
            <w:tcW w:w="100" w:type="dxa"/>
            <w:vAlign w:val="bottom"/>
          </w:tcPr>
          <w:p>
            <w:pPr>
              <w:spacing w:after="0"/>
              <w:rPr>
                <w:sz w:val="19"/>
                <w:szCs w:val="19"/>
                <w:color w:val="auto"/>
              </w:rPr>
            </w:pPr>
          </w:p>
        </w:tc>
      </w:tr>
      <w:tr>
        <w:trPr>
          <w:trHeight w:val="229"/>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R&amp;D facility and depreciation expense</w:t>
            </w: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FF0FC"/>
          </w:tcPr>
          <w:p>
            <w:pPr>
              <w:spacing w:after="0"/>
              <w:rPr>
                <w:sz w:val="19"/>
                <w:szCs w:val="19"/>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Patent expenses</w:t>
            </w: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97</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19"/>
                <w:szCs w:val="19"/>
                <w:color w:val="auto"/>
              </w:rPr>
            </w:pPr>
          </w:p>
        </w:tc>
      </w:tr>
      <w:tr>
        <w:trPr>
          <w:trHeight w:val="229"/>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Other R&amp;D expense</w:t>
            </w:r>
          </w:p>
        </w:tc>
        <w:tc>
          <w:tcPr>
            <w:tcW w:w="10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28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2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FF0FC"/>
          </w:tcPr>
          <w:p>
            <w:pPr>
              <w:spacing w:after="0"/>
              <w:rPr>
                <w:sz w:val="19"/>
                <w:szCs w:val="19"/>
                <w:color w:val="auto"/>
              </w:rPr>
            </w:pPr>
          </w:p>
        </w:tc>
      </w:tr>
      <w:tr>
        <w:trPr>
          <w:trHeight w:val="223"/>
        </w:trPr>
        <w:tc>
          <w:tcPr>
            <w:tcW w:w="4500" w:type="dxa"/>
            <w:vAlign w:val="bottom"/>
          </w:tcPr>
          <w:p>
            <w:pPr>
              <w:spacing w:after="0"/>
              <w:rPr>
                <w:sz w:val="20"/>
                <w:szCs w:val="20"/>
                <w:color w:val="auto"/>
              </w:rPr>
            </w:pPr>
            <w:r>
              <w:rPr>
                <w:rFonts w:ascii="Arial" w:cs="Arial" w:eastAsia="Arial" w:hAnsi="Arial"/>
                <w:sz w:val="18"/>
                <w:szCs w:val="18"/>
                <w:color w:val="auto"/>
              </w:rPr>
              <w:t>Total research, development and patent expense</w:t>
            </w:r>
          </w:p>
        </w:tc>
        <w:tc>
          <w:tcPr>
            <w:tcW w:w="1060" w:type="dxa"/>
            <w:vAlign w:val="bottom"/>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2,089</w:t>
            </w:r>
          </w:p>
        </w:tc>
        <w:tc>
          <w:tcPr>
            <w:tcW w:w="280" w:type="dxa"/>
            <w:vAlign w:val="bottom"/>
          </w:tcPr>
          <w:p>
            <w:pPr>
              <w:spacing w:after="0"/>
              <w:rPr>
                <w:sz w:val="19"/>
                <w:szCs w:val="19"/>
                <w:color w:val="auto"/>
              </w:rPr>
            </w:pPr>
          </w:p>
        </w:tc>
        <w:tc>
          <w:tcPr>
            <w:tcW w:w="480" w:type="dxa"/>
            <w:vAlign w:val="bottom"/>
            <w:tcBorders>
              <w:bottom w:val="single" w:sz="8" w:color="auto"/>
            </w:tcBorders>
          </w:tcPr>
          <w:p>
            <w:pPr>
              <w:jc w:val="right"/>
              <w:ind w:right="32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2,238</w:t>
            </w:r>
          </w:p>
        </w:tc>
        <w:tc>
          <w:tcPr>
            <w:tcW w:w="28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6,761</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34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5,688</w:t>
            </w:r>
          </w:p>
        </w:tc>
        <w:tc>
          <w:tcPr>
            <w:tcW w:w="100" w:type="dxa"/>
            <w:vAlign w:val="bottom"/>
          </w:tcPr>
          <w:p>
            <w:pPr>
              <w:spacing w:after="0"/>
              <w:rPr>
                <w:sz w:val="19"/>
                <w:szCs w:val="19"/>
                <w:color w:val="auto"/>
              </w:rPr>
            </w:pPr>
          </w:p>
        </w:tc>
      </w:tr>
      <w:tr>
        <w:trPr>
          <w:trHeight w:val="20"/>
        </w:trPr>
        <w:tc>
          <w:tcPr>
            <w:tcW w:w="4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Our general and administrative costs primarily consist of salaries, stock-based compensation, benefits and consulting and professional fees related to our administrative, finance, human resources, business development, legal, information systems support functions, facilities and insurance costs. General and administrative costs are expensed as incurred.</w:t>
      </w:r>
    </w:p>
    <w:p>
      <w:pPr>
        <w:spacing w:after="0" w:line="184"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color w:val="auto"/>
        </w:rPr>
        <w:t>Our general and administrative expenses may increase in future periods if we are required to expand our infrastructure based on the success of our product development programs and in raising capital to support our product development programs or otherwise in connection with increased business development activities related to partnering, out-licensing or product disposition.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81" w:lineRule="exact"/>
        <w:rPr>
          <w:sz w:val="20"/>
          <w:szCs w:val="20"/>
          <w:color w:val="auto"/>
        </w:rPr>
      </w:pPr>
    </w:p>
    <w:p>
      <w:pPr>
        <w:ind w:right="100" w:firstLine="510"/>
        <w:spacing w:after="0" w:line="271" w:lineRule="auto"/>
        <w:rPr>
          <w:sz w:val="20"/>
          <w:szCs w:val="20"/>
          <w:color w:val="auto"/>
        </w:rPr>
      </w:pPr>
      <w:r>
        <w:rPr>
          <w:rFonts w:ascii="Arial" w:cs="Arial" w:eastAsia="Arial" w:hAnsi="Arial"/>
          <w:sz w:val="17"/>
          <w:szCs w:val="17"/>
          <w:color w:val="auto"/>
        </w:rPr>
        <w:t>This discussion and analysis of our financial condition and results of operations is based on our condensed consolidated financial statements, which we have prepared in accordance with United States generally accepted accounting principles. The preparation of these condensed financial statements requires us to make estimates, judgments and assumptions that affect the reported amounts of assets and liabilities and the disclosure of contingent assets and liabilities at the date of the financial statements, as well as the reported amounts of expenses during the reporting periods. We base our estimates on historical experience and on various other factors and assumptions that we believe are reasonable under the circumstances at the time the estimates are made, the results of which form the basis for making judgments about the book values of assets and liabilities that are not readily apparent from other sources. Actual results may differ from these estimates under different assumptions or conditions. We periodically evaluate our estimates and judgments in light of changes in circumstances, facts and experience.</w:t>
      </w:r>
    </w:p>
    <w:p>
      <w:pPr>
        <w:spacing w:after="0" w:line="70" w:lineRule="exact"/>
        <w:rPr>
          <w:sz w:val="20"/>
          <w:szCs w:val="20"/>
          <w:color w:val="auto"/>
        </w:rPr>
      </w:pPr>
    </w:p>
    <w:p>
      <w:pPr>
        <w:ind w:right="100" w:firstLine="510"/>
        <w:spacing w:after="0" w:line="255" w:lineRule="auto"/>
        <w:rPr>
          <w:sz w:val="20"/>
          <w:szCs w:val="20"/>
          <w:color w:val="auto"/>
        </w:rPr>
      </w:pPr>
      <w:r>
        <w:rPr>
          <w:rFonts w:ascii="Arial" w:cs="Arial" w:eastAsia="Arial" w:hAnsi="Arial"/>
          <w:sz w:val="18"/>
          <w:szCs w:val="18"/>
          <w:color w:val="auto"/>
        </w:rPr>
        <w:t>Our critical accounting policies are those accounting principles generally accepted in the United States that require us to make subjective estimates and judgments about matters that are uncertain and are likely to have a material impact on our financial condition and results of operations, as well as the specific manner in which we apply those principles. For a description of our critical accounting policies, please see the section entitled “Management’s Discussion and Analysis of Financial Condition and Results of Operations — Critical Accounting Policies” contained in our Annual Report on Form 10-K for the year ended December 31, 2020. There have not been any material changes to the critical accounting policies discussed therein during the nine months ended September 30, 2021.</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2021 and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Development and Patents Expenses</w:t>
      </w:r>
    </w:p>
    <w:p>
      <w:pPr>
        <w:spacing w:after="0" w:line="225" w:lineRule="exact"/>
        <w:rPr>
          <w:sz w:val="20"/>
          <w:szCs w:val="20"/>
          <w:color w:val="auto"/>
        </w:rPr>
      </w:pPr>
    </w:p>
    <w:p>
      <w:pPr>
        <w:ind w:right="240" w:firstLine="749"/>
        <w:spacing w:after="0" w:line="263" w:lineRule="auto"/>
        <w:rPr>
          <w:sz w:val="20"/>
          <w:szCs w:val="20"/>
          <w:color w:val="auto"/>
        </w:rPr>
      </w:pPr>
      <w:r>
        <w:rPr>
          <w:rFonts w:ascii="Arial" w:cs="Arial" w:eastAsia="Arial" w:hAnsi="Arial"/>
          <w:sz w:val="18"/>
          <w:szCs w:val="18"/>
          <w:color w:val="auto"/>
        </w:rPr>
        <w:t>Research, development and patents expenses were $2.1 million and $2.2 million for the three months ended September 30, 2021 and 2020, respectively. The decrease of $0.1 million was primarily due to lower stock compensation expense for performance-based stock options resulting from a decrease in our stock price.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General and administrative expenses were $1.6 million and $1.5 million for the three months ended September 30, 2021 and 2020,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increase of $0.1 million was primarily due to higher legal and consultant fees.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2021 and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firstLine="749"/>
        <w:spacing w:after="0" w:line="277" w:lineRule="auto"/>
        <w:rPr>
          <w:sz w:val="20"/>
          <w:szCs w:val="20"/>
          <w:color w:val="auto"/>
        </w:rPr>
      </w:pPr>
      <w:r>
        <w:rPr>
          <w:rFonts w:ascii="Arial" w:cs="Arial" w:eastAsia="Arial" w:hAnsi="Arial"/>
          <w:sz w:val="18"/>
          <w:szCs w:val="18"/>
          <w:color w:val="auto"/>
        </w:rPr>
        <w:t>Revenues were $4.0 million and $0.0 million for the nine months ended September 30, 2021 and 2020, respectively. The increase of $4.0 million was due to the receipt of two milestone payments under the Genzyme Agreement.</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Development and Patents Expenses</w:t>
      </w:r>
    </w:p>
    <w:p>
      <w:pPr>
        <w:spacing w:after="0" w:line="225" w:lineRule="exact"/>
        <w:rPr>
          <w:sz w:val="20"/>
          <w:szCs w:val="20"/>
          <w:color w:val="auto"/>
        </w:rPr>
      </w:pPr>
    </w:p>
    <w:p>
      <w:pPr>
        <w:ind w:right="120" w:firstLine="749"/>
        <w:spacing w:after="0" w:line="342" w:lineRule="auto"/>
        <w:rPr>
          <w:sz w:val="20"/>
          <w:szCs w:val="20"/>
          <w:color w:val="auto"/>
        </w:rPr>
      </w:pPr>
      <w:r>
        <w:rPr>
          <w:rFonts w:ascii="Arial" w:cs="Arial" w:eastAsia="Arial" w:hAnsi="Arial"/>
          <w:sz w:val="16"/>
          <w:szCs w:val="16"/>
          <w:color w:val="auto"/>
        </w:rPr>
        <w:t>Research, development and patents expenses were $6.8 million and $5.7 million for the nine months ended September 30, 2021 and 2020, respectively. The increase of $1.1 million was primarily due to higher clinical trial expenses from the ongoing clinical trial of MN-166 (ibudilast) in ALS.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40" w:firstLine="749"/>
        <w:spacing w:after="0" w:line="263" w:lineRule="auto"/>
        <w:rPr>
          <w:sz w:val="20"/>
          <w:szCs w:val="20"/>
          <w:color w:val="auto"/>
        </w:rPr>
      </w:pPr>
      <w:r>
        <w:rPr>
          <w:rFonts w:ascii="Arial" w:cs="Arial" w:eastAsia="Arial" w:hAnsi="Arial"/>
          <w:sz w:val="18"/>
          <w:szCs w:val="18"/>
          <w:color w:val="auto"/>
        </w:rPr>
        <w:t>General and administrative expenses were $5.4 million and $5.5 million for the nine months ended September 30, 2021 and 2020, respectively. The decrease of $0.1 million was primarily due to lower stock compensation expense for performance-based stock options resulting from a decrease in our stock price.</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00" w:firstLine="510"/>
        <w:spacing w:after="0" w:line="342" w:lineRule="auto"/>
        <w:rPr>
          <w:sz w:val="20"/>
          <w:szCs w:val="20"/>
          <w:color w:val="auto"/>
        </w:rPr>
      </w:pPr>
      <w:r>
        <w:rPr>
          <w:rFonts w:ascii="Arial" w:cs="Arial" w:eastAsia="Arial" w:hAnsi="Arial"/>
          <w:sz w:val="16"/>
          <w:szCs w:val="16"/>
          <w:color w:val="auto"/>
        </w:rPr>
        <w:t>Net cash used in operating activities during the nine months ended September 30, 2021 was $5.7 million compared to $8.9 million during the same period in 2020. The $3.2 million change is primarily related to the decreased net loss and changes in operating assets and liabilities for those periods.</w:t>
      </w:r>
    </w:p>
    <w:p>
      <w:pPr>
        <w:spacing w:after="0" w:line="16"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Net cash provided by financing activities was $20.7 million during the nine months ended September 30, 2021 compared to $6.7 million during the same period in 2020. Net cash provided by financing activities during the nine months ended September 30, 2021 is primarily due to the sale of 3,656,307 shares of common stock under the Securities Purchase Agreement dated as of January 11, 2021 for net proceeds of $19.9 million and cash proceeds of $0.8 million from the exercise of options to purchase 345,955 shares of common stock. Net cash provided by financing activities during the nine months ended September 30, 2020 is primarily due to the sale of 811,798 shares of common stock under the 2019 ATM Agreement for net proceeds of $6.1 million and cash proceeds of $0.6 million from the exercise of options to purchase 203,863 shares of common stock. Cash proceeds from financing activities are used for working capital and general corporate purposes.</w:t>
      </w:r>
    </w:p>
    <w:p>
      <w:pPr>
        <w:spacing w:after="0" w:line="177" w:lineRule="exact"/>
        <w:rPr>
          <w:sz w:val="20"/>
          <w:szCs w:val="20"/>
          <w:color w:val="auto"/>
        </w:rPr>
      </w:pPr>
    </w:p>
    <w:p>
      <w:pPr>
        <w:ind w:right="140" w:firstLine="510"/>
        <w:spacing w:after="0" w:line="254" w:lineRule="auto"/>
        <w:rPr>
          <w:sz w:val="20"/>
          <w:szCs w:val="20"/>
          <w:color w:val="auto"/>
        </w:rPr>
      </w:pPr>
      <w:r>
        <w:rPr>
          <w:rFonts w:ascii="Arial" w:cs="Arial" w:eastAsia="Arial" w:hAnsi="Arial"/>
          <w:sz w:val="18"/>
          <w:szCs w:val="18"/>
          <w:color w:val="auto"/>
        </w:rPr>
        <w:t>On August 23, 2019, we entered into an at the market issuance sales agreement (the “2019 ATM Agreement”) with B. Riley FBR, Inc. (B. Riley FBR) pursuant to which we may sell common stock through B. Riley FBR from time to time up to an aggregate offering price of $75.0 million. Sales of our common stock through B. Riley FBR, if any, will be made by any method that is deemed to be an “at-the-market” equity offering as defined in Rule 415 promulgated under the Securities Act of 1933, as amended, including sales made directly on NASDAQ, on any other existing trading market for the common stock or through a market maker. B. Riley FBR may also sell the common stock in privately negotiated transactions, subject to our prior approval. We agreed to pay B. Riley FBR an aggregate commission rate of up to 3.5% of the gross proceeds of any common stock sold under this agreement. Proceeds from sales of common stock will depend on the number of shares of common stock sold to B. Riley FBR and the per share purchase price of each transaction.</w:t>
      </w: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18" w:name="page19"/>
    <w:bookmarkEnd w:id="18"/>
    <w:p>
      <w:pPr>
        <w:ind w:left="520"/>
        <w:spacing w:after="0"/>
        <w:rPr>
          <w:sz w:val="20"/>
          <w:szCs w:val="20"/>
          <w:color w:val="auto"/>
        </w:rPr>
      </w:pPr>
      <w:r>
        <w:rPr>
          <w:rFonts w:ascii="Arial" w:cs="Arial" w:eastAsia="Arial" w:hAnsi="Arial"/>
          <w:sz w:val="18"/>
          <w:szCs w:val="18"/>
          <w:color w:val="auto"/>
        </w:rPr>
        <w:t>No shares of common stock were sold under the 2019 ATM Agreement in the three and nine months ended September 30, 2021.</w:t>
      </w:r>
    </w:p>
    <w:p>
      <w:pPr>
        <w:spacing w:after="0" w:line="225" w:lineRule="exact"/>
        <w:rPr>
          <w:sz w:val="20"/>
          <w:szCs w:val="20"/>
          <w:color w:val="auto"/>
        </w:rPr>
      </w:pPr>
    </w:p>
    <w:p>
      <w:pPr>
        <w:jc w:val="both"/>
        <w:ind w:right="100" w:firstLine="510"/>
        <w:spacing w:after="0" w:line="263" w:lineRule="auto"/>
        <w:rPr>
          <w:sz w:val="20"/>
          <w:szCs w:val="20"/>
          <w:color w:val="auto"/>
        </w:rPr>
      </w:pPr>
      <w:r>
        <w:rPr>
          <w:rFonts w:ascii="Arial" w:cs="Arial" w:eastAsia="Arial" w:hAnsi="Arial"/>
          <w:sz w:val="18"/>
          <w:szCs w:val="18"/>
          <w:color w:val="auto"/>
        </w:rPr>
        <w:t>As of September 30, 2021, we had available cash and cash equivalents of $75.0 million and working capital of $72.0 million. As of the date of this report, we believe we have working capital sufficient to fund operations at least through the end of 2022. However, we cannot provide assurance that these capital resources will be sufficient to conduct all our research and development programs as planned.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337" w:lineRule="exact"/>
        <w:rPr>
          <w:sz w:val="20"/>
          <w:szCs w:val="20"/>
          <w:color w:val="auto"/>
        </w:rPr>
      </w:pPr>
    </w:p>
    <w:p>
      <w:pPr>
        <w:ind w:right="340" w:firstLine="749"/>
        <w:spacing w:after="0" w:line="277" w:lineRule="auto"/>
        <w:rPr>
          <w:sz w:val="20"/>
          <w:szCs w:val="20"/>
          <w:color w:val="auto"/>
        </w:rPr>
      </w:pPr>
      <w:r>
        <w:rPr>
          <w:rFonts w:ascii="Arial" w:cs="Arial" w:eastAsia="Arial" w:hAnsi="Arial"/>
          <w:sz w:val="18"/>
          <w:szCs w:val="18"/>
          <w:color w:val="auto"/>
        </w:rPr>
        <w:t>There have been no material changes to our contractual obligations and commitments outside the ordinary course of business during the nine months ended September 30, 2021.</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180" w:firstLine="510"/>
        <w:spacing w:after="0" w:line="296" w:lineRule="auto"/>
        <w:rPr>
          <w:sz w:val="20"/>
          <w:szCs w:val="20"/>
          <w:color w:val="auto"/>
        </w:rPr>
      </w:pPr>
      <w:r>
        <w:rPr>
          <w:rFonts w:ascii="Arial" w:cs="Arial" w:eastAsia="Arial" w:hAnsi="Arial"/>
          <w:sz w:val="16"/>
          <w:szCs w:val="16"/>
          <w:color w:val="auto"/>
        </w:rPr>
        <w:t>At September 30, 2021, we did not have any relationship with unconsolidated entities or financial partnerships, such as entities often referred to as structured finance variable interest, or special purpose entities, which would have been established for the purpose of facilitating off-balance sheet arrangements. In addition, we did not engage in trading activities involving non-exchange traded contracts. As a result, we are not exposed to any financing, liquidity, market or credit risk that could arise if we had engaged in such relationships. We do not have relationships and transactions with persons and entities that derive benefits from their non-independent relationship with us or our related parties except as disclosed herein.</w:t>
      </w:r>
    </w:p>
    <w:p>
      <w:pPr>
        <w:spacing w:after="0" w:line="34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Our primary exposure to market risks are due to changes in interest rates, which relates primarily to the increase or decrease in the amount of interest income we can earn on our investment portfolio. The primary objective of our investment activities is to preserve principal. Our risk associated with fluctuating interest rates is limited to our investments in interest rate sensitive financial instruments and we do not use interest rate derivative instruments to manage exposure to interest rate changes. We mitigate default risk by investing in investment grade securities. A hypothetical 100 basis point adverse move in interest rates along the entire interest rate yield curve would not materially affect the fair value of our interest-rate sensitive financial instruments due to their relatively short-term nature.</w:t>
      </w:r>
    </w:p>
    <w:p>
      <w:pPr>
        <w:spacing w:after="0" w:line="192"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Cash and cash equivalents as of September 30, 2021 were $75.0 million and were primarily invested in money market interest bearing accounts and money market funds. A hypothetical 10% adverse change in the average interest rate on our cash and cash equivalents would have had no material effect on net loss for the three and nine months ended September 30, 2021.</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9" w:name="page20"/>
    <w:bookmarkEnd w:id="19"/>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right="100" w:firstLine="510"/>
        <w:spacing w:after="0" w:line="279" w:lineRule="auto"/>
        <w:rPr>
          <w:sz w:val="20"/>
          <w:szCs w:val="20"/>
          <w:color w:val="auto"/>
        </w:rPr>
      </w:pPr>
      <w:r>
        <w:rPr>
          <w:rFonts w:ascii="Arial" w:cs="Arial" w:eastAsia="Arial" w:hAnsi="Arial"/>
          <w:sz w:val="17"/>
          <w:szCs w:val="17"/>
          <w:color w:val="auto"/>
        </w:rPr>
        <w:t>We maintain disclosure controls and procedures that are designed to provide reasonable assurance that the information required to be disclosed in our filings under the Securities Exchange Act of 1934, as amended, or the Exchange Act, is (1) recorded, processed, summarized and reported within the time periods specified in SEC’s rules and forms, and (2) accumulated and communicated to management, including our Chief Executive Officer and Chief Financial Officer, as appropriate, to allow for timely decisions regarding required disclosure.</w:t>
      </w:r>
    </w:p>
    <w:p>
      <w:pPr>
        <w:spacing w:after="0" w:line="171"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procedures or our internal controls will prevent or detect all errors and all fraud. Any internal control system, no matter how well conceived and operated, can provide only reasonable, not absolute, assurance that the objectives of the control system are met. Because of the inherent limitations in all control systems, no evaluation of our controls can provide absolute assurance that all control issues and instances of fraud, if any, have been detected.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300" w:firstLine="510"/>
        <w:spacing w:after="0" w:line="279" w:lineRule="auto"/>
        <w:rPr>
          <w:sz w:val="20"/>
          <w:szCs w:val="20"/>
          <w:color w:val="auto"/>
        </w:rPr>
      </w:pPr>
      <w:r>
        <w:rPr>
          <w:rFonts w:ascii="Arial" w:cs="Arial" w:eastAsia="Arial" w:hAnsi="Arial"/>
          <w:sz w:val="17"/>
          <w:szCs w:val="17"/>
          <w:color w:val="auto"/>
        </w:rPr>
        <w:t>As required by Rule 13a-15(b) of the Exchange Act, we carried out an evaluation, under the supervision and with the participation of our management, including our Chief Executive Officer and our Chief Financial Officer, of the effectiveness of the design and operation of our disclosure controls and procedures as of the end of the quarter covered by this report. Based on the foregoing, our Chief Executive Officer and our Chief Financial Officer concluded that our disclosure controls and procedures were effective at the reasonable assurance level.</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420" w:firstLine="51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our most recent fiscal quarter that has materially affected, or is reasonably likely to materially affect, our internal control over financial reporting.</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 w:name="page21"/>
    <w:bookmarkEnd w:id="20"/>
    <w:p>
      <w:pPr>
        <w:jc w:val="center"/>
        <w:ind w:right="-7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21" w:lineRule="exact"/>
        <w:rPr>
          <w:sz w:val="20"/>
          <w:szCs w:val="20"/>
          <w:color w:val="auto"/>
        </w:rPr>
      </w:pPr>
    </w:p>
    <w:p>
      <w:pPr>
        <w:ind w:right="240" w:firstLine="510"/>
        <w:spacing w:after="0" w:line="263" w:lineRule="auto"/>
        <w:rPr>
          <w:sz w:val="20"/>
          <w:szCs w:val="20"/>
          <w:color w:val="auto"/>
        </w:rPr>
      </w:pPr>
      <w:r>
        <w:rPr>
          <w:rFonts w:ascii="Arial" w:cs="Arial" w:eastAsia="Arial" w:hAnsi="Arial"/>
          <w:sz w:val="18"/>
          <w:szCs w:val="18"/>
          <w:color w:val="auto"/>
        </w:rPr>
        <w:t>We are not involved in any material legal proceedings as of September 30, 2021. We may become involved in various disputes and legal proceedings which arise in the ordinary course of business or otherwise. While it is not possible to accurately predict or determine the outcome of these matters, an adverse result in any litigation matter may occur which could harm our business.</w:t>
      </w:r>
    </w:p>
    <w:p>
      <w:pPr>
        <w:spacing w:after="0" w:line="28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 for the year ended December 31, 2020, which are incorporated herein by reference and which could materially affect our business, financial condition or future results. The risks described in our Annual Report on Form 10-K are not the only risks facing our Company. Additional risks and uncertainties not currently known to us or that we currently deem to be immaterial also may materially adversely affect our business, financial condition and/or operating results. We do not believe that there have been any material changes from the risk factors previously disclosed in our Annual Report on Form 10-K for the year ended December 31, 2020.</w:t>
      </w:r>
    </w:p>
    <w:p>
      <w:pPr>
        <w:spacing w:after="0" w:line="29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4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bookmarkStart w:id="21" w:name="page22"/>
    <w:bookmarkEnd w:id="21"/>
    <w:p>
      <w:pPr>
        <w:spacing w:after="0"/>
        <w:tabs>
          <w:tab w:leader="none" w:pos="11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ectPr>
          <w:pgSz w:w="11900" w:h="16838" w:orient="portrait"/>
          <w:cols w:equalWidth="0" w:num="1">
            <w:col w:w="11140"/>
          </w:cols>
          <w:pgMar w:left="320" w:top="661" w:right="439" w:bottom="1440" w:gutter="0" w:footer="0" w:header="0"/>
        </w:sectPr>
      </w:pPr>
    </w:p>
    <w:p>
      <w:pPr>
        <w:spacing w:after="0" w:line="22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4286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3.1</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3.2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10.1</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31.1</w:t>
      </w:r>
      <w:r>
        <w:rPr>
          <w:rFonts w:ascii="Arial" w:cs="Arial" w:eastAsia="Arial" w:hAnsi="Arial"/>
          <w:sz w:val="15"/>
          <w:szCs w:val="15"/>
          <w:color w:val="auto"/>
        </w:rPr>
        <w:t>(1)</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31.2</w:t>
      </w:r>
      <w:r>
        <w:rPr>
          <w:rFonts w:ascii="Arial" w:cs="Arial" w:eastAsia="Arial" w:hAnsi="Arial"/>
          <w:sz w:val="15"/>
          <w:szCs w:val="15"/>
          <w:color w:val="auto"/>
        </w:rPr>
        <w:t>(1)</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32.1</w:t>
      </w:r>
      <w:r>
        <w:rPr>
          <w:rFonts w:ascii="Arial" w:cs="Arial" w:eastAsia="Arial" w:hAnsi="Arial"/>
          <w:sz w:val="15"/>
          <w:szCs w:val="15"/>
          <w:color w:val="auto"/>
        </w:rPr>
        <w:t>(1)</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32.2</w:t>
      </w:r>
      <w:r>
        <w:rPr>
          <w:rFonts w:ascii="Arial" w:cs="Arial" w:eastAsia="Arial" w:hAnsi="Arial"/>
          <w:sz w:val="15"/>
          <w:szCs w:val="15"/>
          <w:color w:val="auto"/>
        </w:rPr>
        <w:t>(1)</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101</w:t>
      </w: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6350</wp:posOffset>
            </wp:positionV>
            <wp:extent cx="66262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26225" cy="8890"/>
                    </a:xfrm>
                    <a:prstGeom prst="rect">
                      <a:avLst/>
                    </a:prstGeom>
                    <a:noFill/>
                  </pic:spPr>
                </pic:pic>
              </a:graphicData>
            </a:graphic>
          </wp:anchor>
        </w:drawing>
      </w:r>
    </w:p>
    <w:p>
      <w:pPr>
        <w:spacing w:after="0" w:line="111" w:lineRule="exact"/>
        <w:rPr>
          <w:sz w:val="20"/>
          <w:szCs w:val="20"/>
          <w:color w:val="auto"/>
        </w:rPr>
      </w:pPr>
    </w:p>
    <w:p>
      <w:pPr>
        <w:ind w:right="440"/>
        <w:spacing w:after="0" w:line="277" w:lineRule="auto"/>
        <w:rPr>
          <w:rFonts w:ascii="Arial" w:cs="Arial" w:eastAsia="Arial" w:hAnsi="Arial"/>
          <w:sz w:val="18"/>
          <w:szCs w:val="18"/>
          <w:u w:val="single" w:color="auto"/>
          <w:color w:val="0000EE"/>
        </w:rPr>
      </w:pPr>
      <w:hyperlink r:id="rId41">
        <w:r>
          <w:rPr>
            <w:rFonts w:ascii="Arial" w:cs="Arial" w:eastAsia="Arial" w:hAnsi="Arial"/>
            <w:sz w:val="18"/>
            <w:szCs w:val="18"/>
            <w:u w:val="single" w:color="auto"/>
            <w:color w:val="0000EE"/>
          </w:rPr>
          <w:t>Restated Certificate of Incorporation of the Registrant, as amended (incorporated by reference to Exhibit 3.1 of the Registrant’s Quarterly</w:t>
        </w:r>
      </w:hyperlink>
      <w:r>
        <w:rPr>
          <w:rFonts w:ascii="Arial" w:cs="Arial" w:eastAsia="Arial" w:hAnsi="Arial"/>
          <w:sz w:val="18"/>
          <w:szCs w:val="18"/>
          <w:u w:val="single" w:color="auto"/>
          <w:color w:val="0000EE"/>
        </w:rPr>
        <w:t xml:space="preserve"> </w:t>
      </w:r>
      <w:hyperlink r:id="rId41">
        <w:r>
          <w:rPr>
            <w:rFonts w:ascii="Arial" w:cs="Arial" w:eastAsia="Arial" w:hAnsi="Arial"/>
            <w:sz w:val="18"/>
            <w:szCs w:val="18"/>
            <w:u w:val="single" w:color="auto"/>
            <w:color w:val="0000EE"/>
          </w:rPr>
          <w:t>Report on Form 10-Q filed August 9, 2012).</w:t>
        </w:r>
      </w:hyperlink>
    </w:p>
    <w:p>
      <w:pPr>
        <w:spacing w:after="0" w:line="76" w:lineRule="exact"/>
        <w:rPr>
          <w:sz w:val="20"/>
          <w:szCs w:val="20"/>
          <w:color w:val="auto"/>
        </w:rPr>
      </w:pPr>
    </w:p>
    <w:p>
      <w:pPr>
        <w:spacing w:after="0" w:line="277" w:lineRule="auto"/>
        <w:rPr>
          <w:rFonts w:ascii="Arial" w:cs="Arial" w:eastAsia="Arial" w:hAnsi="Arial"/>
          <w:sz w:val="18"/>
          <w:szCs w:val="18"/>
          <w:u w:val="single" w:color="auto"/>
          <w:color w:val="0000EE"/>
        </w:rPr>
      </w:pPr>
      <w:hyperlink r:id="rId42">
        <w:r>
          <w:rPr>
            <w:rFonts w:ascii="Arial" w:cs="Arial" w:eastAsia="Arial" w:hAnsi="Arial"/>
            <w:sz w:val="18"/>
            <w:szCs w:val="18"/>
            <w:u w:val="single" w:color="auto"/>
            <w:color w:val="0000EE"/>
          </w:rPr>
          <w:t>Amended and Restated Bylaws of the Registrant (incorporated by reference to Exhibit 3.1 of the Registrant’s Current Report on Form 8-K filed</w:t>
        </w:r>
      </w:hyperlink>
      <w:r>
        <w:rPr>
          <w:rFonts w:ascii="Arial" w:cs="Arial" w:eastAsia="Arial" w:hAnsi="Arial"/>
          <w:sz w:val="18"/>
          <w:szCs w:val="18"/>
          <w:u w:val="single" w:color="auto"/>
          <w:color w:val="0000EE"/>
        </w:rPr>
        <w:t xml:space="preserve"> </w:t>
      </w:r>
      <w:hyperlink r:id="rId42">
        <w:r>
          <w:rPr>
            <w:rFonts w:ascii="Arial" w:cs="Arial" w:eastAsia="Arial" w:hAnsi="Arial"/>
            <w:sz w:val="18"/>
            <w:szCs w:val="18"/>
            <w:u w:val="single" w:color="auto"/>
            <w:color w:val="0000EE"/>
          </w:rPr>
          <w:t>April 25, 2019).</w:t>
        </w:r>
      </w:hyperlink>
    </w:p>
    <w:p>
      <w:pPr>
        <w:spacing w:after="0" w:line="170" w:lineRule="exact"/>
        <w:rPr>
          <w:sz w:val="20"/>
          <w:szCs w:val="20"/>
          <w:color w:val="auto"/>
        </w:rPr>
      </w:pPr>
    </w:p>
    <w:p>
      <w:pPr>
        <w:ind w:right="380"/>
        <w:spacing w:after="0" w:line="277" w:lineRule="auto"/>
        <w:rPr>
          <w:rFonts w:ascii="Arial" w:cs="Arial" w:eastAsia="Arial" w:hAnsi="Arial"/>
          <w:sz w:val="18"/>
          <w:szCs w:val="18"/>
          <w:u w:val="single" w:color="auto"/>
          <w:color w:val="0000EE"/>
        </w:rPr>
      </w:pPr>
      <w:hyperlink r:id="rId43">
        <w:r>
          <w:rPr>
            <w:rFonts w:ascii="Arial" w:cs="Arial" w:eastAsia="Arial" w:hAnsi="Arial"/>
            <w:sz w:val="18"/>
            <w:szCs w:val="18"/>
            <w:u w:val="single" w:color="auto"/>
            <w:color w:val="0000EE"/>
          </w:rPr>
          <w:t>Lease, dated July 20, 2021, by and between the Company and The Irvine Company, LLC (incorporated by reference to Exhibit 99.1 of the</w:t>
        </w:r>
      </w:hyperlink>
      <w:r>
        <w:rPr>
          <w:rFonts w:ascii="Arial" w:cs="Arial" w:eastAsia="Arial" w:hAnsi="Arial"/>
          <w:sz w:val="18"/>
          <w:szCs w:val="18"/>
          <w:u w:val="single" w:color="auto"/>
          <w:color w:val="0000EE"/>
        </w:rPr>
        <w:t xml:space="preserve"> </w:t>
      </w:r>
      <w:hyperlink r:id="rId43">
        <w:r>
          <w:rPr>
            <w:rFonts w:ascii="Arial" w:cs="Arial" w:eastAsia="Arial" w:hAnsi="Arial"/>
            <w:sz w:val="18"/>
            <w:szCs w:val="18"/>
            <w:u w:val="single" w:color="auto"/>
            <w:color w:val="0000EE"/>
          </w:rPr>
          <w:t>Registrant’s Current Report on Form 8-K filed July 23, 2021.</w:t>
        </w:r>
      </w:hyperlink>
    </w:p>
    <w:p>
      <w:pPr>
        <w:spacing w:after="0" w:line="197" w:lineRule="exact"/>
        <w:rPr>
          <w:sz w:val="20"/>
          <w:szCs w:val="20"/>
          <w:color w:val="auto"/>
        </w:rPr>
      </w:pPr>
    </w:p>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Certification of Principal Executive Officer pursuant to Section 302 of the Sarbanes-Oxley Act of 2002.</w:t>
        </w:r>
      </w:hyperlink>
    </w:p>
    <w:p>
      <w:pPr>
        <w:spacing w:after="0" w:line="131" w:lineRule="exact"/>
        <w:rPr>
          <w:sz w:val="20"/>
          <w:szCs w:val="20"/>
          <w:color w:val="auto"/>
        </w:rPr>
      </w:pPr>
    </w:p>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Certification of Principal Financial Officer pursuant to Section 302 of the Sarbanes-Oxley Act of 2002.</w:t>
        </w:r>
      </w:hyperlink>
    </w:p>
    <w:p>
      <w:pPr>
        <w:spacing w:after="0" w:line="131" w:lineRule="exact"/>
        <w:rPr>
          <w:sz w:val="20"/>
          <w:szCs w:val="20"/>
          <w:color w:val="auto"/>
        </w:rPr>
      </w:pPr>
    </w:p>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Certification of Principal Executive Officer pursuant to 18 U.S.C. Section 1350 (Section 906 of the Sarbanes-Oxley Act of 2002).</w:t>
        </w:r>
      </w:hyperlink>
    </w:p>
    <w:p>
      <w:pPr>
        <w:spacing w:after="0" w:line="131" w:lineRule="exact"/>
        <w:rPr>
          <w:sz w:val="20"/>
          <w:szCs w:val="20"/>
          <w:color w:val="auto"/>
        </w:rPr>
      </w:pPr>
    </w:p>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Certification of Principal Financial Officer pursuant to 18 U.S.C. Section 1350 (Section 906 of the Sarbanes-Oxley Act of 2002).</w:t>
        </w:r>
      </w:hyperlink>
    </w:p>
    <w:p>
      <w:pPr>
        <w:spacing w:after="0" w:line="13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following financial statements from the MediciNova, Inc. Quarterly Report on Form 10-Q for the quarter ended September 30, 2021 are formatted in Inline Extensible Business Reporting Language (iXBRL): (i) Consolidated Balance Sheets; (ii) Consolidated Statements of Operations and Comprehensive Loss; (iii) Consolidated Statements of Stockholders’ Equity; (iv) Consolidated Statements of Cash Flows; and (v) the notes to the consolidated financial statements.</w:t>
      </w:r>
    </w:p>
    <w:p>
      <w:pPr>
        <w:spacing w:after="0" w:line="187" w:lineRule="exact"/>
        <w:rPr>
          <w:sz w:val="20"/>
          <w:szCs w:val="20"/>
          <w:color w:val="auto"/>
        </w:rPr>
      </w:pPr>
    </w:p>
    <w:p>
      <w:pPr>
        <w:sectPr>
          <w:pgSz w:w="11900" w:h="16838" w:orient="portrait"/>
          <w:cols w:equalWidth="0" w:num="2">
            <w:col w:w="600" w:space="200"/>
            <w:col w:w="10340"/>
          </w:cols>
          <w:pgMar w:left="320" w:top="661" w:right="439" w:bottom="1440" w:gutter="0" w:footer="0" w:header="0"/>
          <w:type w:val="continuous"/>
        </w:sectPr>
      </w:pPr>
    </w:p>
    <w:p>
      <w:pPr>
        <w:spacing w:after="0"/>
        <w:tabs>
          <w:tab w:leader="none" w:pos="780" w:val="left"/>
        </w:tabs>
        <w:rPr>
          <w:sz w:val="20"/>
          <w:szCs w:val="20"/>
          <w:color w:val="auto"/>
        </w:rPr>
      </w:pPr>
      <w:r>
        <w:rPr>
          <w:rFonts w:ascii="Arial" w:cs="Arial" w:eastAsia="Arial" w:hAnsi="Arial"/>
          <w:sz w:val="18"/>
          <w:szCs w:val="18"/>
          <w:color w:val="auto"/>
        </w:rPr>
        <w:t>104</w:t>
      </w:r>
      <w:r>
        <w:rPr>
          <w:rFonts w:ascii="Arial" w:cs="Arial" w:eastAsia="Arial" w:hAnsi="Arial"/>
          <w:sz w:val="15"/>
          <w:szCs w:val="15"/>
          <w:color w:val="auto"/>
        </w:rPr>
        <w:t>(1)</w:t>
      </w:r>
      <w:r>
        <w:rPr>
          <w:sz w:val="20"/>
          <w:szCs w:val="20"/>
          <w:color w:val="auto"/>
        </w:rPr>
        <w:tab/>
      </w:r>
      <w:r>
        <w:rPr>
          <w:rFonts w:ascii="Arial" w:cs="Arial" w:eastAsia="Arial" w:hAnsi="Arial"/>
          <w:sz w:val="16"/>
          <w:szCs w:val="16"/>
          <w:color w:val="auto"/>
        </w:rPr>
        <w:t>Cover Page Interactive Data File (formatted as Inline XBRL and contained in Exhibit 101)</w:t>
      </w:r>
    </w:p>
    <w:p>
      <w:pPr>
        <w:spacing w:after="0" w:line="216" w:lineRule="exact"/>
        <w:rPr>
          <w:sz w:val="20"/>
          <w:szCs w:val="20"/>
          <w:color w:val="auto"/>
        </w:rPr>
      </w:pPr>
    </w:p>
    <w:p>
      <w:pPr>
        <w:ind w:left="740" w:hanging="368"/>
        <w:spacing w:after="0"/>
        <w:tabs>
          <w:tab w:leader="none" w:pos="740" w:val="left"/>
        </w:tabs>
        <w:numPr>
          <w:ilvl w:val="0"/>
          <w:numId w:val="6"/>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200" w:lineRule="exact"/>
        <w:rPr>
          <w:sz w:val="20"/>
          <w:szCs w:val="20"/>
          <w:color w:val="auto"/>
        </w:rPr>
      </w:pPr>
    </w:p>
    <w:p>
      <w:pPr>
        <w:spacing w:after="0" w:line="36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661" w:right="439" w:bottom="1440" w:gutter="0" w:footer="0" w:header="0"/>
          <w:type w:val="continuous"/>
        </w:sectPr>
      </w:pPr>
    </w:p>
    <w:bookmarkStart w:id="22" w:name="page23"/>
    <w:bookmarkEnd w:id="22"/>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460"/>
        <w:spacing w:after="0"/>
        <w:rPr>
          <w:sz w:val="20"/>
          <w:szCs w:val="20"/>
          <w:color w:val="auto"/>
        </w:rPr>
      </w:pPr>
      <w:r>
        <w:rPr>
          <w:rFonts w:ascii="Arial" w:cs="Arial" w:eastAsia="Arial" w:hAnsi="Arial"/>
          <w:sz w:val="18"/>
          <w:szCs w:val="18"/>
          <w:b w:val="1"/>
          <w:bCs w:val="1"/>
          <w:color w:val="auto"/>
        </w:rPr>
        <w:t>MEDICINOVA, INC.</w:t>
      </w:r>
    </w:p>
    <w:p>
      <w:pPr>
        <w:spacing w:after="0" w:line="256" w:lineRule="exact"/>
        <w:rPr>
          <w:sz w:val="20"/>
          <w:szCs w:val="20"/>
          <w:color w:val="auto"/>
        </w:rPr>
      </w:pPr>
    </w:p>
    <w:p>
      <w:pPr>
        <w:spacing w:after="0"/>
        <w:tabs>
          <w:tab w:leader="none" w:pos="6440" w:val="left"/>
          <w:tab w:leader="none" w:pos="8340" w:val="left"/>
          <w:tab w:leader="none" w:pos="8680" w:val="left"/>
        </w:tabs>
        <w:rPr>
          <w:sz w:val="20"/>
          <w:szCs w:val="20"/>
          <w:color w:val="auto"/>
        </w:rPr>
      </w:pPr>
      <w:r>
        <w:rPr>
          <w:rFonts w:ascii="Arial" w:cs="Arial" w:eastAsia="Arial" w:hAnsi="Arial"/>
          <w:sz w:val="18"/>
          <w:szCs w:val="18"/>
          <w:color w:val="auto"/>
        </w:rPr>
        <w:t>Date: November 12,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Y</w:t>
      </w:r>
      <w:r>
        <w:rPr>
          <w:rFonts w:ascii="Arial" w:cs="Arial" w:eastAsia="Arial" w:hAnsi="Arial"/>
          <w:sz w:val="13"/>
          <w:szCs w:val="13"/>
          <w:color w:val="auto"/>
        </w:rPr>
        <w:t>UICHI</w:t>
      </w:r>
      <w:r>
        <w:rPr>
          <w:rFonts w:ascii="Arial" w:cs="Arial" w:eastAsia="Arial" w:hAnsi="Arial"/>
          <w:sz w:val="18"/>
          <w:szCs w:val="18"/>
          <w:color w:val="auto"/>
        </w:rPr>
        <w:t xml:space="preserve"> I</w:t>
      </w:r>
      <w:r>
        <w:rPr>
          <w:rFonts w:ascii="Arial" w:cs="Arial" w:eastAsia="Arial" w:hAnsi="Arial"/>
          <w:sz w:val="13"/>
          <w:szCs w:val="13"/>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14605</wp:posOffset>
            </wp:positionV>
            <wp:extent cx="28371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jc w:val="center"/>
        <w:ind w:left="6760"/>
        <w:spacing w:after="0"/>
        <w:rPr>
          <w:sz w:val="20"/>
          <w:szCs w:val="20"/>
          <w:color w:val="auto"/>
        </w:rPr>
      </w:pPr>
      <w:r>
        <w:rPr>
          <w:rFonts w:ascii="Arial" w:cs="Arial" w:eastAsia="Arial" w:hAnsi="Arial"/>
          <w:sz w:val="14"/>
          <w:szCs w:val="14"/>
          <w:b w:val="1"/>
          <w:bCs w:val="1"/>
          <w:color w:val="auto"/>
        </w:rPr>
        <w:t>Yuichi Iwaki, M.D., Ph.D.</w:t>
      </w:r>
    </w:p>
    <w:p>
      <w:pPr>
        <w:jc w:val="center"/>
        <w:ind w:left="6760"/>
        <w:spacing w:after="0" w:line="221"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6760"/>
        <w:spacing w:after="0" w:line="221" w:lineRule="auto"/>
        <w:rPr>
          <w:sz w:val="20"/>
          <w:szCs w:val="20"/>
          <w:color w:val="auto"/>
        </w:rPr>
      </w:pPr>
      <w:r>
        <w:rPr>
          <w:rFonts w:ascii="Arial" w:cs="Arial" w:eastAsia="Arial" w:hAnsi="Arial"/>
          <w:sz w:val="14"/>
          <w:szCs w:val="14"/>
          <w:b w:val="1"/>
          <w:bCs w:val="1"/>
          <w:color w:val="auto"/>
        </w:rPr>
        <w:t>(on behalf of the registrant and</w:t>
      </w:r>
    </w:p>
    <w:p>
      <w:pPr>
        <w:spacing w:after="0" w:line="1" w:lineRule="exact"/>
        <w:rPr>
          <w:sz w:val="20"/>
          <w:szCs w:val="20"/>
          <w:color w:val="auto"/>
        </w:rPr>
      </w:pPr>
    </w:p>
    <w:p>
      <w:pPr>
        <w:jc w:val="center"/>
        <w:ind w:left="6760"/>
        <w:spacing w:after="0"/>
        <w:rPr>
          <w:sz w:val="20"/>
          <w:szCs w:val="20"/>
          <w:color w:val="auto"/>
        </w:rPr>
      </w:pPr>
      <w:r>
        <w:rPr>
          <w:rFonts w:ascii="Arial" w:cs="Arial" w:eastAsia="Arial" w:hAnsi="Arial"/>
          <w:sz w:val="14"/>
          <w:szCs w:val="14"/>
          <w:b w:val="1"/>
          <w:bCs w:val="1"/>
          <w:color w:val="auto"/>
        </w:rPr>
        <w:t>as the registrant’s Principal Executive Officer)</w:t>
      </w:r>
    </w:p>
    <w:p>
      <w:pPr>
        <w:spacing w:after="0" w:line="223" w:lineRule="exact"/>
        <w:rPr>
          <w:sz w:val="20"/>
          <w:szCs w:val="20"/>
          <w:color w:val="auto"/>
        </w:rPr>
      </w:pPr>
    </w:p>
    <w:p>
      <w:pPr>
        <w:ind w:left="6460"/>
        <w:spacing w:after="0"/>
        <w:tabs>
          <w:tab w:leader="none" w:pos="8200" w:val="left"/>
          <w:tab w:leader="none" w:pos="8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D</w:t>
      </w:r>
      <w:r>
        <w:rPr>
          <w:rFonts w:ascii="Arial" w:cs="Arial" w:eastAsia="Arial" w:hAnsi="Arial"/>
          <w:sz w:val="13"/>
          <w:szCs w:val="13"/>
          <w:color w:val="auto"/>
        </w:rPr>
        <w:t>OUGLAS</w:t>
      </w:r>
      <w:r>
        <w:rPr>
          <w:rFonts w:ascii="Arial" w:cs="Arial" w:eastAsia="Arial" w:hAnsi="Arial"/>
          <w:sz w:val="18"/>
          <w:szCs w:val="18"/>
          <w:color w:val="auto"/>
        </w:rPr>
        <w:t xml:space="preserve"> P</w:t>
      </w:r>
      <w:r>
        <w:rPr>
          <w:rFonts w:ascii="Arial" w:cs="Arial" w:eastAsia="Arial" w:hAnsi="Arial"/>
          <w:sz w:val="13"/>
          <w:szCs w:val="13"/>
          <w:color w:val="auto"/>
        </w:rPr>
        <w:t>AULIN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14605</wp:posOffset>
            </wp:positionV>
            <wp:extent cx="28371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jc w:val="center"/>
        <w:ind w:left="6760"/>
        <w:spacing w:after="0"/>
        <w:rPr>
          <w:sz w:val="20"/>
          <w:szCs w:val="20"/>
          <w:color w:val="auto"/>
        </w:rPr>
      </w:pPr>
      <w:r>
        <w:rPr>
          <w:rFonts w:ascii="Arial" w:cs="Arial" w:eastAsia="Arial" w:hAnsi="Arial"/>
          <w:sz w:val="14"/>
          <w:szCs w:val="14"/>
          <w:b w:val="1"/>
          <w:bCs w:val="1"/>
          <w:color w:val="auto"/>
        </w:rPr>
        <w:t>Douglas Paulin</w:t>
      </w:r>
    </w:p>
    <w:p>
      <w:pPr>
        <w:jc w:val="center"/>
        <w:ind w:left="6760"/>
        <w:spacing w:after="0" w:line="221" w:lineRule="auto"/>
        <w:rPr>
          <w:sz w:val="20"/>
          <w:szCs w:val="20"/>
          <w:color w:val="auto"/>
        </w:rPr>
      </w:pPr>
      <w:r>
        <w:rPr>
          <w:rFonts w:ascii="Arial" w:cs="Arial" w:eastAsia="Arial" w:hAnsi="Arial"/>
          <w:sz w:val="14"/>
          <w:szCs w:val="14"/>
          <w:b w:val="1"/>
          <w:bCs w:val="1"/>
          <w:color w:val="auto"/>
        </w:rPr>
        <w:t>Chief Financial Officer</w:t>
      </w:r>
    </w:p>
    <w:p>
      <w:pPr>
        <w:jc w:val="center"/>
        <w:ind w:left="6760"/>
        <w:spacing w:after="0" w:line="221" w:lineRule="auto"/>
        <w:rPr>
          <w:sz w:val="20"/>
          <w:szCs w:val="20"/>
          <w:color w:val="auto"/>
        </w:rPr>
      </w:pPr>
      <w:r>
        <w:rPr>
          <w:rFonts w:ascii="Arial" w:cs="Arial" w:eastAsia="Arial" w:hAnsi="Arial"/>
          <w:sz w:val="14"/>
          <w:szCs w:val="14"/>
          <w:b w:val="1"/>
          <w:bCs w:val="1"/>
          <w:color w:val="auto"/>
        </w:rPr>
        <w:t>(on behalf of the registrant and</w:t>
      </w:r>
    </w:p>
    <w:p>
      <w:pPr>
        <w:spacing w:after="0" w:line="1" w:lineRule="exact"/>
        <w:rPr>
          <w:sz w:val="20"/>
          <w:szCs w:val="20"/>
          <w:color w:val="auto"/>
        </w:rPr>
      </w:pPr>
    </w:p>
    <w:p>
      <w:pPr>
        <w:jc w:val="center"/>
        <w:ind w:left="6760"/>
        <w:spacing w:after="0"/>
        <w:rPr>
          <w:sz w:val="20"/>
          <w:szCs w:val="20"/>
          <w:color w:val="auto"/>
        </w:rPr>
      </w:pPr>
      <w:r>
        <w:rPr>
          <w:rFonts w:ascii="Arial" w:cs="Arial" w:eastAsia="Arial" w:hAnsi="Arial"/>
          <w:sz w:val="14"/>
          <w:szCs w:val="14"/>
          <w:b w:val="1"/>
          <w:bCs w:val="1"/>
          <w:color w:val="auto"/>
        </w:rPr>
        <w:t>as the registrant’s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800"/>
          </w:cols>
          <w:pgMar w:left="320" w:top="553" w:right="77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 for the Period Ended September 30,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Yuichi Iwaki, certify that:</w:t>
      </w:r>
    </w:p>
    <w:p>
      <w:pPr>
        <w:spacing w:after="0" w:line="117" w:lineRule="exact"/>
        <w:rPr>
          <w:sz w:val="20"/>
          <w:szCs w:val="20"/>
          <w:color w:val="auto"/>
        </w:rPr>
      </w:pPr>
    </w:p>
    <w:p>
      <w:pPr>
        <w:ind w:left="700" w:hanging="182"/>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2021 of MediciNova, Inc.;</w:t>
      </w:r>
    </w:p>
    <w:p>
      <w:pPr>
        <w:spacing w:after="0" w:line="117" w:lineRule="exact"/>
        <w:rPr>
          <w:rFonts w:ascii="Arial" w:cs="Arial" w:eastAsia="Arial" w:hAnsi="Arial"/>
          <w:sz w:val="18"/>
          <w:szCs w:val="18"/>
          <w:color w:val="auto"/>
        </w:rPr>
      </w:pPr>
    </w:p>
    <w:p>
      <w:pPr>
        <w:ind w:right="80" w:firstLine="518"/>
        <w:spacing w:after="0" w:line="342" w:lineRule="auto"/>
        <w:tabs>
          <w:tab w:leader="none" w:pos="690"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40" w:firstLine="518"/>
        <w:spacing w:after="0" w:line="277" w:lineRule="auto"/>
        <w:tabs>
          <w:tab w:leader="none" w:pos="69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518"/>
        <w:spacing w:after="0" w:line="263" w:lineRule="auto"/>
        <w:tabs>
          <w:tab w:leader="none" w:pos="69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520" w:right="60" w:firstLine="484"/>
        <w:spacing w:after="0" w:line="263" w:lineRule="auto"/>
        <w:tabs>
          <w:tab w:leader="none" w:pos="1191"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520" w:right="200" w:firstLine="484"/>
        <w:spacing w:after="0" w:line="263" w:lineRule="auto"/>
        <w:tabs>
          <w:tab w:leader="none" w:pos="1202"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520" w:right="320" w:firstLine="484"/>
        <w:spacing w:after="0" w:line="342" w:lineRule="auto"/>
        <w:tabs>
          <w:tab w:leader="none" w:pos="1191"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240" w:firstLine="484"/>
        <w:spacing w:after="0" w:line="263" w:lineRule="auto"/>
        <w:tabs>
          <w:tab w:leader="none" w:pos="1202"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160" w:firstLine="518"/>
        <w:spacing w:after="0" w:line="342" w:lineRule="auto"/>
        <w:tabs>
          <w:tab w:leader="none" w:pos="69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520" w:right="620" w:firstLine="484"/>
        <w:spacing w:after="0" w:line="342" w:lineRule="auto"/>
        <w:tabs>
          <w:tab w:leader="none" w:pos="1191"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520" w:right="240" w:firstLine="484"/>
        <w:spacing w:after="0" w:line="277" w:lineRule="auto"/>
        <w:tabs>
          <w:tab w:leader="none" w:pos="1202"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Date: November 12, 2021</w:t>
      </w:r>
    </w:p>
    <w:p>
      <w:pPr>
        <w:spacing w:after="0" w:line="252" w:lineRule="exact"/>
        <w:rPr>
          <w:sz w:val="20"/>
          <w:szCs w:val="20"/>
          <w:color w:val="auto"/>
        </w:rPr>
      </w:pPr>
    </w:p>
    <w:p>
      <w:pPr>
        <w:ind w:left="6760"/>
        <w:spacing w:after="0"/>
        <w:tabs>
          <w:tab w:leader="none" w:pos="7300" w:val="left"/>
          <w:tab w:leader="none" w:pos="7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Y</w:t>
      </w:r>
      <w:r>
        <w:rPr>
          <w:rFonts w:ascii="Arial" w:cs="Arial" w:eastAsia="Arial" w:hAnsi="Arial"/>
          <w:sz w:val="13"/>
          <w:szCs w:val="13"/>
          <w:color w:val="auto"/>
        </w:rPr>
        <w:t>UICHI</w:t>
      </w:r>
      <w:r>
        <w:rPr>
          <w:rFonts w:ascii="Arial" w:cs="Arial" w:eastAsia="Arial" w:hAnsi="Arial"/>
          <w:sz w:val="18"/>
          <w:szCs w:val="18"/>
          <w:color w:val="auto"/>
        </w:rPr>
        <w:t xml:space="preserve"> I</w:t>
      </w:r>
      <w:r>
        <w:rPr>
          <w:rFonts w:ascii="Arial" w:cs="Arial" w:eastAsia="Arial" w:hAnsi="Arial"/>
          <w:sz w:val="13"/>
          <w:szCs w:val="13"/>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14605</wp:posOffset>
            </wp:positionV>
            <wp:extent cx="24860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ind w:left="7320"/>
        <w:spacing w:after="0"/>
        <w:rPr>
          <w:sz w:val="20"/>
          <w:szCs w:val="20"/>
          <w:color w:val="auto"/>
        </w:rPr>
      </w:pPr>
      <w:r>
        <w:rPr>
          <w:rFonts w:ascii="Arial" w:cs="Arial" w:eastAsia="Arial" w:hAnsi="Arial"/>
          <w:sz w:val="14"/>
          <w:szCs w:val="14"/>
          <w:b w:val="1"/>
          <w:bCs w:val="1"/>
          <w:color w:val="auto"/>
        </w:rPr>
        <w:t>Yuichi Iwaki, M.D., Ph.D.</w:t>
      </w:r>
    </w:p>
    <w:p>
      <w:pPr>
        <w:ind w:left="7320"/>
        <w:spacing w:after="0" w:line="221" w:lineRule="auto"/>
        <w:rPr>
          <w:sz w:val="20"/>
          <w:szCs w:val="20"/>
          <w:color w:val="auto"/>
        </w:rPr>
      </w:pPr>
      <w:r>
        <w:rPr>
          <w:rFonts w:ascii="Arial" w:cs="Arial" w:eastAsia="Arial" w:hAnsi="Arial"/>
          <w:sz w:val="14"/>
          <w:szCs w:val="14"/>
          <w:b w:val="1"/>
          <w:bCs w:val="1"/>
          <w:color w:val="auto"/>
        </w:rPr>
        <w:t>President and Chief Executive Officer</w:t>
      </w:r>
    </w:p>
    <w:p>
      <w:pPr>
        <w:ind w:left="732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240"/>
          </w:cols>
          <w:pgMar w:left="320" w:top="121" w:right="3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 for the Period Ended September 30,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Douglas Paulin, certify that:</w:t>
      </w:r>
    </w:p>
    <w:p>
      <w:pPr>
        <w:spacing w:after="0" w:line="117" w:lineRule="exact"/>
        <w:rPr>
          <w:sz w:val="20"/>
          <w:szCs w:val="20"/>
          <w:color w:val="auto"/>
        </w:rPr>
      </w:pPr>
    </w:p>
    <w:p>
      <w:pPr>
        <w:ind w:left="700" w:hanging="182"/>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2021 of MediciNova, Inc.;</w:t>
      </w:r>
    </w:p>
    <w:p>
      <w:pPr>
        <w:spacing w:after="0" w:line="117" w:lineRule="exact"/>
        <w:rPr>
          <w:rFonts w:ascii="Arial" w:cs="Arial" w:eastAsia="Arial" w:hAnsi="Arial"/>
          <w:sz w:val="18"/>
          <w:szCs w:val="18"/>
          <w:color w:val="auto"/>
        </w:rPr>
      </w:pPr>
    </w:p>
    <w:p>
      <w:pPr>
        <w:ind w:right="80" w:firstLine="518"/>
        <w:spacing w:after="0" w:line="342" w:lineRule="auto"/>
        <w:tabs>
          <w:tab w:leader="none" w:pos="690"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40" w:firstLine="518"/>
        <w:spacing w:after="0" w:line="277" w:lineRule="auto"/>
        <w:tabs>
          <w:tab w:leader="none" w:pos="69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518"/>
        <w:spacing w:after="0" w:line="263" w:lineRule="auto"/>
        <w:tabs>
          <w:tab w:leader="none" w:pos="69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520" w:right="60" w:firstLine="484"/>
        <w:spacing w:after="0" w:line="263" w:lineRule="auto"/>
        <w:tabs>
          <w:tab w:leader="none" w:pos="1191"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520" w:right="200" w:firstLine="484"/>
        <w:spacing w:after="0" w:line="263" w:lineRule="auto"/>
        <w:tabs>
          <w:tab w:leader="none" w:pos="1202"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520" w:right="320" w:firstLine="484"/>
        <w:spacing w:after="0" w:line="342" w:lineRule="auto"/>
        <w:tabs>
          <w:tab w:leader="none" w:pos="1191"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240" w:firstLine="484"/>
        <w:spacing w:after="0" w:line="263" w:lineRule="auto"/>
        <w:tabs>
          <w:tab w:leader="none" w:pos="1202"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160" w:firstLine="518"/>
        <w:spacing w:after="0" w:line="342" w:lineRule="auto"/>
        <w:tabs>
          <w:tab w:leader="none" w:pos="69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520" w:right="620" w:firstLine="484"/>
        <w:spacing w:after="0" w:line="342" w:lineRule="auto"/>
        <w:tabs>
          <w:tab w:leader="none" w:pos="1191"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520" w:right="240" w:firstLine="484"/>
        <w:spacing w:after="0" w:line="277" w:lineRule="auto"/>
        <w:tabs>
          <w:tab w:leader="none" w:pos="1202"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Date: November 12, 2021</w:t>
      </w:r>
    </w:p>
    <w:p>
      <w:pPr>
        <w:spacing w:after="0" w:line="252" w:lineRule="exact"/>
        <w:rPr>
          <w:sz w:val="20"/>
          <w:szCs w:val="20"/>
          <w:color w:val="auto"/>
        </w:rPr>
      </w:pPr>
    </w:p>
    <w:p>
      <w:pPr>
        <w:ind w:left="6760"/>
        <w:spacing w:after="0"/>
        <w:tabs>
          <w:tab w:leader="none" w:pos="7200" w:val="left"/>
          <w:tab w:leader="none" w:pos="7540" w:val="left"/>
        </w:tabs>
        <w:rPr>
          <w:sz w:val="20"/>
          <w:szCs w:val="20"/>
          <w:color w:val="auto"/>
        </w:rPr>
      </w:pPr>
      <w:r>
        <w:rPr>
          <w:rFonts w:ascii="Arial" w:cs="Arial" w:eastAsia="Arial" w:hAnsi="Arial"/>
          <w:sz w:val="18"/>
          <w:szCs w:val="18"/>
          <w:color w:val="auto"/>
        </w:rPr>
        <w:t>By:</w:t>
        <w:tab/>
        <w:t>/s/</w:t>
        <w:tab/>
        <w:t>D</w:t>
      </w:r>
      <w:r>
        <w:rPr>
          <w:rFonts w:ascii="Arial" w:cs="Arial" w:eastAsia="Arial" w:hAnsi="Arial"/>
          <w:sz w:val="13"/>
          <w:szCs w:val="13"/>
          <w:color w:val="auto"/>
        </w:rPr>
        <w:t>OUGLAS</w:t>
      </w:r>
      <w:r>
        <w:rPr>
          <w:rFonts w:ascii="Arial" w:cs="Arial" w:eastAsia="Arial" w:hAnsi="Arial"/>
          <w:sz w:val="18"/>
          <w:szCs w:val="18"/>
          <w:color w:val="auto"/>
        </w:rPr>
        <w:t xml:space="preserve"> P</w:t>
      </w:r>
      <w:r>
        <w:rPr>
          <w:rFonts w:ascii="Arial" w:cs="Arial" w:eastAsia="Arial" w:hAnsi="Arial"/>
          <w:sz w:val="13"/>
          <w:szCs w:val="13"/>
          <w:color w:val="auto"/>
        </w:rPr>
        <w:t>AULIN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ind w:left="7220"/>
        <w:spacing w:after="0"/>
        <w:rPr>
          <w:sz w:val="20"/>
          <w:szCs w:val="20"/>
          <w:color w:val="auto"/>
        </w:rPr>
      </w:pPr>
      <w:r>
        <w:rPr>
          <w:rFonts w:ascii="Arial" w:cs="Arial" w:eastAsia="Arial" w:hAnsi="Arial"/>
          <w:sz w:val="14"/>
          <w:szCs w:val="14"/>
          <w:b w:val="1"/>
          <w:bCs w:val="1"/>
          <w:color w:val="auto"/>
        </w:rPr>
        <w:t>Douglas Paulin</w:t>
      </w:r>
    </w:p>
    <w:p>
      <w:pPr>
        <w:ind w:left="7220"/>
        <w:spacing w:after="0" w:line="221" w:lineRule="auto"/>
        <w:rPr>
          <w:sz w:val="20"/>
          <w:szCs w:val="20"/>
          <w:color w:val="auto"/>
        </w:rPr>
      </w:pPr>
      <w:r>
        <w:rPr>
          <w:rFonts w:ascii="Arial" w:cs="Arial" w:eastAsia="Arial" w:hAnsi="Arial"/>
          <w:sz w:val="14"/>
          <w:szCs w:val="14"/>
          <w:b w:val="1"/>
          <w:bCs w:val="1"/>
          <w:color w:val="auto"/>
        </w:rPr>
        <w:t>Chief Financial Officer</w:t>
      </w:r>
    </w:p>
    <w:p>
      <w:pPr>
        <w:ind w:left="722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240"/>
          </w:cols>
          <w:pgMar w:left="320" w:top="121" w:right="3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In connection with the accompanying Quarterly Report on Form 10-Q of MediciNova, Inc. (the “Company”) for the period ended September 30, 2021 as filed with the Securities and Exchange Commission on the date hereof (the “Report”), I, Yuichi Iwaki, as President and Chief Executive Officer of the Company, hereby certify, pursuant to 18 U.S.C. Section 1350, as adopted pursuant to Section 906 of the Sarbanes-Oxley Act of 2002, that to my knowledge:</w:t>
      </w:r>
    </w:p>
    <w:p>
      <w:pPr>
        <w:spacing w:after="0" w:line="79" w:lineRule="exact"/>
        <w:rPr>
          <w:sz w:val="20"/>
          <w:szCs w:val="20"/>
          <w:color w:val="auto"/>
        </w:rPr>
      </w:pPr>
    </w:p>
    <w:p>
      <w:pPr>
        <w:ind w:left="1180" w:hanging="17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520" w:right="400" w:firstLine="484"/>
        <w:spacing w:after="0" w:line="277" w:lineRule="auto"/>
        <w:tabs>
          <w:tab w:leader="none" w:pos="1187"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Date: November 12, 2021</w:t>
      </w:r>
    </w:p>
    <w:p>
      <w:pPr>
        <w:spacing w:after="0" w:line="252" w:lineRule="exact"/>
        <w:rPr>
          <w:sz w:val="20"/>
          <w:szCs w:val="20"/>
          <w:color w:val="auto"/>
        </w:rPr>
      </w:pPr>
    </w:p>
    <w:p>
      <w:pPr>
        <w:ind w:left="6760"/>
        <w:spacing w:after="0"/>
        <w:tabs>
          <w:tab w:leader="none" w:pos="8580" w:val="left"/>
          <w:tab w:leader="none" w:pos="89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Y</w:t>
      </w:r>
      <w:r>
        <w:rPr>
          <w:rFonts w:ascii="Arial" w:cs="Arial" w:eastAsia="Arial" w:hAnsi="Arial"/>
          <w:sz w:val="12"/>
          <w:szCs w:val="12"/>
          <w:color w:val="auto"/>
        </w:rPr>
        <w:t>UICHI</w:t>
      </w:r>
      <w:r>
        <w:rPr>
          <w:rFonts w:ascii="Arial" w:cs="Arial" w:eastAsia="Arial" w:hAnsi="Arial"/>
          <w:sz w:val="18"/>
          <w:szCs w:val="18"/>
          <w:color w:val="auto"/>
        </w:rPr>
        <w:t xml:space="preserve"> I</w:t>
      </w:r>
      <w:r>
        <w:rPr>
          <w:rFonts w:ascii="Arial" w:cs="Arial" w:eastAsia="Arial" w:hAnsi="Arial"/>
          <w:sz w:val="12"/>
          <w:szCs w:val="12"/>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jc w:val="center"/>
        <w:ind w:left="7200"/>
        <w:spacing w:after="0"/>
        <w:rPr>
          <w:sz w:val="20"/>
          <w:szCs w:val="20"/>
          <w:color w:val="auto"/>
        </w:rPr>
      </w:pPr>
      <w:r>
        <w:rPr>
          <w:rFonts w:ascii="Arial" w:cs="Arial" w:eastAsia="Arial" w:hAnsi="Arial"/>
          <w:sz w:val="14"/>
          <w:szCs w:val="14"/>
          <w:b w:val="1"/>
          <w:bCs w:val="1"/>
          <w:color w:val="auto"/>
        </w:rPr>
        <w:t>Yuichi Iwaki, M.D., Ph.D.</w:t>
      </w:r>
    </w:p>
    <w:p>
      <w:pPr>
        <w:jc w:val="center"/>
        <w:ind w:left="7200"/>
        <w:spacing w:after="0" w:line="221"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7200"/>
        <w:spacing w:after="0"/>
        <w:rPr>
          <w:sz w:val="20"/>
          <w:szCs w:val="20"/>
          <w:color w:val="auto"/>
        </w:rPr>
      </w:pPr>
      <w:r>
        <w:rPr>
          <w:rFonts w:ascii="Arial" w:cs="Arial" w:eastAsia="Arial" w:hAnsi="Arial"/>
          <w:sz w:val="14"/>
          <w:szCs w:val="14"/>
          <w:b w:val="1"/>
          <w:bCs w:val="1"/>
          <w:color w:val="auto"/>
        </w:rPr>
        <w:t>(Principal Executive Officer)</w:t>
      </w:r>
    </w:p>
    <w:p>
      <w:pPr>
        <w:spacing w:after="0" w:line="196" w:lineRule="exact"/>
        <w:rPr>
          <w:sz w:val="20"/>
          <w:szCs w:val="20"/>
          <w:color w:val="auto"/>
        </w:rPr>
      </w:pPr>
    </w:p>
    <w:p>
      <w:pPr>
        <w:ind w:right="140" w:firstLine="510"/>
        <w:spacing w:after="0" w:line="257"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337"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ACTING 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00" w:firstLine="510"/>
        <w:spacing w:after="0" w:line="259" w:lineRule="auto"/>
        <w:rPr>
          <w:sz w:val="20"/>
          <w:szCs w:val="20"/>
          <w:color w:val="auto"/>
        </w:rPr>
      </w:pPr>
      <w:r>
        <w:rPr>
          <w:rFonts w:ascii="Arial" w:cs="Arial" w:eastAsia="Arial" w:hAnsi="Arial"/>
          <w:sz w:val="18"/>
          <w:szCs w:val="18"/>
          <w:color w:val="auto"/>
        </w:rPr>
        <w:t>In connection with the accompanying Quarterly Report on Form 10-Q of MediciNova, Inc. (the “Company”) for the period ended September 30, 2021, as filed with the Securities and Exchange Commission on the date hereof (the “Report”), I, Douglas Paulin, as Chief Financial Officer of the Company, hereby certify, pursuant to 18 U.S.C. Section 1350, as adopted pursuant to Section 906 of the Sarbanes-Oxley Act of 2002, that to my knowledge:</w:t>
      </w:r>
    </w:p>
    <w:p>
      <w:pPr>
        <w:spacing w:after="0" w:line="79" w:lineRule="exact"/>
        <w:rPr>
          <w:sz w:val="20"/>
          <w:szCs w:val="20"/>
          <w:color w:val="auto"/>
        </w:rPr>
      </w:pPr>
    </w:p>
    <w:p>
      <w:pPr>
        <w:ind w:left="1180" w:hanging="176"/>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520" w:right="400" w:firstLine="484"/>
        <w:spacing w:after="0" w:line="277" w:lineRule="auto"/>
        <w:tabs>
          <w:tab w:leader="none" w:pos="1187"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Date: November 12, 2021</w:t>
      </w:r>
    </w:p>
    <w:p>
      <w:pPr>
        <w:spacing w:after="0" w:line="252" w:lineRule="exact"/>
        <w:rPr>
          <w:sz w:val="20"/>
          <w:szCs w:val="20"/>
          <w:color w:val="auto"/>
        </w:rPr>
      </w:pPr>
    </w:p>
    <w:p>
      <w:pPr>
        <w:ind w:left="6760"/>
        <w:spacing w:after="0"/>
        <w:tabs>
          <w:tab w:leader="none" w:pos="8420" w:val="left"/>
          <w:tab w:leader="none" w:pos="8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D</w:t>
      </w:r>
      <w:r>
        <w:rPr>
          <w:rFonts w:ascii="Arial" w:cs="Arial" w:eastAsia="Arial" w:hAnsi="Arial"/>
          <w:sz w:val="13"/>
          <w:szCs w:val="13"/>
          <w:color w:val="auto"/>
        </w:rPr>
        <w:t>OUGLAS</w:t>
      </w:r>
      <w:r>
        <w:rPr>
          <w:rFonts w:ascii="Arial" w:cs="Arial" w:eastAsia="Arial" w:hAnsi="Arial"/>
          <w:sz w:val="18"/>
          <w:szCs w:val="18"/>
          <w:color w:val="auto"/>
        </w:rPr>
        <w:t xml:space="preserve"> P</w:t>
      </w:r>
      <w:r>
        <w:rPr>
          <w:rFonts w:ascii="Arial" w:cs="Arial" w:eastAsia="Arial" w:hAnsi="Arial"/>
          <w:sz w:val="13"/>
          <w:szCs w:val="13"/>
          <w:color w:val="auto"/>
        </w:rPr>
        <w:t>AULIN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jc w:val="center"/>
        <w:ind w:left="7200"/>
        <w:spacing w:after="0"/>
        <w:rPr>
          <w:sz w:val="20"/>
          <w:szCs w:val="20"/>
          <w:color w:val="auto"/>
        </w:rPr>
      </w:pPr>
      <w:r>
        <w:rPr>
          <w:rFonts w:ascii="Arial" w:cs="Arial" w:eastAsia="Arial" w:hAnsi="Arial"/>
          <w:sz w:val="14"/>
          <w:szCs w:val="14"/>
          <w:b w:val="1"/>
          <w:bCs w:val="1"/>
          <w:color w:val="auto"/>
        </w:rPr>
        <w:t>Douglas Paulin</w:t>
      </w:r>
    </w:p>
    <w:p>
      <w:pPr>
        <w:jc w:val="center"/>
        <w:ind w:left="7200"/>
        <w:spacing w:after="0" w:line="221" w:lineRule="auto"/>
        <w:rPr>
          <w:sz w:val="20"/>
          <w:szCs w:val="20"/>
          <w:color w:val="auto"/>
        </w:rPr>
      </w:pPr>
      <w:r>
        <w:rPr>
          <w:rFonts w:ascii="Arial" w:cs="Arial" w:eastAsia="Arial" w:hAnsi="Arial"/>
          <w:sz w:val="14"/>
          <w:szCs w:val="14"/>
          <w:b w:val="1"/>
          <w:bCs w:val="1"/>
          <w:color w:val="auto"/>
        </w:rPr>
        <w:t>Chief Financial Officer</w:t>
      </w:r>
    </w:p>
    <w:p>
      <w:pPr>
        <w:jc w:val="center"/>
        <w:ind w:left="7200"/>
        <w:spacing w:after="0"/>
        <w:rPr>
          <w:sz w:val="20"/>
          <w:szCs w:val="20"/>
          <w:color w:val="auto"/>
        </w:rPr>
      </w:pPr>
      <w:r>
        <w:rPr>
          <w:rFonts w:ascii="Arial" w:cs="Arial" w:eastAsia="Arial" w:hAnsi="Arial"/>
          <w:sz w:val="14"/>
          <w:szCs w:val="14"/>
          <w:b w:val="1"/>
          <w:bCs w:val="1"/>
          <w:color w:val="auto"/>
        </w:rPr>
        <w:t>(Principal Financial Officer)</w:t>
      </w:r>
    </w:p>
    <w:p>
      <w:pPr>
        <w:spacing w:after="0" w:line="196" w:lineRule="exact"/>
        <w:rPr>
          <w:sz w:val="20"/>
          <w:szCs w:val="20"/>
          <w:color w:val="auto"/>
        </w:rPr>
      </w:pPr>
    </w:p>
    <w:p>
      <w:pPr>
        <w:ind w:right="140" w:firstLine="510"/>
        <w:spacing w:after="0" w:line="257"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lvl w:ilvl="1">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41" Type="http://schemas.openxmlformats.org/officeDocument/2006/relationships/hyperlink" Target="http://www.sec.gov/Archives/edgar/data/1226616/000119312512347932/d344794dex31.htm" TargetMode="External"/><Relationship Id="rId42" Type="http://schemas.openxmlformats.org/officeDocument/2006/relationships/hyperlink" Target="http://www.sec.gov/Archives/edgar/data/1226616/000119312519119751/d727763dex31.htm" TargetMode="External"/><Relationship Id="rId43" Type="http://schemas.openxmlformats.org/officeDocument/2006/relationships/hyperlink" Target="https://www.sec.gov/ix?doc=/Archives/edgar/data/1226616/000119312521222985/d159893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2021-11-12T06:20:35Z</dcterms:created>
  <dcterms:modified xsi:type="dcterms:W3CDTF">2021-11-12T06:20:35Z</dcterms:modified>
</cp:coreProperties>
</file>