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38" w:orient="portrait"/>
          <w:cols w:equalWidth="0" w:num="2">
            <w:col w:w="6560" w:space="720"/>
            <w:col w:w="4140"/>
          </w:cols>
          <w:pgMar w:left="240" w:top="230" w:right="23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177800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080" w:type="dxa"/>
            <w:vAlign w:val="bottom"/>
          </w:tcPr>
          <w:p>
            <w:pPr>
              <w:jc w:val="center"/>
              <w:ind w:right="35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0"/>
              </w:rPr>
              <w:t>4275 Executive Drive, Suite 650</w:t>
            </w:r>
          </w:p>
        </w:tc>
        <w:tc>
          <w:tcPr>
            <w:tcW w:w="1480" w:type="dxa"/>
            <w:vAlign w:val="bottom"/>
          </w:tcPr>
          <w:p>
            <w:pPr>
              <w:spacing w:after="0"/>
              <w:rPr>
                <w:sz w:val="24"/>
                <w:szCs w:val="24"/>
                <w:color w:val="auto"/>
              </w:rPr>
            </w:pPr>
          </w:p>
        </w:tc>
      </w:tr>
      <w:tr>
        <w:trPr>
          <w:trHeight w:val="225"/>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5"/>
              </w:rPr>
              <w:t>La Jolla, CA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80" w:type="dxa"/>
            <w:vAlign w:val="bottom"/>
          </w:tcPr>
          <w:p>
            <w:pPr>
              <w:jc w:val="right"/>
              <w:ind w:right="1379"/>
              <w:spacing w:after="0"/>
              <w:rPr>
                <w:sz w:val="20"/>
                <w:szCs w:val="20"/>
                <w:color w:val="auto"/>
              </w:rPr>
            </w:pPr>
            <w:r>
              <w:rPr>
                <w:rFonts w:ascii="Arial" w:cs="Arial" w:eastAsia="Arial" w:hAnsi="Arial"/>
                <w:sz w:val="18"/>
                <w:szCs w:val="18"/>
                <w:b w:val="1"/>
                <w:bCs w:val="1"/>
                <w:color w:val="auto"/>
              </w:rPr>
              <w:t>(858) 373-1500</w:t>
            </w:r>
          </w:p>
        </w:tc>
        <w:tc>
          <w:tcPr>
            <w:tcW w:w="1480" w:type="dxa"/>
            <w:vAlign w:val="bottom"/>
          </w:tcPr>
          <w:p>
            <w:pPr>
              <w:spacing w:after="0"/>
              <w:rPr>
                <w:sz w:val="24"/>
                <w:szCs w:val="24"/>
                <w:color w:val="auto"/>
              </w:rPr>
            </w:pPr>
          </w:p>
        </w:tc>
      </w:tr>
      <w:tr>
        <w:trPr>
          <w:trHeight w:val="186"/>
        </w:trPr>
        <w:tc>
          <w:tcPr>
            <w:tcW w:w="6080" w:type="dxa"/>
            <w:vAlign w:val="bottom"/>
          </w:tcPr>
          <w:p>
            <w:pPr>
              <w:jc w:val="center"/>
              <w:ind w:left="19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45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As of November 7, 2014, the registrant had 24,219,317 shares of Common Stock ($0.001 par value) outstanding.</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8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80" w:type="dxa"/>
            <w:vAlign w:val="bottom"/>
            <w:gridSpan w:val="4"/>
          </w:tcPr>
          <w:p>
            <w:pPr>
              <w:jc w:val="center"/>
              <w:ind w:right="3160"/>
              <w:spacing w:after="0"/>
              <w:rPr>
                <w:sz w:val="20"/>
                <w:szCs w:val="20"/>
                <w:color w:val="auto"/>
              </w:rPr>
            </w:pPr>
            <w:r>
              <w:rPr>
                <w:rFonts w:ascii="Arial" w:cs="Arial" w:eastAsia="Arial" w:hAnsi="Arial"/>
                <w:sz w:val="18"/>
                <w:szCs w:val="18"/>
                <w:b w:val="1"/>
                <w:bCs w:val="1"/>
                <w:color w:val="auto"/>
              </w:rPr>
              <w:t>MEDICINOVA, INC.</w:t>
            </w:r>
          </w:p>
        </w:tc>
        <w:tc>
          <w:tcPr>
            <w:tcW w:w="6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80" w:type="dxa"/>
            <w:vAlign w:val="bottom"/>
            <w:gridSpan w:val="4"/>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527"/>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78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38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 (unaudited)</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380" w:type="dxa"/>
            <w:vAlign w:val="bottom"/>
            <w:gridSpan w:val="1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24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0680" w:type="dxa"/>
            <w:vAlign w:val="bottom"/>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5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LEGAL PROCEEDINGS</w:t>
              </w:r>
            </w:hyperlink>
          </w:p>
        </w:tc>
        <w:tc>
          <w:tcPr>
            <w:tcW w:w="750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12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81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938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30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1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140" w:type="dxa"/>
            <w:vAlign w:val="bottom"/>
            <w:gridSpan w:val="8"/>
          </w:tcPr>
          <w:p>
            <w:pPr>
              <w:jc w:val="center"/>
              <w:ind w:left="2590"/>
              <w:spacing w:after="0"/>
              <w:rPr>
                <w:sz w:val="20"/>
                <w:szCs w:val="20"/>
                <w:color w:val="auto"/>
              </w:rPr>
            </w:pPr>
            <w:r>
              <w:rPr>
                <w:rFonts w:ascii="Arial" w:cs="Arial" w:eastAsia="Arial" w:hAnsi="Arial"/>
                <w:sz w:val="18"/>
                <w:szCs w:val="18"/>
                <w:color w:val="auto"/>
                <w:w w:val="99"/>
              </w:rPr>
              <w:t>2</w:t>
            </w: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700" w:type="dxa"/>
            <w:vAlign w:val="bottom"/>
          </w:tcPr>
          <w:p>
            <w:pPr>
              <w:jc w:val="center"/>
              <w:ind w:left="175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100"/>
              <w:spacing w:after="0"/>
              <w:rPr>
                <w:sz w:val="20"/>
                <w:szCs w:val="20"/>
                <w:color w:val="auto"/>
              </w:rPr>
            </w:pPr>
            <w:r>
              <w:rPr>
                <w:rFonts w:ascii="Arial" w:cs="Arial" w:eastAsia="Arial" w:hAnsi="Arial"/>
                <w:sz w:val="18"/>
                <w:szCs w:val="18"/>
                <w:b w:val="1"/>
                <w:bCs w:val="1"/>
                <w:color w:val="auto"/>
              </w:rPr>
              <w:t>CONSOLIDATED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00" w:type="dxa"/>
            <w:vAlign w:val="bottom"/>
          </w:tcPr>
          <w:p>
            <w:pPr>
              <w:jc w:val="center"/>
              <w:ind w:left="1750"/>
              <w:spacing w:after="0"/>
              <w:rPr>
                <w:sz w:val="20"/>
                <w:szCs w:val="20"/>
                <w:color w:val="auto"/>
              </w:rPr>
            </w:pPr>
            <w:r>
              <w:rPr>
                <w:rFonts w:ascii="Arial" w:cs="Arial" w:eastAsia="Arial" w:hAnsi="Arial"/>
                <w:sz w:val="18"/>
                <w:szCs w:val="18"/>
                <w:b w:val="1"/>
                <w:bCs w:val="1"/>
                <w:color w:val="auto"/>
              </w:rPr>
              <w:t>MEDICINOVA,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70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3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11,936,900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6,700,493</w:t>
            </w:r>
          </w:p>
        </w:tc>
      </w:tr>
      <w:tr>
        <w:trPr>
          <w:trHeight w:val="216"/>
        </w:trPr>
        <w:tc>
          <w:tcPr>
            <w:tcW w:w="20" w:type="dxa"/>
            <w:vAlign w:val="bottom"/>
          </w:tcPr>
          <w:p>
            <w:pPr>
              <w:spacing w:after="0"/>
              <w:rPr>
                <w:sz w:val="18"/>
                <w:szCs w:val="18"/>
                <w:color w:val="auto"/>
              </w:rPr>
            </w:pP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6,008,553</w:t>
            </w: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693,979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1,673,560</w:t>
            </w:r>
          </w:p>
        </w:tc>
      </w:tr>
      <w:tr>
        <w:trPr>
          <w:trHeight w:val="223"/>
        </w:trPr>
        <w:tc>
          <w:tcPr>
            <w:tcW w:w="86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12,630,879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14,382,606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9,600,241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9,600,241</w:t>
            </w: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690,328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680,982</w:t>
            </w: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55,159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82,414</w:t>
            </w: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40" w:type="dxa"/>
            <w:vAlign w:val="bottom"/>
            <w:gridSpan w:val="2"/>
          </w:tcPr>
          <w:p>
            <w:pPr>
              <w:spacing w:after="0"/>
              <w:rPr>
                <w:sz w:val="20"/>
                <w:szCs w:val="20"/>
                <w:color w:val="auto"/>
              </w:rPr>
            </w:pPr>
            <w:r>
              <w:rPr>
                <w:rFonts w:ascii="Arial" w:cs="Arial" w:eastAsia="Arial" w:hAnsi="Arial"/>
                <w:sz w:val="18"/>
                <w:szCs w:val="18"/>
                <w:color w:val="auto"/>
                <w:w w:val="94"/>
              </w:rPr>
              <w:t>Total assets</w:t>
            </w:r>
          </w:p>
        </w:tc>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27,787,306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29,546,243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317,692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33,894</w:t>
            </w:r>
          </w:p>
        </w:tc>
      </w:tr>
      <w:tr>
        <w:trPr>
          <w:trHeight w:val="216"/>
        </w:trPr>
        <w:tc>
          <w:tcPr>
            <w:tcW w:w="20" w:type="dxa"/>
            <w:vAlign w:val="bottom"/>
          </w:tcPr>
          <w:p>
            <w:pPr>
              <w:spacing w:after="0"/>
              <w:rPr>
                <w:sz w:val="18"/>
                <w:szCs w:val="18"/>
                <w:color w:val="auto"/>
              </w:rPr>
            </w:pP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271,643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240,148</w:t>
            </w: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545,455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186,393</w:t>
            </w:r>
          </w:p>
        </w:tc>
      </w:tr>
      <w:tr>
        <w:trPr>
          <w:trHeight w:val="223"/>
        </w:trPr>
        <w:tc>
          <w:tcPr>
            <w:tcW w:w="864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1,134,790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rent and 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9,889</w:t>
            </w: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1,956,000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1,694,163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1,694,163</w:t>
            </w:r>
          </w:p>
        </w:tc>
      </w:tr>
      <w:tr>
        <w:trPr>
          <w:trHeight w:val="223"/>
        </w:trPr>
        <w:tc>
          <w:tcPr>
            <w:tcW w:w="86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4,802,649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4,120,487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8"/>
              </w:rPr>
              <w:t>Preferred stock, $0.01 par value; 3,000,000 shares authorized at September 30, 2014 and 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20" w:type="dxa"/>
            <w:vAlign w:val="bottom"/>
            <w:gridSpan w:val="2"/>
          </w:tcPr>
          <w:p>
            <w:pPr>
              <w:ind w:left="520"/>
              <w:spacing w:after="0"/>
              <w:rPr>
                <w:sz w:val="20"/>
                <w:szCs w:val="20"/>
                <w:color w:val="auto"/>
              </w:rPr>
            </w:pPr>
            <w:r>
              <w:rPr>
                <w:rFonts w:ascii="Arial" w:cs="Arial" w:eastAsia="Arial" w:hAnsi="Arial"/>
                <w:sz w:val="18"/>
                <w:szCs w:val="18"/>
                <w:color w:val="auto"/>
              </w:rPr>
              <w:t>2013; 220,000 shares issued and outstanding at September 30, 2014 and December 31, 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at September 30, 2014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2013; 24,177,317 and 22,495,443 shares issued and outstanding at September 30, 2014 and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2013,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24,178</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22,495</w:t>
            </w:r>
          </w:p>
        </w:tc>
      </w:tr>
      <w:tr>
        <w:trPr>
          <w:trHeight w:val="216"/>
        </w:trPr>
        <w:tc>
          <w:tcPr>
            <w:tcW w:w="20" w:type="dxa"/>
            <w:vAlign w:val="bottom"/>
          </w:tcPr>
          <w:p>
            <w:pPr>
              <w:spacing w:after="0"/>
              <w:rPr>
                <w:sz w:val="18"/>
                <w:szCs w:val="18"/>
                <w:color w:val="auto"/>
              </w:rPr>
            </w:pP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331,243,773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326,868,578</w:t>
            </w: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(84,306)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(80,803)</w:t>
            </w:r>
          </w:p>
        </w:tc>
      </w:tr>
      <w:tr>
        <w:trPr>
          <w:trHeight w:val="223"/>
        </w:trPr>
        <w:tc>
          <w:tcPr>
            <w:tcW w:w="20" w:type="dxa"/>
            <w:vAlign w:val="bottom"/>
          </w:tcPr>
          <w:p>
            <w:pPr>
              <w:spacing w:after="0"/>
              <w:rPr>
                <w:sz w:val="19"/>
                <w:szCs w:val="19"/>
                <w:color w:val="auto"/>
              </w:rPr>
            </w:pP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(308,201,188)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(301,386,714)</w:t>
            </w: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22,984,657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25,425,756</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27,787,306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29,546,243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development and patents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893,265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2,476,797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2,427,650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1,451,994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1,456,774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4,363,237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5,023,445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2,345,259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2,242,347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6,840,034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7,451,095</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(2,345,259)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(2,242,347)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(6,840,034)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(7,447,838)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14,315</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(2,338,769)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(2,234,944)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(6,809,912)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(7,439,443)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(2,340,241</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(2,236,750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(6,814,474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(7,441,793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24,149,680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22,301,773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23,997,920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20,114,289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(2,340,241)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(2,236,750)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(6,814,474)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(7,441,793)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(2,347,210</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(2,235,994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(6,817,977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(7,451,674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Nine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(6,814,474)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(7,441,793)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Non-cash stock-based compensation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984,095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719,084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Kissei upfront payment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w:t>
            </w: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90,966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value of equity method investment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Gain on disposal of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(4,800)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965,759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(30,635)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accrued expenses and deferred rent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(166,345)</w:t>
            </w: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Accrued compensation and related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359,062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211,962</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6,008,553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1,849,299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(6,624,818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Acquisition of property and equipment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(29,314)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and warrants, net of issuance costs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3,332,327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13,292,954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for ESPP, net of issuance costs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6,697</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3,392,783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13,299,651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5,236,407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6,650,319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6,700,493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4,010,530</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11,936,900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10,660,849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Income taxes paid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6,354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was incorporated in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therapeutics for the treatment of serious diseases with unmet medical needs and a commercial focus on the U.S. market. The Company is currently focusing its development activities on MN-166 (Ibudilast) for neurological disorders such as progressive multiple sclerosis (MS), amyotrophic lateral sclerosis (ALS) and substance dependence (e.g., methamphetamine dependence and opioid dependence), and MN-001 (tipelukast) for nonalcoholic steatohepatitis (NASH), idiopathic pulmonary fibrosis (IPF) and other fibrotic diseases. MediciNova’s pipeline also includes MN-221 (bedoradrine) for the treatment of acute exacerbation of asthma and MN-029 (denibulin) for solid tumor cancers.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financial statements should be read in conjunction with the audited consolidated financial statements and notes thereto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$0.8 million and $0.6 million for the three-months ended September 30, 2014 and 2013, respectively. For the nine months ended September 30, 2014 and 2013 research and development costs totaled $2.2 million and $2.0 million, respectively.</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and $0.2 million for the three-months ended September 30, 2014 and 2013, respectively. For the nine months ended September 30, 2014 and 2013, patent-related expenses totaled $0.3 million and $0.4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In May 2014, the Financial Accounting Standards Board (“FASB”) and the International Accounting Standards Board “(IASB”) jointly issued Accounting Standards Update (“ASU”) No. 2014-09, Revenue from Contracts from Customers, which supersedes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recognition requirements in ASC 605, Revenue Recognition. ASU 2014-09 is a comprehensive new revenue recognition standard that will supersede nearly all existing revenue recognition guidance under US GAAP and IFRS.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authoritative guidance. These may include identifying performance obligations in the contract, estimating the amount of variable consideration to include in the transaction price and allocating the transaction price to each separate performance obligation. The standard is effective for public entities for annual and interim periods beginning after December 15, 2016. Early adoption is not permitted under US GAAP. The adoption of this guidance is not expected to have a material impact on the Company.</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July 2013, the FASB issued ASU 2013-11, Income Taxes (Topic 740): Presentation of an Unrecognized Tax Benefit When a Net Operating Loss Carryforward, a Similar Tax Loss, or a Tax Credit Carryforward Exists, a new accounting standard update on the financial statement presentation of unrecognized tax benefits. The new guidance provides that a liability related to an unrecognized tax benefit would be presented as a reduction of a deferred tax asset for a net operating loss carryforward, a similar tax loss or a tax credit carryforward if such settlement is required or expected in the event the uncertain tax position is disallowed. The new guidance became effective for the Company on January 1, 2014 and it should be applied prospectively to unrecognized tax benefits that exist at the effective date with retrospective application permitted. The adoption of this guidance did not have a material impact on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December 2005, Avigen, Inc. and Genzyme Corporation entered into an Assignment Agreement (Genzyme Agreement) in which Genzyme acquired certain gene therapy intellectual property, programs and other related assets from Avigen in exchange for an initial $12.0 million payment, and Avigen could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in the Genzyme Agreement had been earned, and license revenue and a receivable of $6.0 million was recorded during 2013, as no future Company performance obligations exist. The Company received payment of the amount receivable in January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are performed. The amount received from Kissei, net of the amount recorded as revenue, is included on the balance sheet as long-term deferred revenue and will be recognized as revenue as the remaining services are performed. Revenue recorded in the nine months ended September 30, 2014 and 2013 was zero and $3,257, respectively. No revenue was recorded in the three months ended September 30, 2014 and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1320" w:right="720" w:hanging="728"/>
        <w:spacing w:after="0" w:line="277" w:lineRule="auto"/>
        <w:rPr>
          <w:sz w:val="20"/>
          <w:szCs w:val="20"/>
          <w:color w:val="auto"/>
        </w:rPr>
      </w:pPr>
      <w:r>
        <w:rPr>
          <w:rFonts w:ascii="Arial" w:cs="Arial" w:eastAsia="Arial" w:hAnsi="Arial"/>
          <w:sz w:val="18"/>
          <w:szCs w:val="18"/>
          <w:color w:val="auto"/>
        </w:rPr>
        <w:t>Level 2: Inputs are quoted prices for similar items in active markets or inputs are quoted prices for identical or similar items in markets that are not active near the measurement date; and</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Cash and cash equivalents, including money market accounts, of $11.9 million and $6.7 million measured at fair value as of September 30, 2014 and December 31, 2013, respectively, are classified within Level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or “JV Company”),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the JV Company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September 30, 2014, Beijing Medfron Medical Technologies Co., Ltd. and MediciNova each have a 50% interest in the JV Company. No additional capital was contributed by either remaining party.</w:t>
      </w:r>
    </w:p>
    <w:p>
      <w:pPr>
        <w:spacing w:after="0" w:line="16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September 30, 2014, the investment is reflected as a long-term asset on the Company’s consolidated balance sheet which represents the investment in Zhejiang Sunmy, net of the Company’s portion of any generated loss or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which was in turn the successor to the Company’s 2000 General Stock Incentive Plan, or 2000 Plan (together, the Prior Plans). A total of</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Prior Plans, all outstanding stock awards granted under the Prior Plans will continue to be subject to the terms and conditions as set forth in the agreements evidencing such stock awards and the terms of the Prior Plans, as applicable. As of September 30, 2014, 2,554,825 options remain available for future grant under the 2013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Options granted under the 2013 Plan and Prior Plans have terms of ten years from the date of grant and generally vest over a three or four year period.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exercise price of all options granted was equal to the market value of the Company’s common stock on the date of grant.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and related information as of, and for the nine-months ended, September 30, 2014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Weighted Average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1"/>
              </w:rPr>
              <w:t>Option 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Contractual Life</w:t>
            </w:r>
          </w:p>
        </w:tc>
        <w:tc>
          <w:tcPr>
            <w:tcW w:w="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3,217,043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105,000</w:t>
            </w: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5.10</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(49,074)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3.30</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726,731</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2,387,760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During the three and nine months ended September 30, 2014 there were 15,000 options exercised, from which gross proceeds of $38,850 were received. The intrinsic value of options exercised during the nine months ended September 30, 2014 was $3,750. During the three months ended September 30, 2013, there were no options exercised. During the nine months ended September 30, 2013, there were 79,462 options exercised, from which gross proceeds of $193,951 were received. The intrinsic value of options exercised during the nine months ended September 30, 2013 was $63,704.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nine months ended September 30, 2014, an aggregate of 33,374 shares were issued under the ESPP, leaving 215,953 shares available for future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During the three and nine months ended September 30, 2014, options to purchase 10,000 and 105,000 shares of common stock were granted, respectively. Stock-based compensation expense for stock option awards and ESPP shares are reflected in total operating expenses for each respective year. For the three months ended September 30, 2014 and 2013, stock-based compensation related to stock options and ESPP was $497,675 and $197,797, respectively. For the nine months ended September 30, 2014 and 2013, stock-based compensation expense related to stock options and the ESPP was $984,095 and $719,084, respectively.</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and the stock-based compensation for stock-based awards to employees. The following table provides the assumptions used in the Black-Scholes valuation model for the three and nine months ended September 30, 2014 and 2013. There were no ESPP grants during the three months ended September 30, 2014 and 2013. ESPP assumptions for the nine months ended September 30, 2014 and 2013 are weighted average amounts.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1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640" w:type="dxa"/>
            <w:vAlign w:val="bottom"/>
          </w:tcPr>
          <w:p>
            <w:pPr>
              <w:spacing w:after="0"/>
              <w:rPr>
                <w:sz w:val="14"/>
                <w:szCs w:val="14"/>
                <w:color w:val="auto"/>
              </w:rPr>
            </w:pPr>
          </w:p>
        </w:tc>
        <w:tc>
          <w:tcPr>
            <w:tcW w:w="21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6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 assumptions:</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0.70%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0.36%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0.80%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85.76%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91.55%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0.5</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September 30, 2014, there was $1.0 million of unamortized compensation cost related to unvested stock option awards which is expected to be recognized over a remaining weighted-average vesting period of 0.81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October 2011, pursuant to a stock purchase agreement by and between the Company and Kissei, Kissei purchased (i) an aggregate of 800,000 shares of the Company’s common stock, par value $0.001 per share, at a price of $2.50 per share, and (ii) 220,000 shares of the Company’s Series B Convertible Preferred Stock, par value $0.01 per share, at a price of $25.00 per share. In October 2011 the Company received gross proceeds of $7.5 million related to this purchase agreement. The purchase agreement contains a standstill agreement from Kissei that terminates if Kissei beneficially owns less than three percent of the Company’s outstanding voting stock. Each share of the Series B Preferred Stock is convertible into 10 shares of common stock. The Series B Preferred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20, 2012, the Company entered into a common stock purchase agreement with Aspire pursuant to which the Company could elect to sell Aspire, and Aspire would be obligated to purchase, up to an aggregate of $20 million of common stock over the two-year term of the agreement including $1.0 million in common stock purchased by Aspire in connection with execution of the agreement. The common stock purchase agreement with Aspire was terminated on October 17, 2013, and as of such date, the Company had completed sales to Aspire totaling 2,504,532 shares of common stock at prices ranging from $1.60 to $3.82 per share, generating gross proceeds of $5.4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On April 17, 2013, the Company entered into an at-the-market equity distribution agreement with Macquarie Capital (USA) Inc., or MCUSA, pursuant to which the Company could sell common stock through MCUSA from time to time up to an aggregate offering price of $6.0 million. As of July 25, 2013, the Company had completed all available sales to MCUSA under this agreement, generating gross and net proceeds of $6.0 million and $5.3 million, respectively, on sales of 1,936,237 shares of common stock at prices ranging from $2.44 to $4.10 per share.</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October 16, 2013, the Company entered into a second at-the-market equity distribution agreement with MCUSA pursuant to which the Company may sell common stock through MCUSA from time to time up to an aggregate offering price of $10.0 million. Under the terms of this agreement, unless otherwise mutually agreed, no daily sale of an amount of shares of the Company’s common stock is to exceed the lower of $50,000 or 10% of the lower of the 5-day or 3-month average daily traded value of the Company’s common stock on NASDAQ (unless 10% of the lower of the 5-day or 3-month average daily traded value of the Company’s common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the Company’s common stock on NASDAQ. MCUSA agreed to use its commercially reasonable efforts consistent with its customary trading and sales practices and applicable laws, rules and regulations to sell shares of the Company’s common stock and is to sell such shares by any method permitted by law deemed to be “at the market.” The Company agreed to pay MCUSA an aggregate commission rate of 7.0% of the gross proceeds of any common stock sold under this agreement. MCUSA is under no obligation to purchase shares pursuant to this agreement and there are no assurances that MCUSA will be successful in selling shares. Proceeds from sales of common stock will depend on the number of shares of common stock sold to MCUSA and the per share purchase price of each transaction. The agreement with MCUSA provides both MCUSA and the Company the right to terminate the agreement in their discretion upon giving five business days written notice. For the nine months ended September 30, 2014, the Company has generated gross and net proceeds of $3.4 million and $3.0 million, respectively, under this agreement on sales of 1,548,000 shares of the Company’s common stock at prices ranging from $2.01 to $2.40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May 9, 2013, the Company entered into a Securities Purchase Agreement with certain accredited investors (the “Purchase Agreement”) pursuant to which the Company agreed to sell to the investors 1,158,730 shares of the Company’s common stock at a price of $3.15 per share and warrants to purchase an aggregate of 869,047 shares of the Company’s common stock with an exercise price of $3.15 per share (the “Private Placement”). The Private Placement closed on May 14, 2013. The warrants will expire on May 9, 2018 and may be exercised for cash or, if the current market price of common stock of the Company is greater than the per share exercise price, by surrender of a portion of the warrant in a cashless exercise. The aggregate purchase price for the shares and the warrants sold in the Private Placement was $3.7 million and associated expenses incurred were $0.3 million.</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connection with the purchase by one investor of 158,730 shares of common stock and a warrant to purchase 119,047 shares of common stock, on May 29, 2013 the investor provided $51,389 additional consideration for the shares and the warrant, and the Company entered into an amendment to the warrant with the investor to reflect an exercise price of $3.38 per share.</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The net proceeds for the shares and the warrants sold in the Private Placement of $3.4 million were allocated based on the relative fair value of each instrument. The fair value of the shares was based on the closing price of the Company’s common stock on May 9, 2013, and the fair value of the warrants based on a Black-Scholes valuation model.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2011, the Company consummated a firm-commitment underwritten public offering of 2,800,666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During the nine months ended September 30, 2014, 85,500 of these warrants were exercised for gross proceeds of $0.3 million. As of September 30, 2014, 2,593,500 of these warrants remain outstanding and exercisable.</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August 2012, the Company issued a warrant in exchange for investor relations services to purchase up to 130,000 of common stock of the Company at a price of $1.88 per share, the closing price of the Company’s common stock on that date. As of September 30, 2014, the warrant was exercisable for 15,000 shares, and no further shares will vest. The warrant expires five years from the date of issuance.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660" w:type="dxa"/>
            <w:vAlign w:val="bottom"/>
          </w:tcPr>
          <w:p>
            <w:pPr>
              <w:spacing w:after="0"/>
              <w:rPr>
                <w:sz w:val="12"/>
                <w:szCs w:val="12"/>
                <w:color w:val="auto"/>
              </w:rPr>
            </w:pPr>
          </w:p>
        </w:tc>
        <w:tc>
          <w:tcPr>
            <w:tcW w:w="7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2,200,000</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3,257,969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2,904,137</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3,675,567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3,876,067</w:t>
            </w:r>
          </w:p>
        </w:tc>
        <w:tc>
          <w:tcPr>
            <w:tcW w:w="1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9,133,536</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8,980,204</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September 30, 2014, is included on the balance sheet at September 30, 2014 as deferred revenue and will be recognized as revenue in future periods as the Company performs the remaining services.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May 9, 2013, the Company entered into a securities purchase agreement with certain accredited investors pursuant to which the Company agreed to sell to the investors 1,158,730 shares of common stock and warrants to purchase an aggregate of 869,047 shares of common stock (the “Private Placement”). The Private Placement closed on May 14, 2013. The Private Placement included issuance of shares of common stock and a warrant to purchase shares of common stock to Fountain Erika LLC (“Fountain Erika”), an entity of which Tatsuo Izumi, a member of the Company’s board of directors at that time, is a principal. The warrant was subsequently amended on May 29, 2013. Fountain Erika’s acquisition of the shares of common stock and a warrant to purchase shares of the Company’s common stock was at an “at the market” price.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has evaluated all subsequent events that have occurred after the date of the accompanying financial statements and determined that there were no events or transactions occurring during the subsequent event reporting period which require recognition or disclosure in the Company’s consolidated financial statements with the exception that the Company has generated gross and net proceeds of $0.1 million under the second at-the-market equity distribution agreement with MCUSA on the sale of 45,000 shares of the Company’s common stock subsequent to September 30, 2014.</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2013 included in our Annual Report on Form 10-K filed with the Securities and Exchange Commission, or SEC, on March 27, 2014. Past operating results are not necessarily indicative of results that may occur in future periods.</w:t>
      </w:r>
    </w:p>
    <w:p>
      <w:pPr>
        <w:spacing w:after="0" w:line="17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biopharmaceutical company focused on acquiring and developing novel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(e.g., methamphetamine dependence and opioid dependence), and MN-001 (tipelukast) for nonalcoholic steatohepatitis (NASH), idiopathic pulmonary fibrosis (IPF) and other fibrotic diseases. Our pipeline also includes MN-221 (bedoradrine) for the treatment of acute exacerbation of asthma and MN-029 (denibulin) for solid tumor cancers. We were incorporated in Delaware in September 2000.</w:t>
      </w:r>
    </w:p>
    <w:p>
      <w:pPr>
        <w:spacing w:after="0" w:line="193"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have incurred significant net losses since our inception. As of September 30, 2014, we had an accumulated deficit of $308.2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1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117"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We intend to advance our diverse MN-166 (ibudilast) program through a combination of investigator sponsored trials and trials funded through government grants or other grants. In addition to providing drug supply and regulatory support, we are funding portions of the consortium 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intend to contribute financially to the Carolinas Neuromuscular ALS-MDA Center clinical trial of MN-166 for the treatment of ALS. We intend to enter into additional strategic alliances to support further clinical development of MN-166.</w:t>
      </w:r>
    </w:p>
    <w:p>
      <w:pPr>
        <w:spacing w:after="0" w:line="205" w:lineRule="exact"/>
        <w:rPr>
          <w:sz w:val="20"/>
          <w:szCs w:val="20"/>
          <w:color w:val="auto"/>
        </w:rPr>
      </w:pPr>
    </w:p>
    <w:p>
      <w:pPr>
        <w:ind w:left="5620" w:right="4640" w:hanging="5045"/>
        <w:spacing w:after="0" w:line="449" w:lineRule="auto"/>
        <w:tabs>
          <w:tab w:leader="none" w:pos="896"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Pursue the development of MN-001for fibrotic diseases including NASH and IPF. </w:t>
      </w: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80" w:hanging="325"/>
        <w:spacing w:after="0" w:line="277"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Strategically partner with one or more leading pharmaceutical companies to complete late stage product development and successfully commercialize our products.</w:t>
      </w:r>
    </w:p>
    <w:p>
      <w:pPr>
        <w:spacing w:after="0" w:line="62" w:lineRule="exact"/>
        <w:rPr>
          <w:sz w:val="20"/>
          <w:szCs w:val="20"/>
          <w:color w:val="auto"/>
        </w:rPr>
      </w:pPr>
    </w:p>
    <w:p>
      <w:pPr>
        <w:jc w:val="both"/>
        <w:ind w:left="920" w:right="20"/>
        <w:spacing w:after="0" w:line="286" w:lineRule="auto"/>
        <w:rPr>
          <w:sz w:val="20"/>
          <w:szCs w:val="20"/>
          <w:color w:val="auto"/>
        </w:rPr>
      </w:pPr>
      <w:r>
        <w:rPr>
          <w:rFonts w:ascii="Arial" w:cs="Arial" w:eastAsia="Arial" w:hAnsi="Arial"/>
          <w:sz w:val="17"/>
          <w:szCs w:val="17"/>
          <w:color w:val="auto"/>
        </w:rPr>
        <w:t>We develop and maintain relationships with pharmaceutical therapeutic area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the JV Company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September 30, 2014, Beijing Medfron Medical Technologies Co., Ltd. and MediciNova each have a 50% interest in the JV Company. No additional capital was contributed by either remaining party. We have not entered into the sublicense of MN-221 with the joint venture company as of the date of this report. There is no assurance the sublicense will be executed and there is no assurance that Zhejiang Sunmy will be able to proceed with the development of MN-221 in China. A. 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September 30, 2014, we reflect a long-term asset on our consolidated balance sheet which represents our investment in Zhejiang Sunmy, net of our portion of any generated loss or income.</w:t>
      </w:r>
    </w:p>
    <w:p>
      <w:pPr>
        <w:spacing w:after="0" w:line="16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nine months ended September 30, 2014 and 2013, we recognized revenues of zero and $3,257, respectively, as research and development services were delivered. During the three months ended September 30, 2014 and 2013, we did not recognized any revenues.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total research, development, and patent expenses by category during the periods presented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development expense: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MN-221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MN-166</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MN-001</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MN-029</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external development expense</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4"/>
              </w:rPr>
              <w:t>1,220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R&amp;D personnel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Patent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R&amp;D 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development and patent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2,477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and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and 2000 General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in-process research and development, or IPR&amp;D, was $9.6 million and $4.8 million, respectively, as of September 30, 2014.</w:t>
      </w:r>
    </w:p>
    <w:p>
      <w:pPr>
        <w:spacing w:after="0" w:line="19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Research, development and patent expenses were $0.9 million and $0.8 million for the three month periods ended September 30, 2014 and 2013,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and administrative expenses for the three months ended September 30, 2014 and 2013 were $1.5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Research, development and patent expenses were $2.5 million and $2.4 million for the nine month periods ended September 30, 2014 and 2013,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for the nine months ended September 30, 2014 were $4.4 million, a decrease of $0.6 million when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 million for the nine months ended September 30, 2013. This decrease in general and administrative expenses was due primarily to decreased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 and ongoing cost containment efforts.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Net cash provided by operating activities during the nine months ended September 30, 2014 was $1.8 million compared to $6.6 million of net cash used in operating activities during the same period in 2013. The $8.4 million change is primarily related to the $6.0 million accounts receivable collected during 2014 related to the Genzyme milestone revenue earned from the fourth quarter of 2013, utilization of prepaid expenses as of December 31, 2013 to support operations during the nine months ended September 30, 2014 along with ongoing cost containment efforts.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Net cash provided by financing activities during the nine months ended September 30, 2014 was $3.4 million compared to $13.3 million during the same period in 2013. The decrease in cash provided by financing activities was due to sale of fewer shares of common stock in 2014 as compared to 2013.</w:t>
      </w:r>
    </w:p>
    <w:p>
      <w:pPr>
        <w:spacing w:after="0" w:line="12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August 20, 2012, we entered into a common stock purchase agreement with Aspire, pursuant to which we could sell our common stock to Aspire from time to time up to an aggregate of $20 million of our common stock over the two-year term of the agreement including $1 million in common stock purchased by Aspire in connection with execution of the agreement. No more than 3,231,096 shares of our common stock could be issued under this agreement, including 363,636 shares initially issued to Aspire in consideration of entering into the agreement. We could on any business day over the term of the agreement direct Aspire to purchase up to 50,000 shares, to a maximum of $500,000 per business day with a purchase price of the lower of the lowest sale price of our common stock on the date of the sale, or the average of the three lowest closing stock prices during the 12 consecutive business days ending on the business day immediately preceding the purchase date. In addition, we could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During the nine month period ended September 30, 2013 we generated gross proceeds of $3.9 million under this agreement. We have made no sales of our common stock to Aspire subsequent to September 30, 2013 and we terminated the common stock purchase agreement with Aspire on October 17, 2013.</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May 9, 2013, we entered into a Securities Purchase Agreement with certain accredited investors pursuant to which we agreed to sell to the investors 1,158,730 shares of our common stock at a price of $3.15 per share and warrants to purchase an aggregate of 869,047 shares of our common stock with an exercise price of $3.15 per share (the “Private Placement”). The net proceeds generated from this transaction after underwriting discounts and commissions and offering costs was $3.4 million.</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April 17, 2013, we entered into an at-the-market equity distribution agreement with Macquarie Capital (USA) Inc., or MCUSA, pursuant to which we could sell our common stock through MCUSA from time to time up to an aggregate offering price of $6 million. During the nine month period ended September 30, 2013 we generated net proceeds of $5.3 million under this agreement.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October 16, 2013, we entered into a second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exceed the lower of $50,000 or 10% of the lower of the 5-day or 3-month average daily traded value of our common stock on NASDAQ (unless 10% of the lower of the 5-day or 3-month average daily traded value of our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 As of September 30, 2014, we have generated gross and net proceeds of $3.6 million and $3.1 million, respectively, under this agreement on sales of 1,665,500 shares of our common stock at prices ranging from $2.01 to $2.58 per share.</w:t>
      </w:r>
    </w:p>
    <w:p>
      <w:pPr>
        <w:spacing w:after="0" w:line="18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During the nine month periods ended September 30, 2014 and 2013, 85,500 and 121,666 warrants related to the March 23, 2011 public offering of 2,750,000 units, with each unit consisting of one share of common stock and one warrant, were exercised generating proceeds of $0.3 million and $0.4 million, respectively.</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During the nine month periods ended September 30, 2014 and 2013, 15,000 and 79,462 stock options were exercised from which proceeds of $38,850 and $0.2 million were received, respectively.</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 of September 30, 2014, we had available cash and cash equivalents of $11.9 million and working capital of $11.5 million. As of the date of this report, we believe we have working capital sufficient to fund operations through at least December 31, 2015. However, we cannot guarantee that these capital resources will be sufficient to conduct all of our research and development programs as planned. We are pursuing other opportunities to raise capital through the sale of our common stock or through other strategic initiatives. There can be no assurances that there will be adequate financing available to us on acceptable terms, or at all. If we are unable to obtain additional financing, we may have to sell one or more of our programs or cease operations.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At September 30, 2014,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60" w:firstLine="456"/>
        <w:spacing w:after="0" w:line="285"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 nature.</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Cash and cash equivalents as of September 30, 2014 were $11.9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2014.</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are not involved in any material legal proceedings as of September 30, 2014.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2013,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24"/>
                <w:szCs w:val="24"/>
                <w:color w:val="auto"/>
              </w:rPr>
            </w:pPr>
          </w:p>
        </w:tc>
        <w:tc>
          <w:tcPr>
            <w:tcW w:w="1034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10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Severance Protection Agreement, dated July 14, 2014, by and between MediciNova, Inc. and Dr. Yuichi Iwaki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10.2 to the Registrant’s Quarterly Report on Form 10-Q filed August 13, 2014).</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Severance Protection Agreement, dated July 14, 2014, by and between MediciNova, Inc. and Masatsune Okajima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10.3 to the Registrant’s Quarterly Report on Form 10-Q filed August 13, 2014).</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Severance Protection Agreement, dated July 14, 2014, by and between MediciNova, Inc. and Dr. Kazuko Matsuda (incorporated by reference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to Exhibit 10.4 to the Registrant’s Quarterly Report on Form 10-Q filed August 13, 2014).</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Severance Protection Agreement, dated July 14, 2014, by and between MediciNova, Inc. and Geoffrey O’Brien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10.5 to the Registrant’s Quarterly Report on Form 10-Q filed August 13, 2014).</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80" w:right="240" w:hanging="1072"/>
        <w:spacing w:after="0" w:line="31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September 30, 2014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MEDICINOVA, INC.</w:t>
      </w:r>
    </w:p>
    <w:p>
      <w:pPr>
        <w:spacing w:after="0" w:line="229" w:lineRule="exact"/>
        <w:rPr>
          <w:sz w:val="20"/>
          <w:szCs w:val="20"/>
          <w:color w:val="auto"/>
        </w:rPr>
      </w:pPr>
    </w:p>
    <w:p>
      <w:pPr>
        <w:spacing w:after="0"/>
        <w:tabs>
          <w:tab w:leader="none" w:pos="5900" w:val="left"/>
          <w:tab w:leader="none" w:pos="8220" w:val="left"/>
        </w:tabs>
        <w:rPr>
          <w:sz w:val="20"/>
          <w:szCs w:val="20"/>
          <w:color w:val="auto"/>
        </w:rPr>
      </w:pPr>
      <w:r>
        <w:rPr>
          <w:rFonts w:ascii="Arial" w:cs="Arial" w:eastAsia="Arial" w:hAnsi="Arial"/>
          <w:sz w:val="18"/>
          <w:szCs w:val="18"/>
          <w:color w:val="auto"/>
        </w:rPr>
        <w:t>Date: November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/Y</w:t>
      </w:r>
      <w:r>
        <w:rPr>
          <w:rFonts w:ascii="Arial" w:cs="Arial" w:eastAsia="Arial" w:hAnsi="Arial"/>
          <w:sz w:val="15"/>
          <w:szCs w:val="15"/>
          <w:color w:val="auto"/>
        </w:rPr>
        <w:t>UICHI</w:t>
      </w:r>
      <w:r>
        <w:rPr>
          <w:rFonts w:ascii="Arial" w:cs="Arial" w:eastAsia="Arial" w:hAnsi="Arial"/>
          <w:sz w:val="18"/>
          <w:szCs w:val="18"/>
          <w:color w:val="auto"/>
        </w:rPr>
        <w:t xml:space="preserve"> I</w:t>
      </w:r>
      <w:r>
        <w:rPr>
          <w:rFonts w:ascii="Arial" w:cs="Arial" w:eastAsia="Arial" w:hAnsi="Arial"/>
          <w:sz w:val="15"/>
          <w:szCs w:val="15"/>
          <w:color w:val="auto"/>
        </w:rPr>
        <w:t>WAKI</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(on behalf of the registrant and</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as the registrant’s Principal Executive Officer)</w:t>
      </w:r>
    </w:p>
    <w:p>
      <w:pPr>
        <w:spacing w:after="0" w:line="211" w:lineRule="exact"/>
        <w:rPr>
          <w:sz w:val="20"/>
          <w:szCs w:val="20"/>
          <w:color w:val="auto"/>
        </w:rPr>
      </w:pPr>
    </w:p>
    <w:p>
      <w:pPr>
        <w:ind w:left="592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Esther van den Boom</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(on behalf of the registrant and</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as the registrant’s Principal Financial Officer)</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ind w:left="37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1034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Severance Protection Agreement, dated July 14, 2014, by and between MediciNova, Inc. and Dr. Yuichi Iwaki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10.2 to the Registrant’s Quarterly Report on Form 10-Q filed August 13, 2014).</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Severance Protection Agreement, dated July 14, 2014, by and between MediciNova, Inc. and Masatsune Okajima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10.3 to the Registrant’s Quarterly Report on Form 10-Q filed August 13, 2014).</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Severance Protection Agreement, dated July 14, 2014, by and between MediciNova, Inc. and Dr. Kazuko Matsuda (incorporated by reference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to Exhibit 10.4 to the Registrant’s Quarterly Report on Form 10-Q filed August 13, 2014).</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Severance Protection Agreement, dated July 14, 2014, by and between MediciNova, Inc. and Geoffrey O’Brien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10.5 to the Registrant’s Quarterly Report on Form 10-Q filed August 13, 2014).</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80" w:right="240" w:hanging="1072"/>
        <w:spacing w:after="0" w:line="31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September 30, 2014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225"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MediciNova,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464"/>
        <w:spacing w:after="0" w:line="264"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right="160" w:firstLine="443"/>
        <w:spacing w:after="0" w:line="264" w:lineRule="auto"/>
        <w:tabs>
          <w:tab w:leader="none" w:pos="108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43"/>
        <w:spacing w:after="0" w:line="264" w:lineRule="auto"/>
        <w:tabs>
          <w:tab w:leader="none" w:pos="109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083"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0" w:firstLine="443"/>
        <w:spacing w:after="0" w:line="264" w:lineRule="auto"/>
        <w:tabs>
          <w:tab w:leader="none" w:pos="1093"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464"/>
        <w:spacing w:after="0" w:line="30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08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520" w:firstLine="443"/>
        <w:spacing w:after="0" w:line="277" w:lineRule="auto"/>
        <w:tabs>
          <w:tab w:leader="none" w:pos="109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p>
      <w:pPr>
        <w:ind w:left="6860"/>
        <w:spacing w:after="0"/>
        <w:tabs>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w:t>
      </w:r>
      <w:r>
        <w:rPr>
          <w:rFonts w:ascii="Arial" w:cs="Arial" w:eastAsia="Arial" w:hAnsi="Arial"/>
          <w:sz w:val="15"/>
          <w:szCs w:val="15"/>
          <w:color w:val="auto"/>
        </w:rPr>
        <w:t>UICHI</w:t>
      </w:r>
      <w:r>
        <w:rPr>
          <w:rFonts w:ascii="Arial" w:cs="Arial" w:eastAsia="Arial" w:hAnsi="Arial"/>
          <w:sz w:val="18"/>
          <w:szCs w:val="18"/>
          <w:color w:val="auto"/>
        </w:rPr>
        <w:t xml:space="preserve"> I</w:t>
      </w:r>
      <w:r>
        <w:rPr>
          <w:rFonts w:ascii="Arial" w:cs="Arial" w:eastAsia="Arial" w:hAnsi="Arial"/>
          <w:sz w:val="15"/>
          <w:szCs w:val="15"/>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Yuichi Iwaki, M.D., Ph.D.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225"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2014 of MediciNova,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right="160" w:firstLine="443"/>
        <w:spacing w:after="0" w:line="264" w:lineRule="auto"/>
        <w:tabs>
          <w:tab w:leader="none" w:pos="108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43"/>
        <w:spacing w:after="0" w:line="264" w:lineRule="auto"/>
        <w:tabs>
          <w:tab w:leader="none" w:pos="109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083"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0" w:firstLine="443"/>
        <w:spacing w:after="0" w:line="264" w:lineRule="auto"/>
        <w:tabs>
          <w:tab w:leader="none" w:pos="1093"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464"/>
        <w:spacing w:after="0" w:line="30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08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520" w:firstLine="443"/>
        <w:spacing w:after="0" w:line="277" w:lineRule="auto"/>
        <w:tabs>
          <w:tab w:leader="none" w:pos="1093"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Esther van den Boom</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2014,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080" w:hanging="177"/>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0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p>
      <w:pPr>
        <w:ind w:left="6860"/>
        <w:spacing w:after="0"/>
        <w:tabs>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w:t>
      </w:r>
      <w:r>
        <w:rPr>
          <w:rFonts w:ascii="Arial" w:cs="Arial" w:eastAsia="Arial" w:hAnsi="Arial"/>
          <w:sz w:val="15"/>
          <w:szCs w:val="15"/>
          <w:color w:val="auto"/>
        </w:rPr>
        <w:t>UICHI</w:t>
      </w:r>
      <w:r>
        <w:rPr>
          <w:rFonts w:ascii="Arial" w:cs="Arial" w:eastAsia="Arial" w:hAnsi="Arial"/>
          <w:sz w:val="18"/>
          <w:szCs w:val="18"/>
          <w:color w:val="auto"/>
        </w:rPr>
        <w:t xml:space="preserve"> I</w:t>
      </w:r>
      <w:r>
        <w:rPr>
          <w:rFonts w:ascii="Arial" w:cs="Arial" w:eastAsia="Arial" w:hAnsi="Arial"/>
          <w:sz w:val="15"/>
          <w:szCs w:val="15"/>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Yuichi Iwaki, M.D., Ph.D.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2014, as filed with the Securities and Exchange Commission on the date hereof (the “Report”), I, Esther van den Boom,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080" w:hanging="177"/>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0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Esther van den Boom</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(Principal Financial Officer)</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0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2019-12-07T04:51:48Z</dcterms:created>
  <dcterms:modified xsi:type="dcterms:W3CDTF">2019-12-07T04:51:48Z</dcterms:modified>
</cp:coreProperties>
</file>